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48326455-008B-4C9F-86F8-73FE000F92D3" style="width:449.75pt;height:360.9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numPr>
          <w:ilvl w:val="0"/>
          <w:numId w:val="10"/>
        </w:numPr>
        <w:spacing w:after="240"/>
        <w:ind w:left="714" w:hanging="357"/>
        <w:rPr>
          <w:rFonts w:eastAsia="Times New Roman"/>
          <w:noProof/>
          <w:color w:val="auto"/>
        </w:rPr>
      </w:pPr>
      <w:bookmarkStart w:id="1" w:name="_GoBack"/>
      <w:bookmarkEnd w:id="1"/>
      <w:r>
        <w:rPr>
          <w:noProof/>
          <w:color w:val="auto"/>
        </w:rPr>
        <w:lastRenderedPageBreak/>
        <w:t>Introdução</w:t>
      </w:r>
    </w:p>
    <w:p>
      <w:pPr>
        <w:spacing w:after="240"/>
        <w:jc w:val="both"/>
        <w:rPr>
          <w:rFonts w:ascii="Times New Roman" w:hAnsi="Times New Roman" w:cs="Times New Roman"/>
          <w:noProof/>
          <w:sz w:val="24"/>
          <w:szCs w:val="24"/>
        </w:rPr>
      </w:pPr>
      <w:r>
        <w:rPr>
          <w:rFonts w:ascii="Times New Roman" w:hAnsi="Times New Roman"/>
          <w:noProof/>
          <w:sz w:val="24"/>
          <w:szCs w:val="24"/>
        </w:rPr>
        <w:t>As Diretivas Aves</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e </w:t>
      </w:r>
      <w:r>
        <w:rPr>
          <w:rFonts w:ascii="Times New Roman" w:hAnsi="Times New Roman"/>
          <w:i/>
          <w:noProof/>
          <w:sz w:val="24"/>
          <w:szCs w:val="24"/>
        </w:rPr>
        <w:t>Habitats</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da UE («Diretivas Natureza»), que são a base da rede Natura 2000 de zonas protegidas, formam os alicerces da política da UE em matéria de biodiversidade. Procuram assegurar a conservação das espécies e dos tipos de </w:t>
      </w:r>
      <w:r>
        <w:rPr>
          <w:rFonts w:ascii="Times New Roman" w:hAnsi="Times New Roman"/>
          <w:i/>
          <w:iCs/>
          <w:noProof/>
          <w:sz w:val="24"/>
          <w:szCs w:val="24"/>
        </w:rPr>
        <w:t>habitat</w:t>
      </w:r>
      <w:r>
        <w:rPr>
          <w:rFonts w:ascii="Times New Roman" w:hAnsi="Times New Roman"/>
          <w:noProof/>
          <w:sz w:val="24"/>
          <w:szCs w:val="24"/>
        </w:rPr>
        <w:t xml:space="preserve"> de importância para a UE, protegendo todas as aves selvagens (mais de 460 espécies), os </w:t>
      </w:r>
      <w:r>
        <w:rPr>
          <w:rFonts w:ascii="Times New Roman" w:hAnsi="Times New Roman"/>
          <w:i/>
          <w:iCs/>
          <w:noProof/>
          <w:sz w:val="24"/>
          <w:szCs w:val="24"/>
        </w:rPr>
        <w:t>habitats</w:t>
      </w:r>
      <w:r>
        <w:rPr>
          <w:rFonts w:ascii="Times New Roman" w:hAnsi="Times New Roman"/>
          <w:noProof/>
          <w:sz w:val="24"/>
          <w:szCs w:val="24"/>
        </w:rPr>
        <w:t xml:space="preserve"> representativos e ameaçados (233 tipos, de pradarias de ervas marinhas a prados alpinos) e quase 1 400 espécies adicionais, desde plantas minúsculas a mamíferos, incluindo muitas espécies selvagens icónicas. Exigem que os Estados-Membros mantenham e restabeleçam o estado de conservação favorável dessas espécies e </w:t>
      </w:r>
      <w:r>
        <w:rPr>
          <w:rFonts w:ascii="Times New Roman" w:hAnsi="Times New Roman"/>
          <w:i/>
          <w:noProof/>
          <w:sz w:val="24"/>
          <w:szCs w:val="24"/>
        </w:rPr>
        <w:t>habitats</w:t>
      </w:r>
      <w:r>
        <w:rPr>
          <w:rFonts w:ascii="Times New Roman" w:hAnsi="Times New Roman"/>
          <w:noProof/>
          <w:sz w:val="24"/>
          <w:szCs w:val="24"/>
        </w:rPr>
        <w:t>.</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Para que a Comissão possa avaliar os progressos realizados na consecução dos objetivos das Diretivas Natureza, os Estados-Membros devem apresentar um relatório de seis em seis anos, conforme exigido pelo artigo 12.º da Diretiva Aves e pelo artigo 17.º da Diretiva </w:t>
      </w:r>
      <w:r>
        <w:rPr>
          <w:rFonts w:ascii="Times New Roman" w:hAnsi="Times New Roman"/>
          <w:i/>
          <w:noProof/>
          <w:sz w:val="24"/>
          <w:szCs w:val="24"/>
        </w:rPr>
        <w:t>Habitats</w:t>
      </w:r>
      <w:r>
        <w:rPr>
          <w:rFonts w:ascii="Times New Roman" w:hAnsi="Times New Roman"/>
          <w:noProof/>
          <w:sz w:val="24"/>
          <w:szCs w:val="24"/>
        </w:rPr>
        <w:t xml:space="preserve">, em particular sobre o estado de conservação e tendências dos </w:t>
      </w:r>
      <w:r>
        <w:rPr>
          <w:rFonts w:ascii="Times New Roman" w:hAnsi="Times New Roman"/>
          <w:i/>
          <w:noProof/>
          <w:sz w:val="24"/>
          <w:szCs w:val="24"/>
        </w:rPr>
        <w:t>habitats</w:t>
      </w:r>
      <w:r>
        <w:rPr>
          <w:rFonts w:ascii="Times New Roman" w:hAnsi="Times New Roman"/>
          <w:noProof/>
          <w:sz w:val="24"/>
          <w:szCs w:val="24"/>
        </w:rPr>
        <w:t xml:space="preserve"> e das espécies que protegem. O presente relatório de síntese constitui a terceira avaliação do estado de conservação na UE ao abrigo das diretivas e é o resultado do maior e mais extenso exercício de recolha e compilação de dados sobre o estado da natureza na Europa. Documenta o estado e as tendências dos </w:t>
      </w:r>
      <w:r>
        <w:rPr>
          <w:rFonts w:ascii="Times New Roman" w:hAnsi="Times New Roman"/>
          <w:i/>
          <w:iCs/>
          <w:noProof/>
          <w:sz w:val="24"/>
          <w:szCs w:val="24"/>
        </w:rPr>
        <w:t>habitats</w:t>
      </w:r>
      <w:r>
        <w:rPr>
          <w:rFonts w:ascii="Times New Roman" w:hAnsi="Times New Roman"/>
          <w:noProof/>
          <w:sz w:val="24"/>
          <w:szCs w:val="24"/>
        </w:rPr>
        <w:t xml:space="preserve"> e das espécies no período 2013</w:t>
      </w:r>
      <w:r>
        <w:rPr>
          <w:rFonts w:ascii="Times New Roman" w:hAnsi="Times New Roman"/>
          <w:noProof/>
          <w:sz w:val="24"/>
          <w:szCs w:val="24"/>
        </w:rPr>
        <w:noBreakHyphen/>
        <w:t>-2018, conforme comunicado pelos 28 Estados-Membros</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fornecendo uma visão geral atualizada da saúde da natureza da UE. Avalia as mudanças ao longo do tempo, as principais pressões e o contributo da rede Natura 2000 para a conservação das espécies e dos </w:t>
      </w:r>
      <w:r>
        <w:rPr>
          <w:rFonts w:ascii="Times New Roman" w:hAnsi="Times New Roman"/>
          <w:i/>
          <w:iCs/>
          <w:noProof/>
          <w:sz w:val="24"/>
          <w:szCs w:val="24"/>
        </w:rPr>
        <w:t>habitats</w:t>
      </w:r>
      <w:r>
        <w:rPr>
          <w:rFonts w:ascii="Times New Roman" w:hAnsi="Times New Roman"/>
          <w:noProof/>
          <w:sz w:val="24"/>
          <w:szCs w:val="24"/>
        </w:rPr>
        <w:t xml:space="preserve"> protegidos. A análise é apoiada por uma avaliação técnica aprofundada realizada pela Agência Europeia do Ambiente</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w:t>
      </w:r>
    </w:p>
    <w:p>
      <w:pPr>
        <w:spacing w:after="240"/>
        <w:jc w:val="both"/>
        <w:rPr>
          <w:rFonts w:ascii="Times New Roman" w:hAnsi="Times New Roman" w:cs="Times New Roman"/>
          <w:noProof/>
          <w:sz w:val="24"/>
          <w:szCs w:val="24"/>
        </w:rPr>
      </w:pPr>
    </w:p>
    <w:p>
      <w:pPr>
        <w:pStyle w:val="Heading1"/>
        <w:numPr>
          <w:ilvl w:val="0"/>
          <w:numId w:val="10"/>
        </w:numPr>
        <w:spacing w:after="240"/>
        <w:ind w:left="714" w:hanging="357"/>
        <w:rPr>
          <w:rFonts w:eastAsia="Times New Roman"/>
          <w:noProof/>
          <w:color w:val="auto"/>
        </w:rPr>
      </w:pPr>
      <w:r>
        <w:rPr>
          <w:noProof/>
          <w:color w:val="auto"/>
        </w:rPr>
        <w:t xml:space="preserve">Estado e tendências dos </w:t>
      </w:r>
      <w:r>
        <w:rPr>
          <w:i/>
          <w:noProof/>
          <w:color w:val="auto"/>
        </w:rPr>
        <w:t>habitats</w:t>
      </w:r>
      <w:r>
        <w:rPr>
          <w:noProof/>
          <w:color w:val="auto"/>
        </w:rPr>
        <w:t xml:space="preserve"> e espécies na UE</w:t>
      </w:r>
    </w:p>
    <w:p>
      <w:pPr>
        <w:spacing w:after="240"/>
        <w:jc w:val="both"/>
        <w:rPr>
          <w:rFonts w:ascii="Times New Roman" w:hAnsi="Times New Roman" w:cs="Times New Roman"/>
          <w:noProof/>
          <w:sz w:val="24"/>
          <w:szCs w:val="24"/>
        </w:rPr>
      </w:pPr>
      <w:r>
        <w:rPr>
          <w:rFonts w:ascii="Times New Roman" w:hAnsi="Times New Roman"/>
          <w:noProof/>
          <w:sz w:val="24"/>
          <w:szCs w:val="24"/>
        </w:rPr>
        <w:t>Os Estados-Membros apresentam os dados num formato harmonizado, para que possam ser inseridos nas bases de dados utilizadas para as avaliações agregadas a nível da UE pela Agência Europeia do Ambiente.</w:t>
      </w:r>
    </w:p>
    <w:p>
      <w:pPr>
        <w:spacing w:after="240"/>
        <w:jc w:val="both"/>
        <w:rPr>
          <w:rFonts w:ascii="Times New Roman" w:hAnsi="Times New Roman" w:cs="Times New Roman"/>
          <w:noProof/>
          <w:sz w:val="24"/>
          <w:szCs w:val="24"/>
        </w:rPr>
      </w:pPr>
      <w:r>
        <w:rPr>
          <w:rFonts w:ascii="Times New Roman" w:hAnsi="Times New Roman"/>
          <w:noProof/>
          <w:sz w:val="24"/>
          <w:szCs w:val="24"/>
        </w:rPr>
        <w:lastRenderedPageBreak/>
        <w:t xml:space="preserve">No caso das aves, a avaliação é realizada ao nível da UE. As espécies protegidas e os tipos de </w:t>
      </w:r>
      <w:r>
        <w:rPr>
          <w:rFonts w:ascii="Times New Roman" w:hAnsi="Times New Roman"/>
          <w:i/>
          <w:noProof/>
          <w:sz w:val="24"/>
          <w:szCs w:val="24"/>
        </w:rPr>
        <w:t>habitat</w:t>
      </w:r>
      <w:r>
        <w:rPr>
          <w:rFonts w:ascii="Times New Roman" w:hAnsi="Times New Roman"/>
          <w:noProof/>
          <w:sz w:val="24"/>
          <w:szCs w:val="24"/>
        </w:rPr>
        <w:t xml:space="preserve"> abrangidos pela Diretiva </w:t>
      </w:r>
      <w:r>
        <w:rPr>
          <w:rFonts w:ascii="Times New Roman" w:hAnsi="Times New Roman"/>
          <w:i/>
          <w:noProof/>
          <w:sz w:val="24"/>
          <w:szCs w:val="24"/>
        </w:rPr>
        <w:t>Habitats</w:t>
      </w:r>
      <w:r>
        <w:rPr>
          <w:rFonts w:ascii="Times New Roman" w:hAnsi="Times New Roman"/>
          <w:noProof/>
          <w:sz w:val="24"/>
          <w:szCs w:val="24"/>
        </w:rPr>
        <w:t xml:space="preserve"> são avaliados ao nível de nove regiões «biogeográficas» terrestres</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e cinco regiões marinhas</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Para efeitos de uma comunicação clara e coerente, os resultados são apresentados usando o código de cores dos sinais de trânsito (verde-amarelo-vermelho), para indicar um estado «bom», «fraco» e «mau»</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Todas as estatísticas sobre o estado geral e as tendências baseiam-se no número de avaliações ao nível da UE para </w:t>
      </w:r>
      <w:r>
        <w:rPr>
          <w:rFonts w:ascii="Times New Roman" w:hAnsi="Times New Roman"/>
          <w:i/>
          <w:noProof/>
          <w:sz w:val="24"/>
          <w:szCs w:val="24"/>
        </w:rPr>
        <w:t>habitats</w:t>
      </w:r>
      <w:r>
        <w:rPr>
          <w:rFonts w:ascii="Times New Roman" w:hAnsi="Times New Roman"/>
          <w:noProof/>
          <w:sz w:val="24"/>
          <w:szCs w:val="24"/>
        </w:rPr>
        <w:t xml:space="preserve"> e espécies individuais.</w:t>
      </w:r>
    </w:p>
    <w:p>
      <w:pPr>
        <w:spacing w:after="240"/>
        <w:jc w:val="both"/>
        <w:rPr>
          <w:rFonts w:ascii="Times New Roman" w:hAnsi="Times New Roman" w:cs="Times New Roman"/>
          <w:noProof/>
          <w:sz w:val="24"/>
          <w:szCs w:val="24"/>
        </w:rPr>
      </w:pPr>
      <w:r>
        <w:rPr>
          <w:rFonts w:ascii="Times New Roman" w:hAnsi="Times New Roman"/>
          <w:noProof/>
          <w:sz w:val="24"/>
          <w:szCs w:val="24"/>
        </w:rPr>
        <w:t>Embora esta compilação de dados de relatórios nacionais seja necessária para avaliações ao nível tanto da UE como das regiões biogeográficas, pode ocultar desenvolvimentos positivos a níveis inferiores (ou seja, local, regional ou nacional).</w:t>
      </w:r>
    </w:p>
    <w:p>
      <w:pPr>
        <w:spacing w:before="240" w:after="240"/>
        <w:jc w:val="both"/>
        <w:rPr>
          <w:rFonts w:ascii="Times New Roman" w:hAnsi="Times New Roman" w:cs="Times New Roman"/>
          <w:b/>
          <w:i/>
          <w:noProof/>
          <w:sz w:val="24"/>
          <w:szCs w:val="24"/>
          <w:u w:val="single"/>
        </w:rPr>
      </w:pPr>
      <w:r>
        <w:rPr>
          <w:rFonts w:ascii="Times New Roman" w:hAnsi="Times New Roman"/>
          <w:b/>
          <w:i/>
          <w:noProof/>
          <w:sz w:val="24"/>
          <w:szCs w:val="24"/>
          <w:u w:val="single"/>
        </w:rPr>
        <w:t>2.1 Aves</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A Diretiva Aves protege todas as espécies de aves selvagens que ocorrem naturalmente no território europeu dos Estados-Membros (mais de 460 espécies). No seu anexo I, constam 197 (sub)espécies que requerem medidas especiais de conservação do </w:t>
      </w:r>
      <w:r>
        <w:rPr>
          <w:rFonts w:ascii="Times New Roman" w:hAnsi="Times New Roman"/>
          <w:i/>
          <w:iCs/>
          <w:noProof/>
          <w:sz w:val="24"/>
          <w:szCs w:val="24"/>
        </w:rPr>
        <w:t>habitat</w:t>
      </w:r>
      <w:r>
        <w:rPr>
          <w:rFonts w:ascii="Times New Roman" w:hAnsi="Times New Roman"/>
          <w:noProof/>
          <w:sz w:val="24"/>
          <w:szCs w:val="24"/>
        </w:rPr>
        <w:t>, incluindo a designação de zonas de proteção especial. O anexo II enumera 86 (sub)espécies que podem ser caçadas ao abrigo da legislação nacional.</w:t>
      </w:r>
    </w:p>
    <w:p>
      <w:pPr>
        <w:spacing w:after="0"/>
        <w:jc w:val="both"/>
        <w:rPr>
          <w:rFonts w:ascii="Times New Roman" w:hAnsi="Times New Roman" w:cs="Times New Roman"/>
          <w:noProof/>
          <w:sz w:val="24"/>
          <w:szCs w:val="24"/>
        </w:rPr>
      </w:pPr>
    </w:p>
    <w:p>
      <w:pPr>
        <w:spacing w:after="240"/>
        <w:rPr>
          <w:rFonts w:ascii="Times New Roman" w:eastAsia="Calibri" w:hAnsi="Times New Roman" w:cs="Times New Roman"/>
          <w:noProof/>
          <w:sz w:val="24"/>
          <w:szCs w:val="24"/>
        </w:rPr>
      </w:pPr>
      <w:r>
        <w:rPr>
          <w:rFonts w:ascii="Times New Roman" w:hAnsi="Times New Roman"/>
          <w:b/>
          <w:bCs/>
          <w:noProof/>
          <w:sz w:val="24"/>
          <w:szCs w:val="24"/>
        </w:rPr>
        <w:t>Aves — estado das populações ao nível da UE</w:t>
      </w:r>
    </w:p>
    <w:tbl>
      <w:tblPr>
        <w:tblStyle w:val="HTG1"/>
        <w:tblpPr w:leftFromText="141" w:rightFromText="141" w:vertAnchor="text" w:horzAnchor="margin" w:tblpY="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0"/>
      </w:tblGrid>
      <w:tr>
        <w:tc>
          <w:tcPr>
            <w:tcW w:w="6516" w:type="dxa"/>
          </w:tcPr>
          <w:p>
            <w:pPr>
              <w:spacing w:after="120"/>
              <w:rPr>
                <w:rFonts w:ascii="Times New Roman" w:hAnsi="Times New Roman" w:cs="Times New Roman"/>
                <w:b/>
                <w:noProof/>
                <w:sz w:val="20"/>
                <w:szCs w:val="20"/>
              </w:rPr>
            </w:pPr>
            <w:r>
              <w:rPr>
                <w:rFonts w:ascii="Times New Roman" w:hAnsi="Times New Roman"/>
                <w:b/>
                <w:noProof/>
                <w:sz w:val="20"/>
                <w:szCs w:val="20"/>
              </w:rPr>
              <w:t>Figura 1: Estado das populações das espécies de aves na UE</w:t>
            </w:r>
          </w:p>
        </w:tc>
      </w:tr>
      <w:tr>
        <w:tblPrEx>
          <w:tblCellMar>
            <w:left w:w="70" w:type="dxa"/>
            <w:right w:w="70" w:type="dxa"/>
          </w:tblCellMar>
        </w:tblPrEx>
        <w:trPr>
          <w:trHeight w:val="3299"/>
        </w:trPr>
        <w:tc>
          <w:tcPr>
            <w:tcW w:w="6516" w:type="dxa"/>
            <w:vAlign w:val="center"/>
          </w:tcPr>
          <w:p>
            <w:pPr>
              <w:jc w:val="center"/>
              <w:rPr>
                <w:rFonts w:ascii="Times New Roman" w:hAnsi="Times New Roman" w:cs="Times New Roman"/>
                <w:noProof/>
              </w:rPr>
            </w:pPr>
            <w:r>
              <w:rPr>
                <w:noProof/>
                <w:lang w:val="en-GB" w:eastAsia="en-GB"/>
              </w:rPr>
              <w:drawing>
                <wp:inline distT="0" distB="0" distL="0" distR="0">
                  <wp:extent cx="4283612" cy="2799080"/>
                  <wp:effectExtent l="0" t="0" r="3175" b="127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90561" cy="2803621"/>
                          </a:xfrm>
                          <a:prstGeom prst="rect">
                            <a:avLst/>
                          </a:prstGeom>
                          <a:noFill/>
                          <a:ln>
                            <a:noFill/>
                          </a:ln>
                        </pic:spPr>
                      </pic:pic>
                    </a:graphicData>
                  </a:graphic>
                </wp:inline>
              </w:drawing>
            </w:r>
          </w:p>
        </w:tc>
      </w:tr>
      <w:tr>
        <w:tc>
          <w:tcPr>
            <w:tcW w:w="6516" w:type="dxa"/>
          </w:tcPr>
          <w:p>
            <w:pPr>
              <w:rPr>
                <w:rFonts w:ascii="Times New Roman" w:eastAsia="Calibri" w:hAnsi="Times New Roman" w:cs="Times New Roman"/>
                <w:noProof/>
                <w:sz w:val="18"/>
                <w:szCs w:val="18"/>
              </w:rPr>
            </w:pPr>
            <w:r>
              <w:rPr>
                <w:rFonts w:ascii="Times New Roman" w:hAnsi="Times New Roman"/>
                <w:b/>
                <w:bCs/>
                <w:noProof/>
                <w:sz w:val="18"/>
                <w:szCs w:val="18"/>
              </w:rPr>
              <w:t>Nota</w:t>
            </w:r>
            <w:r>
              <w:rPr>
                <w:rFonts w:ascii="Times New Roman" w:hAnsi="Times New Roman"/>
                <w:noProof/>
                <w:sz w:val="18"/>
                <w:szCs w:val="18"/>
              </w:rPr>
              <w:t>: O número total de avaliações é de 463 (uma avaliação por espécie).</w:t>
            </w:r>
          </w:p>
        </w:tc>
      </w:tr>
    </w:tbl>
    <w:p>
      <w:pPr>
        <w:spacing w:before="40" w:after="40" w:line="240" w:lineRule="auto"/>
        <w:ind w:left="357"/>
        <w:rPr>
          <w:rFonts w:ascii="Times New Roman" w:hAnsi="Times New Roman" w:cs="Times New Roman"/>
          <w:noProof/>
          <w:sz w:val="20"/>
          <w:szCs w:val="20"/>
        </w:rPr>
      </w:pPr>
    </w:p>
    <w:p>
      <w:pPr>
        <w:spacing w:after="120"/>
        <w:rPr>
          <w:rFonts w:ascii="Times New Roman" w:eastAsia="Calibri" w:hAnsi="Times New Roman" w:cs="Times New Roman"/>
          <w:noProof/>
        </w:rPr>
      </w:pPr>
    </w:p>
    <w:p>
      <w:pPr>
        <w:spacing w:after="120"/>
        <w:jc w:val="both"/>
        <w:rPr>
          <w:rFonts w:ascii="Times New Roman" w:eastAsia="Calibri" w:hAnsi="Times New Roman" w:cs="Times New Roman"/>
          <w:noProof/>
        </w:rPr>
      </w:pPr>
    </w:p>
    <w:p>
      <w:pPr>
        <w:spacing w:after="120"/>
        <w:jc w:val="both"/>
        <w:rPr>
          <w:rFonts w:ascii="Times New Roman" w:eastAsia="Calibri" w:hAnsi="Times New Roman" w:cs="Times New Roman"/>
          <w:noProof/>
        </w:rPr>
      </w:pPr>
    </w:p>
    <w:p>
      <w:pPr>
        <w:spacing w:after="120"/>
        <w:jc w:val="both"/>
        <w:rPr>
          <w:rFonts w:ascii="Times New Roman" w:eastAsia="Calibri" w:hAnsi="Times New Roman" w:cs="Times New Roman"/>
          <w:noProof/>
        </w:rPr>
      </w:pPr>
    </w:p>
    <w:p>
      <w:pPr>
        <w:spacing w:after="120"/>
        <w:jc w:val="both"/>
        <w:rPr>
          <w:rFonts w:ascii="Times New Roman" w:eastAsia="Calibri" w:hAnsi="Times New Roman" w:cs="Times New Roman"/>
          <w:noProof/>
        </w:rPr>
      </w:pPr>
    </w:p>
    <w:p>
      <w:pPr>
        <w:spacing w:after="120"/>
        <w:jc w:val="both"/>
        <w:rPr>
          <w:rFonts w:ascii="Times New Roman" w:eastAsia="Calibri" w:hAnsi="Times New Roman" w:cs="Times New Roman"/>
          <w:noProof/>
        </w:rPr>
      </w:pPr>
    </w:p>
    <w:p>
      <w:pPr>
        <w:spacing w:after="120"/>
        <w:jc w:val="both"/>
        <w:rPr>
          <w:rFonts w:ascii="Times New Roman" w:eastAsia="Calibri" w:hAnsi="Times New Roman" w:cs="Times New Roman"/>
          <w:noProof/>
        </w:rPr>
      </w:pPr>
    </w:p>
    <w:p>
      <w:pPr>
        <w:spacing w:after="120"/>
        <w:jc w:val="both"/>
        <w:rPr>
          <w:rFonts w:ascii="Times New Roman" w:eastAsia="Calibri" w:hAnsi="Times New Roman" w:cs="Times New Roman"/>
          <w:noProof/>
        </w:rPr>
      </w:pPr>
    </w:p>
    <w:p>
      <w:pPr>
        <w:spacing w:after="120"/>
        <w:jc w:val="both"/>
        <w:rPr>
          <w:rFonts w:ascii="Times New Roman" w:eastAsia="Calibri" w:hAnsi="Times New Roman" w:cs="Times New Roman"/>
          <w:noProof/>
        </w:rPr>
      </w:pPr>
    </w:p>
    <w:p>
      <w:pPr>
        <w:spacing w:after="120"/>
        <w:jc w:val="both"/>
        <w:rPr>
          <w:rFonts w:ascii="Times New Roman" w:eastAsia="Calibri" w:hAnsi="Times New Roman" w:cs="Times New Roman"/>
          <w:noProof/>
        </w:rPr>
      </w:pPr>
    </w:p>
    <w:p>
      <w:pPr>
        <w:spacing w:after="120"/>
        <w:jc w:val="both"/>
        <w:rPr>
          <w:rFonts w:ascii="Times New Roman" w:eastAsia="Calibri" w:hAnsi="Times New Roman" w:cs="Times New Roman"/>
          <w:noProof/>
        </w:rPr>
      </w:pPr>
    </w:p>
    <w:p>
      <w:pPr>
        <w:spacing w:before="240" w:after="240"/>
        <w:jc w:val="both"/>
        <w:rPr>
          <w:rFonts w:ascii="Times New Roman" w:hAnsi="Times New Roman"/>
          <w:noProof/>
          <w:sz w:val="24"/>
          <w:szCs w:val="24"/>
        </w:rPr>
      </w:pPr>
    </w:p>
    <w:p>
      <w:pPr>
        <w:spacing w:before="240" w:after="240"/>
        <w:jc w:val="both"/>
        <w:rPr>
          <w:rFonts w:ascii="Times New Roman" w:hAnsi="Times New Roman"/>
          <w:noProof/>
          <w:sz w:val="24"/>
          <w:szCs w:val="24"/>
        </w:rPr>
      </w:pPr>
      <w:r>
        <w:rPr>
          <w:rFonts w:ascii="Times New Roman" w:hAnsi="Times New Roman"/>
          <w:noProof/>
          <w:sz w:val="24"/>
          <w:szCs w:val="24"/>
        </w:rPr>
        <w:t>A avaliação ao nível da UE indica que 47 % de todas as espécies de aves apresentam um bom estado populacional, uma redução de 5 pontos percentuais dos 52 % verificados em 2015</w:t>
      </w:r>
      <w:r>
        <w:rPr>
          <w:rStyle w:val="FootnoteReference"/>
          <w:rFonts w:ascii="Times New Roman" w:eastAsia="Calibri" w:hAnsi="Times New Roman" w:cs="Times New Roman"/>
          <w:noProof/>
          <w:sz w:val="24"/>
          <w:szCs w:val="24"/>
        </w:rPr>
        <w:footnoteReference w:id="8"/>
      </w:r>
      <w:r>
        <w:rPr>
          <w:rFonts w:ascii="Times New Roman" w:hAnsi="Times New Roman"/>
          <w:noProof/>
          <w:sz w:val="24"/>
          <w:szCs w:val="24"/>
        </w:rPr>
        <w:t>. A proporção das espécies avaliada com estado fraco ou mau aumentou de 32 % para 39 %, enquanto o estado de 14 % ainda é desconhecido (em comparação com 16 % em 2015) devido à falta de dados fiáveis.</w:t>
      </w:r>
    </w:p>
    <w:p>
      <w:pPr>
        <w:spacing w:before="240" w:after="240"/>
        <w:jc w:val="both"/>
        <w:rPr>
          <w:rFonts w:ascii="Times New Roman" w:eastAsia="Calibri" w:hAnsi="Times New Roman" w:cs="Times New Roman"/>
          <w:noProof/>
          <w:sz w:val="24"/>
          <w:szCs w:val="24"/>
        </w:rPr>
      </w:pPr>
    </w:p>
    <w:p>
      <w:pPr>
        <w:spacing w:after="240"/>
        <w:rPr>
          <w:rFonts w:ascii="Times New Roman" w:eastAsia="Calibri" w:hAnsi="Times New Roman" w:cs="Times New Roman"/>
          <w:b/>
          <w:bCs/>
          <w:noProof/>
          <w:sz w:val="24"/>
          <w:szCs w:val="24"/>
        </w:rPr>
      </w:pPr>
      <w:r>
        <w:rPr>
          <w:rFonts w:ascii="Times New Roman" w:hAnsi="Times New Roman"/>
          <w:b/>
          <w:bCs/>
          <w:noProof/>
          <w:sz w:val="24"/>
          <w:szCs w:val="24"/>
        </w:rPr>
        <w:t>Aves — tendências da população ao nível da UE</w:t>
      </w:r>
    </w:p>
    <w:tbl>
      <w:tblPr>
        <w:tblStyle w:val="TableGrid"/>
        <w:tblpPr w:leftFromText="141" w:rightFromText="141" w:vertAnchor="text" w:horzAnchor="margin" w:tblpY="57"/>
        <w:tblW w:w="9209" w:type="dxa"/>
        <w:tblCellMar>
          <w:left w:w="70" w:type="dxa"/>
          <w:right w:w="70" w:type="dxa"/>
        </w:tblCellMar>
        <w:tblLook w:val="04A0" w:firstRow="1" w:lastRow="0" w:firstColumn="1" w:lastColumn="0" w:noHBand="0" w:noVBand="1"/>
      </w:tblPr>
      <w:tblGrid>
        <w:gridCol w:w="4673"/>
        <w:gridCol w:w="4536"/>
      </w:tblGrid>
      <w:tr>
        <w:trPr>
          <w:trHeight w:val="3392"/>
        </w:trPr>
        <w:tc>
          <w:tcPr>
            <w:tcW w:w="4673" w:type="dxa"/>
            <w:tcBorders>
              <w:top w:val="nil"/>
              <w:left w:val="nil"/>
              <w:bottom w:val="nil"/>
              <w:right w:val="nil"/>
            </w:tcBorders>
          </w:tcPr>
          <w:p>
            <w:pPr>
              <w:pStyle w:val="Caption"/>
              <w:framePr w:hSpace="0" w:wrap="auto" w:vAnchor="margin" w:hAnchor="text" w:yAlign="inline"/>
              <w:jc w:val="left"/>
              <w:rPr>
                <w:noProof/>
              </w:rPr>
            </w:pPr>
            <w:r>
              <w:rPr>
                <w:noProof/>
              </w:rPr>
              <w:t xml:space="preserve">Figura </w:t>
            </w:r>
            <w:r>
              <w:rPr>
                <w:noProof/>
              </w:rPr>
              <w:fldChar w:fldCharType="begin"/>
            </w:r>
            <w:r>
              <w:rPr>
                <w:noProof/>
              </w:rPr>
              <w:instrText xml:space="preserve"> STYLEREF 1 \s </w:instrText>
            </w:r>
            <w:r>
              <w:rPr>
                <w:noProof/>
              </w:rPr>
              <w:fldChar w:fldCharType="separate"/>
            </w:r>
            <w:r>
              <w:rPr>
                <w:noProof/>
              </w:rPr>
              <w:t>2</w:t>
            </w:r>
            <w:r>
              <w:rPr>
                <w:noProof/>
              </w:rPr>
              <w:fldChar w:fldCharType="end"/>
            </w:r>
            <w:r>
              <w:rPr>
                <w:noProof/>
              </w:rPr>
              <w:t>a: Tendências a curto prazo (12 anos) das populações de aves reprodutoras ao nível da UE</w:t>
            </w:r>
          </w:p>
          <w:p>
            <w:pPr>
              <w:spacing w:after="120" w:line="276" w:lineRule="auto"/>
              <w:jc w:val="both"/>
              <w:rPr>
                <w:rStyle w:val="EndnoteReference"/>
                <w:rFonts w:ascii="Times New Roman" w:hAnsi="Times New Roman" w:cs="Times New Roman"/>
                <w:b/>
                <w:bCs/>
                <w:noProof/>
                <w:sz w:val="24"/>
              </w:rPr>
            </w:pPr>
            <w:r>
              <w:rPr>
                <w:noProof/>
                <w:lang w:val="en-GB" w:eastAsia="en-GB"/>
              </w:rPr>
              <w:drawing>
                <wp:inline distT="0" distB="0" distL="0" distR="0">
                  <wp:extent cx="2508597" cy="1881301"/>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2107" cy="1883934"/>
                          </a:xfrm>
                          <a:prstGeom prst="rect">
                            <a:avLst/>
                          </a:prstGeom>
                          <a:noFill/>
                        </pic:spPr>
                      </pic:pic>
                    </a:graphicData>
                  </a:graphic>
                </wp:inline>
              </w:drawing>
            </w:r>
          </w:p>
        </w:tc>
        <w:tc>
          <w:tcPr>
            <w:tcW w:w="4536" w:type="dxa"/>
            <w:tcBorders>
              <w:top w:val="nil"/>
              <w:left w:val="nil"/>
              <w:bottom w:val="nil"/>
              <w:right w:val="nil"/>
            </w:tcBorders>
          </w:tcPr>
          <w:p>
            <w:pPr>
              <w:pStyle w:val="Caption"/>
              <w:framePr w:hSpace="0" w:wrap="auto" w:vAnchor="margin" w:hAnchor="text" w:yAlign="inline"/>
              <w:jc w:val="left"/>
              <w:rPr>
                <w:noProof/>
              </w:rPr>
            </w:pPr>
            <w:r>
              <w:rPr>
                <w:noProof/>
              </w:rPr>
              <w:t xml:space="preserve">Figura </w:t>
            </w:r>
            <w:r>
              <w:rPr>
                <w:noProof/>
              </w:rPr>
              <w:fldChar w:fldCharType="begin"/>
            </w:r>
            <w:r>
              <w:rPr>
                <w:noProof/>
              </w:rPr>
              <w:instrText xml:space="preserve"> STYLEREF 1 \s </w:instrText>
            </w:r>
            <w:r>
              <w:rPr>
                <w:noProof/>
              </w:rPr>
              <w:fldChar w:fldCharType="separate"/>
            </w:r>
            <w:r>
              <w:rPr>
                <w:noProof/>
              </w:rPr>
              <w:t>2</w:t>
            </w:r>
            <w:r>
              <w:rPr>
                <w:noProof/>
              </w:rPr>
              <w:fldChar w:fldCharType="end"/>
            </w:r>
            <w:r>
              <w:rPr>
                <w:noProof/>
              </w:rPr>
              <w:t>b: Tendências a longo prazo (38 anos) das populações de aves reprodutoras ao nível da UE</w:t>
            </w:r>
          </w:p>
          <w:p>
            <w:pPr>
              <w:jc w:val="center"/>
              <w:rPr>
                <w:rFonts w:ascii="Times New Roman" w:hAnsi="Times New Roman" w:cs="Times New Roman"/>
                <w:noProof/>
              </w:rPr>
            </w:pPr>
            <w:r>
              <w:rPr>
                <w:rFonts w:ascii="Times New Roman" w:hAnsi="Times New Roman"/>
                <w:noProof/>
                <w:lang w:val="en-GB" w:eastAsia="en-GB"/>
              </w:rPr>
              <w:drawing>
                <wp:inline distT="0" distB="0" distL="0" distR="0">
                  <wp:extent cx="2268747" cy="18334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8937" cy="1849780"/>
                          </a:xfrm>
                          <a:prstGeom prst="rect">
                            <a:avLst/>
                          </a:prstGeom>
                          <a:noFill/>
                        </pic:spPr>
                      </pic:pic>
                    </a:graphicData>
                  </a:graphic>
                </wp:inline>
              </w:drawing>
            </w:r>
          </w:p>
        </w:tc>
      </w:tr>
      <w:tr>
        <w:tc>
          <w:tcPr>
            <w:tcW w:w="9209" w:type="dxa"/>
            <w:gridSpan w:val="2"/>
            <w:tcBorders>
              <w:top w:val="nil"/>
              <w:left w:val="nil"/>
              <w:bottom w:val="nil"/>
              <w:right w:val="nil"/>
            </w:tcBorders>
          </w:tcPr>
          <w:p>
            <w:pPr>
              <w:pStyle w:val="Caption"/>
              <w:framePr w:hSpace="0" w:wrap="auto" w:vAnchor="margin" w:hAnchor="text" w:yAlign="inline"/>
              <w:rPr>
                <w:noProof/>
              </w:rPr>
            </w:pPr>
            <w:r>
              <w:rPr>
                <w:noProof/>
                <w:lang w:val="en-GB" w:eastAsia="en-GB"/>
              </w:rPr>
              <w:drawing>
                <wp:inline distT="0" distB="0" distL="0" distR="0">
                  <wp:extent cx="5046589" cy="393696"/>
                  <wp:effectExtent l="0" t="0" r="0" b="698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9"/>
                          <a:stretch>
                            <a:fillRect/>
                          </a:stretch>
                        </pic:blipFill>
                        <pic:spPr>
                          <a:xfrm>
                            <a:off x="0" y="0"/>
                            <a:ext cx="5160202" cy="402559"/>
                          </a:xfrm>
                          <a:prstGeom prst="rect">
                            <a:avLst/>
                          </a:prstGeom>
                        </pic:spPr>
                      </pic:pic>
                    </a:graphicData>
                  </a:graphic>
                </wp:inline>
              </w:drawing>
            </w:r>
          </w:p>
        </w:tc>
      </w:tr>
      <w:tr>
        <w:trPr>
          <w:trHeight w:val="567"/>
        </w:trPr>
        <w:tc>
          <w:tcPr>
            <w:tcW w:w="9209" w:type="dxa"/>
            <w:gridSpan w:val="2"/>
            <w:tcBorders>
              <w:top w:val="nil"/>
              <w:left w:val="nil"/>
              <w:bottom w:val="nil"/>
              <w:right w:val="nil"/>
            </w:tcBorders>
          </w:tcPr>
          <w:p>
            <w:pPr>
              <w:spacing w:before="120" w:after="240"/>
              <w:jc w:val="both"/>
              <w:rPr>
                <w:rFonts w:ascii="Times New Roman" w:eastAsia="Calibri" w:hAnsi="Times New Roman" w:cs="Times New Roman"/>
                <w:noProof/>
                <w:sz w:val="18"/>
                <w:szCs w:val="18"/>
              </w:rPr>
            </w:pPr>
            <w:r>
              <w:rPr>
                <w:rFonts w:ascii="Times New Roman" w:hAnsi="Times New Roman"/>
                <w:b/>
                <w:bCs/>
                <w:noProof/>
                <w:sz w:val="18"/>
                <w:szCs w:val="18"/>
              </w:rPr>
              <w:t>Nota</w:t>
            </w:r>
            <w:r>
              <w:rPr>
                <w:rFonts w:ascii="Times New Roman" w:hAnsi="Times New Roman"/>
                <w:b/>
                <w:noProof/>
                <w:sz w:val="18"/>
                <w:szCs w:val="18"/>
              </w:rPr>
              <w:t>:</w:t>
            </w:r>
            <w:r>
              <w:rPr>
                <w:rFonts w:ascii="Times New Roman" w:hAnsi="Times New Roman"/>
                <w:noProof/>
                <w:sz w:val="18"/>
                <w:szCs w:val="18"/>
              </w:rPr>
              <w:t xml:space="preserve"> Estatísticas baseadas em 465 tendências da população reprodutora na UE a curto prazo e 467 a longo prazo. Inclui tendências para um número limitado de subespécies e populações biogeográficas.</w:t>
            </w:r>
          </w:p>
        </w:tc>
      </w:tr>
    </w:tbl>
    <w:p>
      <w:pPr>
        <w:spacing w:after="240"/>
        <w:jc w:val="both"/>
        <w:rPr>
          <w:rFonts w:ascii="Times New Roman" w:eastAsia="Calibri" w:hAnsi="Times New Roman" w:cs="Times New Roman"/>
          <w:noProof/>
          <w:sz w:val="24"/>
          <w:szCs w:val="24"/>
        </w:rPr>
      </w:pPr>
    </w:p>
    <w:p>
      <w:pPr>
        <w:spacing w:after="240"/>
        <w:jc w:val="both"/>
        <w:rPr>
          <w:rFonts w:ascii="Times New Roman" w:eastAsia="Calibri" w:hAnsi="Times New Roman" w:cs="Times New Roman"/>
          <w:noProof/>
          <w:sz w:val="24"/>
          <w:szCs w:val="24"/>
        </w:rPr>
      </w:pPr>
      <w:r>
        <w:rPr>
          <w:rFonts w:ascii="Times New Roman" w:hAnsi="Times New Roman"/>
          <w:noProof/>
          <w:sz w:val="24"/>
          <w:szCs w:val="24"/>
        </w:rPr>
        <w:t>Os Estados-Membros comunicaram as tendências populacionais das populações de aves reprodutoras e das invernantes</w:t>
      </w:r>
      <w:r>
        <w:rPr>
          <w:rStyle w:val="FootnoteReference"/>
          <w:rFonts w:ascii="Times New Roman" w:eastAsia="Calibri" w:hAnsi="Times New Roman" w:cs="Times New Roman"/>
          <w:noProof/>
          <w:sz w:val="24"/>
          <w:szCs w:val="24"/>
        </w:rPr>
        <w:footnoteReference w:id="9"/>
      </w:r>
      <w:r>
        <w:rPr>
          <w:rFonts w:ascii="Times New Roman" w:hAnsi="Times New Roman"/>
          <w:noProof/>
          <w:sz w:val="24"/>
          <w:szCs w:val="24"/>
        </w:rPr>
        <w:t>, a curto e a longo prazo, ou seja, dos últimos 12 anos (2007-2018) e dos últimos 38 anos (1980-2018).</w:t>
      </w:r>
    </w:p>
    <w:p>
      <w:pPr>
        <w:spacing w:after="120"/>
        <w:jc w:val="both"/>
        <w:rPr>
          <w:rFonts w:ascii="Times New Roman" w:hAnsi="Times New Roman" w:cs="Times New Roman"/>
          <w:noProof/>
          <w:sz w:val="24"/>
          <w:szCs w:val="24"/>
        </w:rPr>
      </w:pPr>
      <w:r>
        <w:rPr>
          <w:rFonts w:ascii="Times New Roman" w:hAnsi="Times New Roman"/>
          <w:noProof/>
          <w:sz w:val="24"/>
          <w:szCs w:val="24"/>
        </w:rPr>
        <w:t>Os dados indicam que:</w:t>
      </w:r>
    </w:p>
    <w:p>
      <w:pPr>
        <w:pStyle w:val="ListParagraph"/>
        <w:numPr>
          <w:ilvl w:val="0"/>
          <w:numId w:val="1"/>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quase um terço (30 %) de todas as espécies de aves reprodutoras avaliadas apresentam uma tendência decrescente a curto prazo (a mesma percentagem de 2015);</w:t>
      </w:r>
    </w:p>
    <w:p>
      <w:pPr>
        <w:pStyle w:val="ListParagraph"/>
        <w:numPr>
          <w:ilvl w:val="0"/>
          <w:numId w:val="1"/>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as tendências de reprodução a curto prazo mostram menos 5 % de espécies com populações em crescimento do que em 2015 e um aumento de 7 % nas espécies com tendências estáveis ou variáveis; as avaliações «desconhecida» diminuíram 2 %;</w:t>
      </w:r>
    </w:p>
    <w:p>
      <w:pPr>
        <w:pStyle w:val="ListParagraph"/>
        <w:numPr>
          <w:ilvl w:val="0"/>
          <w:numId w:val="1"/>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existem ligeiramente mais tendências de reprodução a longo prazo a diminuir do que a aumentar (verificava-se o contrário em 2008-2012); no entanto, a proporção de tendências de reprodução a longo prazo «desconhecidas» caiu 10 pontos percentuais, de 30 % para 20 %; </w:t>
      </w:r>
    </w:p>
    <w:p>
      <w:pPr>
        <w:pStyle w:val="ListParagraph"/>
        <w:numPr>
          <w:ilvl w:val="0"/>
          <w:numId w:val="1"/>
        </w:numPr>
        <w:spacing w:after="24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quanto às 91 tendências das populações invernantes, a situação a curto prazo é semelhante à de 2015 (45 % crescente, 29 % decrescente); 54 % das tendências a longo prazo estão a subir e 13 % a descer (a proporção da primeira caiu 9 pontos percentuais, enquanto a da segunda é praticamente igual).</w:t>
      </w:r>
    </w:p>
    <w:p>
      <w:pPr>
        <w:rPr>
          <w:rFonts w:ascii="Times New Roman" w:hAnsi="Times New Roman" w:cs="Times New Roman"/>
          <w:b/>
          <w:bCs/>
          <w:noProof/>
          <w:sz w:val="24"/>
          <w:szCs w:val="24"/>
        </w:rPr>
      </w:pPr>
    </w:p>
    <w:p>
      <w:pPr>
        <w:spacing w:after="240"/>
        <w:rPr>
          <w:rFonts w:ascii="Times New Roman" w:hAnsi="Times New Roman" w:cs="Times New Roman"/>
          <w:noProof/>
        </w:rPr>
      </w:pPr>
      <w:r>
        <w:rPr>
          <w:rFonts w:ascii="Times New Roman" w:hAnsi="Times New Roman"/>
          <w:b/>
          <w:bCs/>
          <w:noProof/>
          <w:sz w:val="24"/>
          <w:szCs w:val="24"/>
        </w:rPr>
        <w:t>Estado e tendências das aves de acordo com a sua inscrição na Diretiva Aves</w:t>
      </w:r>
    </w:p>
    <w:tbl>
      <w:tblPr>
        <w:tblStyle w:val="HTG1"/>
        <w:tblpPr w:leftFromText="141" w:rightFromText="141" w:vertAnchor="text" w:horzAnchor="margin" w:tblpY="85"/>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4252"/>
      </w:tblGrid>
      <w:tr>
        <w:trPr>
          <w:trHeight w:val="672"/>
        </w:trPr>
        <w:tc>
          <w:tcPr>
            <w:tcW w:w="4815" w:type="dxa"/>
          </w:tcPr>
          <w:p>
            <w:pPr>
              <w:keepNext/>
              <w:spacing w:after="120"/>
              <w:rPr>
                <w:rFonts w:ascii="Times New Roman" w:eastAsia="ヒラギノ角ゴ Pro W3" w:hAnsi="Times New Roman" w:cs="Times New Roman"/>
                <w:b/>
                <w:noProof/>
                <w:sz w:val="20"/>
                <w:szCs w:val="20"/>
              </w:rPr>
            </w:pPr>
            <w:r>
              <w:rPr>
                <w:rFonts w:ascii="Times New Roman" w:hAnsi="Times New Roman"/>
                <w:b/>
                <w:noProof/>
                <w:sz w:val="20"/>
                <w:szCs w:val="20"/>
              </w:rPr>
              <w:t>Figura 3a:</w:t>
            </w:r>
            <w:r>
              <w:rPr>
                <w:rFonts w:ascii="Times New Roman" w:hAnsi="Times New Roman"/>
                <w:b/>
                <w:iCs/>
                <w:noProof/>
                <w:color w:val="000000"/>
                <w:sz w:val="20"/>
                <w:szCs w:val="20"/>
              </w:rPr>
              <w:t xml:space="preserve"> </w:t>
            </w:r>
            <w:r>
              <w:rPr>
                <w:rFonts w:ascii="Times New Roman" w:hAnsi="Times New Roman"/>
                <w:b/>
                <w:noProof/>
                <w:sz w:val="20"/>
                <w:szCs w:val="20"/>
              </w:rPr>
              <w:t>Estado das populações da UE dos anexos I e II, não abrangidas pelos anexos I/II e todas as espécies de aves</w:t>
            </w:r>
          </w:p>
        </w:tc>
        <w:tc>
          <w:tcPr>
            <w:tcW w:w="4252" w:type="dxa"/>
          </w:tcPr>
          <w:p>
            <w:pPr>
              <w:keepNext/>
              <w:spacing w:after="120"/>
              <w:rPr>
                <w:rFonts w:ascii="Times New Roman" w:eastAsia="ヒラギノ角ゴ Pro W3" w:hAnsi="Times New Roman" w:cs="Times New Roman"/>
                <w:b/>
                <w:noProof/>
                <w:sz w:val="20"/>
                <w:szCs w:val="20"/>
              </w:rPr>
            </w:pPr>
            <w:r>
              <w:rPr>
                <w:rFonts w:ascii="Times New Roman" w:hAnsi="Times New Roman"/>
                <w:b/>
                <w:noProof/>
                <w:sz w:val="20"/>
                <w:szCs w:val="20"/>
              </w:rPr>
              <w:t>Figura 3b: Tendências a curto prazo das populações reprodutoras da UE dos anexos I e II, não abrangidas pelos anexos I/II e todas as espécies de aves</w:t>
            </w:r>
          </w:p>
        </w:tc>
      </w:tr>
      <w:tr>
        <w:trPr>
          <w:trHeight w:val="2132"/>
        </w:trPr>
        <w:tc>
          <w:tcPr>
            <w:tcW w:w="4815" w:type="dxa"/>
          </w:tcPr>
          <w:p>
            <w:pPr>
              <w:keepNext/>
              <w:spacing w:after="60"/>
              <w:jc w:val="both"/>
              <w:rPr>
                <w:rFonts w:ascii="Times New Roman" w:eastAsia="ヒラギノ角ゴ Pro W3" w:hAnsi="Times New Roman" w:cs="Times New Roman"/>
                <w:b/>
                <w:noProof/>
                <w:sz w:val="18"/>
                <w:szCs w:val="20"/>
              </w:rPr>
            </w:pPr>
            <w:r>
              <w:rPr>
                <w:noProof/>
                <w:lang w:val="en-GB" w:eastAsia="en-GB"/>
              </w:rPr>
              <w:drawing>
                <wp:inline distT="0" distB="0" distL="0" distR="0">
                  <wp:extent cx="3052913" cy="2315070"/>
                  <wp:effectExtent l="0" t="0" r="0" b="9525"/>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60782" cy="2321037"/>
                          </a:xfrm>
                          <a:prstGeom prst="rect">
                            <a:avLst/>
                          </a:prstGeom>
                          <a:noFill/>
                          <a:ln>
                            <a:noFill/>
                          </a:ln>
                        </pic:spPr>
                      </pic:pic>
                    </a:graphicData>
                  </a:graphic>
                </wp:inline>
              </w:drawing>
            </w:r>
          </w:p>
        </w:tc>
        <w:tc>
          <w:tcPr>
            <w:tcW w:w="4252" w:type="dxa"/>
          </w:tcPr>
          <w:p>
            <w:pPr>
              <w:keepNext/>
              <w:spacing w:after="60"/>
              <w:rPr>
                <w:rFonts w:ascii="Times New Roman" w:eastAsia="ヒラギノ角ゴ Pro W3" w:hAnsi="Times New Roman" w:cs="Times New Roman"/>
                <w:b/>
                <w:noProof/>
                <w:sz w:val="18"/>
                <w:szCs w:val="20"/>
              </w:rPr>
            </w:pPr>
            <w:r>
              <w:rPr>
                <w:noProof/>
                <w:lang w:val="en-GB" w:eastAsia="en-GB"/>
              </w:rPr>
              <w:drawing>
                <wp:inline distT="0" distB="0" distL="0" distR="0">
                  <wp:extent cx="2679773" cy="2314575"/>
                  <wp:effectExtent l="0" t="0" r="6350" b="0"/>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89548" cy="2323018"/>
                          </a:xfrm>
                          <a:prstGeom prst="rect">
                            <a:avLst/>
                          </a:prstGeom>
                          <a:noFill/>
                          <a:ln>
                            <a:noFill/>
                          </a:ln>
                        </pic:spPr>
                      </pic:pic>
                    </a:graphicData>
                  </a:graphic>
                </wp:inline>
              </w:drawing>
            </w:r>
          </w:p>
        </w:tc>
      </w:tr>
      <w:tr>
        <w:trPr>
          <w:trHeight w:val="526"/>
        </w:trPr>
        <w:tc>
          <w:tcPr>
            <w:tcW w:w="4815" w:type="dxa"/>
          </w:tcPr>
          <w:p>
            <w:pPr>
              <w:spacing w:before="120" w:after="240"/>
              <w:jc w:val="both"/>
              <w:rPr>
                <w:rFonts w:ascii="Times New Roman" w:hAnsi="Times New Roman" w:cs="Times New Roman"/>
                <w:noProof/>
              </w:rPr>
            </w:pPr>
            <w:r>
              <w:rPr>
                <w:rFonts w:ascii="Times New Roman" w:hAnsi="Times New Roman"/>
                <w:b/>
                <w:noProof/>
                <w:sz w:val="18"/>
                <w:szCs w:val="20"/>
              </w:rPr>
              <w:t>Nota:</w:t>
            </w:r>
            <w:r>
              <w:rPr>
                <w:rFonts w:ascii="Times New Roman" w:hAnsi="Times New Roman"/>
                <w:noProof/>
                <w:sz w:val="18"/>
                <w:szCs w:val="18"/>
              </w:rPr>
              <w:t xml:space="preserve"> O número total de avaliações é 505.</w:t>
            </w:r>
          </w:p>
        </w:tc>
        <w:tc>
          <w:tcPr>
            <w:tcW w:w="4252" w:type="dxa"/>
          </w:tcPr>
          <w:p>
            <w:pPr>
              <w:spacing w:before="120"/>
              <w:jc w:val="both"/>
              <w:rPr>
                <w:rFonts w:ascii="Times New Roman" w:hAnsi="Times New Roman" w:cs="Times New Roman"/>
                <w:noProof/>
                <w:sz w:val="18"/>
                <w:szCs w:val="20"/>
              </w:rPr>
            </w:pPr>
            <w:r>
              <w:rPr>
                <w:rFonts w:ascii="Times New Roman" w:hAnsi="Times New Roman"/>
                <w:b/>
                <w:noProof/>
                <w:sz w:val="18"/>
                <w:szCs w:val="20"/>
              </w:rPr>
              <w:t>Nota:</w:t>
            </w:r>
            <w:r>
              <w:rPr>
                <w:rFonts w:ascii="Times New Roman" w:hAnsi="Times New Roman"/>
                <w:noProof/>
                <w:sz w:val="18"/>
                <w:szCs w:val="18"/>
              </w:rPr>
              <w:t xml:space="preserve"> O número total de avaliações é 465.</w:t>
            </w:r>
          </w:p>
        </w:tc>
      </w:tr>
    </w:tbl>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r>
        <w:rPr>
          <w:rFonts w:ascii="Times New Roman" w:hAnsi="Times New Roman"/>
          <w:noProof/>
          <w:sz w:val="24"/>
          <w:szCs w:val="24"/>
        </w:rPr>
        <w:t>A análise do estado e das tendências das espécies nos anexos I e II da Diretiva Aves indica que:</w:t>
      </w:r>
    </w:p>
    <w:p>
      <w:pPr>
        <w:pStyle w:val="ListParagraph"/>
        <w:numPr>
          <w:ilvl w:val="0"/>
          <w:numId w:val="1"/>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a proporção das espécies do anexo I com estado seguro diminuiu 8 pontos percentuais (de 48 % para 40 %) em relação a 2015, enquanto a proporção das espécies com estado fraco e mau aumentou 6 pontos percentuais (de 38 % para 44 %). Isto sugere que o estado de várias espécies do anexo I se deteriorou, apesar das medidas especiais de conservação do </w:t>
      </w:r>
      <w:r>
        <w:rPr>
          <w:rFonts w:ascii="Times New Roman" w:hAnsi="Times New Roman"/>
          <w:i/>
          <w:noProof/>
          <w:sz w:val="24"/>
          <w:szCs w:val="24"/>
        </w:rPr>
        <w:t>habitat</w:t>
      </w:r>
      <w:r>
        <w:rPr>
          <w:rFonts w:ascii="Times New Roman" w:hAnsi="Times New Roman"/>
          <w:noProof/>
          <w:sz w:val="24"/>
          <w:szCs w:val="24"/>
        </w:rPr>
        <w:t xml:space="preserve"> exigidas pela Diretiva. O facto de o estado de 16 % das espécies do anexo I ser ainda desconhecido é particularmente preocupante e chama a atenção para a necessidade de melhorar os sistemas de monitorização destas espécies nos Estados-Membros;</w:t>
      </w:r>
    </w:p>
    <w:p>
      <w:pPr>
        <w:pStyle w:val="ListParagraph"/>
        <w:numPr>
          <w:ilvl w:val="0"/>
          <w:numId w:val="1"/>
        </w:numPr>
        <w:spacing w:after="120"/>
        <w:ind w:left="681" w:hanging="397"/>
        <w:contextualSpacing w:val="0"/>
        <w:jc w:val="both"/>
        <w:rPr>
          <w:rFonts w:ascii="Times New Roman" w:eastAsia="Calibri" w:hAnsi="Times New Roman" w:cs="Times New Roman"/>
          <w:noProof/>
          <w:sz w:val="24"/>
          <w:szCs w:val="24"/>
        </w:rPr>
      </w:pPr>
      <w:r>
        <w:rPr>
          <w:rFonts w:ascii="Times New Roman" w:hAnsi="Times New Roman"/>
          <w:noProof/>
          <w:sz w:val="24"/>
          <w:szCs w:val="24"/>
        </w:rPr>
        <w:t xml:space="preserve">a proporção das espécies (caçáveis) do anexo II com um estado bom diminuiu 9 pontos percentuais (de 55 % para 46 %) desde 2015, enquanto a proporção das espécies com estado fraco e mau aumentou 9 pontos percentuais (de 39 % para 48 %); </w:t>
      </w:r>
    </w:p>
    <w:p>
      <w:pPr>
        <w:pStyle w:val="ListParagraph"/>
        <w:numPr>
          <w:ilvl w:val="0"/>
          <w:numId w:val="1"/>
        </w:numPr>
        <w:spacing w:after="24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no que respeita às tendências populacionais a curto prazo das aves reprodutoras, as espécies do anexo II apresentam de longe a maior taxa de tendências decrescentes — cerca de 46 %, ou seja, o dobro da proporção das espécies do anexo I (23 %).</w:t>
      </w:r>
    </w:p>
    <w:p>
      <w:pPr>
        <w:spacing w:before="240" w:after="240"/>
        <w:jc w:val="both"/>
        <w:rPr>
          <w:rFonts w:ascii="Times New Roman" w:hAnsi="Times New Roman" w:cs="Times New Roman"/>
          <w:b/>
          <w:i/>
          <w:noProof/>
          <w:sz w:val="24"/>
          <w:szCs w:val="24"/>
          <w:u w:val="single"/>
        </w:rPr>
      </w:pPr>
      <w:r>
        <w:rPr>
          <w:rFonts w:ascii="Times New Roman" w:hAnsi="Times New Roman"/>
          <w:b/>
          <w:i/>
          <w:noProof/>
          <w:sz w:val="24"/>
          <w:szCs w:val="24"/>
          <w:u w:val="single"/>
        </w:rPr>
        <w:t>2.2 Tipos de habitat</w:t>
      </w:r>
    </w:p>
    <w:p>
      <w:pPr>
        <w:spacing w:after="240"/>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Dos 233 tipos de </w:t>
      </w:r>
      <w:r>
        <w:rPr>
          <w:rFonts w:ascii="Times New Roman" w:hAnsi="Times New Roman"/>
          <w:i/>
          <w:noProof/>
          <w:sz w:val="24"/>
          <w:szCs w:val="24"/>
        </w:rPr>
        <w:t>habitat</w:t>
      </w:r>
      <w:r>
        <w:rPr>
          <w:rFonts w:ascii="Times New Roman" w:hAnsi="Times New Roman"/>
          <w:noProof/>
          <w:sz w:val="24"/>
          <w:szCs w:val="24"/>
        </w:rPr>
        <w:t xml:space="preserve"> enumerados no anexo I da Diretiva </w:t>
      </w:r>
      <w:r>
        <w:rPr>
          <w:rFonts w:ascii="Times New Roman" w:hAnsi="Times New Roman"/>
          <w:i/>
          <w:noProof/>
          <w:sz w:val="24"/>
          <w:szCs w:val="24"/>
        </w:rPr>
        <w:t>Habitats</w:t>
      </w:r>
      <w:r>
        <w:rPr>
          <w:rFonts w:ascii="Times New Roman" w:hAnsi="Times New Roman"/>
          <w:noProof/>
          <w:sz w:val="24"/>
          <w:szCs w:val="24"/>
        </w:rPr>
        <w:t>, 224 são terrestres e nove são puramente marinhos. A área comunicada relativa aos primeiros representa quase um terço da superfície terrestre da UE-28, equivalente a 1,3 milhões de km</w:t>
      </w:r>
      <w:r>
        <w:rPr>
          <w:rFonts w:ascii="Times New Roman" w:hAnsi="Times New Roman"/>
          <w:noProof/>
          <w:sz w:val="24"/>
          <w:szCs w:val="24"/>
          <w:vertAlign w:val="superscript"/>
        </w:rPr>
        <w:t>2</w:t>
      </w:r>
      <w:r>
        <w:rPr>
          <w:rFonts w:ascii="Times New Roman" w:hAnsi="Times New Roman"/>
          <w:noProof/>
          <w:sz w:val="24"/>
          <w:szCs w:val="24"/>
        </w:rPr>
        <w:t>. A área dos últimos abrange 0,4 milhões de km</w:t>
      </w:r>
      <w:r>
        <w:rPr>
          <w:rFonts w:ascii="Times New Roman" w:hAnsi="Times New Roman"/>
          <w:noProof/>
          <w:sz w:val="24"/>
          <w:szCs w:val="24"/>
          <w:vertAlign w:val="superscript"/>
        </w:rPr>
        <w:t>2</w:t>
      </w:r>
      <w:r>
        <w:rPr>
          <w:rFonts w:ascii="Times New Roman" w:hAnsi="Times New Roman"/>
          <w:noProof/>
          <w:sz w:val="24"/>
          <w:szCs w:val="24"/>
        </w:rPr>
        <w:t xml:space="preserve"> das águas da UE.</w:t>
      </w:r>
    </w:p>
    <w:p>
      <w:pPr>
        <w:spacing w:after="240"/>
        <w:jc w:val="both"/>
        <w:rPr>
          <w:rFonts w:ascii="Times New Roman" w:hAnsi="Times New Roman" w:cs="Times New Roman"/>
          <w:b/>
          <w:noProof/>
          <w:sz w:val="24"/>
          <w:szCs w:val="24"/>
        </w:rPr>
      </w:pPr>
      <w:r>
        <w:rPr>
          <w:rFonts w:ascii="Times New Roman" w:hAnsi="Times New Roman"/>
          <w:noProof/>
          <w:sz w:val="24"/>
          <w:szCs w:val="24"/>
        </w:rPr>
        <w:t xml:space="preserve">A variedade de </w:t>
      </w:r>
      <w:r>
        <w:rPr>
          <w:rFonts w:ascii="Times New Roman" w:hAnsi="Times New Roman"/>
          <w:i/>
          <w:noProof/>
          <w:sz w:val="24"/>
          <w:szCs w:val="24"/>
        </w:rPr>
        <w:t>habitats</w:t>
      </w:r>
      <w:r>
        <w:rPr>
          <w:rFonts w:ascii="Times New Roman" w:hAnsi="Times New Roman"/>
          <w:noProof/>
          <w:sz w:val="24"/>
          <w:szCs w:val="24"/>
        </w:rPr>
        <w:t xml:space="preserve"> é muito grande. Uns cobrem grandes áreas, enquanto outros ocorrem apenas em parcelas muito pequenas. Os tipos de </w:t>
      </w:r>
      <w:r>
        <w:rPr>
          <w:rFonts w:ascii="Times New Roman" w:hAnsi="Times New Roman"/>
          <w:i/>
          <w:iCs/>
          <w:noProof/>
          <w:sz w:val="24"/>
          <w:szCs w:val="24"/>
        </w:rPr>
        <w:t>habitat</w:t>
      </w:r>
      <w:r>
        <w:rPr>
          <w:rFonts w:ascii="Times New Roman" w:hAnsi="Times New Roman"/>
          <w:noProof/>
          <w:sz w:val="24"/>
          <w:szCs w:val="24"/>
        </w:rPr>
        <w:t xml:space="preserve"> florestais são o grupo mais numeroso no anexo I (35 % de todos os tipos), seguidos pelos prados naturais e seminaturais (14 %). Grupos como charnecas e matos das zonas temperadas, matos esclerófilos, turfeiras e pântanos, bem como os </w:t>
      </w:r>
      <w:r>
        <w:rPr>
          <w:rFonts w:ascii="Times New Roman" w:hAnsi="Times New Roman"/>
          <w:i/>
          <w:noProof/>
          <w:sz w:val="24"/>
          <w:szCs w:val="24"/>
        </w:rPr>
        <w:t>habitats</w:t>
      </w:r>
      <w:r>
        <w:rPr>
          <w:rFonts w:ascii="Times New Roman" w:hAnsi="Times New Roman"/>
          <w:noProof/>
          <w:sz w:val="24"/>
          <w:szCs w:val="24"/>
        </w:rPr>
        <w:t xml:space="preserve"> rochosos constituem, cada um, apenas cerca de 5 % dos tipos de </w:t>
      </w:r>
      <w:r>
        <w:rPr>
          <w:rFonts w:ascii="Times New Roman" w:hAnsi="Times New Roman"/>
          <w:i/>
          <w:noProof/>
          <w:sz w:val="24"/>
          <w:szCs w:val="24"/>
        </w:rPr>
        <w:t>habitat</w:t>
      </w:r>
      <w:r>
        <w:rPr>
          <w:rFonts w:ascii="Times New Roman" w:hAnsi="Times New Roman"/>
          <w:noProof/>
          <w:sz w:val="24"/>
          <w:szCs w:val="24"/>
        </w:rPr>
        <w:t xml:space="preserve"> enumerados. </w:t>
      </w:r>
    </w:p>
    <w:p>
      <w:pPr>
        <w:spacing w:after="240"/>
        <w:jc w:val="both"/>
        <w:rPr>
          <w:rFonts w:ascii="Times New Roman" w:hAnsi="Times New Roman" w:cs="Times New Roman"/>
          <w:b/>
          <w:noProof/>
          <w:sz w:val="24"/>
          <w:szCs w:val="24"/>
        </w:rPr>
      </w:pPr>
      <w:r>
        <w:rPr>
          <w:rFonts w:ascii="Times New Roman" w:hAnsi="Times New Roman"/>
          <w:b/>
          <w:noProof/>
          <w:sz w:val="24"/>
          <w:szCs w:val="24"/>
        </w:rPr>
        <w:t xml:space="preserve">Estado de conservação dos </w:t>
      </w:r>
      <w:r>
        <w:rPr>
          <w:rFonts w:ascii="Times New Roman" w:hAnsi="Times New Roman"/>
          <w:b/>
          <w:i/>
          <w:noProof/>
          <w:sz w:val="24"/>
          <w:szCs w:val="24"/>
        </w:rPr>
        <w:t>habitats</w:t>
      </w:r>
    </w:p>
    <w:tbl>
      <w:tblPr>
        <w:tblStyle w:val="TableGrid"/>
        <w:tblpPr w:leftFromText="141" w:rightFromText="141" w:vertAnchor="text" w:horzAnchor="margin" w:tblpY="179"/>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5797"/>
      </w:tblGrid>
      <w:tr>
        <w:tc>
          <w:tcPr>
            <w:tcW w:w="3681" w:type="dxa"/>
          </w:tcPr>
          <w:p>
            <w:pPr>
              <w:pStyle w:val="Caption"/>
              <w:framePr w:hSpace="0" w:wrap="auto" w:vAnchor="margin" w:hAnchor="text" w:yAlign="inline"/>
              <w:jc w:val="left"/>
              <w:rPr>
                <w:noProof/>
              </w:rPr>
            </w:pPr>
            <w:r>
              <w:rPr>
                <w:noProof/>
              </w:rPr>
              <w:t xml:space="preserve">Figura 4a: Estado de conservação dos </w:t>
            </w:r>
            <w:r>
              <w:rPr>
                <w:i/>
                <w:noProof/>
              </w:rPr>
              <w:t>habitats</w:t>
            </w:r>
            <w:r>
              <w:rPr>
                <w:noProof/>
              </w:rPr>
              <w:t xml:space="preserve"> ao nível da UE</w:t>
            </w:r>
          </w:p>
        </w:tc>
        <w:tc>
          <w:tcPr>
            <w:tcW w:w="5386" w:type="dxa"/>
          </w:tcPr>
          <w:p>
            <w:pPr>
              <w:pStyle w:val="Caption"/>
              <w:framePr w:hSpace="0" w:wrap="auto" w:vAnchor="margin" w:hAnchor="text" w:yAlign="inline"/>
              <w:jc w:val="left"/>
              <w:rPr>
                <w:noProof/>
              </w:rPr>
            </w:pPr>
            <w:r>
              <w:rPr>
                <w:noProof/>
              </w:rPr>
              <w:t xml:space="preserve">Figura 4b: Estado de conservação por grupo de </w:t>
            </w:r>
            <w:r>
              <w:rPr>
                <w:i/>
                <w:noProof/>
              </w:rPr>
              <w:t>habitats</w:t>
            </w:r>
            <w:r>
              <w:rPr>
                <w:noProof/>
              </w:rPr>
              <w:t xml:space="preserve"> ao nível da UE</w:t>
            </w:r>
          </w:p>
        </w:tc>
      </w:tr>
      <w:tr>
        <w:tc>
          <w:tcPr>
            <w:tcW w:w="3681" w:type="dxa"/>
            <w:vAlign w:val="center"/>
          </w:tcPr>
          <w:p>
            <w:pPr>
              <w:pStyle w:val="Caption"/>
              <w:framePr w:hSpace="0" w:wrap="auto" w:vAnchor="margin" w:hAnchor="text" w:yAlign="inline"/>
              <w:rPr>
                <w:noProof/>
              </w:rPr>
            </w:pPr>
            <w:r>
              <w:rPr>
                <w:noProof/>
                <w:lang w:val="en-GB" w:eastAsia="en-GB"/>
              </w:rPr>
              <w:drawing>
                <wp:inline distT="0" distB="0" distL="0" distR="0">
                  <wp:extent cx="1511600" cy="1511600"/>
                  <wp:effectExtent l="0" t="0" r="0" b="0"/>
                  <wp:docPr id="9" name="Grafi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cstate="screen">
                            <a:extLst>
                              <a:ext uri="{28A0092B-C50C-407E-A947-70E740481C1C}">
                                <a14:useLocalDpi xmlns:a14="http://schemas.microsoft.com/office/drawing/2010/main"/>
                              </a:ext>
                            </a:extLst>
                          </a:blip>
                          <a:srcRect/>
                          <a:stretch/>
                        </pic:blipFill>
                        <pic:spPr bwMode="auto">
                          <a:xfrm>
                            <a:off x="0" y="0"/>
                            <a:ext cx="1513257" cy="151325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86" w:type="dxa"/>
          </w:tcPr>
          <w:p>
            <w:pPr>
              <w:pStyle w:val="Caption"/>
              <w:framePr w:hSpace="0" w:wrap="auto" w:vAnchor="margin" w:hAnchor="text" w:yAlign="inline"/>
              <w:rPr>
                <w:noProof/>
              </w:rPr>
            </w:pPr>
            <w:r>
              <w:rPr>
                <w:noProof/>
                <w:lang w:val="en-GB" w:eastAsia="en-GB"/>
              </w:rPr>
              <w:drawing>
                <wp:inline distT="0" distB="0" distL="0" distR="0">
                  <wp:extent cx="3543935" cy="18698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611453" cy="1905501"/>
                          </a:xfrm>
                          <a:prstGeom prst="rect">
                            <a:avLst/>
                          </a:prstGeom>
                        </pic:spPr>
                      </pic:pic>
                    </a:graphicData>
                  </a:graphic>
                </wp:inline>
              </w:drawing>
            </w:r>
          </w:p>
        </w:tc>
      </w:tr>
      <w:tr>
        <w:tc>
          <w:tcPr>
            <w:tcW w:w="9067" w:type="dxa"/>
            <w:gridSpan w:val="2"/>
            <w:vAlign w:val="center"/>
          </w:tcPr>
          <w:p>
            <w:pPr>
              <w:pStyle w:val="Caption"/>
              <w:framePr w:hSpace="0" w:wrap="auto" w:vAnchor="margin" w:hAnchor="text" w:yAlign="inline"/>
              <w:rPr>
                <w:noProof/>
              </w:rPr>
            </w:pPr>
            <w:r>
              <w:rPr>
                <w:noProof/>
                <w:lang w:val="en-GB" w:eastAsia="en-GB"/>
              </w:rPr>
              <w:drawing>
                <wp:inline distT="0" distB="0" distL="0" distR="0">
                  <wp:extent cx="2266950" cy="295275"/>
                  <wp:effectExtent l="0" t="0" r="0" b="9525"/>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4"/>
                          <a:stretch>
                            <a:fillRect/>
                          </a:stretch>
                        </pic:blipFill>
                        <pic:spPr>
                          <a:xfrm>
                            <a:off x="0" y="0"/>
                            <a:ext cx="2266950" cy="295275"/>
                          </a:xfrm>
                          <a:prstGeom prst="rect">
                            <a:avLst/>
                          </a:prstGeom>
                        </pic:spPr>
                      </pic:pic>
                    </a:graphicData>
                  </a:graphic>
                </wp:inline>
              </w:drawing>
            </w:r>
          </w:p>
        </w:tc>
      </w:tr>
      <w:tr>
        <w:tc>
          <w:tcPr>
            <w:tcW w:w="3681" w:type="dxa"/>
          </w:tcPr>
          <w:p>
            <w:pPr>
              <w:keepNext/>
              <w:jc w:val="both"/>
              <w:rPr>
                <w:rFonts w:ascii="Times New Roman" w:hAnsi="Times New Roman" w:cs="Times New Roman"/>
                <w:iCs/>
                <w:noProof/>
              </w:rPr>
            </w:pPr>
            <w:r>
              <w:rPr>
                <w:rFonts w:ascii="Times New Roman" w:hAnsi="Times New Roman"/>
                <w:b/>
                <w:noProof/>
                <w:sz w:val="18"/>
                <w:szCs w:val="18"/>
              </w:rPr>
              <w:t>Nota:</w:t>
            </w:r>
            <w:r>
              <w:rPr>
                <w:rFonts w:ascii="Times New Roman" w:hAnsi="Times New Roman"/>
                <w:noProof/>
                <w:sz w:val="18"/>
                <w:szCs w:val="18"/>
              </w:rPr>
              <w:t xml:space="preserve"> Estatísticas baseadas no número de avaliações de </w:t>
            </w:r>
            <w:r>
              <w:rPr>
                <w:rFonts w:ascii="Times New Roman" w:hAnsi="Times New Roman"/>
                <w:i/>
                <w:noProof/>
                <w:sz w:val="18"/>
                <w:szCs w:val="18"/>
              </w:rPr>
              <w:t>habitats</w:t>
            </w:r>
            <w:r>
              <w:rPr>
                <w:rFonts w:ascii="Times New Roman" w:hAnsi="Times New Roman"/>
                <w:noProof/>
                <w:sz w:val="18"/>
                <w:szCs w:val="18"/>
              </w:rPr>
              <w:t xml:space="preserve"> da UE (818).</w:t>
            </w:r>
          </w:p>
        </w:tc>
        <w:tc>
          <w:tcPr>
            <w:tcW w:w="5386" w:type="dxa"/>
          </w:tcPr>
          <w:p>
            <w:pPr>
              <w:keepNext/>
              <w:spacing w:after="240"/>
              <w:jc w:val="both"/>
              <w:rPr>
                <w:noProof/>
              </w:rPr>
            </w:pPr>
            <w:r>
              <w:rPr>
                <w:rFonts w:ascii="Times New Roman" w:hAnsi="Times New Roman"/>
                <w:b/>
                <w:noProof/>
                <w:sz w:val="18"/>
                <w:szCs w:val="18"/>
              </w:rPr>
              <w:t>Nota:</w:t>
            </w:r>
            <w:r>
              <w:rPr>
                <w:rFonts w:ascii="Times New Roman" w:hAnsi="Times New Roman"/>
                <w:noProof/>
                <w:sz w:val="18"/>
                <w:szCs w:val="18"/>
              </w:rPr>
              <w:t xml:space="preserve"> O número de avaliações por grupo é indicado entre parênteses. Os </w:t>
            </w:r>
            <w:r>
              <w:rPr>
                <w:rFonts w:ascii="Times New Roman" w:hAnsi="Times New Roman"/>
                <w:i/>
                <w:noProof/>
                <w:sz w:val="18"/>
                <w:szCs w:val="18"/>
              </w:rPr>
              <w:t>habitats</w:t>
            </w:r>
            <w:r>
              <w:rPr>
                <w:rFonts w:ascii="Times New Roman" w:hAnsi="Times New Roman"/>
                <w:noProof/>
                <w:sz w:val="18"/>
                <w:szCs w:val="18"/>
              </w:rPr>
              <w:t xml:space="preserve"> marinhos fazem parte do grupo dos «</w:t>
            </w:r>
            <w:r>
              <w:rPr>
                <w:rFonts w:ascii="Times New Roman" w:hAnsi="Times New Roman"/>
                <w:i/>
                <w:noProof/>
                <w:sz w:val="18"/>
                <w:szCs w:val="18"/>
              </w:rPr>
              <w:t>habitats</w:t>
            </w:r>
            <w:r>
              <w:rPr>
                <w:rFonts w:ascii="Times New Roman" w:hAnsi="Times New Roman"/>
                <w:noProof/>
                <w:sz w:val="18"/>
                <w:szCs w:val="18"/>
              </w:rPr>
              <w:t xml:space="preserve"> costeiros». O número total de avaliações é 818.</w:t>
            </w:r>
          </w:p>
        </w:tc>
      </w:tr>
    </w:tbl>
    <w:p>
      <w:pPr>
        <w:spacing w:after="240"/>
        <w:jc w:val="both"/>
        <w:rPr>
          <w:rFonts w:ascii="Times New Roman" w:hAnsi="Times New Roman" w:cs="Times New Roman"/>
          <w:noProof/>
          <w:sz w:val="24"/>
          <w:szCs w:val="24"/>
        </w:rPr>
      </w:pPr>
    </w:p>
    <w:p>
      <w:pPr>
        <w:spacing w:after="240"/>
        <w:jc w:val="both"/>
        <w:rPr>
          <w:rFonts w:ascii="Times New Roman" w:hAnsi="Times New Roman" w:cs="Times New Roman"/>
          <w:iCs/>
          <w:noProof/>
          <w:sz w:val="24"/>
          <w:szCs w:val="24"/>
        </w:rPr>
      </w:pPr>
      <w:r>
        <w:rPr>
          <w:rFonts w:ascii="Times New Roman" w:hAnsi="Times New Roman"/>
          <w:noProof/>
          <w:sz w:val="24"/>
          <w:szCs w:val="24"/>
        </w:rPr>
        <w:t xml:space="preserve">O estado de conservação dos </w:t>
      </w:r>
      <w:r>
        <w:rPr>
          <w:rFonts w:ascii="Times New Roman" w:hAnsi="Times New Roman"/>
          <w:i/>
          <w:noProof/>
          <w:sz w:val="24"/>
          <w:szCs w:val="24"/>
        </w:rPr>
        <w:t>habitats</w:t>
      </w:r>
      <w:r>
        <w:rPr>
          <w:rFonts w:ascii="Times New Roman" w:hAnsi="Times New Roman"/>
          <w:noProof/>
          <w:sz w:val="24"/>
          <w:szCs w:val="24"/>
        </w:rPr>
        <w:t xml:space="preserve"> não melhorou durante o período de referência. Apenas 15 % das avaliações de </w:t>
      </w:r>
      <w:r>
        <w:rPr>
          <w:rFonts w:ascii="Times New Roman" w:hAnsi="Times New Roman"/>
          <w:i/>
          <w:noProof/>
          <w:sz w:val="24"/>
          <w:szCs w:val="24"/>
        </w:rPr>
        <w:t>habitats</w:t>
      </w:r>
      <w:r>
        <w:rPr>
          <w:rFonts w:ascii="Times New Roman" w:hAnsi="Times New Roman"/>
          <w:noProof/>
          <w:sz w:val="24"/>
          <w:szCs w:val="24"/>
        </w:rPr>
        <w:t xml:space="preserve"> apresentam um bom estado de conservação, em comparação com 16 % em 2015. A grande maioria indica um estado desfavorável (45 % fraco e 36 % mau, em comparação com 47 % e 30 % respetivamente, em 2015). Embora as avaliações que indicam um estado fraco tenham diminuído 2 pontos percentuais e as que indicam um estado mau tenham aumentado 6 pontos percentuais, a maioria das alterações não reflete uma deterioração real no terreno, mas sim melhorias nos métodos de avaliação ao nível da UE ou dos Estados-Membros.</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Dos nove grupos de </w:t>
      </w:r>
      <w:r>
        <w:rPr>
          <w:rFonts w:ascii="Times New Roman" w:hAnsi="Times New Roman"/>
          <w:i/>
          <w:noProof/>
          <w:sz w:val="24"/>
          <w:szCs w:val="24"/>
        </w:rPr>
        <w:t>habitat</w:t>
      </w:r>
      <w:r>
        <w:rPr>
          <w:rFonts w:ascii="Times New Roman" w:hAnsi="Times New Roman"/>
          <w:noProof/>
          <w:sz w:val="24"/>
          <w:szCs w:val="24"/>
        </w:rPr>
        <w:t xml:space="preserve"> avaliados, os </w:t>
      </w:r>
      <w:r>
        <w:rPr>
          <w:rFonts w:ascii="Times New Roman" w:hAnsi="Times New Roman"/>
          <w:i/>
          <w:noProof/>
          <w:sz w:val="24"/>
          <w:szCs w:val="24"/>
        </w:rPr>
        <w:t>habitats</w:t>
      </w:r>
      <w:r>
        <w:rPr>
          <w:rFonts w:ascii="Times New Roman" w:hAnsi="Times New Roman"/>
          <w:noProof/>
          <w:sz w:val="24"/>
          <w:szCs w:val="24"/>
        </w:rPr>
        <w:t xml:space="preserve"> costeiros (que incluem tipos de </w:t>
      </w:r>
      <w:r>
        <w:rPr>
          <w:rFonts w:ascii="Times New Roman" w:hAnsi="Times New Roman"/>
          <w:i/>
          <w:noProof/>
          <w:sz w:val="24"/>
          <w:szCs w:val="24"/>
        </w:rPr>
        <w:t>habitat</w:t>
      </w:r>
      <w:r>
        <w:rPr>
          <w:rFonts w:ascii="Times New Roman" w:hAnsi="Times New Roman"/>
          <w:noProof/>
          <w:sz w:val="24"/>
          <w:szCs w:val="24"/>
        </w:rPr>
        <w:t xml:space="preserve"> marinhos) apresentam a menor proporção de avaliações de «bom estado». As dunas, turfeiras e pântanos são frequentemente avaliados com mau estado (mais de 50 %). Os prados, que incluem alguns </w:t>
      </w:r>
      <w:r>
        <w:rPr>
          <w:rFonts w:ascii="Times New Roman" w:hAnsi="Times New Roman"/>
          <w:i/>
          <w:noProof/>
          <w:sz w:val="24"/>
          <w:szCs w:val="24"/>
        </w:rPr>
        <w:t>habitats</w:t>
      </w:r>
      <w:r>
        <w:rPr>
          <w:rFonts w:ascii="Times New Roman" w:hAnsi="Times New Roman"/>
          <w:noProof/>
          <w:sz w:val="24"/>
          <w:szCs w:val="24"/>
        </w:rPr>
        <w:t xml:space="preserve"> muito ricos em espécies, também estão entre aqueles com maior proporção de avaliações de «mau estado» (49 %). Os prados que exigem uma gestão ativa estão num estado particularmente mau.</w:t>
      </w:r>
      <w:bookmarkStart w:id="2" w:name="_Toc42152720"/>
    </w:p>
    <w:p>
      <w:pPr>
        <w:spacing w:after="240"/>
        <w:jc w:val="both"/>
        <w:rPr>
          <w:rFonts w:ascii="Times New Roman" w:hAnsi="Times New Roman" w:cs="Times New Roman"/>
          <w:b/>
          <w:noProof/>
          <w:sz w:val="24"/>
          <w:szCs w:val="24"/>
        </w:rPr>
      </w:pPr>
      <w:r>
        <w:rPr>
          <w:rFonts w:ascii="Times New Roman" w:hAnsi="Times New Roman"/>
          <w:noProof/>
          <w:sz w:val="24"/>
          <w:szCs w:val="24"/>
        </w:rPr>
        <w:t xml:space="preserve">As lacunas de conhecimento sobre os nove </w:t>
      </w:r>
      <w:r>
        <w:rPr>
          <w:rFonts w:ascii="Times New Roman" w:hAnsi="Times New Roman"/>
          <w:i/>
          <w:noProof/>
          <w:sz w:val="24"/>
          <w:szCs w:val="24"/>
        </w:rPr>
        <w:t>habitats</w:t>
      </w:r>
      <w:r>
        <w:rPr>
          <w:rFonts w:ascii="Times New Roman" w:hAnsi="Times New Roman"/>
          <w:noProof/>
          <w:sz w:val="24"/>
          <w:szCs w:val="24"/>
        </w:rPr>
        <w:t xml:space="preserve"> marinhos continuam a ser um problema. O estado de conservação de cerca de 26 % dos </w:t>
      </w:r>
      <w:r>
        <w:rPr>
          <w:rFonts w:ascii="Times New Roman" w:hAnsi="Times New Roman"/>
          <w:i/>
          <w:noProof/>
          <w:sz w:val="24"/>
          <w:szCs w:val="24"/>
        </w:rPr>
        <w:t>habitats</w:t>
      </w:r>
      <w:r>
        <w:rPr>
          <w:rFonts w:ascii="Times New Roman" w:hAnsi="Times New Roman"/>
          <w:noProof/>
          <w:sz w:val="24"/>
          <w:szCs w:val="24"/>
        </w:rPr>
        <w:t xml:space="preserve"> marinhos dos Estados-Membros permanece desconhecido (em comparação com 4 % dos </w:t>
      </w:r>
      <w:r>
        <w:rPr>
          <w:rFonts w:ascii="Times New Roman" w:hAnsi="Times New Roman"/>
          <w:i/>
          <w:noProof/>
          <w:sz w:val="24"/>
          <w:szCs w:val="24"/>
        </w:rPr>
        <w:t>habitats</w:t>
      </w:r>
      <w:r>
        <w:rPr>
          <w:rFonts w:ascii="Times New Roman" w:hAnsi="Times New Roman"/>
          <w:noProof/>
          <w:sz w:val="24"/>
          <w:szCs w:val="24"/>
        </w:rPr>
        <w:t xml:space="preserve"> terrestres).</w:t>
      </w:r>
    </w:p>
    <w:p>
      <w:pPr>
        <w:rPr>
          <w:rFonts w:ascii="Times New Roman" w:hAnsi="Times New Roman" w:cs="Times New Roman"/>
          <w:b/>
          <w:noProof/>
          <w:sz w:val="24"/>
          <w:szCs w:val="24"/>
        </w:rPr>
      </w:pPr>
    </w:p>
    <w:p>
      <w:pPr>
        <w:spacing w:after="240" w:line="240" w:lineRule="auto"/>
        <w:jc w:val="both"/>
        <w:rPr>
          <w:rFonts w:ascii="Times New Roman" w:hAnsi="Times New Roman" w:cs="Times New Roman"/>
          <w:b/>
          <w:noProof/>
        </w:rPr>
      </w:pPr>
      <w:r>
        <w:rPr>
          <w:rFonts w:ascii="Times New Roman" w:hAnsi="Times New Roman"/>
          <w:b/>
          <w:noProof/>
          <w:sz w:val="24"/>
          <w:szCs w:val="24"/>
        </w:rPr>
        <w:t>Tendências do estado de conservação</w:t>
      </w:r>
      <w:bookmarkEnd w:id="2"/>
      <w:r>
        <w:rPr>
          <w:rFonts w:ascii="Times New Roman" w:hAnsi="Times New Roman"/>
          <w:b/>
          <w:noProof/>
          <w:sz w:val="24"/>
          <w:szCs w:val="24"/>
        </w:rPr>
        <w:t xml:space="preserve"> dos </w:t>
      </w:r>
      <w:r>
        <w:rPr>
          <w:rFonts w:ascii="Times New Roman" w:hAnsi="Times New Roman"/>
          <w:b/>
          <w:i/>
          <w:noProof/>
          <w:sz w:val="24"/>
          <w:szCs w:val="24"/>
        </w:rPr>
        <w:t>habitats</w:t>
      </w:r>
    </w:p>
    <w:tbl>
      <w:tblPr>
        <w:tblStyle w:val="HTG2"/>
        <w:tblW w:w="10341" w:type="dxa"/>
        <w:tblInd w:w="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476"/>
        <w:gridCol w:w="78"/>
        <w:gridCol w:w="7862"/>
        <w:gridCol w:w="400"/>
      </w:tblGrid>
      <w:tr>
        <w:tc>
          <w:tcPr>
            <w:tcW w:w="3361" w:type="dxa"/>
            <w:gridSpan w:val="2"/>
          </w:tcPr>
          <w:p>
            <w:pPr>
              <w:keepNext/>
              <w:spacing w:after="120"/>
              <w:rPr>
                <w:rFonts w:ascii="Times New Roman" w:hAnsi="Times New Roman" w:cs="Times New Roman"/>
                <w:b/>
                <w:noProof/>
                <w:sz w:val="20"/>
                <w:szCs w:val="20"/>
              </w:rPr>
            </w:pPr>
            <w:r>
              <w:rPr>
                <w:rFonts w:ascii="Times New Roman" w:hAnsi="Times New Roman"/>
                <w:b/>
                <w:noProof/>
                <w:sz w:val="20"/>
                <w:szCs w:val="20"/>
              </w:rPr>
              <w:t xml:space="preserve">Figura 5a: Tendências do estado de conservação dos </w:t>
            </w:r>
            <w:r>
              <w:rPr>
                <w:rFonts w:ascii="Times New Roman" w:hAnsi="Times New Roman"/>
                <w:b/>
                <w:i/>
                <w:noProof/>
                <w:sz w:val="20"/>
                <w:szCs w:val="20"/>
              </w:rPr>
              <w:t>habitats</w:t>
            </w:r>
            <w:r>
              <w:rPr>
                <w:rFonts w:ascii="Times New Roman" w:hAnsi="Times New Roman"/>
                <w:b/>
                <w:noProof/>
                <w:sz w:val="20"/>
                <w:szCs w:val="20"/>
              </w:rPr>
              <w:t xml:space="preserve"> com estado desfavorável (ou seja, não bom) ou desconhecido ao nível da UE</w:t>
            </w:r>
          </w:p>
        </w:tc>
        <w:tc>
          <w:tcPr>
            <w:tcW w:w="6980" w:type="dxa"/>
            <w:gridSpan w:val="2"/>
          </w:tcPr>
          <w:p>
            <w:pPr>
              <w:keepNext/>
              <w:spacing w:after="120"/>
              <w:ind w:right="1745"/>
              <w:jc w:val="both"/>
              <w:rPr>
                <w:rFonts w:ascii="Times New Roman" w:hAnsi="Times New Roman" w:cs="Times New Roman"/>
                <w:b/>
                <w:noProof/>
                <w:sz w:val="20"/>
                <w:szCs w:val="20"/>
              </w:rPr>
            </w:pPr>
            <w:r>
              <w:rPr>
                <w:rFonts w:ascii="Times New Roman" w:hAnsi="Times New Roman"/>
                <w:b/>
                <w:noProof/>
                <w:sz w:val="20"/>
                <w:szCs w:val="20"/>
              </w:rPr>
              <w:t xml:space="preserve">Figura 5b: Tendências do estado de conservação dos </w:t>
            </w:r>
            <w:r>
              <w:rPr>
                <w:rFonts w:ascii="Times New Roman" w:hAnsi="Times New Roman"/>
                <w:b/>
                <w:i/>
                <w:noProof/>
                <w:sz w:val="20"/>
                <w:szCs w:val="20"/>
              </w:rPr>
              <w:t>habitats</w:t>
            </w:r>
            <w:r>
              <w:rPr>
                <w:rFonts w:ascii="Times New Roman" w:hAnsi="Times New Roman"/>
                <w:b/>
                <w:noProof/>
                <w:sz w:val="20"/>
                <w:szCs w:val="20"/>
              </w:rPr>
              <w:t xml:space="preserve"> com estado desfavorável (ou seja, não bom) ou desconhecido por grupo de </w:t>
            </w:r>
            <w:r>
              <w:rPr>
                <w:rFonts w:ascii="Times New Roman" w:hAnsi="Times New Roman"/>
                <w:b/>
                <w:i/>
                <w:iCs/>
                <w:noProof/>
                <w:sz w:val="20"/>
                <w:szCs w:val="20"/>
              </w:rPr>
              <w:t>habitats</w:t>
            </w:r>
            <w:r>
              <w:rPr>
                <w:rFonts w:ascii="Times New Roman" w:hAnsi="Times New Roman"/>
                <w:b/>
                <w:noProof/>
                <w:sz w:val="20"/>
                <w:szCs w:val="20"/>
              </w:rPr>
              <w:t xml:space="preserve"> ao nível da UE</w:t>
            </w:r>
          </w:p>
        </w:tc>
      </w:tr>
      <w:tr>
        <w:tc>
          <w:tcPr>
            <w:tcW w:w="3361" w:type="dxa"/>
            <w:gridSpan w:val="2"/>
            <w:vAlign w:val="center"/>
          </w:tcPr>
          <w:p>
            <w:pPr>
              <w:keepNext/>
              <w:spacing w:after="120"/>
              <w:jc w:val="center"/>
              <w:rPr>
                <w:rFonts w:ascii="Times New Roman" w:hAnsi="Times New Roman" w:cs="Times New Roman"/>
                <w:noProof/>
              </w:rPr>
            </w:pPr>
          </w:p>
          <w:p>
            <w:pPr>
              <w:keepNext/>
              <w:spacing w:after="120"/>
              <w:jc w:val="center"/>
              <w:rPr>
                <w:rFonts w:ascii="Times New Roman" w:hAnsi="Times New Roman" w:cs="Times New Roman"/>
                <w:noProof/>
              </w:rPr>
            </w:pPr>
            <w:r>
              <w:rPr>
                <w:rFonts w:ascii="Times New Roman" w:hAnsi="Times New Roman"/>
                <w:noProof/>
                <w:lang w:val="en-GB" w:eastAsia="en-GB"/>
              </w:rPr>
              <w:drawing>
                <wp:inline distT="0" distB="0" distL="0" distR="0">
                  <wp:extent cx="1532890" cy="14560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39197" cy="1461996"/>
                          </a:xfrm>
                          <a:prstGeom prst="rect">
                            <a:avLst/>
                          </a:prstGeom>
                          <a:noFill/>
                        </pic:spPr>
                      </pic:pic>
                    </a:graphicData>
                  </a:graphic>
                </wp:inline>
              </w:drawing>
            </w:r>
          </w:p>
          <w:p>
            <w:pPr>
              <w:keepNext/>
              <w:spacing w:after="120"/>
              <w:jc w:val="center"/>
              <w:rPr>
                <w:rFonts w:ascii="Times New Roman" w:hAnsi="Times New Roman" w:cs="Times New Roman"/>
                <w:noProof/>
                <w:lang w:val="en-GB"/>
              </w:rPr>
            </w:pPr>
          </w:p>
        </w:tc>
        <w:tc>
          <w:tcPr>
            <w:tcW w:w="6980" w:type="dxa"/>
            <w:gridSpan w:val="2"/>
          </w:tcPr>
          <w:p>
            <w:pPr>
              <w:keepNext/>
              <w:spacing w:after="120"/>
              <w:ind w:right="1522"/>
              <w:jc w:val="both"/>
              <w:rPr>
                <w:rFonts w:ascii="Times New Roman" w:hAnsi="Times New Roman" w:cs="Times New Roman"/>
                <w:noProof/>
              </w:rPr>
            </w:pPr>
            <w:r>
              <w:rPr>
                <w:noProof/>
                <w:lang w:val="en-GB" w:eastAsia="en-GB"/>
              </w:rPr>
              <w:drawing>
                <wp:inline distT="0" distB="0" distL="0" distR="0">
                  <wp:extent cx="4190720" cy="1829435"/>
                  <wp:effectExtent l="0" t="0" r="635"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6"/>
                          <a:stretch>
                            <a:fillRect/>
                          </a:stretch>
                        </pic:blipFill>
                        <pic:spPr>
                          <a:xfrm>
                            <a:off x="0" y="0"/>
                            <a:ext cx="4250170" cy="1855388"/>
                          </a:xfrm>
                          <a:prstGeom prst="rect">
                            <a:avLst/>
                          </a:prstGeom>
                        </pic:spPr>
                      </pic:pic>
                    </a:graphicData>
                  </a:graphic>
                </wp:inline>
              </w:drawing>
            </w:r>
          </w:p>
        </w:tc>
      </w:tr>
      <w:tr>
        <w:trPr>
          <w:gridAfter w:val="1"/>
          <w:wAfter w:w="389" w:type="dxa"/>
        </w:trPr>
        <w:tc>
          <w:tcPr>
            <w:tcW w:w="9952" w:type="dxa"/>
            <w:gridSpan w:val="3"/>
          </w:tcPr>
          <w:p>
            <w:pPr>
              <w:keepNext/>
              <w:spacing w:after="120"/>
              <w:jc w:val="both"/>
              <w:rPr>
                <w:rFonts w:ascii="Times New Roman" w:hAnsi="Times New Roman" w:cs="Times New Roman"/>
                <w:noProof/>
              </w:rPr>
            </w:pPr>
            <w:r>
              <w:rPr>
                <w:noProof/>
                <w:lang w:val="en-GB" w:eastAsia="en-GB"/>
              </w:rPr>
              <w:drawing>
                <wp:inline distT="0" distB="0" distL="0" distR="0">
                  <wp:extent cx="5731510" cy="312420"/>
                  <wp:effectExtent l="0" t="0" r="254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7"/>
                          <a:stretch>
                            <a:fillRect/>
                          </a:stretch>
                        </pic:blipFill>
                        <pic:spPr>
                          <a:xfrm>
                            <a:off x="0" y="0"/>
                            <a:ext cx="5731510" cy="312420"/>
                          </a:xfrm>
                          <a:prstGeom prst="rect">
                            <a:avLst/>
                          </a:prstGeom>
                        </pic:spPr>
                      </pic:pic>
                    </a:graphicData>
                  </a:graphic>
                </wp:inline>
              </w:drawing>
            </w:r>
          </w:p>
        </w:tc>
      </w:tr>
      <w:tr>
        <w:trPr>
          <w:gridAfter w:val="1"/>
          <w:wAfter w:w="389" w:type="dxa"/>
        </w:trPr>
        <w:tc>
          <w:tcPr>
            <w:tcW w:w="2972" w:type="dxa"/>
          </w:tcPr>
          <w:p>
            <w:pPr>
              <w:keepNext/>
              <w:jc w:val="both"/>
              <w:rPr>
                <w:rFonts w:ascii="Times New Roman" w:hAnsi="Times New Roman" w:cs="Times New Roman"/>
                <w:b/>
                <w:noProof/>
                <w:sz w:val="18"/>
                <w:szCs w:val="18"/>
              </w:rPr>
            </w:pPr>
            <w:r>
              <w:rPr>
                <w:rFonts w:ascii="Times New Roman" w:hAnsi="Times New Roman"/>
                <w:b/>
                <w:noProof/>
                <w:sz w:val="18"/>
                <w:szCs w:val="18"/>
              </w:rPr>
              <w:t>Nota:</w:t>
            </w:r>
            <w:r>
              <w:rPr>
                <w:rFonts w:ascii="Times New Roman" w:hAnsi="Times New Roman"/>
                <w:noProof/>
                <w:sz w:val="18"/>
                <w:szCs w:val="18"/>
              </w:rPr>
              <w:t xml:space="preserve"> As tendências do estado de conservação baseiam-se em avaliações de </w:t>
            </w:r>
            <w:r>
              <w:rPr>
                <w:rFonts w:ascii="Times New Roman" w:hAnsi="Times New Roman"/>
                <w:i/>
                <w:noProof/>
                <w:sz w:val="18"/>
                <w:szCs w:val="18"/>
              </w:rPr>
              <w:t>habitats</w:t>
            </w:r>
            <w:r>
              <w:rPr>
                <w:rFonts w:ascii="Times New Roman" w:hAnsi="Times New Roman"/>
                <w:noProof/>
                <w:sz w:val="18"/>
                <w:szCs w:val="18"/>
              </w:rPr>
              <w:t xml:space="preserve"> da UE (698).</w:t>
            </w:r>
          </w:p>
        </w:tc>
        <w:tc>
          <w:tcPr>
            <w:tcW w:w="6980" w:type="dxa"/>
            <w:gridSpan w:val="2"/>
          </w:tcPr>
          <w:p>
            <w:pPr>
              <w:keepNext/>
              <w:spacing w:after="240"/>
              <w:ind w:right="1495"/>
              <w:jc w:val="both"/>
              <w:rPr>
                <w:rFonts w:ascii="Times New Roman" w:hAnsi="Times New Roman" w:cs="Times New Roman"/>
                <w:noProof/>
              </w:rPr>
            </w:pPr>
            <w:r>
              <w:rPr>
                <w:rFonts w:ascii="Times New Roman" w:hAnsi="Times New Roman"/>
                <w:b/>
                <w:noProof/>
                <w:sz w:val="18"/>
                <w:szCs w:val="18"/>
              </w:rPr>
              <w:t>Nota:</w:t>
            </w:r>
            <w:r>
              <w:rPr>
                <w:rFonts w:ascii="Times New Roman" w:hAnsi="Times New Roman"/>
                <w:noProof/>
                <w:sz w:val="18"/>
                <w:szCs w:val="18"/>
              </w:rPr>
              <w:t xml:space="preserve"> O número de avaliações é indicado entre parênteses. O número total de avaliações é 698.</w:t>
            </w:r>
          </w:p>
        </w:tc>
      </w:tr>
    </w:tbl>
    <w:p>
      <w:pPr>
        <w:spacing w:after="240"/>
        <w:jc w:val="both"/>
        <w:rPr>
          <w:rFonts w:ascii="Times New Roman" w:hAnsi="Times New Roman" w:cs="Times New Roman"/>
          <w:iCs/>
          <w:noProof/>
          <w:sz w:val="24"/>
          <w:szCs w:val="24"/>
        </w:rPr>
      </w:pPr>
    </w:p>
    <w:p>
      <w:pPr>
        <w:spacing w:after="240"/>
        <w:jc w:val="both"/>
        <w:rPr>
          <w:rFonts w:ascii="Times New Roman" w:hAnsi="Times New Roman" w:cs="Times New Roman"/>
          <w:iCs/>
          <w:noProof/>
          <w:sz w:val="24"/>
          <w:szCs w:val="24"/>
        </w:rPr>
      </w:pPr>
      <w:r>
        <w:rPr>
          <w:rFonts w:ascii="Times New Roman" w:hAnsi="Times New Roman"/>
          <w:iCs/>
          <w:noProof/>
          <w:sz w:val="24"/>
          <w:szCs w:val="24"/>
        </w:rPr>
        <w:t>O estado de</w:t>
      </w:r>
      <w:r>
        <w:rPr>
          <w:rFonts w:ascii="Times New Roman" w:hAnsi="Times New Roman"/>
          <w:iCs/>
          <w:noProof/>
        </w:rPr>
        <w:t xml:space="preserve"> </w:t>
      </w:r>
      <w:r>
        <w:rPr>
          <w:rFonts w:ascii="Times New Roman" w:hAnsi="Times New Roman"/>
          <w:iCs/>
          <w:noProof/>
          <w:sz w:val="24"/>
          <w:szCs w:val="24"/>
        </w:rPr>
        <w:t xml:space="preserve">81 % dos </w:t>
      </w:r>
      <w:r>
        <w:rPr>
          <w:rFonts w:ascii="Times New Roman" w:hAnsi="Times New Roman"/>
          <w:i/>
          <w:iCs/>
          <w:noProof/>
          <w:sz w:val="24"/>
          <w:szCs w:val="24"/>
        </w:rPr>
        <w:t>habitats</w:t>
      </w:r>
      <w:r>
        <w:rPr>
          <w:rFonts w:ascii="Times New Roman" w:hAnsi="Times New Roman"/>
          <w:iCs/>
          <w:noProof/>
          <w:sz w:val="24"/>
          <w:szCs w:val="24"/>
        </w:rPr>
        <w:t xml:space="preserve"> enumerados é avaliado como «fraco» ou «mau» ao nível da UE. Apenas 9 % destes mostra tendências de melhoria, enquanto 36 % mostram deterioração contínua. </w:t>
      </w:r>
      <w:r>
        <w:rPr>
          <w:rFonts w:ascii="Times New Roman" w:hAnsi="Times New Roman"/>
          <w:noProof/>
          <w:sz w:val="24"/>
          <w:szCs w:val="24"/>
        </w:rPr>
        <w:t xml:space="preserve">Pelo menos 25 % de todas as avaliações dos diferentes grupos de </w:t>
      </w:r>
      <w:r>
        <w:rPr>
          <w:rFonts w:ascii="Times New Roman" w:hAnsi="Times New Roman"/>
          <w:i/>
          <w:noProof/>
          <w:sz w:val="24"/>
          <w:szCs w:val="24"/>
        </w:rPr>
        <w:t>habitats</w:t>
      </w:r>
      <w:r>
        <w:rPr>
          <w:rFonts w:ascii="Times New Roman" w:hAnsi="Times New Roman"/>
          <w:noProof/>
          <w:sz w:val="24"/>
          <w:szCs w:val="24"/>
        </w:rPr>
        <w:t xml:space="preserve">, com exceção dos </w:t>
      </w:r>
      <w:r>
        <w:rPr>
          <w:rFonts w:ascii="Times New Roman" w:hAnsi="Times New Roman"/>
          <w:i/>
          <w:noProof/>
          <w:sz w:val="24"/>
          <w:szCs w:val="24"/>
        </w:rPr>
        <w:t>habitats</w:t>
      </w:r>
      <w:r>
        <w:rPr>
          <w:rFonts w:ascii="Times New Roman" w:hAnsi="Times New Roman"/>
          <w:noProof/>
          <w:sz w:val="24"/>
          <w:szCs w:val="24"/>
        </w:rPr>
        <w:t xml:space="preserve"> rochosos (15 %), revelam tendências de deterioração. As turfeiras e pântanos, os prados e os </w:t>
      </w:r>
      <w:r>
        <w:rPr>
          <w:rFonts w:ascii="Times New Roman" w:hAnsi="Times New Roman"/>
          <w:i/>
          <w:noProof/>
          <w:sz w:val="24"/>
          <w:szCs w:val="24"/>
        </w:rPr>
        <w:t>habitats</w:t>
      </w:r>
      <w:r>
        <w:rPr>
          <w:rFonts w:ascii="Times New Roman" w:hAnsi="Times New Roman"/>
          <w:noProof/>
          <w:sz w:val="24"/>
          <w:szCs w:val="24"/>
        </w:rPr>
        <w:t xml:space="preserve"> dunares apresentam a maior proporção de tendências de deterioração (mais de 50 % para cada grupo). Os </w:t>
      </w:r>
      <w:r>
        <w:rPr>
          <w:rFonts w:ascii="Times New Roman" w:hAnsi="Times New Roman"/>
          <w:i/>
          <w:noProof/>
          <w:sz w:val="24"/>
          <w:szCs w:val="24"/>
        </w:rPr>
        <w:t>habitats</w:t>
      </w:r>
      <w:r>
        <w:rPr>
          <w:rFonts w:ascii="Times New Roman" w:hAnsi="Times New Roman"/>
          <w:noProof/>
          <w:sz w:val="24"/>
          <w:szCs w:val="24"/>
        </w:rPr>
        <w:t xml:space="preserve"> herbáceos, principalmente prados de feno</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pradarias com </w:t>
      </w:r>
      <w:r>
        <w:rPr>
          <w:rFonts w:ascii="Times New Roman" w:hAnsi="Times New Roman"/>
          <w:i/>
          <w:noProof/>
          <w:sz w:val="24"/>
          <w:szCs w:val="24"/>
        </w:rPr>
        <w:t>Molinia</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e vários tipos de prados secos seminaturais</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apresentam uma tendência de deterioração do estado de conservação, ilustrando a sua dependência de práticas agrícolas extensivas que ainda estão em declínio em toda a UE. De todas as avaliações, os </w:t>
      </w:r>
      <w:r>
        <w:rPr>
          <w:rFonts w:ascii="Times New Roman" w:hAnsi="Times New Roman"/>
          <w:i/>
          <w:noProof/>
          <w:sz w:val="24"/>
          <w:szCs w:val="24"/>
        </w:rPr>
        <w:t>habitats</w:t>
      </w:r>
      <w:r>
        <w:rPr>
          <w:rFonts w:ascii="Times New Roman" w:hAnsi="Times New Roman"/>
          <w:noProof/>
          <w:sz w:val="24"/>
          <w:szCs w:val="24"/>
        </w:rPr>
        <w:t xml:space="preserve"> florestais são os que mostram a maior proporção de tendências de recuperação (13 %).</w:t>
      </w:r>
    </w:p>
    <w:p>
      <w:pPr>
        <w:spacing w:after="240"/>
        <w:jc w:val="both"/>
        <w:rPr>
          <w:rFonts w:ascii="Times New Roman" w:hAnsi="Times New Roman" w:cs="Times New Roman"/>
          <w:b/>
          <w:i/>
          <w:noProof/>
          <w:sz w:val="24"/>
          <w:szCs w:val="24"/>
          <w:u w:val="single"/>
        </w:rPr>
      </w:pPr>
      <w:r>
        <w:rPr>
          <w:rFonts w:ascii="Times New Roman" w:hAnsi="Times New Roman"/>
          <w:b/>
          <w:i/>
          <w:noProof/>
          <w:sz w:val="24"/>
          <w:szCs w:val="24"/>
          <w:u w:val="single"/>
        </w:rPr>
        <w:t>2.3 Espécies que não aves</w:t>
      </w:r>
    </w:p>
    <w:p>
      <w:pPr>
        <w:spacing w:after="240"/>
        <w:jc w:val="both"/>
        <w:rPr>
          <w:rFonts w:ascii="Times New Roman" w:eastAsia="ヒラギノ角ゴ Pro W3" w:hAnsi="Times New Roman" w:cs="Times New Roman"/>
          <w:iCs/>
          <w:noProof/>
          <w:sz w:val="24"/>
          <w:szCs w:val="24"/>
        </w:rPr>
      </w:pPr>
      <w:r>
        <w:rPr>
          <w:rFonts w:ascii="Times New Roman" w:hAnsi="Times New Roman"/>
          <w:noProof/>
          <w:sz w:val="24"/>
          <w:szCs w:val="24"/>
        </w:rPr>
        <w:t xml:space="preserve">Os anexos II, IV e V da Diretiva </w:t>
      </w:r>
      <w:r>
        <w:rPr>
          <w:rFonts w:ascii="Times New Roman" w:hAnsi="Times New Roman"/>
          <w:i/>
          <w:iCs/>
          <w:noProof/>
          <w:sz w:val="24"/>
          <w:szCs w:val="24"/>
        </w:rPr>
        <w:t>Habitats</w:t>
      </w:r>
      <w:r>
        <w:rPr>
          <w:rFonts w:ascii="Times New Roman" w:hAnsi="Times New Roman"/>
          <w:noProof/>
          <w:sz w:val="24"/>
          <w:szCs w:val="24"/>
        </w:rPr>
        <w:t xml:space="preserve"> enumeram 1 389 espécies de interesse europeu</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Em alguns</w:t>
      </w:r>
      <w:r>
        <w:rPr>
          <w:rFonts w:ascii="Times New Roman" w:hAnsi="Times New Roman"/>
          <w:iCs/>
          <w:noProof/>
          <w:sz w:val="24"/>
          <w:szCs w:val="24"/>
        </w:rPr>
        <w:t xml:space="preserve"> grupos taxonómicos maiores, como os moluscos, os artrópodes e as plantas vasculares, a proporção de espécies abrangidas pelos anexos é muito baixa. Os grupos mais bem representados são os vertebrados, com 85 % dos anfíbios, 70 % dos répteis, 64 % dos mamíferos e 39 % das espécies de peixes de água doce enumerados. Muitas espécies não enumeradas, incluindo muitas das mais comuns, beneficiam de medidas ao abrigo da diretiva, nomeadamente a proteção dos tipos de </w:t>
      </w:r>
      <w:r>
        <w:rPr>
          <w:rFonts w:ascii="Times New Roman" w:hAnsi="Times New Roman"/>
          <w:i/>
          <w:iCs/>
          <w:noProof/>
          <w:sz w:val="24"/>
          <w:szCs w:val="24"/>
        </w:rPr>
        <w:t>habitat</w:t>
      </w:r>
      <w:r>
        <w:rPr>
          <w:rFonts w:ascii="Times New Roman" w:hAnsi="Times New Roman"/>
          <w:iCs/>
          <w:noProof/>
          <w:sz w:val="24"/>
          <w:szCs w:val="24"/>
        </w:rPr>
        <w:t xml:space="preserve"> do anexo I.</w:t>
      </w:r>
    </w:p>
    <w:p>
      <w:pPr>
        <w:rPr>
          <w:rFonts w:ascii="Times New Roman" w:eastAsia="ヒラギノ角ゴ Pro W3" w:hAnsi="Times New Roman" w:cs="Times New Roman"/>
          <w:b/>
          <w:iCs/>
          <w:noProof/>
        </w:rPr>
      </w:pPr>
      <w:r>
        <w:rPr>
          <w:rFonts w:ascii="Times New Roman" w:hAnsi="Times New Roman"/>
          <w:b/>
          <w:iCs/>
          <w:noProof/>
          <w:sz w:val="24"/>
          <w:szCs w:val="24"/>
        </w:rPr>
        <w:t>Estado de conservação das espécies</w:t>
      </w:r>
    </w:p>
    <w:tbl>
      <w:tblPr>
        <w:tblStyle w:val="HTG3"/>
        <w:tblpPr w:leftFromText="142" w:rightFromText="142" w:vertAnchor="text" w:horzAnchor="margin" w:tblpY="38"/>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4961"/>
      </w:tblGrid>
      <w:tr>
        <w:tc>
          <w:tcPr>
            <w:tcW w:w="4111" w:type="dxa"/>
          </w:tcPr>
          <w:p>
            <w:pPr>
              <w:keepNext/>
              <w:tabs>
                <w:tab w:val="center" w:pos="2370"/>
                <w:tab w:val="right" w:pos="4741"/>
              </w:tabs>
              <w:spacing w:after="120"/>
              <w:ind w:left="-105"/>
              <w:rPr>
                <w:rFonts w:ascii="Times New Roman" w:hAnsi="Times New Roman" w:cs="Times New Roman"/>
                <w:b/>
                <w:noProof/>
                <w:sz w:val="20"/>
                <w:szCs w:val="20"/>
              </w:rPr>
            </w:pPr>
            <w:r>
              <w:rPr>
                <w:rFonts w:ascii="Times New Roman" w:hAnsi="Times New Roman"/>
                <w:b/>
                <w:noProof/>
                <w:sz w:val="20"/>
                <w:szCs w:val="20"/>
              </w:rPr>
              <w:t xml:space="preserve">Figura 6a: Estado de conservação das espécies ao nível da UE </w:t>
            </w:r>
          </w:p>
        </w:tc>
        <w:tc>
          <w:tcPr>
            <w:tcW w:w="4961" w:type="dxa"/>
          </w:tcPr>
          <w:p>
            <w:pPr>
              <w:keepNext/>
              <w:tabs>
                <w:tab w:val="center" w:pos="2370"/>
                <w:tab w:val="right" w:pos="4608"/>
              </w:tabs>
              <w:spacing w:after="120"/>
              <w:ind w:left="-105"/>
              <w:rPr>
                <w:rFonts w:ascii="Times New Roman" w:hAnsi="Times New Roman" w:cs="Times New Roman"/>
                <w:b/>
                <w:noProof/>
                <w:sz w:val="20"/>
                <w:szCs w:val="20"/>
              </w:rPr>
            </w:pPr>
            <w:r>
              <w:rPr>
                <w:rFonts w:ascii="Times New Roman" w:hAnsi="Times New Roman"/>
                <w:b/>
                <w:noProof/>
                <w:sz w:val="20"/>
                <w:szCs w:val="20"/>
              </w:rPr>
              <w:t>Figura 6b: Estado de conservação por grupo de espécies ao nível da UE</w:t>
            </w:r>
          </w:p>
        </w:tc>
      </w:tr>
      <w:tr>
        <w:trPr>
          <w:trHeight w:val="3011"/>
        </w:trPr>
        <w:tc>
          <w:tcPr>
            <w:tcW w:w="4111" w:type="dxa"/>
            <w:vAlign w:val="center"/>
          </w:tcPr>
          <w:p>
            <w:pPr>
              <w:keepNext/>
              <w:tabs>
                <w:tab w:val="center" w:pos="2370"/>
                <w:tab w:val="right" w:pos="4741"/>
              </w:tabs>
              <w:ind w:left="-105"/>
              <w:jc w:val="center"/>
              <w:rPr>
                <w:rFonts w:ascii="Times New Roman" w:hAnsi="Times New Roman" w:cs="Times New Roman"/>
                <w:noProof/>
              </w:rPr>
            </w:pPr>
            <w:r>
              <w:rPr>
                <w:rFonts w:ascii="Times New Roman" w:hAnsi="Times New Roman"/>
                <w:noProof/>
                <w:lang w:val="en-GB" w:eastAsia="en-GB"/>
              </w:rPr>
              <w:drawing>
                <wp:inline distT="0" distB="0" distL="0" distR="0">
                  <wp:extent cx="1581235" cy="1609725"/>
                  <wp:effectExtent l="0" t="0" r="0" b="0"/>
                  <wp:docPr id="198" name="Grafik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8" cstate="screen">
                            <a:extLst>
                              <a:ext uri="{28A0092B-C50C-407E-A947-70E740481C1C}">
                                <a14:useLocalDpi xmlns:a14="http://schemas.microsoft.com/office/drawing/2010/main"/>
                              </a:ext>
                            </a:extLst>
                          </a:blip>
                          <a:srcRect/>
                          <a:stretch/>
                        </pic:blipFill>
                        <pic:spPr bwMode="auto">
                          <a:xfrm>
                            <a:off x="0" y="0"/>
                            <a:ext cx="1587253" cy="1615852"/>
                          </a:xfrm>
                          <a:prstGeom prst="rect">
                            <a:avLst/>
                          </a:prstGeom>
                          <a:noFill/>
                          <a:ln>
                            <a:noFill/>
                          </a:ln>
                          <a:extLst>
                            <a:ext uri="{53640926-AAD7-44D8-BBD7-CCE9431645EC}">
                              <a14:shadowObscured xmlns:a14="http://schemas.microsoft.com/office/drawing/2010/main"/>
                            </a:ext>
                          </a:extLst>
                        </pic:spPr>
                      </pic:pic>
                    </a:graphicData>
                  </a:graphic>
                </wp:inline>
              </w:drawing>
            </w:r>
          </w:p>
          <w:p>
            <w:pPr>
              <w:keepNext/>
              <w:spacing w:after="60"/>
              <w:ind w:left="-105"/>
              <w:jc w:val="center"/>
              <w:rPr>
                <w:rFonts w:ascii="Times New Roman" w:eastAsia="ヒラギノ角ゴ Pro W3" w:hAnsi="Times New Roman" w:cs="Times New Roman"/>
                <w:b/>
                <w:noProof/>
                <w:sz w:val="18"/>
                <w:szCs w:val="20"/>
                <w:lang w:val="en-GB" w:eastAsia="de-DE"/>
              </w:rPr>
            </w:pPr>
          </w:p>
        </w:tc>
        <w:tc>
          <w:tcPr>
            <w:tcW w:w="4961" w:type="dxa"/>
          </w:tcPr>
          <w:p>
            <w:pPr>
              <w:keepNext/>
              <w:tabs>
                <w:tab w:val="center" w:pos="2370"/>
                <w:tab w:val="right" w:pos="4741"/>
              </w:tabs>
              <w:ind w:left="-105"/>
              <w:jc w:val="both"/>
              <w:rPr>
                <w:rFonts w:ascii="Times New Roman" w:hAnsi="Times New Roman" w:cs="Times New Roman"/>
                <w:noProof/>
              </w:rPr>
            </w:pPr>
            <w:r>
              <w:rPr>
                <w:noProof/>
                <w:lang w:val="en-GB" w:eastAsia="en-GB"/>
              </w:rPr>
              <w:drawing>
                <wp:inline distT="0" distB="0" distL="0" distR="0">
                  <wp:extent cx="3116911" cy="1685925"/>
                  <wp:effectExtent l="0" t="0" r="7620" b="0"/>
                  <wp:docPr id="2010335938" name="Picture 2010335938"/>
                  <wp:cNvGraphicFramePr/>
                  <a:graphic xmlns:a="http://schemas.openxmlformats.org/drawingml/2006/main">
                    <a:graphicData uri="http://schemas.openxmlformats.org/drawingml/2006/picture">
                      <pic:pic xmlns:pic="http://schemas.openxmlformats.org/drawingml/2006/picture">
                        <pic:nvPicPr>
                          <pic:cNvPr id="2010335938" name="Picture 2010335938"/>
                          <pic:cNvPicPr/>
                        </pic:nvPicPr>
                        <pic:blipFill>
                          <a:blip r:embed="rId29"/>
                          <a:stretch>
                            <a:fillRect/>
                          </a:stretch>
                        </pic:blipFill>
                        <pic:spPr>
                          <a:xfrm>
                            <a:off x="0" y="0"/>
                            <a:ext cx="3202338" cy="1732132"/>
                          </a:xfrm>
                          <a:prstGeom prst="rect">
                            <a:avLst/>
                          </a:prstGeom>
                        </pic:spPr>
                      </pic:pic>
                    </a:graphicData>
                  </a:graphic>
                </wp:inline>
              </w:drawing>
            </w:r>
          </w:p>
          <w:p>
            <w:pPr>
              <w:keepNext/>
              <w:spacing w:after="60"/>
              <w:ind w:left="-105"/>
              <w:jc w:val="both"/>
              <w:rPr>
                <w:rFonts w:ascii="Times New Roman" w:eastAsia="ヒラギノ角ゴ Pro W3" w:hAnsi="Times New Roman" w:cs="Times New Roman"/>
                <w:b/>
                <w:noProof/>
                <w:sz w:val="18"/>
                <w:szCs w:val="20"/>
                <w:lang w:val="en-GB" w:eastAsia="de-DE"/>
              </w:rPr>
            </w:pPr>
          </w:p>
        </w:tc>
      </w:tr>
      <w:tr>
        <w:tc>
          <w:tcPr>
            <w:tcW w:w="9072" w:type="dxa"/>
            <w:gridSpan w:val="2"/>
          </w:tcPr>
          <w:p>
            <w:pPr>
              <w:keepNext/>
              <w:tabs>
                <w:tab w:val="center" w:pos="2370"/>
                <w:tab w:val="right" w:pos="4741"/>
              </w:tabs>
              <w:jc w:val="center"/>
              <w:rPr>
                <w:rFonts w:ascii="Times New Roman" w:hAnsi="Times New Roman" w:cs="Times New Roman"/>
                <w:b/>
                <w:noProof/>
                <w:sz w:val="18"/>
              </w:rPr>
            </w:pPr>
            <w:r>
              <w:rPr>
                <w:noProof/>
                <w:lang w:val="en-GB" w:eastAsia="en-GB"/>
              </w:rPr>
              <w:drawing>
                <wp:inline distT="0" distB="0" distL="0" distR="0">
                  <wp:extent cx="2159000" cy="302149"/>
                  <wp:effectExtent l="0" t="0" r="0" b="3175"/>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30"/>
                          <a:stretch>
                            <a:fillRect/>
                          </a:stretch>
                        </pic:blipFill>
                        <pic:spPr>
                          <a:xfrm>
                            <a:off x="0" y="0"/>
                            <a:ext cx="2294220" cy="321073"/>
                          </a:xfrm>
                          <a:prstGeom prst="rect">
                            <a:avLst/>
                          </a:prstGeom>
                        </pic:spPr>
                      </pic:pic>
                    </a:graphicData>
                  </a:graphic>
                </wp:inline>
              </w:drawing>
            </w:r>
          </w:p>
        </w:tc>
      </w:tr>
      <w:tr>
        <w:tc>
          <w:tcPr>
            <w:tcW w:w="4111" w:type="dxa"/>
          </w:tcPr>
          <w:p>
            <w:pPr>
              <w:keepNext/>
              <w:tabs>
                <w:tab w:val="center" w:pos="2370"/>
                <w:tab w:val="right" w:pos="4741"/>
              </w:tabs>
              <w:spacing w:before="120"/>
              <w:ind w:right="426"/>
              <w:jc w:val="both"/>
              <w:rPr>
                <w:rFonts w:ascii="Times New Roman" w:hAnsi="Times New Roman" w:cs="Times New Roman"/>
                <w:noProof/>
                <w:sz w:val="18"/>
                <w:szCs w:val="18"/>
              </w:rPr>
            </w:pPr>
            <w:r>
              <w:rPr>
                <w:rFonts w:ascii="Times New Roman" w:hAnsi="Times New Roman"/>
                <w:b/>
                <w:noProof/>
                <w:sz w:val="18"/>
                <w:szCs w:val="18"/>
              </w:rPr>
              <w:t>Nota:</w:t>
            </w:r>
            <w:r>
              <w:rPr>
                <w:rFonts w:ascii="Times New Roman" w:hAnsi="Times New Roman"/>
                <w:noProof/>
                <w:sz w:val="18"/>
                <w:szCs w:val="18"/>
              </w:rPr>
              <w:t xml:space="preserve"> Estatísticas baseadas no número de avaliações de espécies da UE (2 825). </w:t>
            </w:r>
          </w:p>
        </w:tc>
        <w:tc>
          <w:tcPr>
            <w:tcW w:w="4961" w:type="dxa"/>
          </w:tcPr>
          <w:p>
            <w:pPr>
              <w:keepNext/>
              <w:tabs>
                <w:tab w:val="center" w:pos="2370"/>
                <w:tab w:val="right" w:pos="4741"/>
              </w:tabs>
              <w:spacing w:before="120" w:after="240"/>
              <w:jc w:val="both"/>
              <w:rPr>
                <w:rFonts w:ascii="Times New Roman" w:hAnsi="Times New Roman" w:cs="Times New Roman"/>
                <w:b/>
                <w:noProof/>
                <w:sz w:val="18"/>
              </w:rPr>
            </w:pPr>
            <w:r>
              <w:rPr>
                <w:rFonts w:ascii="Times New Roman" w:hAnsi="Times New Roman"/>
                <w:b/>
                <w:noProof/>
                <w:sz w:val="18"/>
                <w:szCs w:val="18"/>
              </w:rPr>
              <w:t>Nota:</w:t>
            </w:r>
            <w:r>
              <w:rPr>
                <w:rFonts w:ascii="Times New Roman" w:hAnsi="Times New Roman"/>
                <w:noProof/>
                <w:sz w:val="18"/>
                <w:szCs w:val="18"/>
              </w:rPr>
              <w:t xml:space="preserve"> O número de avaliações por grupo é indicado entre parênteses. O número total de avaliações é 2 825.</w:t>
            </w:r>
          </w:p>
        </w:tc>
      </w:tr>
    </w:tbl>
    <w:p>
      <w:pPr>
        <w:spacing w:after="120"/>
        <w:jc w:val="both"/>
        <w:rPr>
          <w:rFonts w:ascii="Times New Roman" w:eastAsia="ヒラギノ角ゴ Pro W3" w:hAnsi="Times New Roman" w:cs="Times New Roman"/>
          <w:iCs/>
          <w:noProof/>
        </w:rPr>
      </w:pPr>
    </w:p>
    <w:p>
      <w:pPr>
        <w:spacing w:after="240"/>
        <w:jc w:val="both"/>
        <w:rPr>
          <w:rFonts w:ascii="Times New Roman" w:hAnsi="Times New Roman" w:cs="Times New Roman"/>
          <w:noProof/>
          <w:sz w:val="24"/>
          <w:szCs w:val="24"/>
        </w:rPr>
      </w:pPr>
      <w:r>
        <w:rPr>
          <w:rFonts w:ascii="Times New Roman" w:hAnsi="Times New Roman"/>
          <w:iCs/>
          <w:noProof/>
        </w:rPr>
        <w:t>Mais</w:t>
      </w:r>
      <w:r>
        <w:rPr>
          <w:rFonts w:ascii="Times New Roman" w:hAnsi="Times New Roman"/>
          <w:iCs/>
          <w:noProof/>
          <w:sz w:val="24"/>
          <w:szCs w:val="24"/>
        </w:rPr>
        <w:t xml:space="preserve"> de um quarto (27 %) das avaliações de espécies indicam um bom estado de conservação, em comparação com 23 % em 2015. 63 % apresentam um estado de conservação fraco ou mau, o que é semelhante ao valor de 2015 (60 %). </w:t>
      </w:r>
      <w:r>
        <w:rPr>
          <w:rFonts w:ascii="Times New Roman" w:hAnsi="Times New Roman"/>
          <w:noProof/>
          <w:sz w:val="24"/>
          <w:szCs w:val="24"/>
        </w:rPr>
        <w:t xml:space="preserve">O número de avaliações «desconhecido» caiu desde o último período de referência (de 17 % para 10 %), mas permanece significativamente maior do que para os </w:t>
      </w:r>
      <w:r>
        <w:rPr>
          <w:rFonts w:ascii="Times New Roman" w:hAnsi="Times New Roman"/>
          <w:i/>
          <w:noProof/>
          <w:sz w:val="24"/>
          <w:szCs w:val="24"/>
        </w:rPr>
        <w:t>habitats</w:t>
      </w:r>
      <w:r>
        <w:rPr>
          <w:rFonts w:ascii="Times New Roman" w:hAnsi="Times New Roman"/>
          <w:noProof/>
          <w:sz w:val="24"/>
          <w:szCs w:val="24"/>
        </w:rPr>
        <w:t xml:space="preserve"> (4 %). Ao nível dos Estados-Membros, o estado da maioria das espécies marinhas (59 %) é desconhecido, em comparação com apenas 8 % das espécies terrestres, </w:t>
      </w:r>
      <w:r>
        <w:rPr>
          <w:rFonts w:ascii="Times New Roman" w:hAnsi="Times New Roman"/>
          <w:iCs/>
          <w:noProof/>
          <w:sz w:val="24"/>
          <w:szCs w:val="24"/>
        </w:rPr>
        <w:t>sugerindo que não são dedicados recursos suficientes para as monitorizar.</w:t>
      </w:r>
    </w:p>
    <w:p>
      <w:pPr>
        <w:spacing w:after="240"/>
        <w:jc w:val="both"/>
        <w:rPr>
          <w:rFonts w:ascii="Times New Roman" w:hAnsi="Times New Roman" w:cs="Times New Roman"/>
          <w:noProof/>
          <w:sz w:val="24"/>
          <w:szCs w:val="24"/>
        </w:rPr>
      </w:pPr>
      <w:r>
        <w:rPr>
          <w:rFonts w:ascii="Times New Roman" w:hAnsi="Times New Roman"/>
          <w:noProof/>
          <w:sz w:val="24"/>
          <w:szCs w:val="24"/>
        </w:rPr>
        <w:t>Os grupos de espécies com maior proporção em bom estado ao nível da UE são os répteis e as plantas vasculares (36 % e 40 %, respetivamente). Cerca de 30 % das espécies de moluscos e peixes foram avaliadas em «mau estado».</w:t>
      </w:r>
    </w:p>
    <w:p>
      <w:pPr>
        <w:rPr>
          <w:rFonts w:ascii="Times New Roman" w:eastAsia="ヒラギノ角ゴ Pro W3" w:hAnsi="Times New Roman" w:cs="Times New Roman"/>
          <w:iCs/>
          <w:noProof/>
          <w:sz w:val="24"/>
          <w:szCs w:val="24"/>
        </w:rPr>
      </w:pPr>
    </w:p>
    <w:p>
      <w:pPr>
        <w:spacing w:after="240"/>
        <w:rPr>
          <w:rFonts w:ascii="Times New Roman" w:eastAsia="ヒラギノ角ゴ Pro W3" w:hAnsi="Times New Roman" w:cs="Times New Roman"/>
          <w:b/>
          <w:iCs/>
          <w:noProof/>
          <w:sz w:val="24"/>
          <w:szCs w:val="24"/>
        </w:rPr>
      </w:pPr>
      <w:r>
        <w:rPr>
          <w:rFonts w:ascii="Times New Roman" w:hAnsi="Times New Roman"/>
          <w:b/>
          <w:iCs/>
          <w:noProof/>
          <w:sz w:val="24"/>
          <w:szCs w:val="24"/>
        </w:rPr>
        <w:t>Tendências no estado de conservação das espécies</w:t>
      </w:r>
    </w:p>
    <w:tbl>
      <w:tblPr>
        <w:tblStyle w:val="HTG3"/>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4106"/>
        <w:gridCol w:w="5103"/>
      </w:tblGrid>
      <w:tr>
        <w:tc>
          <w:tcPr>
            <w:tcW w:w="4106" w:type="dxa"/>
          </w:tcPr>
          <w:p>
            <w:pPr>
              <w:spacing w:after="120"/>
              <w:ind w:right="204"/>
              <w:jc w:val="both"/>
              <w:rPr>
                <w:rFonts w:ascii="Times New Roman" w:hAnsi="Times New Roman" w:cs="Times New Roman"/>
                <w:b/>
                <w:noProof/>
                <w:sz w:val="20"/>
                <w:szCs w:val="20"/>
              </w:rPr>
            </w:pPr>
            <w:r>
              <w:rPr>
                <w:rFonts w:ascii="Times New Roman" w:hAnsi="Times New Roman"/>
                <w:b/>
                <w:noProof/>
                <w:sz w:val="20"/>
                <w:szCs w:val="20"/>
              </w:rPr>
              <w:t>Figura 7a: Tendências do estado de conservação das espécies com estado desfavorável (ou seja, não bom) ou desconhecido ao nível da UE</w:t>
            </w:r>
          </w:p>
        </w:tc>
        <w:tc>
          <w:tcPr>
            <w:tcW w:w="5103" w:type="dxa"/>
          </w:tcPr>
          <w:p>
            <w:pPr>
              <w:spacing w:after="120"/>
              <w:ind w:left="77"/>
              <w:jc w:val="both"/>
              <w:rPr>
                <w:rFonts w:ascii="Times New Roman" w:hAnsi="Times New Roman" w:cs="Times New Roman"/>
                <w:b/>
                <w:noProof/>
                <w:sz w:val="20"/>
                <w:szCs w:val="20"/>
              </w:rPr>
            </w:pPr>
            <w:r>
              <w:rPr>
                <w:rFonts w:ascii="Times New Roman" w:hAnsi="Times New Roman"/>
                <w:b/>
                <w:noProof/>
                <w:sz w:val="20"/>
                <w:szCs w:val="20"/>
              </w:rPr>
              <w:t>Figura 7b: Tendências do estado de conservação das espécies com estado desfavorável (ou seja, não bom) ou desconhecido a nível da UE, por grupo</w:t>
            </w:r>
          </w:p>
        </w:tc>
      </w:tr>
      <w:tr>
        <w:tc>
          <w:tcPr>
            <w:tcW w:w="4106" w:type="dxa"/>
            <w:vAlign w:val="center"/>
          </w:tcPr>
          <w:p>
            <w:pPr>
              <w:keepNext/>
              <w:jc w:val="center"/>
              <w:rPr>
                <w:rFonts w:ascii="Times New Roman" w:hAnsi="Times New Roman" w:cs="Times New Roman"/>
                <w:noProof/>
                <w:lang w:eastAsia="en-GB"/>
              </w:rPr>
            </w:pPr>
          </w:p>
          <w:p>
            <w:pPr>
              <w:keepNext/>
              <w:jc w:val="center"/>
              <w:rPr>
                <w:rFonts w:ascii="Times New Roman" w:hAnsi="Times New Roman" w:cs="Times New Roman"/>
                <w:noProof/>
              </w:rPr>
            </w:pPr>
            <w:r>
              <w:rPr>
                <w:rFonts w:ascii="Times New Roman" w:hAnsi="Times New Roman"/>
                <w:noProof/>
                <w:lang w:val="en-GB" w:eastAsia="en-GB"/>
              </w:rPr>
              <w:drawing>
                <wp:inline distT="0" distB="0" distL="0" distR="0">
                  <wp:extent cx="1542415" cy="154876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42415" cy="1548765"/>
                          </a:xfrm>
                          <a:prstGeom prst="rect">
                            <a:avLst/>
                          </a:prstGeom>
                          <a:noFill/>
                        </pic:spPr>
                      </pic:pic>
                    </a:graphicData>
                  </a:graphic>
                </wp:inline>
              </w:drawing>
            </w:r>
          </w:p>
          <w:p>
            <w:pPr>
              <w:keepNext/>
              <w:jc w:val="center"/>
              <w:rPr>
                <w:rFonts w:ascii="Times New Roman" w:hAnsi="Times New Roman" w:cs="Times New Roman"/>
                <w:noProof/>
                <w:lang w:val="en-GB"/>
              </w:rPr>
            </w:pPr>
          </w:p>
        </w:tc>
        <w:tc>
          <w:tcPr>
            <w:tcW w:w="5103" w:type="dxa"/>
            <w:vAlign w:val="center"/>
          </w:tcPr>
          <w:p>
            <w:pPr>
              <w:keepNext/>
              <w:ind w:left="77"/>
              <w:jc w:val="center"/>
              <w:rPr>
                <w:rFonts w:ascii="Times New Roman" w:hAnsi="Times New Roman" w:cs="Times New Roman"/>
                <w:noProof/>
                <w:lang w:val="en-GB"/>
              </w:rPr>
            </w:pPr>
          </w:p>
          <w:p>
            <w:pPr>
              <w:keepNext/>
              <w:ind w:left="77"/>
              <w:jc w:val="center"/>
              <w:rPr>
                <w:rFonts w:ascii="Times New Roman" w:hAnsi="Times New Roman" w:cs="Times New Roman"/>
                <w:noProof/>
              </w:rPr>
            </w:pPr>
            <w:r>
              <w:rPr>
                <w:noProof/>
                <w:lang w:val="en-GB" w:eastAsia="en-GB"/>
              </w:rPr>
              <w:drawing>
                <wp:inline distT="0" distB="0" distL="0" distR="0">
                  <wp:extent cx="3192780" cy="1645920"/>
                  <wp:effectExtent l="0" t="0" r="762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32"/>
                          <a:stretch>
                            <a:fillRect/>
                          </a:stretch>
                        </pic:blipFill>
                        <pic:spPr>
                          <a:xfrm>
                            <a:off x="0" y="0"/>
                            <a:ext cx="3228007" cy="1664080"/>
                          </a:xfrm>
                          <a:prstGeom prst="rect">
                            <a:avLst/>
                          </a:prstGeom>
                        </pic:spPr>
                      </pic:pic>
                    </a:graphicData>
                  </a:graphic>
                </wp:inline>
              </w:drawing>
            </w:r>
          </w:p>
          <w:p>
            <w:pPr>
              <w:keepNext/>
              <w:ind w:left="77"/>
              <w:jc w:val="center"/>
              <w:rPr>
                <w:rFonts w:ascii="Times New Roman" w:hAnsi="Times New Roman" w:cs="Times New Roman"/>
                <w:noProof/>
                <w:lang w:val="en-GB"/>
              </w:rPr>
            </w:pPr>
          </w:p>
        </w:tc>
      </w:tr>
      <w:tr>
        <w:tc>
          <w:tcPr>
            <w:tcW w:w="9209" w:type="dxa"/>
            <w:gridSpan w:val="2"/>
          </w:tcPr>
          <w:p>
            <w:pPr>
              <w:keepNext/>
              <w:jc w:val="both"/>
              <w:rPr>
                <w:rFonts w:ascii="Times New Roman" w:hAnsi="Times New Roman" w:cs="Times New Roman"/>
                <w:noProof/>
              </w:rPr>
            </w:pPr>
            <w:r>
              <w:rPr>
                <w:noProof/>
                <w:lang w:val="en-GB" w:eastAsia="en-GB"/>
              </w:rPr>
              <w:drawing>
                <wp:inline distT="0" distB="0" distL="0" distR="0">
                  <wp:extent cx="5667375" cy="316230"/>
                  <wp:effectExtent l="0" t="0" r="9525" b="762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33"/>
                          <a:stretch>
                            <a:fillRect/>
                          </a:stretch>
                        </pic:blipFill>
                        <pic:spPr>
                          <a:xfrm>
                            <a:off x="0" y="0"/>
                            <a:ext cx="5669121" cy="316327"/>
                          </a:xfrm>
                          <a:prstGeom prst="rect">
                            <a:avLst/>
                          </a:prstGeom>
                        </pic:spPr>
                      </pic:pic>
                    </a:graphicData>
                  </a:graphic>
                </wp:inline>
              </w:drawing>
            </w:r>
          </w:p>
        </w:tc>
      </w:tr>
      <w:tr>
        <w:tc>
          <w:tcPr>
            <w:tcW w:w="4106" w:type="dxa"/>
          </w:tcPr>
          <w:p>
            <w:pPr>
              <w:keepNext/>
              <w:spacing w:before="120"/>
              <w:ind w:right="63"/>
              <w:jc w:val="both"/>
              <w:rPr>
                <w:rFonts w:ascii="Times New Roman" w:hAnsi="Times New Roman" w:cs="Times New Roman"/>
                <w:b/>
                <w:noProof/>
                <w:sz w:val="18"/>
                <w:szCs w:val="18"/>
              </w:rPr>
            </w:pPr>
            <w:r>
              <w:rPr>
                <w:rFonts w:ascii="Times New Roman" w:hAnsi="Times New Roman"/>
                <w:b/>
                <w:noProof/>
                <w:sz w:val="18"/>
                <w:szCs w:val="18"/>
              </w:rPr>
              <w:t>Nota:</w:t>
            </w:r>
            <w:r>
              <w:rPr>
                <w:rFonts w:ascii="Times New Roman" w:hAnsi="Times New Roman"/>
                <w:noProof/>
                <w:sz w:val="18"/>
                <w:szCs w:val="18"/>
              </w:rPr>
              <w:t xml:space="preserve"> As tendências do estado de conservação baseiam-se em avaliações de espécies da UE (2 049).</w:t>
            </w:r>
          </w:p>
        </w:tc>
        <w:tc>
          <w:tcPr>
            <w:tcW w:w="5103" w:type="dxa"/>
          </w:tcPr>
          <w:p>
            <w:pPr>
              <w:keepNext/>
              <w:spacing w:before="120" w:after="240"/>
              <w:ind w:left="77"/>
              <w:jc w:val="both"/>
              <w:rPr>
                <w:rFonts w:ascii="Times New Roman" w:hAnsi="Times New Roman" w:cs="Times New Roman"/>
                <w:noProof/>
              </w:rPr>
            </w:pPr>
            <w:r>
              <w:rPr>
                <w:rFonts w:ascii="Times New Roman" w:hAnsi="Times New Roman"/>
                <w:b/>
                <w:noProof/>
                <w:sz w:val="18"/>
                <w:szCs w:val="18"/>
              </w:rPr>
              <w:t>Nota:</w:t>
            </w:r>
            <w:r>
              <w:rPr>
                <w:rFonts w:ascii="Times New Roman" w:hAnsi="Times New Roman"/>
                <w:noProof/>
                <w:sz w:val="18"/>
                <w:szCs w:val="18"/>
              </w:rPr>
              <w:t xml:space="preserve"> O número de avaliações é indicado entre parênteses. O número total de avaliações é 2 049.</w:t>
            </w:r>
          </w:p>
        </w:tc>
      </w:tr>
    </w:tbl>
    <w:p>
      <w:pPr>
        <w:spacing w:after="240"/>
        <w:jc w:val="both"/>
        <w:rPr>
          <w:rFonts w:ascii="Times New Roman" w:hAnsi="Times New Roman" w:cs="Times New Roman"/>
          <w:noProof/>
          <w:sz w:val="24"/>
          <w:szCs w:val="24"/>
        </w:rPr>
      </w:pP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Das 2 049 espécies avaliadas com um estado de conservação fraco ou mau a nível da UE, 35 % apresentam uma tendência descendente e 6 % uma tendência ascendente. Para os restantes 31 % a tendência é desconhecida. A proporção de espécies avaliadas com um estado fraco ou mau, mas com tendências de melhoria, permanece abaixo de 5 %, exceto no caso dos mamíferos, dos peixes e das plantas avasculares (10 %, 9 % e 6 %, respetivamente). Embora os peixes apresentem mais tendências ascendentes do que outros grupos de espécies, também mostram (junto com os anfíbios) a maior proporção de tendências de deterioração (perto de 50 %). Registam-se fortes tendências descendentes noutros grupos de espécies, por exemplo os especialistas de </w:t>
      </w:r>
      <w:r>
        <w:rPr>
          <w:rFonts w:ascii="Times New Roman" w:hAnsi="Times New Roman"/>
          <w:i/>
          <w:noProof/>
          <w:sz w:val="24"/>
          <w:szCs w:val="24"/>
        </w:rPr>
        <w:t>habitats</w:t>
      </w:r>
      <w:r>
        <w:rPr>
          <w:rFonts w:ascii="Times New Roman" w:hAnsi="Times New Roman"/>
          <w:noProof/>
          <w:sz w:val="24"/>
          <w:szCs w:val="24"/>
        </w:rPr>
        <w:t xml:space="preserve"> herbáceos, como a fritilária-dos-lameiros </w:t>
      </w:r>
      <w:r>
        <w:rPr>
          <w:rFonts w:ascii="Times New Roman" w:hAnsi="Times New Roman"/>
          <w:i/>
          <w:noProof/>
          <w:sz w:val="24"/>
          <w:szCs w:val="24"/>
        </w:rPr>
        <w:t>(Euphydryas aurinia)</w:t>
      </w:r>
      <w:r>
        <w:rPr>
          <w:rFonts w:ascii="Times New Roman" w:hAnsi="Times New Roman"/>
          <w:noProof/>
          <w:sz w:val="24"/>
          <w:szCs w:val="24"/>
        </w:rPr>
        <w:t xml:space="preserve"> e o cardo </w:t>
      </w:r>
      <w:r>
        <w:rPr>
          <w:rFonts w:ascii="Times New Roman" w:hAnsi="Times New Roman"/>
          <w:i/>
          <w:noProof/>
          <w:sz w:val="24"/>
          <w:szCs w:val="24"/>
        </w:rPr>
        <w:t>Jurinea cyanoides</w:t>
      </w:r>
      <w:r>
        <w:rPr>
          <w:rFonts w:ascii="Times New Roman" w:hAnsi="Times New Roman"/>
          <w:noProof/>
          <w:sz w:val="24"/>
          <w:szCs w:val="24"/>
        </w:rPr>
        <w:t>.</w:t>
      </w:r>
    </w:p>
    <w:p>
      <w:pPr>
        <w:spacing w:after="240"/>
        <w:jc w:val="both"/>
        <w:rPr>
          <w:rFonts w:ascii="Times New Roman" w:eastAsia="ヒラギノ角ゴ Pro W3" w:hAnsi="Times New Roman" w:cs="Times New Roman"/>
          <w:iCs/>
          <w:noProof/>
          <w:sz w:val="24"/>
          <w:szCs w:val="24"/>
        </w:rPr>
      </w:pPr>
    </w:p>
    <w:p>
      <w:pPr>
        <w:pStyle w:val="Heading1"/>
        <w:numPr>
          <w:ilvl w:val="0"/>
          <w:numId w:val="10"/>
        </w:numPr>
        <w:spacing w:after="240"/>
        <w:ind w:left="714" w:hanging="357"/>
        <w:rPr>
          <w:rFonts w:eastAsia="Times New Roman"/>
          <w:noProof/>
          <w:color w:val="auto"/>
        </w:rPr>
      </w:pPr>
      <w:r>
        <w:rPr>
          <w:noProof/>
          <w:color w:val="auto"/>
        </w:rPr>
        <w:t>Evolução no estado e nas tendências</w:t>
      </w:r>
    </w:p>
    <w:p>
      <w:pPr>
        <w:spacing w:after="240"/>
        <w:jc w:val="both"/>
        <w:rPr>
          <w:rFonts w:ascii="Times New Roman" w:hAnsi="Times New Roman" w:cs="Times New Roman"/>
          <w:b/>
          <w:i/>
          <w:noProof/>
          <w:sz w:val="24"/>
          <w:szCs w:val="24"/>
          <w:u w:val="single"/>
        </w:rPr>
      </w:pPr>
      <w:r>
        <w:rPr>
          <w:rFonts w:ascii="Times New Roman" w:hAnsi="Times New Roman"/>
          <w:b/>
          <w:i/>
          <w:noProof/>
          <w:sz w:val="24"/>
          <w:szCs w:val="24"/>
          <w:u w:val="single"/>
        </w:rPr>
        <w:t>3.1 Progressos para atingir a meta 1 da estratégia de biodiversidade para 2020</w:t>
      </w:r>
    </w:p>
    <w:p>
      <w:pPr>
        <w:spacing w:after="120"/>
        <w:jc w:val="both"/>
        <w:rPr>
          <w:rFonts w:ascii="Times New Roman" w:hAnsi="Times New Roman" w:cs="Times New Roman"/>
          <w:noProof/>
          <w:sz w:val="24"/>
          <w:szCs w:val="24"/>
        </w:rPr>
      </w:pPr>
      <w:r>
        <w:rPr>
          <w:rFonts w:ascii="Times New Roman" w:hAnsi="Times New Roman"/>
          <w:noProof/>
          <w:sz w:val="24"/>
          <w:szCs w:val="24"/>
        </w:rPr>
        <w:t>Com base nas informações fornecidas pelos Estados-Membros para a presente avaliação, determinou-se até que ponto a meta 1 da estratégia de biodiversidade para 2020</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foi alcançada. A meta consistia em travar a deterioração do estado de todas as espécies e </w:t>
      </w:r>
      <w:r>
        <w:rPr>
          <w:rFonts w:ascii="Times New Roman" w:hAnsi="Times New Roman"/>
          <w:i/>
          <w:noProof/>
          <w:sz w:val="24"/>
          <w:szCs w:val="24"/>
        </w:rPr>
        <w:t>habitats</w:t>
      </w:r>
      <w:r>
        <w:rPr>
          <w:rFonts w:ascii="Times New Roman" w:hAnsi="Times New Roman"/>
          <w:noProof/>
          <w:sz w:val="24"/>
          <w:szCs w:val="24"/>
        </w:rPr>
        <w:t xml:space="preserve"> abrangidos pela legislação da UE no domínio da natureza e obter uma melhoria sensível e mensurável do seu estado, de modo que, até 2020 (em relação às avaliações de 2010) existissem:</w:t>
      </w:r>
    </w:p>
    <w:p>
      <w:pPr>
        <w:numPr>
          <w:ilvl w:val="0"/>
          <w:numId w:val="9"/>
        </w:numPr>
        <w:spacing w:after="120"/>
        <w:ind w:left="681" w:hanging="397"/>
        <w:jc w:val="both"/>
        <w:rPr>
          <w:rFonts w:ascii="Times New Roman" w:hAnsi="Times New Roman" w:cs="Times New Roman"/>
          <w:noProof/>
          <w:sz w:val="24"/>
          <w:szCs w:val="24"/>
        </w:rPr>
      </w:pPr>
      <w:r>
        <w:rPr>
          <w:rFonts w:ascii="Times New Roman" w:hAnsi="Times New Roman"/>
          <w:noProof/>
          <w:sz w:val="24"/>
          <w:szCs w:val="24"/>
        </w:rPr>
        <w:t xml:space="preserve">mais 100 % de avaliações de </w:t>
      </w:r>
      <w:r>
        <w:rPr>
          <w:rFonts w:ascii="Times New Roman" w:hAnsi="Times New Roman"/>
          <w:i/>
          <w:noProof/>
          <w:sz w:val="24"/>
          <w:szCs w:val="24"/>
        </w:rPr>
        <w:t>habitats</w:t>
      </w:r>
      <w:r>
        <w:rPr>
          <w:rFonts w:ascii="Times New Roman" w:hAnsi="Times New Roman"/>
          <w:noProof/>
          <w:sz w:val="24"/>
          <w:szCs w:val="24"/>
        </w:rPr>
        <w:t xml:space="preserve"> com um estado de conservação favorável ou em recuperação (ou seja, 34 % do total);</w:t>
      </w:r>
    </w:p>
    <w:p>
      <w:pPr>
        <w:numPr>
          <w:ilvl w:val="0"/>
          <w:numId w:val="9"/>
        </w:numPr>
        <w:spacing w:after="120"/>
        <w:ind w:left="681" w:hanging="397"/>
        <w:jc w:val="both"/>
        <w:rPr>
          <w:rFonts w:ascii="Times New Roman" w:hAnsi="Times New Roman" w:cs="Times New Roman"/>
          <w:noProof/>
          <w:sz w:val="24"/>
          <w:szCs w:val="24"/>
        </w:rPr>
      </w:pPr>
      <w:r>
        <w:rPr>
          <w:rFonts w:ascii="Times New Roman" w:hAnsi="Times New Roman"/>
          <w:noProof/>
          <w:sz w:val="24"/>
          <w:szCs w:val="24"/>
        </w:rPr>
        <w:t xml:space="preserve">mais 50 % de avaliações das espécies abrangidas pela Diretiva </w:t>
      </w:r>
      <w:r>
        <w:rPr>
          <w:rFonts w:ascii="Times New Roman" w:hAnsi="Times New Roman"/>
          <w:i/>
          <w:noProof/>
          <w:sz w:val="24"/>
          <w:szCs w:val="24"/>
        </w:rPr>
        <w:t>Habitats</w:t>
      </w:r>
      <w:r>
        <w:rPr>
          <w:rFonts w:ascii="Times New Roman" w:hAnsi="Times New Roman"/>
          <w:noProof/>
          <w:sz w:val="24"/>
          <w:szCs w:val="24"/>
        </w:rPr>
        <w:t xml:space="preserve"> com um estado de conservação favorável ou em recuperação (35 %); </w:t>
      </w:r>
    </w:p>
    <w:p>
      <w:pPr>
        <w:numPr>
          <w:ilvl w:val="0"/>
          <w:numId w:val="9"/>
        </w:numPr>
        <w:spacing w:after="240"/>
        <w:ind w:left="681" w:hanging="397"/>
        <w:jc w:val="both"/>
        <w:rPr>
          <w:rFonts w:ascii="Times New Roman" w:hAnsi="Times New Roman" w:cs="Times New Roman"/>
          <w:noProof/>
          <w:sz w:val="24"/>
          <w:szCs w:val="24"/>
        </w:rPr>
      </w:pPr>
      <w:r>
        <w:rPr>
          <w:rFonts w:ascii="Times New Roman" w:hAnsi="Times New Roman"/>
          <w:noProof/>
          <w:sz w:val="24"/>
          <w:szCs w:val="24"/>
        </w:rPr>
        <w:t>mais 50 % de avaliações das espécies abrangidas pela Diretiva Aves com um estado populacional seguro ou em recuperação (78 %).</w:t>
      </w:r>
    </w:p>
    <w:p>
      <w:pPr>
        <w:spacing w:after="240"/>
        <w:ind w:left="681"/>
        <w:jc w:val="both"/>
        <w:rPr>
          <w:rFonts w:ascii="Times New Roman" w:hAnsi="Times New Roman" w:cs="Times New Roman"/>
          <w:noProof/>
          <w:sz w:val="24"/>
          <w:szCs w:val="24"/>
        </w:rPr>
      </w:pPr>
    </w:p>
    <w:tbl>
      <w:tblPr>
        <w:tblStyle w:val="HTG6"/>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trPr>
          <w:trHeight w:val="369"/>
        </w:trPr>
        <w:tc>
          <w:tcPr>
            <w:tcW w:w="9209" w:type="dxa"/>
          </w:tcPr>
          <w:p>
            <w:pPr>
              <w:spacing w:after="120"/>
              <w:jc w:val="both"/>
              <w:rPr>
                <w:rFonts w:ascii="Times New Roman" w:hAnsi="Times New Roman" w:cs="Times New Roman"/>
                <w:noProof/>
                <w:sz w:val="20"/>
                <w:szCs w:val="20"/>
              </w:rPr>
            </w:pPr>
            <w:r>
              <w:rPr>
                <w:rFonts w:ascii="Times New Roman" w:hAnsi="Times New Roman"/>
                <w:b/>
                <w:bCs/>
                <w:noProof/>
                <w:sz w:val="20"/>
                <w:szCs w:val="20"/>
              </w:rPr>
              <w:t xml:space="preserve">Figura 8: Progressos para atingir a meta 1 (em % das avaliações) </w:t>
            </w:r>
          </w:p>
        </w:tc>
      </w:tr>
      <w:tr>
        <w:tblPrEx>
          <w:tblCellMar>
            <w:left w:w="70" w:type="dxa"/>
            <w:right w:w="70" w:type="dxa"/>
          </w:tblCellMar>
        </w:tblPrEx>
        <w:trPr>
          <w:trHeight w:val="3443"/>
        </w:trPr>
        <w:tc>
          <w:tcPr>
            <w:tcW w:w="9209" w:type="dxa"/>
            <w:vAlign w:val="center"/>
          </w:tcPr>
          <w:p>
            <w:pPr>
              <w:jc w:val="both"/>
              <w:rPr>
                <w:rFonts w:ascii="Times New Roman" w:hAnsi="Times New Roman" w:cs="Times New Roman"/>
                <w:noProof/>
              </w:rPr>
            </w:pPr>
            <w:r>
              <w:rPr>
                <w:noProof/>
                <w:lang w:val="en-GB" w:eastAsia="en-GB"/>
              </w:rPr>
              <w:drawing>
                <wp:inline distT="0" distB="0" distL="0" distR="0">
                  <wp:extent cx="5828306" cy="278511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843660" cy="2792447"/>
                          </a:xfrm>
                          <a:prstGeom prst="rect">
                            <a:avLst/>
                          </a:prstGeom>
                        </pic:spPr>
                      </pic:pic>
                    </a:graphicData>
                  </a:graphic>
                </wp:inline>
              </w:drawing>
            </w:r>
          </w:p>
        </w:tc>
      </w:tr>
      <w:tr>
        <w:tblPrEx>
          <w:tblCellMar>
            <w:left w:w="70" w:type="dxa"/>
            <w:right w:w="70" w:type="dxa"/>
          </w:tblCellMar>
        </w:tblPrEx>
        <w:trPr>
          <w:trHeight w:val="454"/>
        </w:trPr>
        <w:tc>
          <w:tcPr>
            <w:tcW w:w="9209" w:type="dxa"/>
            <w:vAlign w:val="center"/>
          </w:tcPr>
          <w:p>
            <w:pPr>
              <w:spacing w:after="240"/>
              <w:jc w:val="both"/>
              <w:rPr>
                <w:rFonts w:ascii="Times New Roman" w:hAnsi="Times New Roman" w:cs="Times New Roman"/>
                <w:noProof/>
              </w:rPr>
            </w:pPr>
            <w:r>
              <w:rPr>
                <w:rFonts w:ascii="Times New Roman" w:hAnsi="Times New Roman"/>
                <w:b/>
                <w:noProof/>
                <w:sz w:val="18"/>
                <w:szCs w:val="18"/>
              </w:rPr>
              <w:t>Nota:</w:t>
            </w:r>
            <w:r>
              <w:rPr>
                <w:rFonts w:ascii="Times New Roman" w:hAnsi="Times New Roman"/>
                <w:noProof/>
              </w:rPr>
              <w:t xml:space="preserve"> </w:t>
            </w:r>
            <w:r>
              <w:rPr>
                <w:rFonts w:ascii="Times New Roman" w:hAnsi="Times New Roman"/>
                <w:noProof/>
                <w:sz w:val="18"/>
              </w:rPr>
              <w:t>Cada barra representa a percentagem das avaliações com bom estado ou em recuperação.</w:t>
            </w:r>
          </w:p>
        </w:tc>
      </w:tr>
    </w:tbl>
    <w:p>
      <w:pPr>
        <w:spacing w:after="0"/>
        <w:jc w:val="both"/>
        <w:rPr>
          <w:rFonts w:ascii="Times New Roman" w:hAnsi="Times New Roman" w:cs="Times New Roman"/>
          <w:noProof/>
          <w:sz w:val="24"/>
          <w:szCs w:val="24"/>
        </w:rPr>
      </w:pP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Houve um progresso limitado no cumprimento das metas fixadas para 2020 relativamente à base de referência de 2010, exceto no caso das espécies que não aves, cujo objetivo foi quase alcançado. A continuada deterioração de alguns </w:t>
      </w:r>
      <w:r>
        <w:rPr>
          <w:rFonts w:ascii="Times New Roman" w:hAnsi="Times New Roman"/>
          <w:i/>
          <w:noProof/>
          <w:sz w:val="24"/>
          <w:szCs w:val="24"/>
        </w:rPr>
        <w:t>habitats</w:t>
      </w:r>
      <w:r>
        <w:rPr>
          <w:rFonts w:ascii="Times New Roman" w:hAnsi="Times New Roman"/>
          <w:noProof/>
          <w:sz w:val="24"/>
          <w:szCs w:val="24"/>
        </w:rPr>
        <w:t xml:space="preserve"> e espécies supera as melhorias. Os dados comunicados em 2019 mostram que a proporção de espécies e </w:t>
      </w:r>
      <w:r>
        <w:rPr>
          <w:rFonts w:ascii="Times New Roman" w:hAnsi="Times New Roman"/>
          <w:i/>
          <w:noProof/>
          <w:sz w:val="24"/>
          <w:szCs w:val="24"/>
        </w:rPr>
        <w:t>habitats</w:t>
      </w:r>
      <w:r>
        <w:rPr>
          <w:rFonts w:ascii="Times New Roman" w:hAnsi="Times New Roman"/>
          <w:noProof/>
          <w:sz w:val="24"/>
          <w:szCs w:val="24"/>
        </w:rPr>
        <w:t xml:space="preserve"> com tendências de deterioração aumentou mesmo ligeiramente: no caso das aves de 20 % para 23 %, no caso das espécies que não aves de 22 % para 26 % e no caso dos </w:t>
      </w:r>
      <w:r>
        <w:rPr>
          <w:rFonts w:ascii="Times New Roman" w:hAnsi="Times New Roman"/>
          <w:i/>
          <w:noProof/>
          <w:sz w:val="24"/>
          <w:szCs w:val="24"/>
        </w:rPr>
        <w:t>habitats</w:t>
      </w:r>
      <w:r>
        <w:rPr>
          <w:rFonts w:ascii="Times New Roman" w:hAnsi="Times New Roman"/>
          <w:noProof/>
          <w:sz w:val="24"/>
          <w:szCs w:val="24"/>
        </w:rPr>
        <w:t xml:space="preserve"> de 30 % para 32 %.</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Não se alcançou a meta fixada para 2020 de classificar como favoráveis ou em melhoria 34 % das avaliações de </w:t>
      </w:r>
      <w:r>
        <w:rPr>
          <w:rFonts w:ascii="Times New Roman" w:hAnsi="Times New Roman"/>
          <w:i/>
          <w:noProof/>
          <w:sz w:val="24"/>
          <w:szCs w:val="24"/>
        </w:rPr>
        <w:t>habitats</w:t>
      </w:r>
      <w:r>
        <w:rPr>
          <w:rFonts w:ascii="Times New Roman" w:hAnsi="Times New Roman"/>
          <w:noProof/>
          <w:sz w:val="24"/>
          <w:szCs w:val="24"/>
        </w:rPr>
        <w:t xml:space="preserve"> (défice de 12 pontos percentuais). No entanto, a proporção de outras espécies que não aves, cujo estado foi avaliado como favorável ou em melhoria, quase atingiu a submeta fixada para 2020 de 35 % (défice de 2 pontos percentuais). As tendências das populações de aves apresentam um quadro misto, com um aumento no número de espécies seguras e em melhoria entre 2010 e 2015, mas alguma deterioração (menos 3 pontos percentuais) de 2015 a 2020, deixando uma lacuna de mais de 20 pontos percentuais em relação à meta de 78 %. Por conseguinte, a meta 1 da estratégia de biodiversidade para 2020 não foi alcançada.  </w:t>
      </w:r>
    </w:p>
    <w:p>
      <w:pPr>
        <w:spacing w:after="240"/>
        <w:jc w:val="both"/>
        <w:rPr>
          <w:rFonts w:ascii="Times New Roman" w:hAnsi="Times New Roman" w:cs="Times New Roman"/>
          <w:b/>
          <w:i/>
          <w:noProof/>
          <w:sz w:val="24"/>
          <w:szCs w:val="24"/>
          <w:u w:val="single"/>
        </w:rPr>
      </w:pPr>
      <w:r>
        <w:rPr>
          <w:rFonts w:ascii="Times New Roman" w:hAnsi="Times New Roman"/>
          <w:b/>
          <w:i/>
          <w:noProof/>
          <w:sz w:val="24"/>
          <w:szCs w:val="24"/>
          <w:u w:val="single"/>
        </w:rPr>
        <w:t>3.2 Melhorias nos Estados-Membros</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É sabido que o «estado de conservação» muda lentamente e, portanto, não é um indicador muito sensível para melhorias a curto prazo. Além disso, as avaliações a nível da UE podem ocultar melhorias em cada Estado-Membro. Por conseguinte, as tendências positivas e estabilizadoras a nível do país (em que uma tendência muda genuinamente de «em declínio» no período de referência anterior para «estável» no período atual) são desenvolvimentos positivos que devem ser tidos em conta e analisados em conjunto com alterações positivas do estado.  </w:t>
      </w:r>
    </w:p>
    <w:p>
      <w:pPr>
        <w:spacing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Em média, 6 % das avaliações de </w:t>
      </w:r>
      <w:r>
        <w:rPr>
          <w:rFonts w:ascii="Times New Roman" w:hAnsi="Times New Roman"/>
          <w:i/>
          <w:noProof/>
          <w:color w:val="000000" w:themeColor="text1"/>
          <w:sz w:val="24"/>
          <w:szCs w:val="24"/>
          <w:u w:val="single"/>
        </w:rPr>
        <w:t>habitats</w:t>
      </w:r>
      <w:r>
        <w:rPr>
          <w:rFonts w:ascii="Times New Roman" w:hAnsi="Times New Roman"/>
          <w:noProof/>
          <w:color w:val="000000" w:themeColor="text1"/>
          <w:sz w:val="24"/>
          <w:szCs w:val="24"/>
        </w:rPr>
        <w:t xml:space="preserve"> nacionais/regionais dos Estados-Membros mostram melhorias, mais frequentemente no caso de </w:t>
      </w:r>
      <w:r>
        <w:rPr>
          <w:rFonts w:ascii="Times New Roman" w:hAnsi="Times New Roman"/>
          <w:i/>
          <w:noProof/>
          <w:color w:val="000000" w:themeColor="text1"/>
          <w:sz w:val="24"/>
          <w:szCs w:val="24"/>
        </w:rPr>
        <w:t>habitats</w:t>
      </w:r>
      <w:r>
        <w:rPr>
          <w:rFonts w:ascii="Times New Roman" w:hAnsi="Times New Roman"/>
          <w:noProof/>
          <w:color w:val="000000" w:themeColor="text1"/>
          <w:sz w:val="24"/>
          <w:szCs w:val="24"/>
        </w:rPr>
        <w:t xml:space="preserve"> florestais e </w:t>
      </w:r>
      <w:r>
        <w:rPr>
          <w:rFonts w:ascii="Times New Roman" w:hAnsi="Times New Roman"/>
          <w:i/>
          <w:noProof/>
          <w:color w:val="000000" w:themeColor="text1"/>
          <w:sz w:val="24"/>
          <w:szCs w:val="24"/>
        </w:rPr>
        <w:t>habitats</w:t>
      </w:r>
      <w:r>
        <w:rPr>
          <w:rFonts w:ascii="Times New Roman" w:hAnsi="Times New Roman"/>
          <w:noProof/>
          <w:color w:val="000000" w:themeColor="text1"/>
          <w:sz w:val="24"/>
          <w:szCs w:val="24"/>
        </w:rPr>
        <w:t xml:space="preserve"> de água doce (10 % de todas as avaliações no grupo), charnecas e matos (7 %), pântanos, turfeiras e pântanos e </w:t>
      </w:r>
      <w:r>
        <w:rPr>
          <w:rFonts w:ascii="Times New Roman" w:hAnsi="Times New Roman"/>
          <w:i/>
          <w:noProof/>
          <w:color w:val="000000" w:themeColor="text1"/>
          <w:sz w:val="24"/>
          <w:szCs w:val="24"/>
        </w:rPr>
        <w:t>habitats</w:t>
      </w:r>
      <w:r>
        <w:rPr>
          <w:rFonts w:ascii="Times New Roman" w:hAnsi="Times New Roman"/>
          <w:noProof/>
          <w:color w:val="000000" w:themeColor="text1"/>
          <w:sz w:val="24"/>
          <w:szCs w:val="24"/>
        </w:rPr>
        <w:t xml:space="preserve"> dunares (6 %). Um exemplo de um </w:t>
      </w:r>
      <w:r>
        <w:rPr>
          <w:rFonts w:ascii="Times New Roman" w:hAnsi="Times New Roman"/>
          <w:i/>
          <w:noProof/>
          <w:color w:val="000000" w:themeColor="text1"/>
          <w:sz w:val="24"/>
          <w:szCs w:val="24"/>
        </w:rPr>
        <w:t>habitat</w:t>
      </w:r>
      <w:r>
        <w:rPr>
          <w:rFonts w:ascii="Times New Roman" w:hAnsi="Times New Roman"/>
          <w:noProof/>
          <w:color w:val="000000" w:themeColor="text1"/>
          <w:sz w:val="24"/>
          <w:szCs w:val="24"/>
        </w:rPr>
        <w:t xml:space="preserve"> costeiro em recuperação são os prados costeiros do Báltico, na Finlândia.</w:t>
      </w:r>
    </w:p>
    <w:p>
      <w:pPr>
        <w:spacing w:after="240"/>
        <w:jc w:val="both"/>
        <w:rPr>
          <w:rFonts w:ascii="Times New Roman" w:hAnsi="Times New Roman" w:cs="Times New Roman"/>
          <w:noProof/>
          <w:sz w:val="24"/>
          <w:szCs w:val="24"/>
          <w:highlight w:val="yellow"/>
        </w:rPr>
      </w:pPr>
      <w:r>
        <w:rPr>
          <w:rFonts w:ascii="Times New Roman" w:hAnsi="Times New Roman"/>
          <w:iCs/>
          <w:noProof/>
          <w:sz w:val="24"/>
          <w:szCs w:val="24"/>
        </w:rPr>
        <w:t xml:space="preserve">Da mesma forma, uma média de 6 % de todas as avaliações </w:t>
      </w:r>
      <w:r>
        <w:rPr>
          <w:rFonts w:ascii="Times New Roman" w:hAnsi="Times New Roman"/>
          <w:noProof/>
          <w:color w:val="000000" w:themeColor="text1"/>
          <w:sz w:val="24"/>
          <w:szCs w:val="24"/>
        </w:rPr>
        <w:t xml:space="preserve">nacionais/regionais </w:t>
      </w:r>
      <w:r>
        <w:rPr>
          <w:rFonts w:ascii="Times New Roman" w:hAnsi="Times New Roman"/>
          <w:iCs/>
          <w:noProof/>
          <w:sz w:val="24"/>
          <w:szCs w:val="24"/>
        </w:rPr>
        <w:t xml:space="preserve">de </w:t>
      </w:r>
      <w:r>
        <w:rPr>
          <w:rFonts w:ascii="Times New Roman" w:hAnsi="Times New Roman"/>
          <w:iCs/>
          <w:noProof/>
          <w:sz w:val="24"/>
          <w:szCs w:val="24"/>
          <w:u w:val="single"/>
        </w:rPr>
        <w:t>espécies que não aves</w:t>
      </w:r>
      <w:r>
        <w:rPr>
          <w:rFonts w:ascii="Times New Roman" w:hAnsi="Times New Roman"/>
          <w:iCs/>
          <w:noProof/>
          <w:sz w:val="24"/>
          <w:szCs w:val="24"/>
        </w:rPr>
        <w:t xml:space="preserve"> mostram melhorias. O maior número de melhorias regista-se nos mamíferos (9 % de todas as avaliações de mamíferos registadas mostram melhorias), seguido dos peixes (8 %) e das plantas vasculares (5 %). Entre os mamíferos constam, por exemplo, o castor (</w:t>
      </w:r>
      <w:r>
        <w:rPr>
          <w:rFonts w:ascii="Times New Roman" w:hAnsi="Times New Roman"/>
          <w:i/>
          <w:iCs/>
          <w:noProof/>
          <w:sz w:val="24"/>
          <w:szCs w:val="24"/>
        </w:rPr>
        <w:t>Castor fiber</w:t>
      </w:r>
      <w:r>
        <w:rPr>
          <w:rFonts w:ascii="Times New Roman" w:hAnsi="Times New Roman"/>
          <w:iCs/>
          <w:noProof/>
          <w:sz w:val="24"/>
          <w:szCs w:val="24"/>
        </w:rPr>
        <w:t>), a foca-cinzenta (</w:t>
      </w:r>
      <w:r>
        <w:rPr>
          <w:rFonts w:ascii="Times New Roman" w:hAnsi="Times New Roman"/>
          <w:i/>
          <w:iCs/>
          <w:noProof/>
          <w:sz w:val="24"/>
          <w:szCs w:val="24"/>
        </w:rPr>
        <w:t>Halichoerus grypus</w:t>
      </w:r>
      <w:r>
        <w:rPr>
          <w:rFonts w:ascii="Times New Roman" w:hAnsi="Times New Roman"/>
          <w:iCs/>
          <w:noProof/>
          <w:sz w:val="24"/>
          <w:szCs w:val="24"/>
        </w:rPr>
        <w:t>)</w:t>
      </w:r>
      <w:r>
        <w:rPr>
          <w:rFonts w:ascii="Times New Roman" w:hAnsi="Times New Roman"/>
          <w:i/>
          <w:iCs/>
          <w:noProof/>
          <w:sz w:val="24"/>
          <w:szCs w:val="24"/>
        </w:rPr>
        <w:t xml:space="preserve"> </w:t>
      </w:r>
      <w:r>
        <w:rPr>
          <w:rFonts w:ascii="Times New Roman" w:hAnsi="Times New Roman"/>
          <w:iCs/>
          <w:noProof/>
          <w:sz w:val="24"/>
          <w:szCs w:val="24"/>
        </w:rPr>
        <w:t>e a foca-vulgar (</w:t>
      </w:r>
      <w:r>
        <w:rPr>
          <w:rFonts w:ascii="Times New Roman" w:hAnsi="Times New Roman"/>
          <w:i/>
          <w:iCs/>
          <w:noProof/>
          <w:sz w:val="24"/>
          <w:szCs w:val="24"/>
        </w:rPr>
        <w:t>Phoca vitulina</w:t>
      </w:r>
      <w:r>
        <w:rPr>
          <w:rFonts w:ascii="Times New Roman" w:hAnsi="Times New Roman"/>
          <w:iCs/>
          <w:noProof/>
          <w:sz w:val="24"/>
          <w:szCs w:val="24"/>
        </w:rPr>
        <w:t>).</w:t>
      </w:r>
    </w:p>
    <w:p>
      <w:pPr>
        <w:kinsoku w:val="0"/>
        <w:overflowPunct w:val="0"/>
        <w:spacing w:after="240"/>
        <w:jc w:val="both"/>
        <w:textAlignment w:val="baseline"/>
        <w:rPr>
          <w:rFonts w:ascii="Times New Roman" w:eastAsia="ヒラギノ角ゴ Pro W3" w:hAnsi="Times New Roman" w:cs="Times New Roman"/>
          <w:iCs/>
          <w:noProof/>
          <w:sz w:val="24"/>
          <w:szCs w:val="24"/>
        </w:rPr>
      </w:pPr>
      <w:r>
        <w:rPr>
          <w:rFonts w:ascii="Times New Roman" w:hAnsi="Times New Roman"/>
          <w:iCs/>
          <w:noProof/>
          <w:sz w:val="24"/>
          <w:szCs w:val="24"/>
        </w:rPr>
        <w:t xml:space="preserve">No caso das </w:t>
      </w:r>
      <w:r>
        <w:rPr>
          <w:rFonts w:ascii="Times New Roman" w:hAnsi="Times New Roman"/>
          <w:iCs/>
          <w:noProof/>
          <w:sz w:val="24"/>
          <w:szCs w:val="24"/>
          <w:u w:val="single"/>
        </w:rPr>
        <w:t>aves</w:t>
      </w:r>
      <w:r>
        <w:rPr>
          <w:rFonts w:ascii="Times New Roman" w:hAnsi="Times New Roman"/>
          <w:iCs/>
          <w:noProof/>
          <w:sz w:val="24"/>
          <w:szCs w:val="24"/>
        </w:rPr>
        <w:t>, a melhoria a nível nacional é definida de forma diferente, uma vez que não existe uma avaliação nacional do estado de conservação e tendência do estado. Por conseguinte, uma tendência positiva da população a curto prazo ou uma estabilização após uma tendência negativa a longo prazo no relatório nacional anterior é considerada uma melhoria. No total, 2 148 relatórios dos Estados-Membros mostram melhorias de acordo com os critérios acima indicados. Globalmente, isto corresponde a 397 (sub)espécies de aves que melhoram em pelo menos um Estado-Membro e em pelo menos uma época avaliada. Cerca de 44 % de todas as aves com tendências de melhoria são aves aquáticas migratórias</w:t>
      </w:r>
      <w:r>
        <w:rPr>
          <w:rStyle w:val="FootnoteReference"/>
          <w:rFonts w:ascii="Times New Roman" w:eastAsia="ヒラギノ角ゴ Pro W3" w:hAnsi="Times New Roman" w:cs="Times New Roman"/>
          <w:iCs/>
          <w:noProof/>
          <w:sz w:val="24"/>
          <w:szCs w:val="24"/>
        </w:rPr>
        <w:footnoteReference w:id="15"/>
      </w:r>
      <w:r>
        <w:rPr>
          <w:rFonts w:ascii="Times New Roman" w:hAnsi="Times New Roman"/>
          <w:iCs/>
          <w:noProof/>
          <w:sz w:val="24"/>
          <w:szCs w:val="24"/>
        </w:rPr>
        <w:t xml:space="preserve">. Muitas dessas espécies também são categorizadas como espécies marinhas de acordo com a Diretiva-Quadro Estratégia Marinha e representam 33 % de todas as melhorias. As espécies de aves dos meios agrícolas e florestais representam cerca de 9 % cada. Exemplos de espécies de aves em recuperação são a </w:t>
      </w:r>
      <w:r>
        <w:rPr>
          <w:rFonts w:ascii="Times New Roman" w:hAnsi="Times New Roman"/>
          <w:noProof/>
          <w:sz w:val="24"/>
          <w:szCs w:val="24"/>
        </w:rPr>
        <w:t>águia-rabalva (</w:t>
      </w:r>
      <w:r>
        <w:rPr>
          <w:rFonts w:ascii="Times New Roman" w:hAnsi="Times New Roman"/>
          <w:i/>
          <w:noProof/>
          <w:sz w:val="24"/>
          <w:szCs w:val="24"/>
        </w:rPr>
        <w:t>Haliaeetus albicilla</w:t>
      </w:r>
      <w:r>
        <w:rPr>
          <w:rFonts w:ascii="Times New Roman" w:hAnsi="Times New Roman"/>
          <w:noProof/>
          <w:sz w:val="24"/>
          <w:szCs w:val="24"/>
        </w:rPr>
        <w:t>), o grou (</w:t>
      </w:r>
      <w:r>
        <w:rPr>
          <w:rFonts w:ascii="Times New Roman" w:hAnsi="Times New Roman"/>
          <w:i/>
          <w:noProof/>
          <w:sz w:val="24"/>
          <w:szCs w:val="24"/>
        </w:rPr>
        <w:t>Grus grus</w:t>
      </w:r>
      <w:r>
        <w:rPr>
          <w:rFonts w:ascii="Times New Roman" w:hAnsi="Times New Roman"/>
          <w:noProof/>
          <w:sz w:val="24"/>
          <w:szCs w:val="24"/>
        </w:rPr>
        <w:t>), o milhafre-real (</w:t>
      </w:r>
      <w:r>
        <w:rPr>
          <w:rFonts w:ascii="Times New Roman" w:hAnsi="Times New Roman"/>
          <w:i/>
          <w:noProof/>
          <w:sz w:val="24"/>
          <w:szCs w:val="24"/>
        </w:rPr>
        <w:t>Milvus milvus)</w:t>
      </w:r>
      <w:r>
        <w:rPr>
          <w:rFonts w:ascii="Times New Roman" w:hAnsi="Times New Roman"/>
          <w:noProof/>
          <w:sz w:val="24"/>
          <w:szCs w:val="24"/>
        </w:rPr>
        <w:t xml:space="preserve"> e a graça-branca-grande (</w:t>
      </w:r>
      <w:r>
        <w:rPr>
          <w:rFonts w:ascii="Times New Roman" w:hAnsi="Times New Roman"/>
          <w:i/>
          <w:noProof/>
          <w:sz w:val="24"/>
          <w:szCs w:val="24"/>
        </w:rPr>
        <w:t>Ardea alba</w:t>
      </w:r>
      <w:r>
        <w:rPr>
          <w:rFonts w:ascii="Times New Roman" w:hAnsi="Times New Roman"/>
          <w:noProof/>
          <w:sz w:val="24"/>
          <w:szCs w:val="24"/>
        </w:rPr>
        <w:t>).</w:t>
      </w:r>
    </w:p>
    <w:p>
      <w:pPr>
        <w:spacing w:after="240"/>
        <w:jc w:val="both"/>
        <w:rPr>
          <w:rFonts w:ascii="Times New Roman" w:hAnsi="Times New Roman" w:cs="Times New Roman"/>
          <w:b/>
          <w:i/>
          <w:noProof/>
          <w:sz w:val="24"/>
          <w:szCs w:val="24"/>
          <w:u w:val="single"/>
        </w:rPr>
      </w:pPr>
      <w:r>
        <w:rPr>
          <w:rFonts w:ascii="Times New Roman" w:hAnsi="Times New Roman"/>
          <w:b/>
          <w:i/>
          <w:noProof/>
          <w:sz w:val="24"/>
          <w:szCs w:val="24"/>
          <w:u w:val="single"/>
        </w:rPr>
        <w:t>3.3 Progresso na qualidade dos dados</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A avaliação do progresso no estado de conservação requer a implantação de sistemas de monitorização adequados em todos os Estados Membros. Em muitos casos, no entanto, as informações comunicadas são provenientes de levantamentos parciais realizados para outros fins. Noutros casos, os Estados-Membros não dispõem de dados adequados e dependem do parecer de peritos. No caso dos </w:t>
      </w:r>
      <w:r>
        <w:rPr>
          <w:rFonts w:ascii="Times New Roman" w:hAnsi="Times New Roman"/>
          <w:i/>
          <w:noProof/>
          <w:sz w:val="24"/>
          <w:szCs w:val="24"/>
        </w:rPr>
        <w:t>habitats</w:t>
      </w:r>
      <w:r>
        <w:rPr>
          <w:rFonts w:ascii="Times New Roman" w:hAnsi="Times New Roman"/>
          <w:noProof/>
          <w:sz w:val="24"/>
          <w:szCs w:val="24"/>
        </w:rPr>
        <w:t xml:space="preserve"> e espécies da Diretiva </w:t>
      </w:r>
      <w:r>
        <w:rPr>
          <w:rFonts w:ascii="Times New Roman" w:hAnsi="Times New Roman"/>
          <w:i/>
          <w:noProof/>
          <w:sz w:val="24"/>
          <w:szCs w:val="24"/>
        </w:rPr>
        <w:t>Habitats</w:t>
      </w:r>
      <w:r>
        <w:rPr>
          <w:rFonts w:ascii="Times New Roman" w:hAnsi="Times New Roman"/>
          <w:noProof/>
          <w:sz w:val="24"/>
          <w:szCs w:val="24"/>
        </w:rPr>
        <w:t>, mais de 40 % das informações comunicadas provêm de levantamentos parciais e mais de 20 % baseiam-se apenas no parecer de peritos. Quanto aos dados relativos às aves, mais de 30 % das informações comunicadas provêm de levantamentos parciais e mais de 15 % baseiam-se no parecer de peritos. Esta ronda de divulgação de dados mostra que ainda existem limitações devido a dados insuficientes ou incompletos (embora em graus muito variáveis entre os Estados-Membros e em menor escala do que em 2015). Apesar disso, os dados aqui apresentados são um marco na avaliação do estado da natureza na UE e fornecem uma base sólida para melhorar a comunicação, a avaliação e a implantação com vista à consecução dos objetivos da estratégia de biodiversidade da UE para 2030.</w:t>
      </w:r>
    </w:p>
    <w:p>
      <w:pPr>
        <w:pStyle w:val="Heading1"/>
        <w:numPr>
          <w:ilvl w:val="0"/>
          <w:numId w:val="10"/>
        </w:numPr>
        <w:spacing w:before="360" w:after="240"/>
        <w:ind w:left="714" w:hanging="357"/>
        <w:rPr>
          <w:rFonts w:eastAsia="Times New Roman"/>
          <w:noProof/>
          <w:color w:val="auto"/>
        </w:rPr>
      </w:pPr>
      <w:r>
        <w:rPr>
          <w:noProof/>
          <w:color w:val="auto"/>
        </w:rPr>
        <w:t>Pressões e respostas</w:t>
      </w:r>
    </w:p>
    <w:p>
      <w:pPr>
        <w:spacing w:after="240" w:line="240" w:lineRule="auto"/>
        <w:jc w:val="both"/>
        <w:rPr>
          <w:rFonts w:ascii="Times New Roman" w:eastAsia="Times New Roman" w:hAnsi="Times New Roman" w:cs="Times New Roman"/>
          <w:b/>
          <w:i/>
          <w:noProof/>
          <w:sz w:val="24"/>
          <w:szCs w:val="24"/>
          <w:u w:val="single"/>
        </w:rPr>
      </w:pPr>
      <w:r>
        <w:rPr>
          <w:rFonts w:ascii="Times New Roman" w:hAnsi="Times New Roman"/>
          <w:b/>
          <w:i/>
          <w:noProof/>
          <w:sz w:val="24"/>
          <w:szCs w:val="24"/>
          <w:u w:val="single"/>
        </w:rPr>
        <w:t>4.1 Pressões</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A Europa é uma das regiões mais densamente povoadas do mundo. A atividade humana moldou as paisagens europeias ao longo dos séculos e contribuiu muito para a sua biodiversidade, por exemplo, </w:t>
      </w:r>
      <w:r>
        <w:rPr>
          <w:rFonts w:ascii="Times New Roman" w:hAnsi="Times New Roman"/>
          <w:i/>
          <w:noProof/>
          <w:sz w:val="24"/>
          <w:szCs w:val="24"/>
        </w:rPr>
        <w:t>habitats</w:t>
      </w:r>
      <w:r>
        <w:rPr>
          <w:rFonts w:ascii="Times New Roman" w:hAnsi="Times New Roman"/>
          <w:noProof/>
          <w:sz w:val="24"/>
          <w:szCs w:val="24"/>
        </w:rPr>
        <w:t xml:space="preserve"> seminaturais, como prados de feno extensivos e prados secos seminaturais. No entanto, a atividade humana também causou a deterioração e o declínio de muitas espécies e tipos de </w:t>
      </w:r>
      <w:r>
        <w:rPr>
          <w:rFonts w:ascii="Times New Roman" w:hAnsi="Times New Roman"/>
          <w:i/>
          <w:noProof/>
          <w:sz w:val="24"/>
          <w:szCs w:val="24"/>
        </w:rPr>
        <w:t>habitat</w:t>
      </w:r>
      <w:r>
        <w:rPr>
          <w:rFonts w:ascii="Times New Roman" w:hAnsi="Times New Roman"/>
          <w:noProof/>
          <w:sz w:val="24"/>
          <w:szCs w:val="24"/>
        </w:rPr>
        <w:t xml:space="preserve"> autóctones — particularmente (e muito mais rápido) nos últimos 100 anos. </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Os Estados-Membros comunicaram informações sobre as principais causas da perda de espécies e da degradação dos </w:t>
      </w:r>
      <w:r>
        <w:rPr>
          <w:rFonts w:ascii="Times New Roman" w:hAnsi="Times New Roman"/>
          <w:i/>
          <w:noProof/>
          <w:sz w:val="24"/>
          <w:szCs w:val="24"/>
        </w:rPr>
        <w:t>habitats</w:t>
      </w:r>
      <w:r>
        <w:rPr>
          <w:rFonts w:ascii="Times New Roman" w:hAnsi="Times New Roman"/>
          <w:noProof/>
          <w:sz w:val="24"/>
          <w:szCs w:val="24"/>
        </w:rPr>
        <w:t xml:space="preserve"> para cada espécie e </w:t>
      </w:r>
      <w:r>
        <w:rPr>
          <w:rFonts w:ascii="Times New Roman" w:hAnsi="Times New Roman"/>
          <w:i/>
          <w:noProof/>
          <w:sz w:val="24"/>
          <w:szCs w:val="24"/>
        </w:rPr>
        <w:t>habitat</w:t>
      </w:r>
      <w:r>
        <w:rPr>
          <w:rFonts w:ascii="Times New Roman" w:hAnsi="Times New Roman"/>
          <w:noProof/>
          <w:sz w:val="24"/>
          <w:szCs w:val="24"/>
        </w:rPr>
        <w:t>. No total, forneceram 67 000 registos usando uma lista de 203 pressões individuais repartidas por 15 categorias (de «A-Agricultura» a «X-Outras»).</w:t>
      </w:r>
    </w:p>
    <w:p>
      <w:pPr>
        <w:spacing w:after="240"/>
        <w:jc w:val="both"/>
        <w:rPr>
          <w:rFonts w:ascii="Times New Roman" w:hAnsi="Times New Roman" w:cs="Times New Roman"/>
          <w:noProof/>
          <w:sz w:val="24"/>
          <w:szCs w:val="24"/>
        </w:rPr>
      </w:pPr>
    </w:p>
    <w:p>
      <w:pPr>
        <w:spacing w:after="240"/>
        <w:jc w:val="both"/>
        <w:rPr>
          <w:rFonts w:ascii="Times New Roman" w:hAnsi="Times New Roman" w:cs="Times New Roman"/>
          <w:noProof/>
          <w:sz w:val="24"/>
          <w:szCs w:val="24"/>
        </w:rPr>
      </w:pPr>
    </w:p>
    <w:p>
      <w:pPr>
        <w:spacing w:after="240"/>
        <w:jc w:val="both"/>
        <w:rPr>
          <w:rFonts w:ascii="Times New Roman" w:hAnsi="Times New Roman" w:cs="Times New Roman"/>
          <w:noProof/>
          <w:sz w:val="24"/>
          <w:szCs w:val="24"/>
        </w:rPr>
      </w:pPr>
    </w:p>
    <w:p>
      <w:pPr>
        <w:spacing w:after="240"/>
        <w:jc w:val="both"/>
        <w:rPr>
          <w:rFonts w:ascii="Times New Roman" w:hAnsi="Times New Roman" w:cs="Times New Roman"/>
          <w:noProof/>
          <w:sz w:val="24"/>
          <w:szCs w:val="24"/>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1"/>
      </w:tblGrid>
      <w:tr>
        <w:tc>
          <w:tcPr>
            <w:tcW w:w="10031" w:type="dxa"/>
          </w:tcPr>
          <w:p>
            <w:pPr>
              <w:spacing w:after="120"/>
              <w:jc w:val="both"/>
              <w:rPr>
                <w:rFonts w:ascii="Times New Roman" w:hAnsi="Times New Roman" w:cs="Times New Roman"/>
                <w:b/>
                <w:noProof/>
                <w:sz w:val="20"/>
                <w:szCs w:val="20"/>
              </w:rPr>
            </w:pPr>
            <w:r>
              <w:rPr>
                <w:rFonts w:ascii="Times New Roman" w:hAnsi="Times New Roman"/>
                <w:b/>
                <w:noProof/>
                <w:sz w:val="20"/>
                <w:szCs w:val="20"/>
              </w:rPr>
              <w:t xml:space="preserve">Figura 9: Distribuição das categorias de pressão de nível 1 entre </w:t>
            </w:r>
            <w:r>
              <w:rPr>
                <w:rFonts w:ascii="Times New Roman" w:hAnsi="Times New Roman"/>
                <w:b/>
                <w:i/>
                <w:noProof/>
                <w:sz w:val="20"/>
                <w:szCs w:val="20"/>
              </w:rPr>
              <w:t>habitats</w:t>
            </w:r>
            <w:r>
              <w:rPr>
                <w:rFonts w:ascii="Times New Roman" w:hAnsi="Times New Roman"/>
                <w:b/>
                <w:noProof/>
                <w:sz w:val="20"/>
                <w:szCs w:val="20"/>
              </w:rPr>
              <w:t>, espécies que não aves e aves</w:t>
            </w:r>
            <w:r>
              <w:rPr>
                <w:rFonts w:ascii="Times New Roman" w:hAnsi="Times New Roman"/>
                <w:noProof/>
                <w:sz w:val="20"/>
                <w:szCs w:val="20"/>
              </w:rPr>
              <w:t xml:space="preserve"> </w:t>
            </w:r>
          </w:p>
        </w:tc>
      </w:tr>
      <w:tr>
        <w:tc>
          <w:tcPr>
            <w:tcW w:w="10031" w:type="dxa"/>
          </w:tcPr>
          <w:p>
            <w:pPr>
              <w:spacing w:before="120" w:after="120"/>
              <w:ind w:left="33"/>
              <w:jc w:val="both"/>
              <w:rPr>
                <w:rFonts w:ascii="Times New Roman" w:hAnsi="Times New Roman" w:cs="Times New Roman"/>
                <w:noProof/>
              </w:rPr>
            </w:pPr>
            <w:r>
              <w:rPr>
                <w:rFonts w:ascii="Times New Roman" w:hAnsi="Times New Roman"/>
                <w:noProof/>
                <w:lang w:val="en-GB" w:eastAsia="en-GB"/>
              </w:rPr>
              <w:drawing>
                <wp:inline distT="0" distB="0" distL="0" distR="0">
                  <wp:extent cx="5745193" cy="4533265"/>
                  <wp:effectExtent l="0" t="0" r="8255" b="63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Fig 4.1_pressure_matrix.png"/>
                          <pic:cNvPicPr/>
                        </pic:nvPicPr>
                        <pic:blipFill rotWithShape="1">
                          <a:blip r:embed="rId35" cstate="screen">
                            <a:extLst>
                              <a:ext uri="{28A0092B-C50C-407E-A947-70E740481C1C}">
                                <a14:useLocalDpi xmlns:a14="http://schemas.microsoft.com/office/drawing/2010/main"/>
                              </a:ext>
                            </a:extLst>
                          </a:blip>
                          <a:srcRect b="11525"/>
                          <a:stretch/>
                        </pic:blipFill>
                        <pic:spPr bwMode="auto">
                          <a:xfrm>
                            <a:off x="0" y="0"/>
                            <a:ext cx="5772771" cy="4555025"/>
                          </a:xfrm>
                          <a:prstGeom prst="rect">
                            <a:avLst/>
                          </a:prstGeom>
                          <a:ln>
                            <a:noFill/>
                          </a:ln>
                          <a:extLst>
                            <a:ext uri="{53640926-AAD7-44D8-BBD7-CCE9431645EC}">
                              <a14:shadowObscured xmlns:a14="http://schemas.microsoft.com/office/drawing/2010/main"/>
                            </a:ext>
                          </a:extLst>
                        </pic:spPr>
                      </pic:pic>
                    </a:graphicData>
                  </a:graphic>
                </wp:inline>
              </w:drawing>
            </w:r>
          </w:p>
        </w:tc>
      </w:tr>
      <w:tr>
        <w:tc>
          <w:tcPr>
            <w:tcW w:w="10031" w:type="dxa"/>
          </w:tcPr>
          <w:p>
            <w:pPr>
              <w:ind w:left="360"/>
              <w:jc w:val="both"/>
              <w:rPr>
                <w:rFonts w:ascii="Times New Roman" w:hAnsi="Times New Roman" w:cs="Times New Roman"/>
                <w:noProof/>
              </w:rPr>
            </w:pPr>
          </w:p>
        </w:tc>
      </w:tr>
    </w:tbl>
    <w:p>
      <w:pPr>
        <w:spacing w:after="240"/>
        <w:jc w:val="both"/>
        <w:rPr>
          <w:rFonts w:ascii="Times New Roman" w:hAnsi="Times New Roman" w:cs="Times New Roman"/>
          <w:noProof/>
          <w:sz w:val="24"/>
          <w:szCs w:val="24"/>
        </w:rPr>
      </w:pPr>
      <w:r>
        <w:rPr>
          <w:rFonts w:ascii="Times New Roman" w:hAnsi="Times New Roman"/>
          <w:iCs/>
          <w:noProof/>
          <w:sz w:val="24"/>
          <w:szCs w:val="24"/>
        </w:rPr>
        <w:t xml:space="preserve">As pressões comunicadas com mais frequência, tanto para os </w:t>
      </w:r>
      <w:r>
        <w:rPr>
          <w:rFonts w:ascii="Times New Roman" w:hAnsi="Times New Roman"/>
          <w:i/>
          <w:iCs/>
          <w:noProof/>
          <w:sz w:val="24"/>
          <w:szCs w:val="24"/>
        </w:rPr>
        <w:t>habitats</w:t>
      </w:r>
      <w:r>
        <w:rPr>
          <w:rFonts w:ascii="Times New Roman" w:hAnsi="Times New Roman"/>
          <w:iCs/>
          <w:noProof/>
          <w:sz w:val="24"/>
          <w:szCs w:val="24"/>
        </w:rPr>
        <w:t xml:space="preserve"> como para as espécies, derivam da </w:t>
      </w:r>
      <w:r>
        <w:rPr>
          <w:rFonts w:ascii="Times New Roman" w:hAnsi="Times New Roman"/>
          <w:iCs/>
          <w:noProof/>
          <w:sz w:val="24"/>
          <w:szCs w:val="24"/>
          <w:u w:val="single"/>
        </w:rPr>
        <w:t>agricultura</w:t>
      </w:r>
      <w:r>
        <w:rPr>
          <w:rFonts w:ascii="Times New Roman" w:hAnsi="Times New Roman"/>
          <w:iCs/>
          <w:noProof/>
          <w:sz w:val="24"/>
          <w:szCs w:val="24"/>
        </w:rPr>
        <w:t xml:space="preserve">, o que reflete a importância relativa da utilização de terras agrícolas e das alterações nas práticas agrícolas (intensificação e abandono da agricultura extensiva). A gestão agrícola extensiva cria e mantém </w:t>
      </w:r>
      <w:r>
        <w:rPr>
          <w:rFonts w:ascii="Times New Roman" w:hAnsi="Times New Roman"/>
          <w:i/>
          <w:iCs/>
          <w:noProof/>
          <w:sz w:val="24"/>
          <w:szCs w:val="24"/>
        </w:rPr>
        <w:t>habitats</w:t>
      </w:r>
      <w:r>
        <w:rPr>
          <w:rFonts w:ascii="Times New Roman" w:hAnsi="Times New Roman"/>
          <w:iCs/>
          <w:noProof/>
          <w:sz w:val="24"/>
          <w:szCs w:val="24"/>
        </w:rPr>
        <w:t xml:space="preserve"> seminaturais com fauna e flora diversificada. No entanto, desde a década de 1950 que a agricultura mais intensiva e especializada tem contribuído cada vez mais para a contínua perda de biodiversidade. </w:t>
      </w:r>
      <w:r>
        <w:rPr>
          <w:rFonts w:ascii="Times New Roman" w:hAnsi="Times New Roman"/>
          <w:noProof/>
          <w:sz w:val="24"/>
          <w:szCs w:val="24"/>
        </w:rPr>
        <w:t xml:space="preserve">Prados, </w:t>
      </w:r>
      <w:r>
        <w:rPr>
          <w:rFonts w:ascii="Times New Roman" w:hAnsi="Times New Roman"/>
          <w:i/>
          <w:noProof/>
          <w:sz w:val="24"/>
          <w:szCs w:val="24"/>
        </w:rPr>
        <w:t>habitats</w:t>
      </w:r>
      <w:r>
        <w:rPr>
          <w:rFonts w:ascii="Times New Roman" w:hAnsi="Times New Roman"/>
          <w:noProof/>
          <w:sz w:val="24"/>
          <w:szCs w:val="24"/>
        </w:rPr>
        <w:t xml:space="preserve"> de água doce, charnecas e matos, bem como turfeiras e pântanos foram os mais severamente afetados. Os </w:t>
      </w:r>
      <w:r>
        <w:rPr>
          <w:rFonts w:ascii="Times New Roman" w:hAnsi="Times New Roman"/>
          <w:i/>
          <w:noProof/>
          <w:sz w:val="24"/>
          <w:szCs w:val="24"/>
        </w:rPr>
        <w:t>habitats</w:t>
      </w:r>
      <w:r>
        <w:rPr>
          <w:rFonts w:ascii="Times New Roman" w:hAnsi="Times New Roman"/>
          <w:noProof/>
          <w:sz w:val="24"/>
          <w:szCs w:val="24"/>
        </w:rPr>
        <w:t xml:space="preserve"> seminaturais dependentes da agricultura</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como os prados, estão particularmente ameaçados e o seu estado de conservação é significativamente pior do que o de outros tipos de </w:t>
      </w:r>
      <w:r>
        <w:rPr>
          <w:rFonts w:ascii="Times New Roman" w:hAnsi="Times New Roman"/>
          <w:i/>
          <w:noProof/>
          <w:sz w:val="24"/>
          <w:szCs w:val="24"/>
        </w:rPr>
        <w:t>habitat</w:t>
      </w:r>
      <w:r>
        <w:rPr>
          <w:rFonts w:ascii="Times New Roman" w:hAnsi="Times New Roman"/>
          <w:noProof/>
          <w:sz w:val="24"/>
          <w:szCs w:val="24"/>
        </w:rPr>
        <w:t xml:space="preserve"> que não dependem da agricultura (45 % são avaliados em mau estado, em comparação com os 31 % no caso dos outros </w:t>
      </w:r>
      <w:r>
        <w:rPr>
          <w:rFonts w:ascii="Times New Roman" w:hAnsi="Times New Roman"/>
          <w:i/>
          <w:noProof/>
          <w:sz w:val="24"/>
          <w:szCs w:val="24"/>
        </w:rPr>
        <w:t>habitats</w:t>
      </w:r>
      <w:r>
        <w:rPr>
          <w:rFonts w:ascii="Times New Roman" w:hAnsi="Times New Roman"/>
          <w:noProof/>
          <w:sz w:val="24"/>
          <w:szCs w:val="24"/>
        </w:rPr>
        <w:t xml:space="preserve">). Em comparação com 2015, as avaliações dos </w:t>
      </w:r>
      <w:r>
        <w:rPr>
          <w:rFonts w:ascii="Times New Roman" w:hAnsi="Times New Roman"/>
          <w:i/>
          <w:noProof/>
          <w:sz w:val="24"/>
          <w:szCs w:val="24"/>
        </w:rPr>
        <w:t>habitats</w:t>
      </w:r>
      <w:r>
        <w:rPr>
          <w:rFonts w:ascii="Times New Roman" w:hAnsi="Times New Roman"/>
          <w:noProof/>
          <w:sz w:val="24"/>
          <w:szCs w:val="24"/>
        </w:rPr>
        <w:t xml:space="preserve"> agrícolas mostram uma deterioração geral do estado de conservação: o bom estado diminuiu de 14 % para 12 % e o mau estado aumentou de 39 % para 45 %. Apenas 8 % dos </w:t>
      </w:r>
      <w:r>
        <w:rPr>
          <w:rFonts w:ascii="Times New Roman" w:hAnsi="Times New Roman"/>
          <w:i/>
          <w:noProof/>
          <w:sz w:val="24"/>
          <w:szCs w:val="24"/>
        </w:rPr>
        <w:t>habitats</w:t>
      </w:r>
      <w:r>
        <w:rPr>
          <w:rFonts w:ascii="Times New Roman" w:hAnsi="Times New Roman"/>
          <w:noProof/>
          <w:sz w:val="24"/>
          <w:szCs w:val="24"/>
        </w:rPr>
        <w:t xml:space="preserve"> agrícolas mostram uma tendência de melhoria, enquanto 45 % estão em deterioração. Muitas espécies de aves, répteis, moluscos, anfíbios, artrópodes e plantas vasculares também são afetados e a biodiversidade das terras agrícolas continua em declínio.</w:t>
      </w:r>
    </w:p>
    <w:p>
      <w:pPr>
        <w:jc w:val="both"/>
        <w:rPr>
          <w:rFonts w:ascii="Times New Roman" w:hAnsi="Times New Roman" w:cs="Times New Roman"/>
          <w:noProof/>
          <w:sz w:val="24"/>
          <w:szCs w:val="24"/>
          <w:u w:val="single"/>
        </w:rPr>
      </w:pPr>
      <w:r>
        <w:rPr>
          <w:rFonts w:ascii="Times New Roman" w:hAnsi="Times New Roman"/>
          <w:noProof/>
          <w:sz w:val="24"/>
          <w:szCs w:val="24"/>
        </w:rPr>
        <w:t xml:space="preserve">De um modo geral, entre todas as categorias, a </w:t>
      </w:r>
      <w:r>
        <w:rPr>
          <w:rFonts w:ascii="Times New Roman" w:hAnsi="Times New Roman"/>
          <w:noProof/>
          <w:sz w:val="24"/>
          <w:szCs w:val="24"/>
          <w:u w:val="single"/>
        </w:rPr>
        <w:t>alteração dos regimes hidrológicos</w:t>
      </w:r>
      <w:r>
        <w:rPr>
          <w:rFonts w:ascii="Times New Roman" w:hAnsi="Times New Roman"/>
          <w:noProof/>
          <w:sz w:val="24"/>
          <w:szCs w:val="24"/>
        </w:rPr>
        <w:t xml:space="preserve"> </w:t>
      </w:r>
      <w:r>
        <w:rPr>
          <w:rFonts w:ascii="Times New Roman" w:hAnsi="Times New Roman"/>
          <w:iCs/>
          <w:noProof/>
          <w:sz w:val="24"/>
          <w:szCs w:val="24"/>
        </w:rPr>
        <w:t>(incluindo alterações polivalentes no âmbito da categoria «K – Alteração dos regimes de águas» e alterações hidrológicas atribuídas a outras categorias, por exemplo, A</w:t>
      </w:r>
      <w:r>
        <w:rPr>
          <w:rFonts w:ascii="Times New Roman" w:hAnsi="Times New Roman"/>
          <w:iCs/>
          <w:noProof/>
          <w:sz w:val="24"/>
          <w:szCs w:val="24"/>
        </w:rPr>
        <w:noBreakHyphen/>
        <w:t xml:space="preserve">Agricultura) </w:t>
      </w:r>
      <w:r>
        <w:rPr>
          <w:rFonts w:ascii="Times New Roman" w:hAnsi="Times New Roman"/>
          <w:noProof/>
          <w:sz w:val="24"/>
          <w:szCs w:val="24"/>
        </w:rPr>
        <w:t xml:space="preserve">é o segundo tipo de pressão mais frequentemente comunicado, seguido pela </w:t>
      </w:r>
      <w:r>
        <w:rPr>
          <w:rFonts w:ascii="Times New Roman" w:hAnsi="Times New Roman"/>
          <w:noProof/>
          <w:sz w:val="24"/>
          <w:szCs w:val="24"/>
          <w:u w:val="single"/>
        </w:rPr>
        <w:t>urbanização</w:t>
      </w:r>
      <w:r>
        <w:rPr>
          <w:rFonts w:ascii="Times New Roman" w:hAnsi="Times New Roman"/>
          <w:noProof/>
          <w:sz w:val="24"/>
          <w:szCs w:val="24"/>
        </w:rPr>
        <w:t xml:space="preserve"> e pela </w:t>
      </w:r>
      <w:r>
        <w:rPr>
          <w:rFonts w:ascii="Times New Roman" w:hAnsi="Times New Roman"/>
          <w:noProof/>
          <w:sz w:val="24"/>
          <w:szCs w:val="24"/>
          <w:u w:val="single"/>
        </w:rPr>
        <w:t>poluição</w:t>
      </w:r>
      <w:r>
        <w:rPr>
          <w:rFonts w:ascii="Times New Roman" w:hAnsi="Times New Roman"/>
          <w:noProof/>
          <w:sz w:val="24"/>
          <w:szCs w:val="24"/>
        </w:rPr>
        <w:t>:</w:t>
      </w:r>
    </w:p>
    <w:p>
      <w:pPr>
        <w:pStyle w:val="ListParagraph"/>
        <w:numPr>
          <w:ilvl w:val="0"/>
          <w:numId w:val="1"/>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as pressões relacionadas com as </w:t>
      </w:r>
      <w:r>
        <w:rPr>
          <w:rFonts w:ascii="Times New Roman" w:hAnsi="Times New Roman"/>
          <w:noProof/>
          <w:sz w:val="24"/>
          <w:szCs w:val="24"/>
          <w:u w:val="single"/>
        </w:rPr>
        <w:t>alterações do regime de águas</w:t>
      </w:r>
      <w:r>
        <w:rPr>
          <w:rFonts w:ascii="Times New Roman" w:hAnsi="Times New Roman"/>
          <w:noProof/>
          <w:sz w:val="24"/>
          <w:szCs w:val="24"/>
        </w:rPr>
        <w:t xml:space="preserve"> derivam de fontes múltiplas. Por exemplo, as atividades agrícolas de drenagem e as instalações hidroelétricas representam 14 % e 13 % de todas as pressões relacionadas com a hidrologia. Sem surpresa, as pressões nesta categoria são particularmente importantes não só para os </w:t>
      </w:r>
      <w:r>
        <w:rPr>
          <w:rFonts w:ascii="Times New Roman" w:hAnsi="Times New Roman"/>
          <w:i/>
          <w:noProof/>
          <w:sz w:val="24"/>
          <w:szCs w:val="24"/>
        </w:rPr>
        <w:t>habitats</w:t>
      </w:r>
      <w:r>
        <w:rPr>
          <w:rFonts w:ascii="Times New Roman" w:hAnsi="Times New Roman"/>
          <w:noProof/>
          <w:sz w:val="24"/>
          <w:szCs w:val="24"/>
        </w:rPr>
        <w:t xml:space="preserve"> de água doce e espécies de peixes, como também para os ecossistemas ricos em carbono, como turfeiras e pântanos;</w:t>
      </w:r>
    </w:p>
    <w:p>
      <w:pPr>
        <w:pStyle w:val="ListParagraph"/>
        <w:numPr>
          <w:ilvl w:val="0"/>
          <w:numId w:val="1"/>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as principais pressões relacionadas com a </w:t>
      </w:r>
      <w:r>
        <w:rPr>
          <w:rFonts w:ascii="Times New Roman" w:hAnsi="Times New Roman"/>
          <w:noProof/>
          <w:sz w:val="24"/>
          <w:szCs w:val="24"/>
          <w:u w:val="single"/>
        </w:rPr>
        <w:t>urbanização</w:t>
      </w:r>
      <w:r>
        <w:rPr>
          <w:rFonts w:ascii="Times New Roman" w:hAnsi="Times New Roman"/>
          <w:noProof/>
          <w:sz w:val="24"/>
          <w:szCs w:val="24"/>
        </w:rPr>
        <w:t xml:space="preserve"> incluem os desportos, o turismo e as atividades de lazer e afetam particularmente os </w:t>
      </w:r>
      <w:r>
        <w:rPr>
          <w:rFonts w:ascii="Times New Roman" w:hAnsi="Times New Roman"/>
          <w:i/>
          <w:noProof/>
          <w:sz w:val="24"/>
          <w:szCs w:val="24"/>
        </w:rPr>
        <w:t>habitats</w:t>
      </w:r>
      <w:r>
        <w:rPr>
          <w:rFonts w:ascii="Times New Roman" w:hAnsi="Times New Roman"/>
          <w:noProof/>
          <w:sz w:val="24"/>
          <w:szCs w:val="24"/>
        </w:rPr>
        <w:t xml:space="preserve"> costeiros/marinhos. A conversão de terras naturais e seminaturais em áreas residenciais, povoações ou zonas de lazer afeta principalmente os </w:t>
      </w:r>
      <w:r>
        <w:rPr>
          <w:rFonts w:ascii="Times New Roman" w:hAnsi="Times New Roman"/>
          <w:i/>
          <w:noProof/>
          <w:sz w:val="24"/>
          <w:szCs w:val="24"/>
        </w:rPr>
        <w:t>habitats</w:t>
      </w:r>
      <w:r>
        <w:rPr>
          <w:rFonts w:ascii="Times New Roman" w:hAnsi="Times New Roman"/>
          <w:noProof/>
          <w:sz w:val="24"/>
          <w:szCs w:val="24"/>
        </w:rPr>
        <w:t xml:space="preserve"> de prados e as florestas; </w:t>
      </w:r>
    </w:p>
    <w:p>
      <w:pPr>
        <w:pStyle w:val="ListParagraph"/>
        <w:numPr>
          <w:ilvl w:val="0"/>
          <w:numId w:val="1"/>
        </w:numPr>
        <w:spacing w:after="24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noProof/>
          <w:sz w:val="24"/>
          <w:szCs w:val="24"/>
          <w:u w:val="single"/>
        </w:rPr>
        <w:t>poluição</w:t>
      </w:r>
      <w:r>
        <w:rPr>
          <w:rFonts w:ascii="Times New Roman" w:hAnsi="Times New Roman"/>
          <w:noProof/>
          <w:sz w:val="24"/>
          <w:szCs w:val="24"/>
        </w:rPr>
        <w:t xml:space="preserve"> é uma pressão importante para muitos </w:t>
      </w:r>
      <w:r>
        <w:rPr>
          <w:rFonts w:ascii="Times New Roman" w:hAnsi="Times New Roman"/>
          <w:i/>
          <w:noProof/>
          <w:sz w:val="24"/>
          <w:szCs w:val="24"/>
        </w:rPr>
        <w:t>habitats</w:t>
      </w:r>
      <w:r>
        <w:rPr>
          <w:rFonts w:ascii="Times New Roman" w:hAnsi="Times New Roman"/>
          <w:noProof/>
          <w:sz w:val="24"/>
          <w:szCs w:val="24"/>
        </w:rPr>
        <w:t xml:space="preserve"> e espécies, sendo as atividades agrícolas responsáveis por quase metade (48 %) das pressões relacionadas com a poluição, seguidas pela poluição de fonte mista (28 %, conforme comunicado no âmbito da categoria «J-Poluição») e a urbanização (21 %).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Existem diferenças no impacto relativo das categorias de pressão entre </w:t>
      </w:r>
      <w:r>
        <w:rPr>
          <w:rFonts w:ascii="Times New Roman" w:hAnsi="Times New Roman"/>
          <w:i/>
          <w:noProof/>
          <w:sz w:val="24"/>
          <w:szCs w:val="24"/>
        </w:rPr>
        <w:t>habitats</w:t>
      </w:r>
      <w:r>
        <w:rPr>
          <w:rFonts w:ascii="Times New Roman" w:hAnsi="Times New Roman"/>
          <w:noProof/>
          <w:sz w:val="24"/>
          <w:szCs w:val="24"/>
        </w:rPr>
        <w:t xml:space="preserve"> e grupos de espécies:</w:t>
      </w:r>
    </w:p>
    <w:p>
      <w:pPr>
        <w:pStyle w:val="ListParagraph"/>
        <w:numPr>
          <w:ilvl w:val="0"/>
          <w:numId w:val="1"/>
        </w:numPr>
        <w:spacing w:after="120"/>
        <w:ind w:left="709"/>
        <w:contextualSpacing w:val="0"/>
        <w:jc w:val="both"/>
        <w:rPr>
          <w:rFonts w:ascii="Times New Roman" w:hAnsi="Times New Roman" w:cs="Times New Roman"/>
          <w:noProof/>
          <w:sz w:val="24"/>
          <w:szCs w:val="24"/>
        </w:rPr>
      </w:pPr>
      <w:r>
        <w:rPr>
          <w:rFonts w:ascii="Times New Roman" w:hAnsi="Times New Roman"/>
          <w:noProof/>
          <w:sz w:val="24"/>
          <w:szCs w:val="24"/>
        </w:rPr>
        <w:t xml:space="preserve">as </w:t>
      </w:r>
      <w:r>
        <w:rPr>
          <w:rFonts w:ascii="Times New Roman" w:hAnsi="Times New Roman"/>
          <w:noProof/>
          <w:sz w:val="24"/>
          <w:szCs w:val="24"/>
          <w:u w:val="single"/>
        </w:rPr>
        <w:t>atividades florestais</w:t>
      </w:r>
      <w:r>
        <w:rPr>
          <w:rFonts w:ascii="Times New Roman" w:hAnsi="Times New Roman"/>
          <w:noProof/>
          <w:sz w:val="24"/>
          <w:szCs w:val="24"/>
        </w:rPr>
        <w:t xml:space="preserve"> são a segunda maior categoria de pressão comunicada para as espécies, afetando em particular artrópodes, mamíferos e plantas avasculares. Muitas espécies dependentes da floresta são afetadas pela </w:t>
      </w:r>
      <w:r>
        <w:rPr>
          <w:rFonts w:ascii="Times New Roman" w:hAnsi="Times New Roman"/>
          <w:noProof/>
          <w:sz w:val="24"/>
          <w:szCs w:val="24"/>
          <w:u w:val="single"/>
        </w:rPr>
        <w:t>remoção de árvores mortas, moribundas e velhas</w:t>
      </w:r>
      <w:r>
        <w:rPr>
          <w:rFonts w:ascii="Times New Roman" w:hAnsi="Times New Roman"/>
          <w:noProof/>
          <w:sz w:val="24"/>
          <w:szCs w:val="24"/>
        </w:rPr>
        <w:t xml:space="preserve"> (incluindo atividades de recuperação de madeira), a </w:t>
      </w:r>
      <w:r>
        <w:rPr>
          <w:rFonts w:ascii="Times New Roman" w:hAnsi="Times New Roman"/>
          <w:noProof/>
          <w:sz w:val="24"/>
          <w:szCs w:val="24"/>
          <w:u w:val="single"/>
        </w:rPr>
        <w:t>gestão florestal que reduz as florestas seculares</w:t>
      </w:r>
      <w:r>
        <w:rPr>
          <w:rFonts w:ascii="Times New Roman" w:hAnsi="Times New Roman"/>
          <w:noProof/>
          <w:sz w:val="24"/>
          <w:szCs w:val="24"/>
        </w:rPr>
        <w:t xml:space="preserve"> e o </w:t>
      </w:r>
      <w:r>
        <w:rPr>
          <w:rFonts w:ascii="Times New Roman" w:hAnsi="Times New Roman"/>
          <w:noProof/>
          <w:sz w:val="24"/>
          <w:szCs w:val="24"/>
          <w:u w:val="single"/>
        </w:rPr>
        <w:t>corte raso</w:t>
      </w:r>
      <w:r>
        <w:rPr>
          <w:rFonts w:ascii="Times New Roman" w:hAnsi="Times New Roman"/>
          <w:noProof/>
          <w:sz w:val="24"/>
          <w:szCs w:val="24"/>
        </w:rPr>
        <w:t>. A silvicultura é também o grupo dominante das pressões divulgadas para a maioria dos tipos de floresta do anexo I que apresentam deterioração do estado de conservação em comparação com 2015: o bom estado diminuiu de 16 % para 14 % e as avaliações que revelam um mau estado aumentaram de 27 % para 31 %;</w:t>
      </w:r>
    </w:p>
    <w:p>
      <w:pPr>
        <w:pStyle w:val="ListParagraph"/>
        <w:numPr>
          <w:ilvl w:val="0"/>
          <w:numId w:val="1"/>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noProof/>
          <w:sz w:val="24"/>
          <w:szCs w:val="24"/>
          <w:u w:val="single"/>
        </w:rPr>
        <w:t>exploração de espécies</w:t>
      </w:r>
      <w:r>
        <w:rPr>
          <w:rFonts w:ascii="Times New Roman" w:hAnsi="Times New Roman"/>
          <w:noProof/>
          <w:sz w:val="24"/>
          <w:szCs w:val="24"/>
        </w:rPr>
        <w:t xml:space="preserve"> é a maior pressão para aves invernantes e de passagem; envolve os </w:t>
      </w:r>
      <w:r>
        <w:rPr>
          <w:rFonts w:ascii="Times New Roman" w:hAnsi="Times New Roman"/>
          <w:noProof/>
          <w:sz w:val="24"/>
          <w:szCs w:val="24"/>
          <w:u w:val="single"/>
        </w:rPr>
        <w:t>disparos ou abate ilegais, a caça</w:t>
      </w:r>
      <w:r>
        <w:rPr>
          <w:rFonts w:ascii="Times New Roman" w:hAnsi="Times New Roman"/>
          <w:noProof/>
          <w:sz w:val="24"/>
          <w:szCs w:val="24"/>
        </w:rPr>
        <w:t xml:space="preserve"> e as </w:t>
      </w:r>
      <w:r>
        <w:rPr>
          <w:rFonts w:ascii="Times New Roman" w:hAnsi="Times New Roman"/>
          <w:noProof/>
          <w:sz w:val="24"/>
          <w:szCs w:val="24"/>
          <w:u w:val="single"/>
        </w:rPr>
        <w:t>mortes acidentais</w:t>
      </w:r>
      <w:r>
        <w:rPr>
          <w:rFonts w:ascii="Times New Roman" w:hAnsi="Times New Roman"/>
          <w:noProof/>
          <w:sz w:val="24"/>
          <w:szCs w:val="24"/>
        </w:rPr>
        <w:t>. Uma pesquisa recente em 26 países europeus estimou uma captura anual atribuída à caça de pelo menos 52 milhões de aves</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Outras espécies afetadas pela exploração incluem peixes, mamíferos e répteis. </w:t>
      </w:r>
      <w:r>
        <w:rPr>
          <w:rFonts w:ascii="Times New Roman" w:hAnsi="Times New Roman"/>
          <w:iCs/>
          <w:noProof/>
          <w:sz w:val="24"/>
          <w:szCs w:val="24"/>
        </w:rPr>
        <w:t xml:space="preserve">Os peixes estão entre os grupos mais afetados devido à </w:t>
      </w:r>
      <w:r>
        <w:rPr>
          <w:rFonts w:ascii="Times New Roman" w:hAnsi="Times New Roman"/>
          <w:iCs/>
          <w:noProof/>
          <w:sz w:val="24"/>
          <w:szCs w:val="24"/>
          <w:u w:val="single"/>
        </w:rPr>
        <w:t>captura marinha</w:t>
      </w:r>
      <w:r>
        <w:rPr>
          <w:rStyle w:val="FootnoteReference"/>
          <w:rFonts w:ascii="Times New Roman" w:eastAsia="ヒラギノ角ゴ Pro W3" w:hAnsi="Times New Roman" w:cs="Times New Roman"/>
          <w:iCs/>
          <w:noProof/>
          <w:sz w:val="24"/>
          <w:szCs w:val="24"/>
          <w:u w:val="single"/>
        </w:rPr>
        <w:footnoteReference w:id="18"/>
      </w:r>
      <w:r>
        <w:rPr>
          <w:rFonts w:ascii="Times New Roman" w:hAnsi="Times New Roman"/>
          <w:iCs/>
          <w:noProof/>
          <w:sz w:val="24"/>
          <w:szCs w:val="24"/>
          <w:u w:val="single"/>
        </w:rPr>
        <w:t xml:space="preserve"> e de água doce</w:t>
      </w:r>
      <w:r>
        <w:rPr>
          <w:rFonts w:ascii="Times New Roman" w:hAnsi="Times New Roman"/>
          <w:iCs/>
          <w:noProof/>
          <w:sz w:val="24"/>
          <w:szCs w:val="24"/>
        </w:rPr>
        <w:t xml:space="preserve">. O impacto sobre os mamíferos é duplo: </w:t>
      </w:r>
    </w:p>
    <w:p>
      <w:pPr>
        <w:pStyle w:val="ListParagraph"/>
        <w:numPr>
          <w:ilvl w:val="1"/>
          <w:numId w:val="1"/>
        </w:numPr>
        <w:spacing w:after="120"/>
        <w:ind w:left="1361" w:hanging="397"/>
        <w:contextualSpacing w:val="0"/>
        <w:jc w:val="both"/>
        <w:rPr>
          <w:rFonts w:ascii="Times New Roman" w:hAnsi="Times New Roman" w:cs="Times New Roman"/>
          <w:noProof/>
          <w:sz w:val="24"/>
          <w:szCs w:val="24"/>
        </w:rPr>
      </w:pPr>
      <w:r>
        <w:rPr>
          <w:rFonts w:ascii="Times New Roman" w:hAnsi="Times New Roman"/>
          <w:iCs/>
          <w:noProof/>
          <w:sz w:val="24"/>
          <w:szCs w:val="24"/>
        </w:rPr>
        <w:t>os grandes mamíferos terrestres, como o lobo (</w:t>
      </w:r>
      <w:r>
        <w:rPr>
          <w:rFonts w:ascii="Times New Roman" w:hAnsi="Times New Roman"/>
          <w:i/>
          <w:iCs/>
          <w:noProof/>
          <w:sz w:val="24"/>
          <w:szCs w:val="24"/>
        </w:rPr>
        <w:t>Canis lupus</w:t>
      </w:r>
      <w:r>
        <w:rPr>
          <w:rFonts w:ascii="Times New Roman" w:hAnsi="Times New Roman"/>
          <w:iCs/>
          <w:noProof/>
          <w:sz w:val="24"/>
          <w:szCs w:val="24"/>
        </w:rPr>
        <w:t xml:space="preserve">), o lince-eurasiático </w:t>
      </w:r>
      <w:r>
        <w:rPr>
          <w:rFonts w:ascii="Times New Roman" w:hAnsi="Times New Roman"/>
          <w:i/>
          <w:iCs/>
          <w:noProof/>
          <w:sz w:val="24"/>
          <w:szCs w:val="24"/>
        </w:rPr>
        <w:t>(Lynx lynx)</w:t>
      </w:r>
      <w:r>
        <w:rPr>
          <w:rFonts w:ascii="Times New Roman" w:hAnsi="Times New Roman"/>
          <w:iCs/>
          <w:noProof/>
          <w:sz w:val="24"/>
          <w:szCs w:val="24"/>
        </w:rPr>
        <w:t xml:space="preserve"> e a lontra-eurasiática </w:t>
      </w:r>
      <w:r>
        <w:rPr>
          <w:rFonts w:ascii="Times New Roman" w:hAnsi="Times New Roman"/>
          <w:i/>
          <w:iCs/>
          <w:noProof/>
          <w:sz w:val="24"/>
          <w:szCs w:val="24"/>
        </w:rPr>
        <w:t>(Lutra lutra)</w:t>
      </w:r>
      <w:r>
        <w:rPr>
          <w:rFonts w:ascii="Times New Roman" w:hAnsi="Times New Roman"/>
          <w:iCs/>
          <w:noProof/>
          <w:sz w:val="24"/>
          <w:szCs w:val="24"/>
        </w:rPr>
        <w:t>, são vítimas sobretudo do abate ilegal;</w:t>
      </w:r>
    </w:p>
    <w:p>
      <w:pPr>
        <w:pStyle w:val="ListParagraph"/>
        <w:numPr>
          <w:ilvl w:val="1"/>
          <w:numId w:val="1"/>
        </w:numPr>
        <w:spacing w:after="120"/>
        <w:ind w:left="1361"/>
        <w:contextualSpacing w:val="0"/>
        <w:jc w:val="both"/>
        <w:rPr>
          <w:rFonts w:ascii="Times New Roman" w:eastAsia="ヒラギノ角ゴ Pro W3" w:hAnsi="Times New Roman" w:cs="Times New Roman"/>
          <w:iCs/>
          <w:noProof/>
          <w:sz w:val="24"/>
          <w:szCs w:val="24"/>
        </w:rPr>
      </w:pPr>
      <w:r>
        <w:rPr>
          <w:rFonts w:ascii="Times New Roman" w:hAnsi="Times New Roman"/>
          <w:iCs/>
          <w:noProof/>
          <w:sz w:val="24"/>
          <w:szCs w:val="24"/>
        </w:rPr>
        <w:t xml:space="preserve">os pequenos cetáceos, como o golfinho </w:t>
      </w:r>
      <w:r>
        <w:rPr>
          <w:rFonts w:ascii="Times New Roman" w:hAnsi="Times New Roman"/>
          <w:i/>
          <w:iCs/>
          <w:noProof/>
          <w:sz w:val="24"/>
          <w:szCs w:val="24"/>
        </w:rPr>
        <w:t>(Delphinus delphis)</w:t>
      </w:r>
      <w:r>
        <w:rPr>
          <w:rFonts w:ascii="Times New Roman" w:hAnsi="Times New Roman"/>
          <w:iCs/>
          <w:noProof/>
          <w:sz w:val="24"/>
          <w:szCs w:val="24"/>
        </w:rPr>
        <w:t xml:space="preserve"> e o boto (</w:t>
      </w:r>
      <w:r>
        <w:rPr>
          <w:rFonts w:ascii="Times New Roman" w:hAnsi="Times New Roman"/>
          <w:i/>
          <w:iCs/>
          <w:noProof/>
          <w:sz w:val="24"/>
          <w:szCs w:val="24"/>
        </w:rPr>
        <w:t>Phocoena phocoena)</w:t>
      </w:r>
      <w:r>
        <w:rPr>
          <w:rFonts w:ascii="Times New Roman" w:hAnsi="Times New Roman"/>
          <w:iCs/>
          <w:noProof/>
          <w:sz w:val="24"/>
          <w:szCs w:val="24"/>
        </w:rPr>
        <w:t xml:space="preserve"> são afetados principalmente pela </w:t>
      </w:r>
      <w:r>
        <w:rPr>
          <w:rFonts w:ascii="Times New Roman" w:hAnsi="Times New Roman"/>
          <w:iCs/>
          <w:noProof/>
          <w:sz w:val="24"/>
          <w:szCs w:val="24"/>
          <w:u w:val="single"/>
        </w:rPr>
        <w:t>captura acidental</w:t>
      </w:r>
      <w:r>
        <w:rPr>
          <w:rFonts w:ascii="Times New Roman" w:hAnsi="Times New Roman"/>
          <w:iCs/>
          <w:noProof/>
          <w:sz w:val="24"/>
          <w:szCs w:val="24"/>
        </w:rPr>
        <w:t xml:space="preserve"> em artes de pesca e outros efeitos das </w:t>
      </w:r>
      <w:r>
        <w:rPr>
          <w:rFonts w:ascii="Times New Roman" w:hAnsi="Times New Roman"/>
          <w:iCs/>
          <w:noProof/>
          <w:sz w:val="24"/>
          <w:szCs w:val="24"/>
          <w:u w:val="single"/>
        </w:rPr>
        <w:t>atividades de exploração marinha</w:t>
      </w:r>
      <w:r>
        <w:rPr>
          <w:rFonts w:ascii="Times New Roman" w:hAnsi="Times New Roman"/>
          <w:iCs/>
          <w:noProof/>
          <w:sz w:val="24"/>
          <w:szCs w:val="24"/>
        </w:rPr>
        <w:t xml:space="preserve">, como a redução das populações de presas e a perturbação das espécies; os mamíferos marinhos são também frequentemente afetados pela </w:t>
      </w:r>
      <w:r>
        <w:rPr>
          <w:rFonts w:ascii="Times New Roman" w:hAnsi="Times New Roman"/>
          <w:iCs/>
          <w:noProof/>
          <w:sz w:val="24"/>
          <w:szCs w:val="24"/>
          <w:u w:val="single"/>
        </w:rPr>
        <w:t>poluição</w:t>
      </w:r>
      <w:r>
        <w:rPr>
          <w:rFonts w:ascii="Times New Roman" w:hAnsi="Times New Roman"/>
          <w:iCs/>
          <w:noProof/>
          <w:sz w:val="24"/>
          <w:szCs w:val="24"/>
        </w:rPr>
        <w:t xml:space="preserve"> de várias fontes, pelo</w:t>
      </w:r>
      <w:r>
        <w:rPr>
          <w:rFonts w:ascii="Times New Roman" w:hAnsi="Times New Roman"/>
          <w:iCs/>
          <w:noProof/>
          <w:sz w:val="24"/>
          <w:szCs w:val="24"/>
          <w:u w:val="single"/>
        </w:rPr>
        <w:t xml:space="preserve"> funcionamento das vias de navegação e de </w:t>
      </w:r>
      <w:r>
        <w:rPr>
          <w:rFonts w:ascii="Times New Roman" w:hAnsi="Times New Roman"/>
          <w:i/>
          <w:iCs/>
          <w:noProof/>
          <w:sz w:val="24"/>
          <w:szCs w:val="24"/>
          <w:u w:val="single"/>
        </w:rPr>
        <w:t>ferry</w:t>
      </w:r>
      <w:r>
        <w:rPr>
          <w:rFonts w:ascii="Times New Roman" w:hAnsi="Times New Roman"/>
          <w:iCs/>
          <w:noProof/>
          <w:sz w:val="24"/>
          <w:szCs w:val="24"/>
        </w:rPr>
        <w:t xml:space="preserve"> (devido ao ruído subaquático e a colisões com navios), bem como por </w:t>
      </w:r>
      <w:r>
        <w:rPr>
          <w:rFonts w:ascii="Times New Roman" w:hAnsi="Times New Roman"/>
          <w:iCs/>
          <w:noProof/>
          <w:sz w:val="24"/>
          <w:szCs w:val="24"/>
          <w:u w:val="single"/>
        </w:rPr>
        <w:t>operações militares</w:t>
      </w:r>
      <w:r>
        <w:rPr>
          <w:rFonts w:ascii="Times New Roman" w:hAnsi="Times New Roman"/>
          <w:iCs/>
          <w:noProof/>
          <w:sz w:val="24"/>
          <w:szCs w:val="24"/>
        </w:rPr>
        <w:t xml:space="preserve"> (através de colisões com embarcações e perturbação por sonar militar);</w:t>
      </w:r>
    </w:p>
    <w:p>
      <w:pPr>
        <w:pStyle w:val="ListParagraph"/>
        <w:numPr>
          <w:ilvl w:val="0"/>
          <w:numId w:val="1"/>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as </w:t>
      </w:r>
      <w:r>
        <w:rPr>
          <w:rFonts w:ascii="Times New Roman" w:hAnsi="Times New Roman"/>
          <w:noProof/>
          <w:sz w:val="24"/>
          <w:szCs w:val="24"/>
          <w:u w:val="single"/>
        </w:rPr>
        <w:t>instalações hidroelétricas</w:t>
      </w:r>
      <w:r>
        <w:rPr>
          <w:rFonts w:ascii="Times New Roman" w:hAnsi="Times New Roman"/>
          <w:noProof/>
          <w:sz w:val="24"/>
          <w:szCs w:val="24"/>
        </w:rPr>
        <w:t xml:space="preserve"> são a fonte mais importante de </w:t>
      </w:r>
      <w:r>
        <w:rPr>
          <w:rFonts w:ascii="Times New Roman" w:hAnsi="Times New Roman"/>
          <w:noProof/>
          <w:sz w:val="24"/>
          <w:szCs w:val="24"/>
          <w:u w:val="single"/>
        </w:rPr>
        <w:t>pressões relacionadas com a energia</w:t>
      </w:r>
      <w:r>
        <w:rPr>
          <w:rFonts w:ascii="Times New Roman" w:hAnsi="Times New Roman"/>
          <w:noProof/>
          <w:sz w:val="24"/>
          <w:szCs w:val="24"/>
        </w:rPr>
        <w:t xml:space="preserve"> para peixes migratórios e de água doce.</w:t>
      </w:r>
      <w:r>
        <w:rPr>
          <w:rFonts w:ascii="Times New Roman" w:hAnsi="Times New Roman"/>
          <w:iCs/>
          <w:noProof/>
          <w:sz w:val="24"/>
          <w:szCs w:val="24"/>
        </w:rPr>
        <w:t xml:space="preserve"> E</w:t>
      </w:r>
      <w:r>
        <w:rPr>
          <w:rFonts w:ascii="Times New Roman" w:hAnsi="Times New Roman"/>
          <w:noProof/>
          <w:sz w:val="24"/>
          <w:szCs w:val="24"/>
        </w:rPr>
        <w:t xml:space="preserve">mbora as pressões exercidas pela </w:t>
      </w:r>
      <w:r>
        <w:rPr>
          <w:rFonts w:ascii="Times New Roman" w:hAnsi="Times New Roman"/>
          <w:noProof/>
          <w:sz w:val="24"/>
          <w:szCs w:val="24"/>
          <w:u w:val="single"/>
        </w:rPr>
        <w:t>energia eólica, das ondas e das marés</w:t>
      </w:r>
      <w:r>
        <w:rPr>
          <w:rFonts w:ascii="Times New Roman" w:hAnsi="Times New Roman"/>
          <w:noProof/>
          <w:sz w:val="24"/>
          <w:szCs w:val="24"/>
        </w:rPr>
        <w:t xml:space="preserve"> apresentem riscos para muitas espécies, as aves também são especialmente vulneráveis às infraestruturas de transporte de eletricidade e de comunicações. A expansão da energia de fontes renováveis é uma política fundamental da UE para ajudar a enfrentar as alterações climáticas (as quais, por si só, estão a exercer uma pressão significativa e crescente sobre a biodiversidade), mas os projetos de desenvolvimento concebidos e localizados de forma inadequada podem conduzir a pressões suplementares sobre as espécies e tipos de </w:t>
      </w:r>
      <w:r>
        <w:rPr>
          <w:rFonts w:ascii="Times New Roman" w:hAnsi="Times New Roman"/>
          <w:i/>
          <w:noProof/>
          <w:sz w:val="24"/>
          <w:szCs w:val="24"/>
        </w:rPr>
        <w:t>habitat</w:t>
      </w:r>
      <w:r>
        <w:rPr>
          <w:rFonts w:ascii="Times New Roman" w:hAnsi="Times New Roman"/>
          <w:noProof/>
          <w:sz w:val="24"/>
          <w:szCs w:val="24"/>
        </w:rPr>
        <w:t xml:space="preserve"> protegidos;</w:t>
      </w:r>
    </w:p>
    <w:p>
      <w:pPr>
        <w:pStyle w:val="ListParagraph"/>
        <w:numPr>
          <w:ilvl w:val="0"/>
          <w:numId w:val="1"/>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as </w:t>
      </w:r>
      <w:r>
        <w:rPr>
          <w:rFonts w:ascii="Times New Roman" w:hAnsi="Times New Roman"/>
          <w:noProof/>
          <w:sz w:val="24"/>
          <w:szCs w:val="24"/>
          <w:u w:val="single"/>
        </w:rPr>
        <w:t>espécies exóticas invasoras</w:t>
      </w:r>
      <w:r>
        <w:rPr>
          <w:rFonts w:ascii="Times New Roman" w:hAnsi="Times New Roman"/>
          <w:noProof/>
          <w:sz w:val="24"/>
          <w:szCs w:val="24"/>
        </w:rPr>
        <w:t xml:space="preserve"> representam uma ameaça importante e crescente para a flora e fauna autóctones europeias. O seu impacto aumentou significativamente desde o último período de divulgação de dados. Ao passo que as «espécies invasoras que suscitam preocupação na União»</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são responsáveis por cerca de 20 % das pressões comunicadas nesta categoria, são divulgados muito mais impactos por espécies exóticas invasoras que ainda não estão inscritas como espécies que suscitam preocupação na União. As espécies exóticas invasoras afetam mais os </w:t>
      </w:r>
      <w:r>
        <w:rPr>
          <w:rFonts w:ascii="Times New Roman" w:hAnsi="Times New Roman"/>
          <w:i/>
          <w:noProof/>
          <w:sz w:val="24"/>
          <w:szCs w:val="24"/>
        </w:rPr>
        <w:t>habitats</w:t>
      </w:r>
      <w:r>
        <w:rPr>
          <w:rFonts w:ascii="Times New Roman" w:hAnsi="Times New Roman"/>
          <w:noProof/>
          <w:sz w:val="24"/>
          <w:szCs w:val="24"/>
        </w:rPr>
        <w:t xml:space="preserve"> do que as espécies, mas é também sabido que têm um impacto direto sobre certas espécies de aves, anfíbios, peixes e plantas vasculares; </w:t>
      </w:r>
    </w:p>
    <w:p>
      <w:pPr>
        <w:pStyle w:val="ListParagraph"/>
        <w:numPr>
          <w:ilvl w:val="0"/>
          <w:numId w:val="1"/>
        </w:numPr>
        <w:spacing w:after="240"/>
        <w:ind w:left="681" w:hanging="397"/>
        <w:contextualSpacing w:val="0"/>
        <w:jc w:val="both"/>
        <w:rPr>
          <w:rFonts w:ascii="Times New Roman" w:hAnsi="Times New Roman" w:cs="Times New Roman"/>
          <w:b/>
          <w:i/>
          <w:noProof/>
          <w:sz w:val="24"/>
          <w:szCs w:val="24"/>
          <w:u w:val="single"/>
        </w:rPr>
      </w:pPr>
      <w:r>
        <w:rPr>
          <w:rFonts w:ascii="Times New Roman" w:hAnsi="Times New Roman"/>
          <w:iCs/>
          <w:noProof/>
          <w:sz w:val="24"/>
          <w:szCs w:val="24"/>
        </w:rPr>
        <w:t xml:space="preserve">embora as </w:t>
      </w:r>
      <w:r>
        <w:rPr>
          <w:rFonts w:ascii="Times New Roman" w:hAnsi="Times New Roman"/>
          <w:iCs/>
          <w:noProof/>
          <w:sz w:val="24"/>
          <w:szCs w:val="24"/>
          <w:u w:val="single"/>
        </w:rPr>
        <w:t>alterações climáticas</w:t>
      </w:r>
      <w:r>
        <w:rPr>
          <w:rFonts w:ascii="Times New Roman" w:hAnsi="Times New Roman"/>
          <w:iCs/>
          <w:noProof/>
          <w:sz w:val="24"/>
          <w:szCs w:val="24"/>
        </w:rPr>
        <w:t xml:space="preserve"> não tenham sido apresentadas como uma pressão particularmente importante no período 2013</w:t>
      </w:r>
      <w:r>
        <w:rPr>
          <w:rFonts w:ascii="Times New Roman" w:hAnsi="Times New Roman"/>
          <w:iCs/>
          <w:noProof/>
          <w:sz w:val="24"/>
          <w:szCs w:val="24"/>
        </w:rPr>
        <w:noBreakHyphen/>
        <w:t>2018, os cenários futuros</w:t>
      </w:r>
      <w:r>
        <w:rPr>
          <w:rStyle w:val="FootnoteReference"/>
          <w:rFonts w:ascii="Times New Roman" w:eastAsia="ヒラギノ角ゴ Pro W3" w:hAnsi="Times New Roman" w:cs="Times New Roman"/>
          <w:iCs/>
          <w:noProof/>
          <w:sz w:val="24"/>
          <w:szCs w:val="24"/>
        </w:rPr>
        <w:footnoteReference w:id="20"/>
      </w:r>
      <w:r>
        <w:rPr>
          <w:rFonts w:ascii="Times New Roman" w:hAnsi="Times New Roman"/>
          <w:iCs/>
          <w:noProof/>
          <w:sz w:val="24"/>
          <w:szCs w:val="24"/>
        </w:rPr>
        <w:t xml:space="preserve"> preveem que terão um efeito dramático nas plantas e animais europeus e conduzirão à perda acelerada de biodiversidade e à desertificação em muitas áreas.</w:t>
      </w:r>
      <w:r>
        <w:rPr>
          <w:rFonts w:ascii="Times New Roman" w:hAnsi="Times New Roman"/>
          <w:noProof/>
          <w:sz w:val="24"/>
          <w:szCs w:val="24"/>
        </w:rPr>
        <w:t xml:space="preserve"> </w:t>
      </w:r>
      <w:r>
        <w:rPr>
          <w:rFonts w:ascii="Times New Roman" w:hAnsi="Times New Roman"/>
          <w:iCs/>
          <w:noProof/>
          <w:sz w:val="24"/>
          <w:szCs w:val="24"/>
        </w:rPr>
        <w:t xml:space="preserve">As pressões mais frequentemente comunicadas relacionadas com as alterações climáticas foram </w:t>
      </w:r>
      <w:r>
        <w:rPr>
          <w:rFonts w:ascii="Times New Roman" w:hAnsi="Times New Roman"/>
          <w:iCs/>
          <w:noProof/>
          <w:sz w:val="24"/>
          <w:szCs w:val="24"/>
          <w:u w:val="single"/>
        </w:rPr>
        <w:t>as secas e a diminuição da precipitação</w:t>
      </w:r>
      <w:r>
        <w:rPr>
          <w:rFonts w:ascii="Times New Roman" w:hAnsi="Times New Roman"/>
          <w:iCs/>
          <w:noProof/>
          <w:sz w:val="24"/>
          <w:szCs w:val="24"/>
        </w:rPr>
        <w:t>; estas representaram 5 % de todas as pressões comunicadas que afetam os anfíbios.</w:t>
      </w:r>
    </w:p>
    <w:p>
      <w:pPr>
        <w:spacing w:after="240"/>
        <w:jc w:val="both"/>
        <w:rPr>
          <w:rFonts w:ascii="Times New Roman" w:hAnsi="Times New Roman" w:cs="Times New Roman"/>
          <w:b/>
          <w:i/>
          <w:noProof/>
          <w:sz w:val="24"/>
          <w:szCs w:val="24"/>
          <w:u w:val="single"/>
        </w:rPr>
      </w:pPr>
      <w:r>
        <w:rPr>
          <w:rFonts w:ascii="Times New Roman" w:hAnsi="Times New Roman"/>
          <w:b/>
          <w:i/>
          <w:noProof/>
          <w:sz w:val="24"/>
          <w:szCs w:val="24"/>
          <w:u w:val="single"/>
        </w:rPr>
        <w:t>4.2 Respostas (medidas de conservação)</w:t>
      </w:r>
    </w:p>
    <w:p>
      <w:pPr>
        <w:shd w:val="clear" w:color="auto" w:fill="FFFFFF" w:themeFill="background1"/>
        <w:spacing w:after="240"/>
        <w:jc w:val="both"/>
        <w:rPr>
          <w:rFonts w:ascii="Times New Roman" w:hAnsi="Times New Roman" w:cs="Times New Roman"/>
          <w:noProof/>
          <w:sz w:val="24"/>
          <w:szCs w:val="24"/>
        </w:rPr>
      </w:pPr>
      <w:r>
        <w:rPr>
          <w:rFonts w:ascii="Times New Roman" w:hAnsi="Times New Roman"/>
          <w:noProof/>
          <w:sz w:val="24"/>
          <w:szCs w:val="24"/>
        </w:rPr>
        <w:t xml:space="preserve">Paralelamente aos relatórios sobre as pressões, os Estados-Membros comunicaram se foram ou não tomadas a maioria das medidas necessárias para uma espécie ou </w:t>
      </w:r>
      <w:r>
        <w:rPr>
          <w:rFonts w:ascii="Times New Roman" w:hAnsi="Times New Roman"/>
          <w:i/>
          <w:noProof/>
          <w:sz w:val="24"/>
          <w:szCs w:val="24"/>
        </w:rPr>
        <w:t>habitat</w:t>
      </w:r>
      <w:r>
        <w:rPr>
          <w:rFonts w:ascii="Times New Roman" w:hAnsi="Times New Roman"/>
          <w:noProof/>
          <w:sz w:val="24"/>
          <w:szCs w:val="24"/>
        </w:rPr>
        <w:t xml:space="preserve"> de importância para a UE que requer a designação de um sítio Natura 2000. Essas medidas visam manter ou restabelecer o bom estado das espécies e dos </w:t>
      </w:r>
      <w:r>
        <w:rPr>
          <w:rFonts w:ascii="Times New Roman" w:hAnsi="Times New Roman"/>
          <w:i/>
          <w:noProof/>
          <w:sz w:val="24"/>
          <w:szCs w:val="24"/>
        </w:rPr>
        <w:t>habitats</w:t>
      </w:r>
      <w:r>
        <w:rPr>
          <w:rFonts w:ascii="Times New Roman" w:hAnsi="Times New Roman"/>
          <w:noProof/>
          <w:sz w:val="24"/>
          <w:szCs w:val="24"/>
        </w:rPr>
        <w:t xml:space="preserve"> e envolvem ações específicas no terreno para mitigar as pressões passadas e presentes e neutralizar os impacto das mesmas. Os Estados-Membros são obrigados a tomar as necessárias medidas de conservação para os sítios Natura 2000. </w:t>
      </w:r>
    </w:p>
    <w:p>
      <w:pPr>
        <w:shd w:val="clear" w:color="auto" w:fill="FFFFFF" w:themeFill="background1"/>
        <w:spacing w:after="240"/>
        <w:jc w:val="both"/>
        <w:rPr>
          <w:rFonts w:ascii="Times New Roman" w:hAnsi="Times New Roman" w:cs="Times New Roman"/>
          <w:noProof/>
          <w:sz w:val="24"/>
          <w:szCs w:val="24"/>
        </w:rPr>
      </w:pPr>
      <w:r>
        <w:rPr>
          <w:rFonts w:ascii="Times New Roman" w:hAnsi="Times New Roman"/>
          <w:noProof/>
          <w:sz w:val="24"/>
          <w:szCs w:val="24"/>
        </w:rPr>
        <w:t>Os seus relatórios nacionais indicam que:</w:t>
      </w:r>
    </w:p>
    <w:p>
      <w:pPr>
        <w:pStyle w:val="ListParagraph"/>
        <w:numPr>
          <w:ilvl w:val="0"/>
          <w:numId w:val="3"/>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a maioria das medidas é aplicada tanto dentro como fora da rede Natura 2000;</w:t>
      </w:r>
    </w:p>
    <w:p>
      <w:pPr>
        <w:pStyle w:val="ListParagraph"/>
        <w:numPr>
          <w:ilvl w:val="0"/>
          <w:numId w:val="3"/>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conforme comunicado, foram tomadas as medidas necessárias relativamente a cerca de 60 % dos </w:t>
      </w:r>
      <w:r>
        <w:rPr>
          <w:rFonts w:ascii="Times New Roman" w:hAnsi="Times New Roman"/>
          <w:i/>
          <w:noProof/>
          <w:sz w:val="24"/>
          <w:szCs w:val="24"/>
        </w:rPr>
        <w:t>habitats</w:t>
      </w:r>
      <w:r>
        <w:rPr>
          <w:rFonts w:ascii="Times New Roman" w:hAnsi="Times New Roman"/>
          <w:noProof/>
          <w:sz w:val="24"/>
          <w:szCs w:val="24"/>
        </w:rPr>
        <w:t xml:space="preserve"> dos Estados-Membros, sobretudo para manter o estado atual ou repor a estrutura e as funções dos </w:t>
      </w:r>
      <w:r>
        <w:rPr>
          <w:rFonts w:ascii="Times New Roman" w:hAnsi="Times New Roman"/>
          <w:i/>
          <w:noProof/>
          <w:sz w:val="24"/>
          <w:szCs w:val="24"/>
        </w:rPr>
        <w:t>habitats</w:t>
      </w:r>
      <w:r>
        <w:rPr>
          <w:rFonts w:ascii="Times New Roman" w:hAnsi="Times New Roman"/>
          <w:noProof/>
          <w:sz w:val="24"/>
          <w:szCs w:val="24"/>
        </w:rPr>
        <w:t xml:space="preserve">; apenas 4 % das medidas tomadas que foram comunicadas visam aumentar a superfície do </w:t>
      </w:r>
      <w:r>
        <w:rPr>
          <w:rFonts w:ascii="Times New Roman" w:hAnsi="Times New Roman"/>
          <w:i/>
          <w:noProof/>
          <w:sz w:val="24"/>
          <w:szCs w:val="24"/>
        </w:rPr>
        <w:t>habitat</w:t>
      </w:r>
      <w:r>
        <w:rPr>
          <w:rFonts w:ascii="Times New Roman" w:hAnsi="Times New Roman"/>
          <w:noProof/>
          <w:sz w:val="24"/>
          <w:szCs w:val="24"/>
        </w:rPr>
        <w:t xml:space="preserve">; </w:t>
      </w:r>
    </w:p>
    <w:p>
      <w:pPr>
        <w:pStyle w:val="ListParagraph"/>
        <w:numPr>
          <w:ilvl w:val="0"/>
          <w:numId w:val="3"/>
        </w:numPr>
        <w:spacing w:after="24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as medidas de conservação destinadas a manter as superfícies agrícolas em condições ecológicas adequadas, respondendo assim às pressões da agricultura, são de longe as mais comuns;</w:t>
      </w:r>
    </w:p>
    <w:p>
      <w:pPr>
        <w:spacing w:after="240"/>
        <w:ind w:left="284"/>
        <w:jc w:val="both"/>
        <w:rPr>
          <w:rFonts w:ascii="Times New Roman" w:hAnsi="Times New Roman" w:cs="Times New Roman"/>
          <w:noProof/>
          <w:sz w:val="24"/>
          <w:szCs w:val="24"/>
        </w:rPr>
      </w:pPr>
    </w:p>
    <w:p>
      <w:pPr>
        <w:keepNext/>
        <w:spacing w:after="120" w:line="240" w:lineRule="auto"/>
        <w:jc w:val="both"/>
        <w:rPr>
          <w:rFonts w:ascii="Times New Roman" w:eastAsia="ヒラギノ角ゴ Pro W3" w:hAnsi="Times New Roman" w:cs="Times New Roman"/>
          <w:b/>
          <w:noProof/>
          <w:sz w:val="20"/>
          <w:szCs w:val="20"/>
        </w:rPr>
      </w:pPr>
      <w:r>
        <w:rPr>
          <w:rFonts w:ascii="Times New Roman" w:hAnsi="Times New Roman"/>
          <w:b/>
          <w:noProof/>
          <w:sz w:val="20"/>
          <w:szCs w:val="20"/>
        </w:rPr>
        <w:t xml:space="preserve">Figura 10: Estado de implantação das medidas de conservação dos </w:t>
      </w:r>
      <w:r>
        <w:rPr>
          <w:rFonts w:ascii="Times New Roman" w:hAnsi="Times New Roman"/>
          <w:b/>
          <w:i/>
          <w:noProof/>
          <w:sz w:val="20"/>
          <w:szCs w:val="20"/>
        </w:rPr>
        <w:t>habitats</w:t>
      </w:r>
      <w:r>
        <w:rPr>
          <w:rFonts w:ascii="Times New Roman" w:hAnsi="Times New Roman"/>
          <w:b/>
          <w:noProof/>
          <w:sz w:val="20"/>
          <w:szCs w:val="20"/>
        </w:rPr>
        <w:t xml:space="preserve"> (em % de todas as avaliações dos tipos de </w:t>
      </w:r>
      <w:r>
        <w:rPr>
          <w:rFonts w:ascii="Times New Roman" w:hAnsi="Times New Roman"/>
          <w:b/>
          <w:i/>
          <w:noProof/>
          <w:sz w:val="20"/>
          <w:szCs w:val="20"/>
        </w:rPr>
        <w:t>habitat</w:t>
      </w:r>
      <w:r>
        <w:rPr>
          <w:rFonts w:ascii="Times New Roman" w:hAnsi="Times New Roman"/>
          <w:b/>
          <w:noProof/>
          <w:sz w:val="20"/>
          <w:szCs w:val="20"/>
        </w:rPr>
        <w:t xml:space="preserve"> efetuadas pelos Estados-Membros) </w:t>
      </w:r>
    </w:p>
    <w:p>
      <w:pPr>
        <w:jc w:val="both"/>
        <w:rPr>
          <w:rFonts w:ascii="Times New Roman" w:hAnsi="Times New Roman" w:cs="Times New Roman"/>
          <w:noProof/>
        </w:rPr>
      </w:pPr>
      <w:r>
        <w:rPr>
          <w:noProof/>
          <w:lang w:val="en-GB" w:eastAsia="en-GB"/>
        </w:rPr>
        <w:drawing>
          <wp:inline distT="0" distB="0" distL="0" distR="0">
            <wp:extent cx="5731510" cy="1567815"/>
            <wp:effectExtent l="0" t="0" r="254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31510" cy="1567815"/>
                    </a:xfrm>
                    <a:prstGeom prst="rect">
                      <a:avLst/>
                    </a:prstGeom>
                    <a:noFill/>
                    <a:ln>
                      <a:noFill/>
                    </a:ln>
                  </pic:spPr>
                </pic:pic>
              </a:graphicData>
            </a:graphic>
          </wp:inline>
        </w:drawing>
      </w:r>
    </w:p>
    <w:p>
      <w:pPr>
        <w:spacing w:before="120" w:after="0"/>
        <w:ind w:left="360"/>
        <w:jc w:val="both"/>
        <w:rPr>
          <w:rFonts w:ascii="Times New Roman" w:hAnsi="Times New Roman" w:cs="Times New Roman"/>
          <w:noProof/>
          <w:sz w:val="24"/>
          <w:szCs w:val="24"/>
        </w:rPr>
      </w:pPr>
    </w:p>
    <w:p>
      <w:pPr>
        <w:pStyle w:val="ListParagraph"/>
        <w:numPr>
          <w:ilvl w:val="0"/>
          <w:numId w:val="8"/>
        </w:numPr>
        <w:spacing w:before="120" w:after="0"/>
        <w:contextualSpacing w:val="0"/>
        <w:jc w:val="both"/>
        <w:rPr>
          <w:rFonts w:ascii="Times New Roman" w:hAnsi="Times New Roman" w:cs="Times New Roman"/>
          <w:noProof/>
          <w:sz w:val="24"/>
          <w:szCs w:val="24"/>
        </w:rPr>
      </w:pPr>
      <w:r>
        <w:rPr>
          <w:rFonts w:ascii="Times New Roman" w:hAnsi="Times New Roman"/>
          <w:noProof/>
          <w:sz w:val="24"/>
          <w:szCs w:val="24"/>
        </w:rPr>
        <w:t xml:space="preserve">a situação é semelhante para as </w:t>
      </w:r>
      <w:r>
        <w:rPr>
          <w:rFonts w:ascii="Times New Roman" w:hAnsi="Times New Roman"/>
          <w:noProof/>
          <w:sz w:val="24"/>
          <w:szCs w:val="24"/>
          <w:u w:val="single"/>
        </w:rPr>
        <w:t>espécies</w:t>
      </w:r>
      <w:r>
        <w:rPr>
          <w:rFonts w:ascii="Times New Roman" w:hAnsi="Times New Roman"/>
          <w:noProof/>
          <w:sz w:val="24"/>
          <w:szCs w:val="24"/>
        </w:rPr>
        <w:t>. Cerca de 40 % dos relatórios relativos às aves e 50 % daqueles sobre outras espécies que não aves indicam que foram tomadas medidas. A maior parte das medidas tomadas para as espécies que não aves visa a manutenção do seu estado atual. As medidas de recuperação desempenham um papel menos proeminente.</w:t>
      </w:r>
    </w:p>
    <w:p>
      <w:pPr>
        <w:spacing w:before="120" w:after="0"/>
        <w:ind w:left="360"/>
        <w:jc w:val="both"/>
        <w:rPr>
          <w:rFonts w:ascii="Times New Roman" w:hAnsi="Times New Roman" w:cs="Times New Roman"/>
          <w:noProof/>
          <w:sz w:val="24"/>
          <w:szCs w:val="24"/>
        </w:rPr>
      </w:pPr>
    </w:p>
    <w:p>
      <w:pPr>
        <w:keepNext/>
        <w:spacing w:after="120" w:line="240" w:lineRule="auto"/>
        <w:jc w:val="both"/>
        <w:rPr>
          <w:rFonts w:ascii="Times New Roman" w:eastAsia="ヒラギノ角ゴ Pro W3" w:hAnsi="Times New Roman" w:cs="Times New Roman"/>
          <w:b/>
          <w:noProof/>
          <w:sz w:val="20"/>
          <w:szCs w:val="20"/>
        </w:rPr>
      </w:pPr>
      <w:r>
        <w:rPr>
          <w:rFonts w:ascii="Times New Roman" w:hAnsi="Times New Roman"/>
          <w:b/>
          <w:noProof/>
          <w:sz w:val="20"/>
          <w:szCs w:val="20"/>
        </w:rPr>
        <w:t xml:space="preserve">Figura 11: Estado de implantação das medidas de conservação das espécies (em % de todas as avaliações de espécies efetuadas pelos Estados-Membros para espécies que requerem a designação de um sítio)  </w:t>
      </w:r>
    </w:p>
    <w:p>
      <w:pPr>
        <w:jc w:val="both"/>
        <w:rPr>
          <w:rFonts w:ascii="Times New Roman" w:hAnsi="Times New Roman" w:cs="Times New Roman"/>
          <w:noProof/>
        </w:rPr>
      </w:pPr>
      <w:r>
        <w:rPr>
          <w:noProof/>
          <w:lang w:val="en-GB" w:eastAsia="en-GB"/>
        </w:rPr>
        <w:drawing>
          <wp:inline distT="0" distB="0" distL="0" distR="0">
            <wp:extent cx="5731510" cy="1965325"/>
            <wp:effectExtent l="0" t="0" r="2540" b="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31510" cy="1965325"/>
                    </a:xfrm>
                    <a:prstGeom prst="rect">
                      <a:avLst/>
                    </a:prstGeom>
                    <a:noFill/>
                    <a:ln>
                      <a:noFill/>
                    </a:ln>
                  </pic:spPr>
                </pic:pic>
              </a:graphicData>
            </a:graphic>
          </wp:inline>
        </w:drawing>
      </w:r>
    </w:p>
    <w:p>
      <w:pPr>
        <w:spacing w:before="240" w:after="240"/>
        <w:jc w:val="both"/>
        <w:rPr>
          <w:rFonts w:ascii="Times New Roman" w:hAnsi="Times New Roman" w:cs="Times New Roman"/>
          <w:noProof/>
          <w:sz w:val="24"/>
          <w:szCs w:val="24"/>
        </w:rPr>
      </w:pPr>
      <w:r>
        <w:rPr>
          <w:rFonts w:ascii="Times New Roman" w:hAnsi="Times New Roman"/>
          <w:noProof/>
          <w:sz w:val="24"/>
          <w:szCs w:val="24"/>
        </w:rPr>
        <w:t xml:space="preserve">Apesar das medidas dos Estados-Membros, o estado de conservação e as tendências não melhoraram durante o período de referência; de facto, para muitas espécies e tipos de </w:t>
      </w:r>
      <w:r>
        <w:rPr>
          <w:rFonts w:ascii="Times New Roman" w:hAnsi="Times New Roman"/>
          <w:i/>
          <w:iCs/>
          <w:noProof/>
          <w:sz w:val="24"/>
          <w:szCs w:val="24"/>
        </w:rPr>
        <w:t>habitat</w:t>
      </w:r>
      <w:r>
        <w:rPr>
          <w:rFonts w:ascii="Times New Roman" w:hAnsi="Times New Roman"/>
          <w:noProof/>
          <w:sz w:val="24"/>
          <w:szCs w:val="24"/>
        </w:rPr>
        <w:t xml:space="preserve"> (incluindo aqueles para os quais a designação Natura 2000 é um mecanismo de conservação essencial), registou-se uma maior deterioração. É, portanto, claro (e confirmado pelos relatórios) que os Estados-Membros não tomaram as medidas de conservação necessárias (pelo menos no grau exigido) e que, em alguns casos, não conseguiram sequer identificá-las de forma adequada. </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A análise da eficácia das medidas mostra uma </w:t>
      </w:r>
      <w:r>
        <w:rPr>
          <w:rFonts w:ascii="Times New Roman" w:hAnsi="Times New Roman"/>
          <w:iCs/>
          <w:noProof/>
          <w:sz w:val="24"/>
          <w:szCs w:val="24"/>
        </w:rPr>
        <w:t xml:space="preserve">correlação positiva entre </w:t>
      </w:r>
      <w:r>
        <w:rPr>
          <w:rFonts w:ascii="Times New Roman" w:hAnsi="Times New Roman"/>
          <w:noProof/>
          <w:sz w:val="24"/>
          <w:szCs w:val="24"/>
        </w:rPr>
        <w:t xml:space="preserve">as medidas tomadas e o bom estado de conservação para a </w:t>
      </w:r>
      <w:r>
        <w:rPr>
          <w:rFonts w:ascii="Times New Roman" w:hAnsi="Times New Roman"/>
          <w:iCs/>
          <w:noProof/>
          <w:sz w:val="24"/>
          <w:szCs w:val="24"/>
        </w:rPr>
        <w:t xml:space="preserve">maioria dos </w:t>
      </w:r>
      <w:r>
        <w:rPr>
          <w:rFonts w:ascii="Times New Roman" w:hAnsi="Times New Roman"/>
          <w:i/>
          <w:iCs/>
          <w:noProof/>
          <w:sz w:val="24"/>
          <w:szCs w:val="24"/>
        </w:rPr>
        <w:t>habitats</w:t>
      </w:r>
      <w:r>
        <w:rPr>
          <w:rFonts w:ascii="Times New Roman" w:hAnsi="Times New Roman"/>
          <w:iCs/>
          <w:noProof/>
          <w:sz w:val="24"/>
          <w:szCs w:val="24"/>
        </w:rPr>
        <w:t xml:space="preserve"> e grupos de espécies</w:t>
      </w:r>
      <w:r>
        <w:rPr>
          <w:rFonts w:ascii="Times New Roman" w:hAnsi="Times New Roman"/>
          <w:noProof/>
          <w:sz w:val="24"/>
          <w:szCs w:val="24"/>
        </w:rPr>
        <w:t>. Além disso, as medidas proativas de recuperação (por exemplo, para repor a estrutura e funções) levam realmente a melhorias.</w:t>
      </w:r>
    </w:p>
    <w:p>
      <w:pPr>
        <w:shd w:val="clear" w:color="auto" w:fill="FFFFFF" w:themeFill="background1"/>
        <w:spacing w:after="240"/>
        <w:jc w:val="both"/>
        <w:rPr>
          <w:rFonts w:ascii="Times New Roman" w:hAnsi="Times New Roman" w:cs="Times New Roman"/>
          <w:b/>
          <w:i/>
          <w:noProof/>
          <w:sz w:val="24"/>
          <w:szCs w:val="24"/>
          <w:u w:val="single"/>
        </w:rPr>
      </w:pPr>
      <w:bookmarkStart w:id="3" w:name="_Toc42152722"/>
      <w:r>
        <w:rPr>
          <w:rFonts w:ascii="Times New Roman" w:hAnsi="Times New Roman"/>
          <w:b/>
          <w:i/>
          <w:noProof/>
          <w:sz w:val="24"/>
          <w:szCs w:val="24"/>
          <w:u w:val="single"/>
        </w:rPr>
        <w:t>4.3 Necessidades de recuperação de habitats</w:t>
      </w:r>
      <w:bookmarkEnd w:id="3"/>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A expressão «bom estado de conservação» aplicada a um tipo de </w:t>
      </w:r>
      <w:r>
        <w:rPr>
          <w:rFonts w:ascii="Times New Roman" w:hAnsi="Times New Roman"/>
          <w:i/>
          <w:noProof/>
          <w:sz w:val="24"/>
          <w:szCs w:val="24"/>
        </w:rPr>
        <w:t>habitat</w:t>
      </w:r>
      <w:r>
        <w:rPr>
          <w:rFonts w:ascii="Times New Roman" w:hAnsi="Times New Roman"/>
          <w:noProof/>
          <w:sz w:val="24"/>
          <w:szCs w:val="24"/>
        </w:rPr>
        <w:t xml:space="preserve"> significa que a área de distribuição natural, a superfície, a estrutura e as funções desse </w:t>
      </w:r>
      <w:r>
        <w:rPr>
          <w:rFonts w:ascii="Times New Roman" w:hAnsi="Times New Roman"/>
          <w:i/>
          <w:iCs/>
          <w:noProof/>
          <w:sz w:val="24"/>
          <w:szCs w:val="24"/>
        </w:rPr>
        <w:t>habitat</w:t>
      </w:r>
      <w:r>
        <w:rPr>
          <w:rFonts w:ascii="Times New Roman" w:hAnsi="Times New Roman"/>
          <w:noProof/>
          <w:sz w:val="24"/>
          <w:szCs w:val="24"/>
        </w:rPr>
        <w:t xml:space="preserve"> são suficientemente grandes e se encontram em boas condições; além disso, as suas perspetivas futuras são positivas. Neste contexto, «recuperação» refere-se a:</w:t>
      </w:r>
    </w:p>
    <w:p>
      <w:pPr>
        <w:pStyle w:val="ListParagraph"/>
        <w:numPr>
          <w:ilvl w:val="0"/>
          <w:numId w:val="4"/>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u w:val="single"/>
        </w:rPr>
        <w:t>melhorar o estado</w:t>
      </w:r>
      <w:r>
        <w:rPr>
          <w:rFonts w:ascii="Times New Roman" w:hAnsi="Times New Roman"/>
          <w:noProof/>
          <w:sz w:val="24"/>
          <w:szCs w:val="24"/>
        </w:rPr>
        <w:t xml:space="preserve"> (ou seja, a qualidade) das zonas existentes do </w:t>
      </w:r>
      <w:r>
        <w:rPr>
          <w:rFonts w:ascii="Times New Roman" w:hAnsi="Times New Roman"/>
          <w:i/>
          <w:noProof/>
          <w:sz w:val="24"/>
          <w:szCs w:val="24"/>
        </w:rPr>
        <w:t>habitat</w:t>
      </w:r>
      <w:r>
        <w:rPr>
          <w:rFonts w:ascii="Times New Roman" w:hAnsi="Times New Roman"/>
          <w:noProof/>
          <w:sz w:val="24"/>
          <w:szCs w:val="24"/>
        </w:rPr>
        <w:t xml:space="preserve"> através de medidas de conservação seletivas; </w:t>
      </w:r>
    </w:p>
    <w:p>
      <w:pPr>
        <w:pStyle w:val="ListParagraph"/>
        <w:numPr>
          <w:ilvl w:val="0"/>
          <w:numId w:val="4"/>
        </w:numPr>
        <w:spacing w:after="24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garantir uma superfície suficiente por meio da </w:t>
      </w:r>
      <w:r>
        <w:rPr>
          <w:rFonts w:ascii="Times New Roman" w:hAnsi="Times New Roman"/>
          <w:noProof/>
          <w:sz w:val="24"/>
          <w:szCs w:val="24"/>
          <w:u w:val="single"/>
        </w:rPr>
        <w:t xml:space="preserve">(re)criação de </w:t>
      </w:r>
      <w:r>
        <w:rPr>
          <w:rFonts w:ascii="Times New Roman" w:hAnsi="Times New Roman"/>
          <w:i/>
          <w:iCs/>
          <w:noProof/>
          <w:sz w:val="24"/>
          <w:szCs w:val="24"/>
          <w:u w:val="single"/>
        </w:rPr>
        <w:t>habitats</w:t>
      </w:r>
      <w:r>
        <w:rPr>
          <w:rFonts w:ascii="Times New Roman" w:hAnsi="Times New Roman"/>
          <w:noProof/>
          <w:sz w:val="24"/>
          <w:szCs w:val="24"/>
        </w:rPr>
        <w:t xml:space="preserve"> (ou seja, criar zonas suplementares de um </w:t>
      </w:r>
      <w:r>
        <w:rPr>
          <w:rFonts w:ascii="Times New Roman" w:hAnsi="Times New Roman"/>
          <w:i/>
          <w:iCs/>
          <w:noProof/>
          <w:sz w:val="24"/>
          <w:szCs w:val="24"/>
        </w:rPr>
        <w:t>habitat</w:t>
      </w:r>
      <w:r>
        <w:rPr>
          <w:rFonts w:ascii="Times New Roman" w:hAnsi="Times New Roman"/>
          <w:noProof/>
          <w:sz w:val="24"/>
          <w:szCs w:val="24"/>
        </w:rPr>
        <w:t xml:space="preserve">, tal como reconstituir o </w:t>
      </w:r>
      <w:r>
        <w:rPr>
          <w:rFonts w:ascii="Times New Roman" w:hAnsi="Times New Roman"/>
          <w:i/>
          <w:iCs/>
          <w:noProof/>
          <w:sz w:val="24"/>
          <w:szCs w:val="24"/>
        </w:rPr>
        <w:t>habitat</w:t>
      </w:r>
      <w:r>
        <w:rPr>
          <w:rFonts w:ascii="Times New Roman" w:hAnsi="Times New Roman"/>
          <w:noProof/>
          <w:sz w:val="24"/>
          <w:szCs w:val="24"/>
        </w:rPr>
        <w:t xml:space="preserve"> de uma zona húmida a partir de terras agrícolas anteriormente drenadas, ou ampliar a superfície de </w:t>
      </w:r>
      <w:r>
        <w:rPr>
          <w:rFonts w:ascii="Times New Roman" w:hAnsi="Times New Roman"/>
          <w:i/>
          <w:iCs/>
          <w:noProof/>
          <w:sz w:val="24"/>
          <w:szCs w:val="24"/>
        </w:rPr>
        <w:t>habitats</w:t>
      </w:r>
      <w:r>
        <w:rPr>
          <w:rFonts w:ascii="Times New Roman" w:hAnsi="Times New Roman"/>
          <w:noProof/>
          <w:sz w:val="24"/>
          <w:szCs w:val="24"/>
        </w:rPr>
        <w:t xml:space="preserve"> de floresta protegida autóctone).</w:t>
      </w:r>
    </w:p>
    <w:p>
      <w:pPr>
        <w:spacing w:after="240"/>
        <w:jc w:val="both"/>
        <w:rPr>
          <w:rFonts w:ascii="Times New Roman" w:hAnsi="Times New Roman" w:cs="Times New Roman"/>
          <w:iCs/>
          <w:noProof/>
          <w:sz w:val="24"/>
          <w:szCs w:val="24"/>
        </w:rPr>
      </w:pPr>
      <w:r>
        <w:rPr>
          <w:rFonts w:ascii="Times New Roman" w:hAnsi="Times New Roman"/>
          <w:iCs/>
          <w:noProof/>
          <w:sz w:val="24"/>
          <w:szCs w:val="24"/>
        </w:rPr>
        <w:t xml:space="preserve">Uma avaliação dos requisitos de recuperação para os tipos de </w:t>
      </w:r>
      <w:r>
        <w:rPr>
          <w:rFonts w:ascii="Times New Roman" w:hAnsi="Times New Roman"/>
          <w:i/>
          <w:iCs/>
          <w:noProof/>
          <w:sz w:val="24"/>
          <w:szCs w:val="24"/>
        </w:rPr>
        <w:t>habitat</w:t>
      </w:r>
      <w:r>
        <w:rPr>
          <w:rFonts w:ascii="Times New Roman" w:hAnsi="Times New Roman"/>
          <w:iCs/>
          <w:noProof/>
          <w:sz w:val="24"/>
          <w:szCs w:val="24"/>
        </w:rPr>
        <w:t xml:space="preserve"> que constam do anexo I mostra que as necessidades variam significativamente entre grupos de </w:t>
      </w:r>
      <w:r>
        <w:rPr>
          <w:rFonts w:ascii="Times New Roman" w:hAnsi="Times New Roman"/>
          <w:i/>
          <w:iCs/>
          <w:noProof/>
          <w:sz w:val="24"/>
          <w:szCs w:val="24"/>
        </w:rPr>
        <w:t>habitats</w:t>
      </w:r>
      <w:r>
        <w:rPr>
          <w:rFonts w:ascii="Times New Roman" w:hAnsi="Times New Roman"/>
          <w:iCs/>
          <w:noProof/>
          <w:sz w:val="24"/>
          <w:szCs w:val="24"/>
        </w:rPr>
        <w:t xml:space="preserve"> e regiões biogeográficas.</w:t>
      </w:r>
    </w:p>
    <w:p>
      <w:pPr>
        <w:rPr>
          <w:rFonts w:ascii="Times New Roman" w:hAnsi="Times New Roman" w:cs="Times New Roman"/>
          <w:iCs/>
          <w:noProof/>
          <w:sz w:val="24"/>
          <w:szCs w:val="24"/>
        </w:rPr>
      </w:pPr>
      <w:r>
        <w:rPr>
          <w:noProof/>
        </w:rPr>
        <w:br w:type="page"/>
      </w:r>
    </w:p>
    <w:p>
      <w:pPr>
        <w:spacing w:after="240"/>
        <w:jc w:val="both"/>
        <w:rPr>
          <w:rFonts w:ascii="Times New Roman" w:hAnsi="Times New Roman" w:cs="Times New Roman"/>
          <w:iCs/>
          <w:noProof/>
          <w:sz w:val="24"/>
          <w:szCs w:val="24"/>
        </w:rPr>
      </w:pPr>
    </w:p>
    <w:p>
      <w:pPr>
        <w:spacing w:after="120"/>
        <w:jc w:val="both"/>
        <w:rPr>
          <w:rFonts w:ascii="Times New Roman" w:hAnsi="Times New Roman" w:cs="Times New Roman"/>
          <w:b/>
          <w:noProof/>
          <w:sz w:val="20"/>
          <w:szCs w:val="20"/>
        </w:rPr>
      </w:pPr>
      <w:bookmarkStart w:id="4" w:name="OLE_LINK1"/>
      <w:bookmarkStart w:id="5" w:name="OLE_LINK2"/>
      <w:r>
        <w:rPr>
          <w:rFonts w:ascii="Times New Roman" w:hAnsi="Times New Roman"/>
          <w:b/>
          <w:noProof/>
          <w:sz w:val="20"/>
          <w:szCs w:val="20"/>
        </w:rPr>
        <w:t xml:space="preserve">Figura 12: Proporções da superfície abrangida pelos grupos de </w:t>
      </w:r>
      <w:r>
        <w:rPr>
          <w:rFonts w:ascii="Times New Roman" w:hAnsi="Times New Roman"/>
          <w:b/>
          <w:i/>
          <w:noProof/>
          <w:sz w:val="20"/>
          <w:szCs w:val="20"/>
        </w:rPr>
        <w:t>habitats</w:t>
      </w:r>
      <w:r>
        <w:rPr>
          <w:rFonts w:ascii="Times New Roman" w:hAnsi="Times New Roman"/>
          <w:b/>
          <w:noProof/>
          <w:sz w:val="20"/>
          <w:szCs w:val="20"/>
        </w:rPr>
        <w:t xml:space="preserve"> do anexo I que devem melhorar, conforme comunicado pelos Estados-Membros</w:t>
      </w:r>
    </w:p>
    <w:p>
      <w:pPr>
        <w:jc w:val="both"/>
        <w:rPr>
          <w:rFonts w:ascii="Times New Roman" w:hAnsi="Times New Roman" w:cs="Times New Roman"/>
          <w:b/>
          <w:noProof/>
          <w:sz w:val="18"/>
          <w:szCs w:val="18"/>
        </w:rPr>
      </w:pPr>
      <w:r>
        <w:rPr>
          <w:noProof/>
          <w:lang w:val="en-GB" w:eastAsia="en-GB"/>
        </w:rPr>
        <w:drawing>
          <wp:inline distT="0" distB="0" distL="0" distR="0">
            <wp:extent cx="5731510" cy="2806505"/>
            <wp:effectExtent l="0" t="0" r="254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38152" cy="2809758"/>
                    </a:xfrm>
                    <a:prstGeom prst="rect">
                      <a:avLst/>
                    </a:prstGeom>
                    <a:noFill/>
                    <a:ln>
                      <a:noFill/>
                    </a:ln>
                  </pic:spPr>
                </pic:pic>
              </a:graphicData>
            </a:graphic>
          </wp:inline>
        </w:drawing>
      </w:r>
    </w:p>
    <w:p>
      <w:pPr>
        <w:spacing w:after="240"/>
        <w:jc w:val="both"/>
        <w:rPr>
          <w:rFonts w:ascii="Times New Roman" w:hAnsi="Times New Roman" w:cs="Times New Roman"/>
          <w:noProof/>
          <w:sz w:val="18"/>
          <w:szCs w:val="18"/>
        </w:rPr>
      </w:pPr>
      <w:r>
        <w:rPr>
          <w:rFonts w:ascii="Times New Roman" w:hAnsi="Times New Roman"/>
          <w:b/>
          <w:noProof/>
          <w:sz w:val="18"/>
          <w:szCs w:val="18"/>
        </w:rPr>
        <w:t xml:space="preserve">Nota: </w:t>
      </w:r>
      <w:r>
        <w:rPr>
          <w:rFonts w:ascii="Times New Roman" w:hAnsi="Times New Roman"/>
          <w:noProof/>
          <w:sz w:val="18"/>
          <w:szCs w:val="18"/>
        </w:rPr>
        <w:t xml:space="preserve">O Reino Unido e o </w:t>
      </w:r>
      <w:r>
        <w:rPr>
          <w:rFonts w:ascii="Times New Roman" w:hAnsi="Times New Roman"/>
          <w:i/>
          <w:noProof/>
          <w:sz w:val="18"/>
          <w:szCs w:val="18"/>
        </w:rPr>
        <w:t>habitat</w:t>
      </w:r>
      <w:r>
        <w:rPr>
          <w:rFonts w:ascii="Times New Roman" w:hAnsi="Times New Roman"/>
          <w:noProof/>
          <w:sz w:val="18"/>
          <w:szCs w:val="18"/>
        </w:rPr>
        <w:t xml:space="preserve"> 8310 (grutas naturais) foram excluídos dos cálculos.</w:t>
      </w:r>
      <w:bookmarkEnd w:id="4"/>
      <w:bookmarkEnd w:id="5"/>
    </w:p>
    <w:p>
      <w:pPr>
        <w:rPr>
          <w:rFonts w:ascii="Times New Roman" w:hAnsi="Times New Roman" w:cs="Times New Roman"/>
          <w:noProof/>
          <w:sz w:val="24"/>
          <w:szCs w:val="24"/>
        </w:rPr>
      </w:pPr>
      <w:r>
        <w:rPr>
          <w:rFonts w:ascii="Times New Roman" w:hAnsi="Times New Roman"/>
          <w:noProof/>
          <w:sz w:val="24"/>
          <w:szCs w:val="24"/>
        </w:rPr>
        <w:t>Algumas das principais conclusões da avaliação são:</w:t>
      </w:r>
    </w:p>
    <w:p>
      <w:pPr>
        <w:pStyle w:val="ListParagraph"/>
        <w:numPr>
          <w:ilvl w:val="0"/>
          <w:numId w:val="6"/>
        </w:numPr>
        <w:spacing w:after="120"/>
        <w:ind w:left="681" w:hanging="397"/>
        <w:contextualSpacing w:val="0"/>
        <w:jc w:val="both"/>
        <w:rPr>
          <w:rFonts w:ascii="Times New Roman" w:hAnsi="Times New Roman" w:cs="Times New Roman"/>
          <w:b/>
          <w:noProof/>
          <w:sz w:val="24"/>
          <w:szCs w:val="24"/>
        </w:rPr>
      </w:pPr>
      <w:r>
        <w:rPr>
          <w:rFonts w:ascii="Times New Roman" w:hAnsi="Times New Roman"/>
          <w:noProof/>
          <w:sz w:val="24"/>
          <w:szCs w:val="24"/>
        </w:rPr>
        <w:t xml:space="preserve">Estima-se que a área de </w:t>
      </w:r>
      <w:r>
        <w:rPr>
          <w:rFonts w:ascii="Times New Roman" w:hAnsi="Times New Roman"/>
          <w:i/>
          <w:iCs/>
          <w:noProof/>
          <w:sz w:val="24"/>
          <w:szCs w:val="24"/>
        </w:rPr>
        <w:t>habitats</w:t>
      </w:r>
      <w:r>
        <w:rPr>
          <w:rFonts w:ascii="Times New Roman" w:hAnsi="Times New Roman"/>
          <w:noProof/>
          <w:sz w:val="24"/>
          <w:szCs w:val="24"/>
        </w:rPr>
        <w:t xml:space="preserve"> protegidos que devem melhorar seja cerca de 215 000 km</w:t>
      </w:r>
      <w:r>
        <w:rPr>
          <w:rFonts w:ascii="Times New Roman" w:hAnsi="Times New Roman"/>
          <w:noProof/>
          <w:sz w:val="24"/>
          <w:szCs w:val="24"/>
          <w:vertAlign w:val="superscript"/>
        </w:rPr>
        <w:t>2</w:t>
      </w:r>
      <w:r>
        <w:rPr>
          <w:rFonts w:ascii="Times New Roman" w:hAnsi="Times New Roman"/>
          <w:noProof/>
          <w:sz w:val="24"/>
          <w:szCs w:val="24"/>
        </w:rPr>
        <w:t xml:space="preserve"> (ou 5 % do território da UE-27</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As florestas são os mais críticos, com cerca de 19,5 % (cerca de 100 000 km</w:t>
      </w:r>
      <w:r>
        <w:rPr>
          <w:rFonts w:ascii="Times New Roman" w:hAnsi="Times New Roman"/>
          <w:noProof/>
          <w:sz w:val="24"/>
          <w:szCs w:val="24"/>
          <w:vertAlign w:val="superscript"/>
        </w:rPr>
        <w:t>2</w:t>
      </w:r>
      <w:r>
        <w:rPr>
          <w:rFonts w:ascii="Times New Roman" w:hAnsi="Times New Roman"/>
          <w:noProof/>
          <w:sz w:val="24"/>
          <w:szCs w:val="24"/>
        </w:rPr>
        <w:t xml:space="preserve">) a necessitar de melhorias, seguidas dos </w:t>
      </w:r>
      <w:r>
        <w:rPr>
          <w:rFonts w:ascii="Times New Roman" w:hAnsi="Times New Roman"/>
          <w:i/>
          <w:iCs/>
          <w:noProof/>
          <w:sz w:val="24"/>
          <w:szCs w:val="24"/>
        </w:rPr>
        <w:t>habitats</w:t>
      </w:r>
      <w:r>
        <w:rPr>
          <w:rFonts w:ascii="Times New Roman" w:hAnsi="Times New Roman"/>
          <w:noProof/>
          <w:sz w:val="24"/>
          <w:szCs w:val="24"/>
        </w:rPr>
        <w:t xml:space="preserve"> costeiros com 16 % (cerca de 46 000 km</w:t>
      </w:r>
      <w:r>
        <w:rPr>
          <w:rFonts w:ascii="Times New Roman" w:hAnsi="Times New Roman"/>
          <w:noProof/>
          <w:sz w:val="24"/>
          <w:szCs w:val="24"/>
          <w:vertAlign w:val="superscript"/>
        </w:rPr>
        <w:t>2</w:t>
      </w:r>
      <w:r>
        <w:rPr>
          <w:rFonts w:ascii="Times New Roman" w:hAnsi="Times New Roman"/>
          <w:noProof/>
          <w:sz w:val="24"/>
          <w:szCs w:val="24"/>
        </w:rPr>
        <w:t>), prados com 13,5 % (cerca de 33 000 km</w:t>
      </w:r>
      <w:r>
        <w:rPr>
          <w:rFonts w:ascii="Times New Roman" w:hAnsi="Times New Roman"/>
          <w:noProof/>
          <w:sz w:val="24"/>
          <w:szCs w:val="24"/>
          <w:vertAlign w:val="superscript"/>
        </w:rPr>
        <w:t>2</w:t>
      </w:r>
      <w:r>
        <w:rPr>
          <w:rFonts w:ascii="Times New Roman" w:hAnsi="Times New Roman"/>
          <w:noProof/>
          <w:sz w:val="24"/>
          <w:szCs w:val="24"/>
        </w:rPr>
        <w:t xml:space="preserve">), </w:t>
      </w:r>
      <w:r>
        <w:rPr>
          <w:rFonts w:ascii="Times New Roman" w:hAnsi="Times New Roman"/>
          <w:i/>
          <w:iCs/>
          <w:noProof/>
          <w:sz w:val="24"/>
          <w:szCs w:val="24"/>
        </w:rPr>
        <w:t>habitats</w:t>
      </w:r>
      <w:r>
        <w:rPr>
          <w:rFonts w:ascii="Times New Roman" w:hAnsi="Times New Roman"/>
          <w:noProof/>
          <w:sz w:val="24"/>
          <w:szCs w:val="24"/>
        </w:rPr>
        <w:t xml:space="preserve"> de água doce com 10,5 % (cerca de 13 500 km</w:t>
      </w:r>
      <w:r>
        <w:rPr>
          <w:rFonts w:ascii="Times New Roman" w:hAnsi="Times New Roman"/>
          <w:noProof/>
          <w:sz w:val="24"/>
          <w:szCs w:val="24"/>
          <w:vertAlign w:val="superscript"/>
        </w:rPr>
        <w:t>2</w:t>
      </w:r>
      <w:r>
        <w:rPr>
          <w:rFonts w:ascii="Times New Roman" w:hAnsi="Times New Roman"/>
          <w:noProof/>
          <w:sz w:val="24"/>
          <w:szCs w:val="24"/>
        </w:rPr>
        <w:t>) e turfeiras e pântanos com 9 % (cerca de 10 900 km</w:t>
      </w:r>
      <w:r>
        <w:rPr>
          <w:rFonts w:ascii="Times New Roman" w:hAnsi="Times New Roman"/>
          <w:noProof/>
          <w:sz w:val="24"/>
          <w:szCs w:val="24"/>
          <w:vertAlign w:val="superscript"/>
        </w:rPr>
        <w:t>2</w:t>
      </w:r>
      <w:r>
        <w:rPr>
          <w:rFonts w:ascii="Times New Roman" w:hAnsi="Times New Roman"/>
          <w:noProof/>
          <w:sz w:val="24"/>
          <w:szCs w:val="24"/>
        </w:rPr>
        <w:t>).</w:t>
      </w:r>
    </w:p>
    <w:p>
      <w:pPr>
        <w:pStyle w:val="ListParagraph"/>
        <w:numPr>
          <w:ilvl w:val="0"/>
          <w:numId w:val="6"/>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Pelo menos 11 000 km</w:t>
      </w:r>
      <w:r>
        <w:rPr>
          <w:rFonts w:ascii="Times New Roman" w:hAnsi="Times New Roman"/>
          <w:noProof/>
          <w:sz w:val="24"/>
          <w:szCs w:val="24"/>
          <w:vertAlign w:val="superscript"/>
        </w:rPr>
        <w:t>2</w:t>
      </w:r>
      <w:r>
        <w:rPr>
          <w:rFonts w:ascii="Times New Roman" w:hAnsi="Times New Roman"/>
          <w:noProof/>
          <w:sz w:val="24"/>
          <w:szCs w:val="24"/>
        </w:rPr>
        <w:t xml:space="preserve"> de </w:t>
      </w:r>
      <w:r>
        <w:rPr>
          <w:rFonts w:ascii="Times New Roman" w:hAnsi="Times New Roman"/>
          <w:i/>
          <w:iCs/>
          <w:noProof/>
          <w:sz w:val="24"/>
          <w:szCs w:val="24"/>
        </w:rPr>
        <w:t>habitats</w:t>
      </w:r>
      <w:r>
        <w:rPr>
          <w:rFonts w:ascii="Times New Roman" w:hAnsi="Times New Roman"/>
          <w:noProof/>
          <w:sz w:val="24"/>
          <w:szCs w:val="24"/>
        </w:rPr>
        <w:t xml:space="preserve"> do anexo I têm de ser (re)criados para aumentar a superfície existente, a fim de garantir a viabilidade a longo prazo de todos os tipos de </w:t>
      </w:r>
      <w:r>
        <w:rPr>
          <w:rFonts w:ascii="Times New Roman" w:hAnsi="Times New Roman"/>
          <w:i/>
          <w:iCs/>
          <w:noProof/>
          <w:sz w:val="24"/>
          <w:szCs w:val="24"/>
        </w:rPr>
        <w:t>habitat</w:t>
      </w:r>
      <w:r>
        <w:rPr>
          <w:rFonts w:ascii="Times New Roman" w:hAnsi="Times New Roman"/>
          <w:noProof/>
          <w:sz w:val="24"/>
          <w:szCs w:val="24"/>
        </w:rPr>
        <w:t xml:space="preserve">. Os grupos de </w:t>
      </w:r>
      <w:r>
        <w:rPr>
          <w:rFonts w:ascii="Times New Roman" w:hAnsi="Times New Roman"/>
          <w:i/>
          <w:iCs/>
          <w:noProof/>
          <w:sz w:val="24"/>
          <w:szCs w:val="24"/>
        </w:rPr>
        <w:t>habitats</w:t>
      </w:r>
      <w:r>
        <w:rPr>
          <w:rFonts w:ascii="Times New Roman" w:hAnsi="Times New Roman"/>
          <w:noProof/>
          <w:sz w:val="24"/>
          <w:szCs w:val="24"/>
        </w:rPr>
        <w:t xml:space="preserve"> que apresentam as maiores superfícies para (re)criação são as florestas (4 600 km</w:t>
      </w:r>
      <w:r>
        <w:rPr>
          <w:rFonts w:ascii="Times New Roman" w:hAnsi="Times New Roman"/>
          <w:noProof/>
          <w:sz w:val="24"/>
          <w:szCs w:val="24"/>
          <w:vertAlign w:val="superscript"/>
        </w:rPr>
        <w:t>2</w:t>
      </w:r>
      <w:r>
        <w:rPr>
          <w:rFonts w:ascii="Times New Roman" w:hAnsi="Times New Roman"/>
          <w:noProof/>
          <w:sz w:val="24"/>
          <w:szCs w:val="24"/>
        </w:rPr>
        <w:t>), os prados (1 900 km</w:t>
      </w:r>
      <w:r>
        <w:rPr>
          <w:rFonts w:ascii="Times New Roman" w:hAnsi="Times New Roman"/>
          <w:noProof/>
          <w:sz w:val="24"/>
          <w:szCs w:val="24"/>
          <w:vertAlign w:val="superscript"/>
        </w:rPr>
        <w:t>2</w:t>
      </w:r>
      <w:r>
        <w:rPr>
          <w:rFonts w:ascii="Times New Roman" w:hAnsi="Times New Roman"/>
          <w:noProof/>
          <w:sz w:val="24"/>
          <w:szCs w:val="24"/>
        </w:rPr>
        <w:t>), as turfeiras e pântanos (1 700 km</w:t>
      </w:r>
      <w:r>
        <w:rPr>
          <w:rFonts w:ascii="Times New Roman" w:hAnsi="Times New Roman"/>
          <w:noProof/>
          <w:sz w:val="24"/>
          <w:szCs w:val="24"/>
          <w:vertAlign w:val="superscript"/>
        </w:rPr>
        <w:t>2</w:t>
      </w:r>
      <w:r>
        <w:rPr>
          <w:rFonts w:ascii="Times New Roman" w:hAnsi="Times New Roman"/>
          <w:noProof/>
          <w:sz w:val="24"/>
          <w:szCs w:val="24"/>
        </w:rPr>
        <w:t xml:space="preserve">) e os </w:t>
      </w:r>
      <w:r>
        <w:rPr>
          <w:rFonts w:ascii="Times New Roman" w:hAnsi="Times New Roman"/>
          <w:i/>
          <w:iCs/>
          <w:noProof/>
          <w:sz w:val="24"/>
          <w:szCs w:val="24"/>
        </w:rPr>
        <w:t>habitats</w:t>
      </w:r>
      <w:r>
        <w:rPr>
          <w:rFonts w:ascii="Times New Roman" w:hAnsi="Times New Roman"/>
          <w:noProof/>
          <w:sz w:val="24"/>
          <w:szCs w:val="24"/>
        </w:rPr>
        <w:t xml:space="preserve"> costeiros (1 400 km</w:t>
      </w:r>
      <w:r>
        <w:rPr>
          <w:rFonts w:ascii="Times New Roman" w:hAnsi="Times New Roman"/>
          <w:noProof/>
          <w:sz w:val="24"/>
          <w:szCs w:val="24"/>
          <w:vertAlign w:val="superscript"/>
        </w:rPr>
        <w:t>2</w:t>
      </w:r>
      <w:r>
        <w:rPr>
          <w:rFonts w:ascii="Times New Roman" w:hAnsi="Times New Roman"/>
          <w:noProof/>
          <w:sz w:val="24"/>
          <w:szCs w:val="24"/>
        </w:rPr>
        <w:t>). Em geral, isto aplica-se a 1</w:t>
      </w:r>
      <w:r>
        <w:rPr>
          <w:rFonts w:ascii="Times New Roman" w:hAnsi="Times New Roman"/>
          <w:noProof/>
          <w:sz w:val="24"/>
          <w:szCs w:val="24"/>
        </w:rPr>
        <w:noBreakHyphen/>
        <w:t xml:space="preserve">1,5 % da superfície total existente destes grupos de </w:t>
      </w:r>
      <w:r>
        <w:rPr>
          <w:rFonts w:ascii="Times New Roman" w:hAnsi="Times New Roman"/>
          <w:i/>
          <w:noProof/>
          <w:sz w:val="24"/>
          <w:szCs w:val="24"/>
        </w:rPr>
        <w:t>habitats</w:t>
      </w:r>
      <w:r>
        <w:rPr>
          <w:rFonts w:ascii="Times New Roman" w:hAnsi="Times New Roman"/>
          <w:noProof/>
          <w:sz w:val="24"/>
          <w:szCs w:val="24"/>
        </w:rPr>
        <w:t>.</w:t>
      </w:r>
    </w:p>
    <w:p>
      <w:pPr>
        <w:pStyle w:val="ListParagraph"/>
        <w:numPr>
          <w:ilvl w:val="0"/>
          <w:numId w:val="6"/>
        </w:numPr>
        <w:spacing w:after="120"/>
        <w:ind w:left="709"/>
        <w:contextualSpacing w:val="0"/>
        <w:jc w:val="both"/>
        <w:rPr>
          <w:rFonts w:ascii="Times New Roman" w:hAnsi="Times New Roman" w:cs="Times New Roman"/>
          <w:noProof/>
          <w:sz w:val="24"/>
          <w:szCs w:val="24"/>
        </w:rPr>
      </w:pPr>
      <w:r>
        <w:rPr>
          <w:rFonts w:ascii="Times New Roman" w:hAnsi="Times New Roman"/>
          <w:noProof/>
          <w:sz w:val="24"/>
          <w:szCs w:val="24"/>
        </w:rPr>
        <w:t xml:space="preserve">As regiões biogeográficas com maior necessidade de melhorar o estado das zonas de </w:t>
      </w:r>
      <w:r>
        <w:rPr>
          <w:rFonts w:ascii="Times New Roman" w:hAnsi="Times New Roman"/>
          <w:i/>
          <w:noProof/>
          <w:sz w:val="24"/>
          <w:szCs w:val="24"/>
        </w:rPr>
        <w:t>habitat</w:t>
      </w:r>
      <w:r>
        <w:rPr>
          <w:rFonts w:ascii="Times New Roman" w:hAnsi="Times New Roman"/>
          <w:noProof/>
          <w:sz w:val="24"/>
          <w:szCs w:val="24"/>
        </w:rPr>
        <w:t xml:space="preserve"> existentes são as regiões continental, mediterrânica, atlântica, marinha atlântica e boreal.</w:t>
      </w:r>
    </w:p>
    <w:p>
      <w:pPr>
        <w:pStyle w:val="ListParagraph"/>
        <w:numPr>
          <w:ilvl w:val="0"/>
          <w:numId w:val="6"/>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Muitos dos </w:t>
      </w:r>
      <w:r>
        <w:rPr>
          <w:rFonts w:ascii="Times New Roman" w:hAnsi="Times New Roman"/>
          <w:i/>
          <w:noProof/>
          <w:sz w:val="24"/>
          <w:szCs w:val="24"/>
        </w:rPr>
        <w:t>habitats</w:t>
      </w:r>
      <w:r>
        <w:rPr>
          <w:rFonts w:ascii="Times New Roman" w:hAnsi="Times New Roman"/>
          <w:noProof/>
          <w:sz w:val="24"/>
          <w:szCs w:val="24"/>
        </w:rPr>
        <w:t xml:space="preserve"> do anexo I que requerem recuperação são particularmente ricos em carbono, oferecendo um importante potencial para armazenar e fixar carbono na biomassa aérea e subterrânea e no solo. Cerca de 16 % dessas áreas ricas em carbono precisam de ser melhoradas (154 000 km</w:t>
      </w:r>
      <w:r>
        <w:rPr>
          <w:rFonts w:ascii="Times New Roman" w:hAnsi="Times New Roman"/>
          <w:noProof/>
          <w:sz w:val="24"/>
          <w:szCs w:val="24"/>
          <w:vertAlign w:val="superscript"/>
        </w:rPr>
        <w:t>2</w:t>
      </w:r>
      <w:r>
        <w:rPr>
          <w:rFonts w:ascii="Times New Roman" w:hAnsi="Times New Roman"/>
          <w:noProof/>
          <w:sz w:val="24"/>
          <w:szCs w:val="24"/>
        </w:rPr>
        <w:t>). A sua recuperação e manutenção podem contribuir significativamente para a atenuação das alterações climáticas.</w:t>
      </w:r>
    </w:p>
    <w:p>
      <w:pPr>
        <w:pStyle w:val="ListParagraph"/>
        <w:numPr>
          <w:ilvl w:val="0"/>
          <w:numId w:val="6"/>
        </w:numPr>
        <w:spacing w:after="24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Como os dados de monitorização são insuficientes, as zonas de </w:t>
      </w:r>
      <w:r>
        <w:rPr>
          <w:rFonts w:ascii="Times New Roman" w:hAnsi="Times New Roman"/>
          <w:i/>
          <w:iCs/>
          <w:noProof/>
          <w:sz w:val="24"/>
          <w:szCs w:val="24"/>
        </w:rPr>
        <w:t>habitat</w:t>
      </w:r>
      <w:r>
        <w:rPr>
          <w:rFonts w:ascii="Times New Roman" w:hAnsi="Times New Roman"/>
          <w:noProof/>
          <w:sz w:val="24"/>
          <w:szCs w:val="24"/>
        </w:rPr>
        <w:t xml:space="preserve"> visadas no anexo I que precisam de recuperação são provavelmente muito superiores às estimativas atuais. Faz falta uma cartografia exaustiva das zonas ricas em carbono e em natureza, dos efeitos de gestão, do estado dos </w:t>
      </w:r>
      <w:r>
        <w:rPr>
          <w:rFonts w:ascii="Times New Roman" w:hAnsi="Times New Roman"/>
          <w:i/>
          <w:noProof/>
          <w:sz w:val="24"/>
          <w:szCs w:val="24"/>
        </w:rPr>
        <w:t>habitats</w:t>
      </w:r>
      <w:r>
        <w:rPr>
          <w:rFonts w:ascii="Times New Roman" w:hAnsi="Times New Roman"/>
          <w:noProof/>
          <w:sz w:val="24"/>
          <w:szCs w:val="24"/>
        </w:rPr>
        <w:t xml:space="preserve"> e de outros fatores, para fundamentar a tomada de decisões sobre as prioridades de recuperação. Também se devem abordar as necessidades de recuperação de aves e outras espécies, mas atualmente não se comunicam dados a esse respeito.</w:t>
      </w:r>
    </w:p>
    <w:p>
      <w:pPr>
        <w:spacing w:after="240"/>
        <w:ind w:left="284"/>
        <w:jc w:val="both"/>
        <w:rPr>
          <w:rFonts w:ascii="Times New Roman" w:hAnsi="Times New Roman" w:cs="Times New Roman"/>
          <w:noProof/>
          <w:sz w:val="24"/>
          <w:szCs w:val="24"/>
        </w:rPr>
      </w:pPr>
    </w:p>
    <w:p>
      <w:pPr>
        <w:pStyle w:val="Heading1"/>
        <w:numPr>
          <w:ilvl w:val="0"/>
          <w:numId w:val="10"/>
        </w:numPr>
        <w:spacing w:after="240"/>
        <w:ind w:left="714" w:hanging="357"/>
        <w:rPr>
          <w:rFonts w:eastAsia="Times New Roman"/>
          <w:noProof/>
          <w:color w:val="auto"/>
        </w:rPr>
      </w:pPr>
      <w:r>
        <w:rPr>
          <w:noProof/>
          <w:color w:val="auto"/>
        </w:rPr>
        <w:t>O papel da rede Natura 2000</w:t>
      </w:r>
    </w:p>
    <w:p>
      <w:pPr>
        <w:spacing w:after="240"/>
        <w:jc w:val="both"/>
        <w:rPr>
          <w:rFonts w:ascii="Times New Roman" w:eastAsia="ヒラギノ角ゴ Pro W3" w:hAnsi="Times New Roman" w:cs="Times New Roman"/>
          <w:iCs/>
          <w:noProof/>
          <w:sz w:val="24"/>
          <w:szCs w:val="24"/>
        </w:rPr>
      </w:pPr>
      <w:r>
        <w:rPr>
          <w:rFonts w:ascii="Times New Roman" w:hAnsi="Times New Roman"/>
          <w:iCs/>
          <w:noProof/>
          <w:sz w:val="24"/>
          <w:szCs w:val="24"/>
        </w:rPr>
        <w:t xml:space="preserve">A rede Natura 2000 está formada por </w:t>
      </w:r>
      <w:r>
        <w:rPr>
          <w:rFonts w:ascii="Times New Roman" w:hAnsi="Times New Roman"/>
          <w:noProof/>
          <w:sz w:val="24"/>
          <w:szCs w:val="24"/>
        </w:rPr>
        <w:t xml:space="preserve">zonas de proteção especial classificadas no âmbito da Diretiva Aves e por zonas especiais de conservação designadas no âmbito da Diretiva </w:t>
      </w:r>
      <w:r>
        <w:rPr>
          <w:rFonts w:ascii="Times New Roman" w:hAnsi="Times New Roman"/>
          <w:i/>
          <w:noProof/>
          <w:sz w:val="24"/>
          <w:szCs w:val="24"/>
        </w:rPr>
        <w:t>Habitats</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w:t>
      </w:r>
      <w:r>
        <w:rPr>
          <w:rFonts w:ascii="Times New Roman" w:hAnsi="Times New Roman"/>
          <w:iCs/>
          <w:noProof/>
          <w:sz w:val="24"/>
          <w:szCs w:val="24"/>
        </w:rPr>
        <w:t xml:space="preserve">Representa a maior rede coordenada de zonas protegidas do mundo e é a principal ferramenta da UE para manter ou recuperar o estado de conservação das espécies e </w:t>
      </w:r>
      <w:r>
        <w:rPr>
          <w:rFonts w:ascii="Times New Roman" w:hAnsi="Times New Roman"/>
          <w:i/>
          <w:iCs/>
          <w:noProof/>
          <w:sz w:val="24"/>
          <w:szCs w:val="24"/>
        </w:rPr>
        <w:t>habitats</w:t>
      </w:r>
      <w:r>
        <w:rPr>
          <w:rFonts w:ascii="Times New Roman" w:hAnsi="Times New Roman"/>
          <w:iCs/>
          <w:noProof/>
          <w:sz w:val="24"/>
          <w:szCs w:val="24"/>
        </w:rPr>
        <w:t xml:space="preserve"> protegidos.</w:t>
      </w:r>
    </w:p>
    <w:p>
      <w:pPr>
        <w:autoSpaceDE w:val="0"/>
        <w:autoSpaceDN w:val="0"/>
        <w:adjustRightInd w:val="0"/>
        <w:spacing w:after="240"/>
        <w:jc w:val="both"/>
        <w:rPr>
          <w:rFonts w:ascii="Times New Roman" w:eastAsia="Times New Roman" w:hAnsi="Times New Roman" w:cs="Times New Roman"/>
          <w:noProof/>
          <w:sz w:val="24"/>
          <w:szCs w:val="24"/>
        </w:rPr>
      </w:pPr>
      <w:r>
        <w:rPr>
          <w:rFonts w:ascii="Times New Roman" w:hAnsi="Times New Roman"/>
          <w:noProof/>
          <w:sz w:val="24"/>
          <w:szCs w:val="24"/>
        </w:rPr>
        <w:t>No final de 2019, a rede Natura 2000 consistia em 27 852 sítios com uma superfície de 1 358 125 km</w:t>
      </w:r>
      <w:r>
        <w:rPr>
          <w:rFonts w:ascii="Times New Roman" w:hAnsi="Times New Roman"/>
          <w:noProof/>
          <w:sz w:val="24"/>
          <w:szCs w:val="24"/>
          <w:vertAlign w:val="superscript"/>
        </w:rPr>
        <w:t>2</w:t>
      </w:r>
      <w:r>
        <w:rPr>
          <w:rFonts w:ascii="Times New Roman" w:hAnsi="Times New Roman"/>
          <w:noProof/>
          <w:sz w:val="24"/>
          <w:szCs w:val="24"/>
        </w:rPr>
        <w:t>. Abrangia 17,9 % do território terrestre da UE e 9,7 % das suas águas marinhas. A cobertura varia significativamente entre os Estados-Membros: a sua cobertura terrestre varia entre 8 % na Dinamarca e 38 % na Eslovénia e a sua cobertura marinha entre 2 % na Itália e 46 % na Alemanha</w:t>
      </w:r>
      <w:r>
        <w:rPr>
          <w:rStyle w:val="FootnoteReference"/>
          <w:rFonts w:ascii="Times New Roman" w:eastAsia="Times New Roman" w:hAnsi="Times New Roman" w:cs="Times New Roman"/>
          <w:noProof/>
          <w:sz w:val="24"/>
          <w:szCs w:val="24"/>
        </w:rPr>
        <w:footnoteReference w:id="23"/>
      </w:r>
      <w:r>
        <w:rPr>
          <w:rFonts w:ascii="Times New Roman" w:hAnsi="Times New Roman"/>
          <w:noProof/>
          <w:sz w:val="24"/>
          <w:szCs w:val="24"/>
        </w:rPr>
        <w:t>.</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hAnsi="Times New Roman"/>
          <w:noProof/>
          <w:sz w:val="24"/>
          <w:szCs w:val="24"/>
        </w:rPr>
        <w:t>Desde o último período de referência:</w:t>
      </w:r>
    </w:p>
    <w:p>
      <w:pPr>
        <w:pStyle w:val="ListParagraph"/>
        <w:numPr>
          <w:ilvl w:val="0"/>
          <w:numId w:val="11"/>
        </w:numPr>
        <w:autoSpaceDE w:val="0"/>
        <w:autoSpaceDN w:val="0"/>
        <w:adjustRightInd w:val="0"/>
        <w:spacing w:after="120"/>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 superfície da rede marinha duplicou;</w:t>
      </w:r>
    </w:p>
    <w:p>
      <w:pPr>
        <w:pStyle w:val="ListParagraph"/>
        <w:numPr>
          <w:ilvl w:val="0"/>
          <w:numId w:val="11"/>
        </w:numPr>
        <w:autoSpaceDE w:val="0"/>
        <w:autoSpaceDN w:val="0"/>
        <w:adjustRightInd w:val="0"/>
        <w:spacing w:after="120"/>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o número de zonas especiais de conservação designadas mais do que duplicou, com 7 262 novas designações; </w:t>
      </w:r>
    </w:p>
    <w:p>
      <w:pPr>
        <w:pStyle w:val="ListParagraph"/>
        <w:numPr>
          <w:ilvl w:val="0"/>
          <w:numId w:val="11"/>
        </w:numPr>
        <w:autoSpaceDE w:val="0"/>
        <w:autoSpaceDN w:val="0"/>
        <w:adjustRightInd w:val="0"/>
        <w:spacing w:after="240"/>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o número de sítios comunicados como tendo planos de gestão abrangentes aumentou significativamente.</w:t>
      </w:r>
    </w:p>
    <w:p>
      <w:pPr>
        <w:autoSpaceDE w:val="0"/>
        <w:autoSpaceDN w:val="0"/>
        <w:adjustRightInd w:val="0"/>
        <w:spacing w:after="240"/>
        <w:ind w:left="284"/>
        <w:jc w:val="both"/>
        <w:rPr>
          <w:rFonts w:ascii="Times New Roman" w:eastAsia="Times New Roman" w:hAnsi="Times New Roman" w:cs="Times New Roman"/>
          <w:noProof/>
          <w:sz w:val="24"/>
          <w:szCs w:val="24"/>
        </w:rPr>
      </w:pPr>
    </w:p>
    <w:p>
      <w:pPr>
        <w:keepNext/>
        <w:spacing w:after="240" w:line="240" w:lineRule="auto"/>
        <w:jc w:val="both"/>
        <w:rPr>
          <w:rFonts w:ascii="Times New Roman" w:eastAsia="Times New Roman" w:hAnsi="Times New Roman" w:cs="Times New Roman"/>
          <w:b/>
          <w:iCs/>
          <w:noProof/>
          <w:sz w:val="20"/>
          <w:szCs w:val="20"/>
        </w:rPr>
      </w:pPr>
      <w:r>
        <w:rPr>
          <w:rFonts w:ascii="Times New Roman" w:hAnsi="Times New Roman"/>
          <w:b/>
          <w:iCs/>
          <w:noProof/>
          <w:color w:val="808080" w:themeColor="background1" w:themeShade="80"/>
          <w:szCs w:val="18"/>
          <w:lang w:val="en-GB" w:eastAsia="en-GB"/>
        </w:rPr>
        <w:drawing>
          <wp:anchor distT="0" distB="0" distL="114300" distR="114300" simplePos="0" relativeHeight="251657728" behindDoc="0" locked="0" layoutInCell="1" allowOverlap="1">
            <wp:simplePos x="0" y="0"/>
            <wp:positionH relativeFrom="column">
              <wp:posOffset>0</wp:posOffset>
            </wp:positionH>
            <wp:positionV relativeFrom="paragraph">
              <wp:posOffset>234315</wp:posOffset>
            </wp:positionV>
            <wp:extent cx="5276850" cy="3128010"/>
            <wp:effectExtent l="0" t="0" r="0" b="0"/>
            <wp:wrapTopAndBottom/>
            <wp:docPr id="1011755732" name="Grafik 101175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9" cstate="print">
                      <a:extLst>
                        <a:ext uri="{28A0092B-C50C-407E-A947-70E740481C1C}">
                          <a14:useLocalDpi xmlns:a14="http://schemas.microsoft.com/office/drawing/2010/main"/>
                        </a:ext>
                      </a:extLst>
                    </a:blip>
                    <a:srcRect t="-254"/>
                    <a:stretch/>
                  </pic:blipFill>
                  <pic:spPr bwMode="auto">
                    <a:xfrm>
                      <a:off x="0" y="0"/>
                      <a:ext cx="5276850" cy="3128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0"/>
          <w:szCs w:val="20"/>
        </w:rPr>
        <w:t>Figura 13: Superfície acumulada da rede Natura 2000 em km</w:t>
      </w:r>
      <w:r>
        <w:rPr>
          <w:rFonts w:ascii="Times New Roman" w:hAnsi="Times New Roman"/>
          <w:b/>
          <w:noProof/>
          <w:sz w:val="20"/>
          <w:szCs w:val="20"/>
          <w:vertAlign w:val="superscript"/>
        </w:rPr>
        <w:t>2</w:t>
      </w:r>
      <w:r>
        <w:rPr>
          <w:rFonts w:ascii="Times New Roman" w:hAnsi="Times New Roman"/>
          <w:b/>
          <w:noProof/>
          <w:sz w:val="20"/>
          <w:szCs w:val="20"/>
        </w:rPr>
        <w:t xml:space="preserve"> no período 1993</w:t>
      </w:r>
      <w:r>
        <w:rPr>
          <w:rFonts w:ascii="Times New Roman" w:hAnsi="Times New Roman"/>
          <w:b/>
          <w:noProof/>
          <w:sz w:val="20"/>
          <w:szCs w:val="20"/>
        </w:rPr>
        <w:noBreakHyphen/>
        <w:t>2019</w:t>
      </w:r>
    </w:p>
    <w:p>
      <w:pPr>
        <w:spacing w:after="0"/>
        <w:jc w:val="both"/>
        <w:rPr>
          <w:rFonts w:ascii="Times New Roman" w:hAnsi="Times New Roman" w:cs="Times New Roman"/>
          <w:noProof/>
          <w:color w:val="0070C0"/>
        </w:rPr>
      </w:pPr>
    </w:p>
    <w:p>
      <w:pPr>
        <w:spacing w:after="0"/>
        <w:jc w:val="both"/>
        <w:rPr>
          <w:rFonts w:ascii="Times New Roman" w:eastAsia="Times New Roman" w:hAnsi="Times New Roman" w:cs="Times New Roman"/>
          <w:b/>
          <w:iCs/>
          <w:noProof/>
          <w:sz w:val="18"/>
          <w:szCs w:val="18"/>
        </w:rPr>
      </w:pPr>
      <w:r>
        <w:rPr>
          <w:rFonts w:ascii="Times New Roman" w:hAnsi="Times New Roman"/>
          <w:b/>
          <w:noProof/>
          <w:sz w:val="18"/>
          <w:szCs w:val="18"/>
        </w:rPr>
        <w:t>Nota:</w:t>
      </w:r>
      <w:r>
        <w:rPr>
          <w:rFonts w:ascii="Times New Roman" w:hAnsi="Times New Roman"/>
          <w:noProof/>
          <w:sz w:val="18"/>
          <w:szCs w:val="18"/>
        </w:rPr>
        <w:t xml:space="preserve"> Os valores dizem respeito à UE-28 e incluem zonas de proteção especial (SPA), sítios de importância comunitária (SCI), zonas especiais de conservação e propostas de sítios de importância comunitária (formando conjuntamente a linha SCI azul). Em muitos casos, os sítios Natura 2000 são (parcial ou totalmente) tanto uma zona de proteção especial como uma zona especial de conservação/sítio de importância comunitária. Devido às limitações de tratamento de dados do sistema de informação geográfica, a zona Natura 2000 só começou a ser calculada de forma sistemática após 2010.</w:t>
      </w:r>
    </w:p>
    <w:p>
      <w:pPr>
        <w:spacing w:after="240"/>
        <w:jc w:val="both"/>
        <w:rPr>
          <w:rFonts w:ascii="Times New Roman" w:eastAsia="Times New Roman" w:hAnsi="Times New Roman" w:cs="Times New Roman"/>
          <w:noProof/>
          <w:sz w:val="18"/>
          <w:szCs w:val="18"/>
        </w:rPr>
      </w:pPr>
      <w:r>
        <w:rPr>
          <w:rFonts w:ascii="Times New Roman" w:hAnsi="Times New Roman"/>
          <w:b/>
          <w:noProof/>
          <w:sz w:val="18"/>
          <w:szCs w:val="18"/>
        </w:rPr>
        <w:t>Fonte:</w:t>
      </w:r>
      <w:r>
        <w:rPr>
          <w:rFonts w:ascii="Times New Roman" w:hAnsi="Times New Roman"/>
          <w:noProof/>
          <w:sz w:val="18"/>
          <w:szCs w:val="18"/>
        </w:rPr>
        <w:t xml:space="preserve"> Bases de dados Natura 2000</w:t>
      </w:r>
      <w:bookmarkStart w:id="6" w:name="_Toc42152731"/>
      <w:r>
        <w:rPr>
          <w:rFonts w:ascii="Times New Roman" w:hAnsi="Times New Roman"/>
          <w:noProof/>
          <w:sz w:val="18"/>
          <w:szCs w:val="18"/>
        </w:rPr>
        <w:t>.</w:t>
      </w:r>
    </w:p>
    <w:bookmarkEnd w:id="6"/>
    <w:p>
      <w:pPr>
        <w:spacing w:after="240"/>
        <w:jc w:val="both"/>
        <w:rPr>
          <w:rFonts w:ascii="Times New Roman" w:hAnsi="Times New Roman" w:cs="Times New Roman"/>
          <w:b/>
          <w:i/>
          <w:noProof/>
          <w:sz w:val="24"/>
          <w:szCs w:val="24"/>
          <w:u w:val="single"/>
        </w:rPr>
      </w:pPr>
      <w:r>
        <w:rPr>
          <w:rFonts w:ascii="Times New Roman" w:hAnsi="Times New Roman"/>
          <w:b/>
          <w:i/>
          <w:noProof/>
          <w:sz w:val="24"/>
          <w:szCs w:val="24"/>
          <w:u w:val="single"/>
        </w:rPr>
        <w:t xml:space="preserve">5.1 Eficácia da rede Natura 2000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Os relatórios atuais não fornecem informações que permitam uma comparação direta do estado de conservação das espécies e </w:t>
      </w:r>
      <w:r>
        <w:rPr>
          <w:rFonts w:ascii="Times New Roman" w:hAnsi="Times New Roman"/>
          <w:i/>
          <w:noProof/>
          <w:sz w:val="24"/>
          <w:szCs w:val="24"/>
        </w:rPr>
        <w:t>habitats</w:t>
      </w:r>
      <w:r>
        <w:rPr>
          <w:rFonts w:ascii="Times New Roman" w:hAnsi="Times New Roman"/>
          <w:noProof/>
          <w:sz w:val="24"/>
          <w:szCs w:val="24"/>
        </w:rPr>
        <w:t xml:space="preserve"> dentro e fora da rede Natura 2000. Por conseguinte, foram examinados outros potenciais indicadores de eficácia, como a ligação entre a representação das espécies e dos </w:t>
      </w:r>
      <w:r>
        <w:rPr>
          <w:rFonts w:ascii="Times New Roman" w:hAnsi="Times New Roman"/>
          <w:i/>
          <w:noProof/>
          <w:sz w:val="24"/>
          <w:szCs w:val="24"/>
        </w:rPr>
        <w:t>habitats</w:t>
      </w:r>
      <w:r>
        <w:rPr>
          <w:rFonts w:ascii="Times New Roman" w:hAnsi="Times New Roman"/>
          <w:noProof/>
          <w:sz w:val="24"/>
          <w:szCs w:val="24"/>
        </w:rPr>
        <w:t xml:space="preserve"> na rede e a proporção dos que apresentam um bom estado ou tendências de melhoria. Os resultados, com base nas avaliações dos Estados-Membros, mostram que:</w:t>
      </w:r>
    </w:p>
    <w:p>
      <w:pPr>
        <w:numPr>
          <w:ilvl w:val="0"/>
          <w:numId w:val="5"/>
        </w:numPr>
        <w:kinsoku w:val="0"/>
        <w:overflowPunct w:val="0"/>
        <w:spacing w:after="120"/>
        <w:ind w:left="681" w:hanging="397"/>
        <w:jc w:val="both"/>
        <w:textAlignment w:val="baseline"/>
        <w:rPr>
          <w:rFonts w:ascii="Times New Roman" w:hAnsi="Times New Roman" w:cs="Times New Roman"/>
          <w:noProof/>
          <w:sz w:val="24"/>
          <w:szCs w:val="24"/>
        </w:rPr>
      </w:pPr>
      <w:r>
        <w:rPr>
          <w:rFonts w:ascii="Times New Roman" w:hAnsi="Times New Roman"/>
          <w:noProof/>
          <w:sz w:val="24"/>
          <w:szCs w:val="24"/>
        </w:rPr>
        <w:t xml:space="preserve">as </w:t>
      </w:r>
      <w:r>
        <w:rPr>
          <w:rFonts w:ascii="Times New Roman" w:hAnsi="Times New Roman"/>
          <w:noProof/>
          <w:sz w:val="24"/>
          <w:szCs w:val="24"/>
          <w:u w:val="single"/>
        </w:rPr>
        <w:t xml:space="preserve">espécies e os </w:t>
      </w:r>
      <w:r>
        <w:rPr>
          <w:rFonts w:ascii="Times New Roman" w:hAnsi="Times New Roman"/>
          <w:i/>
          <w:noProof/>
          <w:sz w:val="24"/>
          <w:szCs w:val="24"/>
          <w:u w:val="single"/>
        </w:rPr>
        <w:t>habitats</w:t>
      </w:r>
      <w:r>
        <w:rPr>
          <w:rFonts w:ascii="Times New Roman" w:hAnsi="Times New Roman"/>
          <w:noProof/>
          <w:sz w:val="24"/>
          <w:szCs w:val="24"/>
        </w:rPr>
        <w:t xml:space="preserve"> são, em média, mais suscetíveis de apresentar um bom estado de conservação se a sua área de </w:t>
      </w:r>
      <w:r>
        <w:rPr>
          <w:rFonts w:ascii="Times New Roman" w:hAnsi="Times New Roman"/>
          <w:i/>
          <w:noProof/>
          <w:sz w:val="24"/>
          <w:szCs w:val="24"/>
        </w:rPr>
        <w:t>habitat</w:t>
      </w:r>
      <w:r>
        <w:rPr>
          <w:rFonts w:ascii="Times New Roman" w:hAnsi="Times New Roman"/>
          <w:noProof/>
          <w:sz w:val="24"/>
          <w:szCs w:val="24"/>
        </w:rPr>
        <w:t xml:space="preserve"> ou população estiver bem representada (&gt; 75 %) na rede do que aqueles menos bem representados. Isso é mais óbvio no caso dos </w:t>
      </w:r>
      <w:r>
        <w:rPr>
          <w:rFonts w:ascii="Times New Roman" w:hAnsi="Times New Roman"/>
          <w:i/>
          <w:noProof/>
          <w:sz w:val="24"/>
          <w:szCs w:val="24"/>
        </w:rPr>
        <w:t>habitats</w:t>
      </w:r>
      <w:r>
        <w:rPr>
          <w:rFonts w:ascii="Times New Roman" w:hAnsi="Times New Roman"/>
          <w:noProof/>
          <w:sz w:val="24"/>
          <w:szCs w:val="24"/>
        </w:rPr>
        <w:t xml:space="preserve"> dunares e florestais, bem como dos anfíbios e peixes; </w:t>
      </w:r>
    </w:p>
    <w:p>
      <w:pPr>
        <w:numPr>
          <w:ilvl w:val="0"/>
          <w:numId w:val="5"/>
        </w:numPr>
        <w:kinsoku w:val="0"/>
        <w:overflowPunct w:val="0"/>
        <w:spacing w:after="240"/>
        <w:ind w:left="681" w:hanging="397"/>
        <w:jc w:val="both"/>
        <w:textAlignment w:val="baseline"/>
        <w:rPr>
          <w:rFonts w:ascii="Times New Roman" w:hAnsi="Times New Roman" w:cs="Times New Roman"/>
          <w:noProof/>
          <w:sz w:val="24"/>
          <w:szCs w:val="24"/>
        </w:rPr>
      </w:pPr>
      <w:r>
        <w:rPr>
          <w:rFonts w:ascii="Times New Roman" w:hAnsi="Times New Roman"/>
          <w:noProof/>
          <w:sz w:val="24"/>
          <w:szCs w:val="24"/>
        </w:rPr>
        <w:t xml:space="preserve">os </w:t>
      </w:r>
      <w:r>
        <w:rPr>
          <w:rFonts w:ascii="Times New Roman" w:hAnsi="Times New Roman"/>
          <w:noProof/>
          <w:sz w:val="24"/>
          <w:szCs w:val="24"/>
          <w:u w:val="single"/>
        </w:rPr>
        <w:t xml:space="preserve">tipos de </w:t>
      </w:r>
      <w:r>
        <w:rPr>
          <w:rFonts w:ascii="Times New Roman" w:hAnsi="Times New Roman"/>
          <w:i/>
          <w:noProof/>
          <w:sz w:val="24"/>
          <w:szCs w:val="24"/>
          <w:u w:val="single"/>
        </w:rPr>
        <w:t>habitat</w:t>
      </w:r>
      <w:r>
        <w:rPr>
          <w:rFonts w:ascii="Times New Roman" w:hAnsi="Times New Roman"/>
          <w:noProof/>
          <w:sz w:val="24"/>
          <w:szCs w:val="24"/>
        </w:rPr>
        <w:t xml:space="preserve"> fortemente representados (&gt; 75 %) nos sítios Natura 2000 mostram (ligeiramente) mais melhorias e menos deterioração do que aqueles menos bem representados. Com uma melhoria comunicada de mais de 8 %, as turfeiras e pântanos parecem ter beneficiado particularmente da inclusão na rede Natura 2000. Os </w:t>
      </w:r>
      <w:r>
        <w:rPr>
          <w:rFonts w:ascii="Times New Roman" w:hAnsi="Times New Roman"/>
          <w:i/>
          <w:noProof/>
          <w:sz w:val="24"/>
          <w:szCs w:val="24"/>
        </w:rPr>
        <w:t>habitats</w:t>
      </w:r>
      <w:r>
        <w:rPr>
          <w:rFonts w:ascii="Times New Roman" w:hAnsi="Times New Roman"/>
          <w:noProof/>
          <w:sz w:val="24"/>
          <w:szCs w:val="24"/>
        </w:rPr>
        <w:t xml:space="preserve"> que registaram as melhorias mais significativas, por exemplo as charnecas secas atlânticas litorais de </w:t>
      </w:r>
      <w:r>
        <w:rPr>
          <w:rFonts w:ascii="Times New Roman" w:hAnsi="Times New Roman"/>
          <w:i/>
          <w:noProof/>
          <w:sz w:val="24"/>
          <w:szCs w:val="24"/>
        </w:rPr>
        <w:t>Erica vagans</w:t>
      </w:r>
      <w:r>
        <w:rPr>
          <w:rFonts w:ascii="Times New Roman" w:hAnsi="Times New Roman"/>
          <w:noProof/>
          <w:sz w:val="24"/>
          <w:szCs w:val="24"/>
        </w:rPr>
        <w:t xml:space="preserve"> e as dunas costeiras com espécies de </w:t>
      </w:r>
      <w:r>
        <w:rPr>
          <w:rFonts w:ascii="Times New Roman" w:hAnsi="Times New Roman"/>
          <w:i/>
          <w:noProof/>
          <w:sz w:val="24"/>
          <w:szCs w:val="24"/>
        </w:rPr>
        <w:t>Juniperus</w:t>
      </w:r>
      <w:r>
        <w:rPr>
          <w:rFonts w:ascii="Times New Roman" w:hAnsi="Times New Roman"/>
          <w:noProof/>
          <w:sz w:val="24"/>
          <w:szCs w:val="24"/>
        </w:rPr>
        <w:t>, são amplamente protegidos na rede.</w:t>
      </w:r>
    </w:p>
    <w:p>
      <w:pPr>
        <w:spacing w:after="0"/>
        <w:rPr>
          <w:rFonts w:ascii="Times New Roman"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tc>
          <w:tcPr>
            <w:tcW w:w="9016" w:type="dxa"/>
          </w:tcPr>
          <w:p>
            <w:pPr>
              <w:rPr>
                <w:rFonts w:ascii="Times New Roman" w:eastAsia="ヒラギノ角ゴ Pro W3" w:hAnsi="Times New Roman" w:cs="Times New Roman"/>
                <w:b/>
                <w:noProof/>
                <w:sz w:val="20"/>
                <w:szCs w:val="20"/>
              </w:rPr>
            </w:pPr>
            <w:r>
              <w:rPr>
                <w:rFonts w:ascii="Times New Roman" w:hAnsi="Times New Roman"/>
                <w:b/>
                <w:noProof/>
                <w:sz w:val="20"/>
                <w:szCs w:val="20"/>
              </w:rPr>
              <w:t xml:space="preserve">Figura 14: Alterações do estado de conservação e das tendências dos </w:t>
            </w:r>
            <w:r>
              <w:rPr>
                <w:rFonts w:ascii="Times New Roman" w:hAnsi="Times New Roman"/>
                <w:b/>
                <w:i/>
                <w:noProof/>
                <w:sz w:val="20"/>
                <w:szCs w:val="20"/>
              </w:rPr>
              <w:t>habitats</w:t>
            </w:r>
            <w:r>
              <w:rPr>
                <w:rFonts w:ascii="Times New Roman" w:hAnsi="Times New Roman"/>
                <w:b/>
                <w:noProof/>
                <w:sz w:val="20"/>
                <w:szCs w:val="20"/>
              </w:rPr>
              <w:t xml:space="preserve"> do anexo I para as diferentes categorias de cobertura pela rede Natura 2000 (&lt; 35 %, 35 %-75 %, &gt; 75 %)</w:t>
            </w:r>
          </w:p>
          <w:p>
            <w:pPr>
              <w:rPr>
                <w:rFonts w:ascii="Times New Roman" w:hAnsi="Times New Roman" w:cs="Times New Roman"/>
                <w:noProof/>
                <w:sz w:val="24"/>
                <w:szCs w:val="24"/>
              </w:rPr>
            </w:pPr>
          </w:p>
        </w:tc>
      </w:tr>
      <w:tr>
        <w:tc>
          <w:tcPr>
            <w:tcW w:w="9016" w:type="dxa"/>
          </w:tcPr>
          <w:p>
            <w:pPr>
              <w:kinsoku w:val="0"/>
              <w:overflowPunct w:val="0"/>
              <w:spacing w:after="240"/>
              <w:jc w:val="both"/>
              <w:textAlignment w:val="baseline"/>
              <w:rPr>
                <w:rFonts w:ascii="Times New Roman" w:hAnsi="Times New Roman" w:cs="Times New Roman"/>
                <w:noProof/>
                <w:sz w:val="24"/>
                <w:szCs w:val="24"/>
              </w:rPr>
            </w:pPr>
            <w:r>
              <w:rPr>
                <w:noProof/>
                <w:lang w:val="en-GB" w:eastAsia="en-GB"/>
              </w:rPr>
              <w:drawing>
                <wp:inline distT="0" distB="0" distL="0" distR="0">
                  <wp:extent cx="5731510" cy="2489982"/>
                  <wp:effectExtent l="0" t="0" r="254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733428" cy="2490815"/>
                          </a:xfrm>
                          <a:prstGeom prst="rect">
                            <a:avLst/>
                          </a:prstGeom>
                        </pic:spPr>
                      </pic:pic>
                    </a:graphicData>
                  </a:graphic>
                </wp:inline>
              </w:drawing>
            </w:r>
          </w:p>
        </w:tc>
      </w:tr>
      <w:tr>
        <w:tc>
          <w:tcPr>
            <w:tcW w:w="9016" w:type="dxa"/>
          </w:tcPr>
          <w:p>
            <w:pPr>
              <w:kinsoku w:val="0"/>
              <w:overflowPunct w:val="0"/>
              <w:spacing w:after="240"/>
              <w:jc w:val="both"/>
              <w:textAlignment w:val="baseline"/>
              <w:rPr>
                <w:rFonts w:ascii="Times New Roman" w:hAnsi="Times New Roman" w:cs="Times New Roman"/>
                <w:noProof/>
                <w:sz w:val="24"/>
                <w:szCs w:val="24"/>
              </w:rPr>
            </w:pPr>
            <w:r>
              <w:rPr>
                <w:rFonts w:ascii="Times New Roman" w:hAnsi="Times New Roman"/>
                <w:b/>
                <w:noProof/>
                <w:sz w:val="18"/>
                <w:szCs w:val="18"/>
              </w:rPr>
              <w:t>Nota:</w:t>
            </w:r>
            <w:r>
              <w:rPr>
                <w:rFonts w:ascii="Times New Roman" w:hAnsi="Times New Roman"/>
                <w:noProof/>
                <w:sz w:val="18"/>
                <w:szCs w:val="18"/>
              </w:rPr>
              <w:t xml:space="preserve"> A menção «melhoria» corresponde a avaliações fracas ou más que melhoraram ou se tornaram boas; a menção «manteve-se favorável» corresponde a avaliações que mantiveram o seu bom estado; a menção «sem alterações» corresponde a avaliações fracas ou más que não melhoraram nem pioraram; a menção «deterioração» corresponde a avaliações fracas ou más que se deterioraram ainda mais ou mudaram de boas para fracas ou más; a menção «desconhecida» corresponde a avaliações sem tendência.</w:t>
            </w:r>
            <w:r>
              <w:rPr>
                <w:rFonts w:ascii="Times New Roman" w:hAnsi="Times New Roman"/>
                <w:noProof/>
              </w:rPr>
              <w:t xml:space="preserve"> </w:t>
            </w:r>
            <w:r>
              <w:rPr>
                <w:rFonts w:ascii="Times New Roman" w:hAnsi="Times New Roman"/>
                <w:noProof/>
                <w:sz w:val="18"/>
                <w:szCs w:val="18"/>
              </w:rPr>
              <w:t>O número de avaliações por grupo é indicado entre parênteses. O número total de avaliações é 2 970.</w:t>
            </w:r>
          </w:p>
        </w:tc>
      </w:tr>
    </w:tbl>
    <w:p>
      <w:pPr>
        <w:spacing w:after="240"/>
        <w:jc w:val="both"/>
        <w:rPr>
          <w:rFonts w:ascii="Times New Roman" w:hAnsi="Times New Roman" w:cs="Times New Roman"/>
          <w:noProof/>
          <w:sz w:val="24"/>
          <w:szCs w:val="24"/>
        </w:rPr>
      </w:pPr>
    </w:p>
    <w:p>
      <w:pPr>
        <w:spacing w:after="240"/>
        <w:jc w:val="both"/>
        <w:rPr>
          <w:rFonts w:ascii="Times New Roman" w:hAnsi="Times New Roman" w:cs="Times New Roman"/>
          <w:noProof/>
          <w:sz w:val="24"/>
          <w:szCs w:val="24"/>
        </w:rPr>
      </w:pPr>
      <w:r>
        <w:rPr>
          <w:rFonts w:ascii="Times New Roman" w:hAnsi="Times New Roman"/>
          <w:noProof/>
          <w:sz w:val="24"/>
          <w:szCs w:val="24"/>
        </w:rPr>
        <w:t>De um modo geral, as informações comunicadas não permitem tirar conclusões firmes quanto à eficácia da rede Natura 2000. Isto deve-se especialmente à monitorização limitada, em particular à prática comum de monitorizar apenas uma amostra dos sítios Natura 2000. Para poder avaliar de maneira adequada a eficácia das medidas tomadas no âmbito da rede Natura 2000, a monitorização deve contar com maior recolha de dados de zonas dentro e fora da rede e com dados sobre a qualidade da gestão da conservação.</w:t>
      </w:r>
    </w:p>
    <w:p>
      <w:pPr>
        <w:kinsoku w:val="0"/>
        <w:overflowPunct w:val="0"/>
        <w:spacing w:after="240"/>
        <w:jc w:val="both"/>
        <w:textAlignment w:val="baseline"/>
        <w:rPr>
          <w:rFonts w:ascii="Times New Roman" w:hAnsi="Times New Roman" w:cs="Times New Roman"/>
          <w:noProof/>
          <w:sz w:val="24"/>
          <w:szCs w:val="24"/>
        </w:rPr>
      </w:pPr>
      <w:r>
        <w:rPr>
          <w:rFonts w:ascii="Times New Roman" w:hAnsi="Times New Roman"/>
          <w:noProof/>
          <w:sz w:val="24"/>
          <w:szCs w:val="24"/>
        </w:rPr>
        <w:t>Apesar de algumas indicações positivas quanto à contribuição da rede para o estado de conservação, as informações disponíveis sugerem fortemente que o seu pleno potencial ainda não foi explorado e que continua por resolver um grande défice de execução.</w:t>
      </w:r>
    </w:p>
    <w:p>
      <w:pPr>
        <w:kinsoku w:val="0"/>
        <w:overflowPunct w:val="0"/>
        <w:spacing w:after="240"/>
        <w:jc w:val="both"/>
        <w:textAlignment w:val="baseline"/>
        <w:rPr>
          <w:rFonts w:ascii="Times New Roman" w:hAnsi="Times New Roman" w:cs="Times New Roman"/>
          <w:noProof/>
          <w:sz w:val="24"/>
          <w:szCs w:val="24"/>
        </w:rPr>
      </w:pPr>
    </w:p>
    <w:p>
      <w:pPr>
        <w:pStyle w:val="Heading1"/>
        <w:numPr>
          <w:ilvl w:val="0"/>
          <w:numId w:val="10"/>
        </w:numPr>
        <w:spacing w:after="240"/>
        <w:ind w:left="714" w:hanging="357"/>
        <w:rPr>
          <w:rFonts w:eastAsia="Times New Roman"/>
          <w:noProof/>
          <w:color w:val="auto"/>
        </w:rPr>
      </w:pPr>
      <w:r>
        <w:rPr>
          <w:noProof/>
          <w:color w:val="auto"/>
        </w:rPr>
        <w:t>Conclusões e perspetivas</w:t>
      </w:r>
    </w:p>
    <w:p>
      <w:pPr>
        <w:spacing w:after="240"/>
        <w:jc w:val="both"/>
        <w:rPr>
          <w:rFonts w:ascii="Times New Roman" w:hAnsi="Times New Roman" w:cs="Times New Roman"/>
          <w:noProof/>
          <w:sz w:val="24"/>
          <w:szCs w:val="24"/>
        </w:rPr>
      </w:pPr>
      <w:r>
        <w:rPr>
          <w:rFonts w:ascii="Times New Roman" w:hAnsi="Times New Roman"/>
          <w:noProof/>
          <w:sz w:val="24"/>
          <w:szCs w:val="24"/>
        </w:rPr>
        <w:t>A presente avaliação do estado de conservação constitui o maior e mais completo exame de saúde da natureza alguma vez realizado na UE, proporcionando uma base sólida para avaliar a aplicação das Diretivas Natureza e uma referência incontornável para medir o progresso realizado no quadro da nova estratégia de biodiversidade para 2030.</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A avaliação mostra que a UE não conseguiu ainda travar o declínio das espécies e dos tipos de </w:t>
      </w:r>
      <w:r>
        <w:rPr>
          <w:rFonts w:ascii="Times New Roman" w:hAnsi="Times New Roman"/>
          <w:i/>
          <w:noProof/>
          <w:sz w:val="24"/>
          <w:szCs w:val="24"/>
        </w:rPr>
        <w:t>habitat</w:t>
      </w:r>
      <w:r>
        <w:rPr>
          <w:rFonts w:ascii="Times New Roman" w:hAnsi="Times New Roman"/>
          <w:noProof/>
          <w:sz w:val="24"/>
          <w:szCs w:val="24"/>
        </w:rPr>
        <w:t xml:space="preserve"> protegidos cuja conservação é motivo de preocupação na UE. Persistem as principais pressões sobre o uso do solo e da água que levaram à degradação da natureza, resultando num défice significativo em relação à meta fixada para 2020 de travar e reverter de forma mensurável a deterioração do estado das espécies e dos </w:t>
      </w:r>
      <w:r>
        <w:rPr>
          <w:rFonts w:ascii="Times New Roman" w:hAnsi="Times New Roman"/>
          <w:i/>
          <w:noProof/>
          <w:sz w:val="24"/>
          <w:szCs w:val="24"/>
        </w:rPr>
        <w:t>habitats</w:t>
      </w:r>
      <w:r>
        <w:rPr>
          <w:rFonts w:ascii="Times New Roman" w:hAnsi="Times New Roman"/>
          <w:noProof/>
          <w:sz w:val="24"/>
          <w:szCs w:val="24"/>
        </w:rPr>
        <w:t>.</w:t>
      </w:r>
    </w:p>
    <w:p>
      <w:pPr>
        <w:spacing w:after="240"/>
        <w:jc w:val="both"/>
        <w:rPr>
          <w:rFonts w:ascii="Times New Roman" w:hAnsi="Times New Roman" w:cs="Times New Roman"/>
          <w:noProof/>
          <w:sz w:val="24"/>
          <w:szCs w:val="24"/>
        </w:rPr>
      </w:pPr>
      <w:r>
        <w:rPr>
          <w:rFonts w:ascii="Times New Roman" w:hAnsi="Times New Roman"/>
          <w:noProof/>
          <w:sz w:val="24"/>
          <w:szCs w:val="24"/>
        </w:rPr>
        <w:t>Histórias de sucesso inspiradoras em todos os Estados-Membros mostram o que pode ser alcançado com ações seletivas, frequentemente apoiadas por iniciativas no âmbito do programa LIFE</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da UE ou de regimes agroambientais específicos no quadro da política agrícola comum. No entanto, os resultados obtidos não são suficientes.</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Os progressos na aplicação de ambas as diretivas nos últimos seis anos (ampliação significativa da rede Natura 2000 e mais sítios com planos de gestão) não foram suficientes para melhorar o estado de conservação. Não foi ainda concluída a criação de uma rede totalmente funcional de zonas protegidas, especialmente no ambiente marinho. Além disso, muitos sítios ainda aguardam o estabelecimento das medidas de conservação necessárias baseadas em objetivos de conservação claramente definidos. O investimento necessário na natureza, nomeadamente no que diz respeito à restauração dentro e fora da rede de zonas protegidas, não se concretizou. As necessidades da natureza não foram suficientemente incorporadas nas principais políticas de uso do solo e da água com vista a superar as pressões negativas que podem surgir de setores como a agricultura e a silvicultura. Falta ainda acordar e aplicar medidas de gestão das pescas em muitos sítios Natura 2000 marinhos. Além disso, as alterações climáticas são uma ameaça crescente, com previsões de um aumento acentuado nas pressões e nos efeitos diretos e indiretos sobre as espécies e os </w:t>
      </w:r>
      <w:r>
        <w:rPr>
          <w:rFonts w:ascii="Times New Roman" w:hAnsi="Times New Roman"/>
          <w:i/>
          <w:noProof/>
          <w:sz w:val="24"/>
          <w:szCs w:val="24"/>
        </w:rPr>
        <w:t>habitats</w:t>
      </w:r>
      <w:r>
        <w:rPr>
          <w:rFonts w:ascii="Times New Roman" w:hAnsi="Times New Roman"/>
          <w:noProof/>
          <w:sz w:val="24"/>
          <w:szCs w:val="24"/>
        </w:rPr>
        <w:t xml:space="preserve">, tais como os decorrentes de alterações no uso do solo e na localização ou qualidade dos </w:t>
      </w:r>
      <w:r>
        <w:rPr>
          <w:rFonts w:ascii="Times New Roman" w:hAnsi="Times New Roman"/>
          <w:i/>
          <w:noProof/>
          <w:sz w:val="24"/>
          <w:szCs w:val="24"/>
        </w:rPr>
        <w:t>habitats</w:t>
      </w:r>
      <w:r>
        <w:rPr>
          <w:rFonts w:ascii="Times New Roman" w:hAnsi="Times New Roman"/>
          <w:noProof/>
          <w:sz w:val="24"/>
          <w:szCs w:val="24"/>
        </w:rPr>
        <w:t>.</w:t>
      </w:r>
    </w:p>
    <w:p>
      <w:pPr>
        <w:spacing w:after="240"/>
        <w:jc w:val="both"/>
        <w:rPr>
          <w:rFonts w:ascii="Times New Roman" w:hAnsi="Times New Roman" w:cs="Times New Roman"/>
          <w:noProof/>
          <w:sz w:val="24"/>
          <w:szCs w:val="24"/>
        </w:rPr>
      </w:pPr>
      <w:r>
        <w:rPr>
          <w:rFonts w:ascii="Times New Roman" w:hAnsi="Times New Roman"/>
          <w:noProof/>
          <w:sz w:val="24"/>
          <w:szCs w:val="24"/>
        </w:rPr>
        <w:t>Esta avaliação aponta para a necessidade de uma mudança radical das práticas, se quisermos ter alguma hipótese de colocar a biodiversidade da Europa numa trajetória de recuperação até 2030, conforme previsto na nova estratégia de biodiversidade</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Caso não o façamos, assistiremos à degradação contínua não apenas do nosso património natural comum, mas também dos serviços vitais que proporciona, indispensáveis à saúde humana e à prosperidade das nossas sociedades.</w:t>
      </w:r>
    </w:p>
    <w:p>
      <w:pPr>
        <w:spacing w:after="240"/>
        <w:jc w:val="both"/>
        <w:rPr>
          <w:rFonts w:ascii="Times New Roman" w:hAnsi="Times New Roman" w:cs="Times New Roman"/>
          <w:noProof/>
          <w:sz w:val="24"/>
          <w:szCs w:val="24"/>
        </w:rPr>
      </w:pPr>
      <w:r>
        <w:rPr>
          <w:rFonts w:ascii="Times New Roman" w:hAnsi="Times New Roman"/>
          <w:noProof/>
          <w:sz w:val="24"/>
          <w:szCs w:val="24"/>
        </w:rPr>
        <w:t>A nova estratégia de biodiversidade para 2030 proporciona o enquadramento necessário para essa mudança transformadora. Juntamente com outras iniciativas no âmbito do Pacto Ecológico Europeu, estabelece um programa de ação altamente ambicioso e prático com o objetivo de, entre outros, ampliar a cobertura das zonas legalmente protegidas e geridas de forma eficaz, ao mesmo tempo que propõe um plano de restauração da natureza da UE.</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Esta avaliação da natureza sublinha o potencial significativo de recuperação de </w:t>
      </w:r>
      <w:r>
        <w:rPr>
          <w:rFonts w:ascii="Times New Roman" w:hAnsi="Times New Roman"/>
          <w:i/>
          <w:noProof/>
          <w:sz w:val="24"/>
          <w:szCs w:val="24"/>
        </w:rPr>
        <w:t>habitats</w:t>
      </w:r>
      <w:r>
        <w:rPr>
          <w:rFonts w:ascii="Times New Roman" w:hAnsi="Times New Roman"/>
          <w:noProof/>
          <w:sz w:val="24"/>
          <w:szCs w:val="24"/>
        </w:rPr>
        <w:t xml:space="preserve"> protegidos, tanto no que diz respeito ao seu estado atual como à superfície suplementar necessária para atingir um estado de conservação favorável. Isso inclui a recuperação de </w:t>
      </w:r>
      <w:r>
        <w:rPr>
          <w:rFonts w:ascii="Times New Roman" w:hAnsi="Times New Roman"/>
          <w:i/>
          <w:noProof/>
          <w:sz w:val="24"/>
          <w:szCs w:val="24"/>
        </w:rPr>
        <w:t>habitats</w:t>
      </w:r>
      <w:r>
        <w:rPr>
          <w:rFonts w:ascii="Times New Roman" w:hAnsi="Times New Roman"/>
          <w:noProof/>
          <w:sz w:val="24"/>
          <w:szCs w:val="24"/>
        </w:rPr>
        <w:t xml:space="preserve"> ricos em carbono que podem gerar benefícios secundários de atenuação das alterações climáticas. A avaliação é também diretamente pertinente para medir o sucesso das ações empreendidas no quadro da estratégia para fazer face às principais pressões relacionadas com o uso do solo e da água, especialmente em relação à agricultura, que deu origem ao maior número de más avaliações de espécies e </w:t>
      </w:r>
      <w:r>
        <w:rPr>
          <w:rFonts w:ascii="Times New Roman" w:hAnsi="Times New Roman"/>
          <w:i/>
          <w:noProof/>
          <w:sz w:val="24"/>
          <w:szCs w:val="24"/>
        </w:rPr>
        <w:t>habitats</w:t>
      </w:r>
      <w:r>
        <w:rPr>
          <w:rFonts w:ascii="Times New Roman" w:hAnsi="Times New Roman"/>
          <w:noProof/>
          <w:sz w:val="24"/>
          <w:szCs w:val="24"/>
        </w:rPr>
        <w:t xml:space="preserve"> nos Estados-Membros. Em combinação com a estratégia «do prado ao prato»</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as ações destinadas a promover a agricultura biológica, reduzir o uso e o risco dos pesticidas, proteger e restabelecer os ecossistemas do solo e aumentar os elementos paisagísticos nas terras agrícolas, devem apoiar a recuperação das espécies e dos </w:t>
      </w:r>
      <w:r>
        <w:rPr>
          <w:rFonts w:ascii="Times New Roman" w:hAnsi="Times New Roman"/>
          <w:i/>
          <w:noProof/>
          <w:sz w:val="24"/>
          <w:szCs w:val="24"/>
        </w:rPr>
        <w:t>habitats</w:t>
      </w:r>
      <w:r>
        <w:rPr>
          <w:rFonts w:ascii="Times New Roman" w:hAnsi="Times New Roman"/>
          <w:noProof/>
          <w:sz w:val="24"/>
          <w:szCs w:val="24"/>
        </w:rPr>
        <w:t xml:space="preserve"> protegidos pelas Diretivas Natureza, incluindo os polinizadores e os seus </w:t>
      </w:r>
      <w:r>
        <w:rPr>
          <w:rFonts w:ascii="Times New Roman" w:hAnsi="Times New Roman"/>
          <w:i/>
          <w:noProof/>
          <w:sz w:val="24"/>
          <w:szCs w:val="24"/>
        </w:rPr>
        <w:t>habitats</w:t>
      </w:r>
      <w:r>
        <w:rPr>
          <w:rFonts w:ascii="Times New Roman" w:hAnsi="Times New Roman"/>
          <w:noProof/>
          <w:sz w:val="24"/>
          <w:szCs w:val="24"/>
        </w:rPr>
        <w:t>.</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A nova estratégia de biodiversidade salienta que a luta contra a perda de biodiversidade deve apoiar-se em dados científicos sólidos. Os Estados-Membros devem continuar a melhorar a qualidade e a exaustividade dos seus sistemas de monitorização para apoiar relatórios futuros. A observação da Terra e a teledeteção, outras tecnologias e ferramentas (por exemplo a modelação), assim como os resultados das atividades de investigação e inovação e da ciência cidadã podem complementar e apoiar a atual monitorização e apresentação de dados. Este potencial deve ser testado e aproveitado para facilitar o trabalho dos órgãos relatores.  </w:t>
      </w:r>
    </w:p>
    <w:p>
      <w:pPr>
        <w:spacing w:after="240"/>
        <w:jc w:val="both"/>
        <w:rPr>
          <w:rFonts w:ascii="Times New Roman" w:hAnsi="Times New Roman" w:cs="Times New Roman"/>
          <w:noProof/>
        </w:rPr>
      </w:pPr>
      <w:r>
        <w:rPr>
          <w:rFonts w:ascii="Times New Roman" w:hAnsi="Times New Roman"/>
          <w:noProof/>
          <w:sz w:val="24"/>
          <w:szCs w:val="24"/>
        </w:rPr>
        <w:t>A próxima avaliação do estado da natureza na UE, prevista para 2026, deverá dar um contributo significativo para aferir os progressos realizados no cumprimento das metas relativas à natureza no quadro da nova estratégia de biodiversidade.</w:t>
      </w:r>
    </w:p>
    <w:sectPr>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793D07" w16cid:durableId="22E77C85"/>
  <w16cid:commentId w16cid:paraId="192262E0" w16cid:durableId="22E7E2AC"/>
  <w16cid:commentId w16cid:paraId="06F94494" w16cid:durableId="22E7E0A0"/>
  <w16cid:commentId w16cid:paraId="5C1A33D1" w16cid:durableId="22EA1F60"/>
  <w16cid:commentId w16cid:paraId="2DC4D1B2" w16cid:durableId="22E7B4D5"/>
  <w16cid:commentId w16cid:paraId="581AC087" w16cid:durableId="22E7B50B"/>
  <w16cid:commentId w16cid:paraId="698D3BA9" w16cid:durableId="22E77C86"/>
  <w16cid:commentId w16cid:paraId="1903F046" w16cid:durableId="22E7F0DB"/>
  <w16cid:commentId w16cid:paraId="3649F7DE" w16cid:durableId="22E77C87"/>
  <w16cid:commentId w16cid:paraId="5EFAC51F" w16cid:durableId="22E7F708"/>
  <w16cid:commentId w16cid:paraId="34FDB027" w16cid:durableId="22E7F829"/>
  <w16cid:commentId w16cid:paraId="1AB4D764" w16cid:durableId="22E7F87A"/>
  <w16cid:commentId w16cid:paraId="3650B08C" w16cid:durableId="22E77C88"/>
  <w16cid:commentId w16cid:paraId="761E97D1" w16cid:durableId="22E80CC9"/>
  <w16cid:commentId w16cid:paraId="265F7902" w16cid:durableId="22E80CEE"/>
  <w16cid:commentId w16cid:paraId="44327280" w16cid:durableId="22E80D45"/>
  <w16cid:commentId w16cid:paraId="0076BC50" w16cid:durableId="22E80DAA"/>
  <w16cid:commentId w16cid:paraId="023B80BE" w16cid:durableId="22E80F5B"/>
  <w16cid:commentId w16cid:paraId="64A27F2D" w16cid:durableId="22E80FD8"/>
  <w16cid:commentId w16cid:paraId="725E8A48" w16cid:durableId="22E80FF5"/>
  <w16cid:commentId w16cid:paraId="7814632E" w16cid:durableId="22E81090"/>
  <w16cid:commentId w16cid:paraId="0EDE59F2" w16cid:durableId="22EA0BCB"/>
  <w16cid:commentId w16cid:paraId="664C3D1B" w16cid:durableId="22EA0C21"/>
  <w16cid:commentId w16cid:paraId="760CF79A" w16cid:durableId="22E92DC5"/>
  <w16cid:commentId w16cid:paraId="11BC476E" w16cid:durableId="22EA0F16"/>
  <w16cid:commentId w16cid:paraId="39C03C8F" w16cid:durableId="22E930EE"/>
  <w16cid:commentId w16cid:paraId="5EDD9FE3" w16cid:durableId="22E93174"/>
  <w16cid:commentId w16cid:paraId="7C8C3782" w16cid:durableId="22E93603"/>
  <w16cid:commentId w16cid:paraId="5FA63117" w16cid:durableId="22E94401"/>
  <w16cid:commentId w16cid:paraId="05638535" w16cid:durableId="22E94499"/>
  <w16cid:commentId w16cid:paraId="4A8A7B36" w16cid:durableId="22E9477B"/>
  <w16cid:commentId w16cid:paraId="46421BD5" w16cid:durableId="22E77C89"/>
  <w16cid:commentId w16cid:paraId="39002642" w16cid:durableId="22E947D4"/>
  <w16cid:commentId w16cid:paraId="1CE41893" w16cid:durableId="22E77C8A"/>
  <w16cid:commentId w16cid:paraId="52D84FD9" w16cid:durableId="22E94E49"/>
  <w16cid:commentId w16cid:paraId="039002BC" w16cid:durableId="22E94E98"/>
  <w16cid:commentId w16cid:paraId="4D3145F6" w16cid:durableId="22E77C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ヒラギノ角ゴ Pro W3">
    <w:altName w:val="MS Gothic"/>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076003"/>
      <w:docPartObj>
        <w:docPartGallery w:val="Page Numbers (Bottom of Page)"/>
        <w:docPartUnique/>
      </w:docPartObj>
    </w:sdtPr>
    <w:sdtContent>
      <w:p>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 Diretiva 2009/147/CE do Parlamento Europeu e do Conselho, de 30 de novembro de 2009, relativa à conservação das aves selvagens (JO L 20 de 26.1.2010, p. 7).</w:t>
      </w:r>
    </w:p>
  </w:footnote>
  <w:footnote w:id="2">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 Diretiva 92/43/CEE do Conselho, de 21 de maio de 1992, relativa à preservação dos </w:t>
      </w:r>
      <w:r>
        <w:rPr>
          <w:rFonts w:ascii="Times New Roman" w:hAnsi="Times New Roman"/>
          <w:i/>
          <w:sz w:val="20"/>
        </w:rPr>
        <w:t>habitats</w:t>
      </w:r>
      <w:r>
        <w:rPr>
          <w:rFonts w:ascii="Times New Roman" w:hAnsi="Times New Roman"/>
          <w:sz w:val="20"/>
        </w:rPr>
        <w:t xml:space="preserve"> naturais e da fauna e da flora selvagens (JO L 206 de 22.7.1992, p. 7).</w:t>
      </w:r>
    </w:p>
  </w:footnote>
  <w:footnote w:id="3">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 O presente relatório inclui ainda dados do Reino Unido, que saiu da UE em janeiro de 2020. Inclui, pela primeira vez, a Croácia, que se juntou à UE em julho de 2013. A Roménia foi o único Estado-Membro que não apresentou um relatório sobre as aves.</w:t>
      </w:r>
    </w:p>
  </w:footnote>
  <w:footnote w:id="4">
    <w:p>
      <w:pPr>
        <w:pStyle w:val="FootnoteText"/>
        <w:ind w:left="284" w:hanging="284"/>
        <w:rPr>
          <w:rFonts w:ascii="Times New Roman" w:hAnsi="Times New Roman"/>
          <w:sz w:val="20"/>
        </w:rPr>
      </w:pPr>
      <w:r>
        <w:rPr>
          <w:rStyle w:val="FootnoteReference"/>
        </w:rPr>
        <w:t>4</w:t>
      </w:r>
      <w:r>
        <w:rPr>
          <w:rFonts w:ascii="Times New Roman" w:hAnsi="Times New Roman"/>
          <w:sz w:val="20"/>
        </w:rPr>
        <w:t xml:space="preserve"> </w:t>
      </w:r>
      <w:r>
        <w:tab/>
      </w:r>
      <w:r>
        <w:rPr>
          <w:rFonts w:ascii="Times New Roman" w:hAnsi="Times New Roman"/>
          <w:i/>
          <w:sz w:val="20"/>
        </w:rPr>
        <w:t>State of nature in the EU — results from reporting under the nature directives 2013-2018</w:t>
      </w:r>
      <w:r>
        <w:rPr>
          <w:rFonts w:ascii="Times New Roman" w:hAnsi="Times New Roman"/>
          <w:sz w:val="20"/>
        </w:rPr>
        <w:t xml:space="preserve">, Agência Europeia do Ambiente; disponível juntamente com materiais em linha adicionais, incluindo resumos por Estado-Membro, em: </w:t>
      </w:r>
      <w:r>
        <w:tab/>
        <w:t xml:space="preserve"> </w:t>
      </w:r>
      <w:r>
        <w:br/>
      </w:r>
      <w:hyperlink r:id="rId1" w:history="1">
        <w:r>
          <w:rPr>
            <w:rStyle w:val="Hyperlink"/>
            <w:rFonts w:ascii="Times New Roman" w:hAnsi="Times New Roman"/>
            <w:sz w:val="20"/>
          </w:rPr>
          <w:t>https://www.eea.europa.eu/themes/biodiversity/state-of-nature-in-the-eu/state-of-nature-2020</w:t>
        </w:r>
      </w:hyperlink>
      <w:r>
        <w:rPr>
          <w:rFonts w:ascii="Times New Roman" w:hAnsi="Times New Roman"/>
          <w:sz w:val="20"/>
        </w:rPr>
        <w:t xml:space="preserve"> </w:t>
      </w:r>
      <w:hyperlink r:id="rId2" w:history="1">
        <w:r>
          <w:rPr>
            <w:rStyle w:val="Hyperlink"/>
            <w:rFonts w:ascii="Times New Roman" w:hAnsi="Times New Roman"/>
            <w:sz w:val="20"/>
          </w:rPr>
          <w:t>https://ec.europa.eu/environment/nature/knowledge/rep_habitats/index_en.htm</w:t>
        </w:r>
      </w:hyperlink>
      <w:r>
        <w:t>.</w:t>
      </w:r>
      <w:r>
        <w:rPr>
          <w:rFonts w:ascii="Times New Roman" w:hAnsi="Times New Roman"/>
          <w:sz w:val="20"/>
        </w:rPr>
        <w:t xml:space="preserve"> </w:t>
      </w:r>
    </w:p>
  </w:footnote>
  <w:footnote w:id="5">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 Alpina, Boreal, Mediterrânica, Atlântica, Continental, Panónica, do Mar Negro, Macaronésica e Estépica.</w:t>
      </w:r>
    </w:p>
  </w:footnote>
  <w:footnote w:id="6">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 Atlântica, Báltica, do Mar Negro, Macaronésica e Mediterrânica.</w:t>
      </w:r>
    </w:p>
  </w:footnote>
  <w:footnote w:id="7">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 Ver o relatório da Agência Europeia do Ambiente para mais pormenores sobre os métodos de avaliação ao abrigo das Diretivas Aves e </w:t>
      </w:r>
      <w:r>
        <w:rPr>
          <w:rFonts w:ascii="Times New Roman" w:hAnsi="Times New Roman"/>
          <w:i/>
          <w:sz w:val="20"/>
        </w:rPr>
        <w:t>Habitats</w:t>
      </w:r>
      <w:r>
        <w:rPr>
          <w:rFonts w:ascii="Times New Roman" w:hAnsi="Times New Roman"/>
          <w:sz w:val="20"/>
        </w:rPr>
        <w:t>.</w:t>
      </w:r>
    </w:p>
  </w:footnote>
  <w:footnote w:id="8">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 </w:t>
      </w:r>
      <w:r>
        <w:rPr>
          <w:rFonts w:ascii="Times New Roman" w:hAnsi="Times New Roman"/>
          <w:i/>
          <w:sz w:val="20"/>
        </w:rPr>
        <w:t>State of nature in the EU — results from reporting under the nature directives 2007–2012</w:t>
      </w:r>
      <w:r>
        <w:rPr>
          <w:rFonts w:ascii="Times New Roman" w:hAnsi="Times New Roman"/>
          <w:sz w:val="20"/>
        </w:rPr>
        <w:t>, Agência Europeia do Ambiente (2015), Relatório Técnico n.º 2/2015, ISSN 1725-2237, Serviço das Publicações da União Europeia, 2015.</w:t>
      </w:r>
    </w:p>
  </w:footnote>
  <w:footnote w:id="9">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 Para mais informações, ver o relatório da Agência Europeia do Ambiente;</w:t>
      </w:r>
      <w:r>
        <w:tab/>
        <w:t xml:space="preserve"> </w:t>
      </w:r>
      <w:r>
        <w:br/>
      </w:r>
      <w:hyperlink r:id="rId3" w:history="1">
        <w:r>
          <w:rPr>
            <w:rStyle w:val="Hyperlink"/>
            <w:rFonts w:ascii="Times New Roman" w:hAnsi="Times New Roman"/>
            <w:sz w:val="20"/>
          </w:rPr>
          <w:t>https://www.eea.europa.eu/themes/biodiversity/state-of-nature-in-the-eu/state-of-nature-2020</w:t>
        </w:r>
      </w:hyperlink>
    </w:p>
  </w:footnote>
  <w:footnote w:id="10">
    <w:p>
      <w:pPr>
        <w:pStyle w:val="FootnoteText"/>
        <w:ind w:left="284" w:hanging="284"/>
        <w:rPr>
          <w:rStyle w:val="FootnoteReference"/>
          <w:rFonts w:ascii="Times New Roman" w:hAnsi="Times New Roman"/>
          <w:sz w:val="20"/>
          <w:vertAlign w:val="baseline"/>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 xml:space="preserve"> </w:t>
      </w:r>
      <w:r>
        <w:rPr>
          <w:rFonts w:ascii="Times New Roman" w:hAnsi="Times New Roman"/>
          <w:sz w:val="20"/>
        </w:rPr>
        <w:tab/>
      </w:r>
      <w:r>
        <w:rPr>
          <w:rStyle w:val="FootnoteReference"/>
          <w:rFonts w:ascii="Times New Roman" w:hAnsi="Times New Roman"/>
          <w:sz w:val="20"/>
          <w:vertAlign w:val="baseline"/>
        </w:rPr>
        <w:t xml:space="preserve">Os tipos de </w:t>
      </w:r>
      <w:r>
        <w:rPr>
          <w:rStyle w:val="FootnoteReference"/>
          <w:rFonts w:ascii="Times New Roman" w:hAnsi="Times New Roman"/>
          <w:i/>
          <w:sz w:val="20"/>
          <w:vertAlign w:val="baseline"/>
        </w:rPr>
        <w:t>habitat</w:t>
      </w:r>
      <w:r>
        <w:rPr>
          <w:rStyle w:val="FootnoteReference"/>
          <w:rFonts w:ascii="Times New Roman" w:hAnsi="Times New Roman"/>
          <w:sz w:val="20"/>
          <w:vertAlign w:val="baseline"/>
        </w:rPr>
        <w:t xml:space="preserve"> deste grupo incluem os prados de feno pobres de baixa altitude (6510) e os prados de feno de montanha (6520).</w:t>
      </w:r>
    </w:p>
  </w:footnote>
  <w:footnote w:id="11">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Pradarias com Molinia em solos calcários, turfosos e argilo-limosos (</w:t>
      </w:r>
      <w:r>
        <w:rPr>
          <w:rFonts w:ascii="Times New Roman" w:hAnsi="Times New Roman"/>
          <w:i/>
          <w:sz w:val="20"/>
        </w:rPr>
        <w:t>Molinion caeruleae</w:t>
      </w:r>
      <w:r>
        <w:rPr>
          <w:rFonts w:ascii="Times New Roman" w:hAnsi="Times New Roman"/>
          <w:sz w:val="20"/>
        </w:rPr>
        <w:t>) (6410).</w:t>
      </w:r>
    </w:p>
  </w:footnote>
  <w:footnote w:id="12">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 xml:space="preserve">Os tipos de </w:t>
      </w:r>
      <w:r>
        <w:rPr>
          <w:rFonts w:ascii="Times New Roman" w:hAnsi="Times New Roman"/>
          <w:i/>
          <w:sz w:val="20"/>
        </w:rPr>
        <w:t>habitat</w:t>
      </w:r>
      <w:r>
        <w:rPr>
          <w:rFonts w:ascii="Times New Roman" w:hAnsi="Times New Roman"/>
          <w:sz w:val="20"/>
        </w:rPr>
        <w:t xml:space="preserve"> deste grupo incluem os prados secos seminaturais e fácies arbustivas em substrato calcário (</w:t>
      </w:r>
      <w:r>
        <w:rPr>
          <w:rFonts w:ascii="Times New Roman" w:hAnsi="Times New Roman"/>
          <w:i/>
          <w:sz w:val="20"/>
        </w:rPr>
        <w:t>Festuco-Brotemalia</w:t>
      </w:r>
      <w:r>
        <w:rPr>
          <w:rFonts w:ascii="Times New Roman" w:hAnsi="Times New Roman"/>
          <w:sz w:val="20"/>
        </w:rPr>
        <w:t>) (6210) e «Alvar» nórdico e rochas planas calcárias pré-câmbricas (6280).</w:t>
      </w:r>
    </w:p>
  </w:footnote>
  <w:footnote w:id="13">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Anexo II: espécies que requerem a designação de zonas especiais de conservação (sítios Natura 2000); </w:t>
      </w:r>
      <w:r>
        <w:tab/>
        <w:t xml:space="preserve"> </w:t>
      </w:r>
      <w:r>
        <w:br/>
      </w:r>
      <w:r>
        <w:rPr>
          <w:rFonts w:ascii="Times New Roman" w:hAnsi="Times New Roman"/>
          <w:sz w:val="20"/>
        </w:rPr>
        <w:t xml:space="preserve">Anexo IV: espécies estritamente protegidas; </w:t>
      </w:r>
      <w:r>
        <w:tab/>
        <w:t xml:space="preserve"> </w:t>
      </w:r>
      <w:r>
        <w:br/>
      </w:r>
      <w:r>
        <w:rPr>
          <w:rFonts w:ascii="Times New Roman" w:hAnsi="Times New Roman"/>
          <w:sz w:val="20"/>
        </w:rPr>
        <w:t>Anexo V: espécies cuja captura na natureza e exploração podem estar sujeitas a medidas de gestão.</w:t>
      </w:r>
    </w:p>
  </w:footnote>
  <w:footnote w:id="14">
    <w:p>
      <w:pPr>
        <w:pStyle w:val="FootnoteText"/>
        <w:ind w:left="284" w:hanging="284"/>
        <w:rPr>
          <w:rFonts w:ascii="Times New Roman" w:hAnsi="Times New Roman"/>
          <w:sz w:val="20"/>
        </w:rPr>
      </w:pPr>
      <w:r>
        <w:rPr>
          <w:rStyle w:val="FootnoteReference"/>
          <w:sz w:val="20"/>
        </w:rPr>
        <w:footnoteRef/>
      </w:r>
      <w:r>
        <w:rPr>
          <w:sz w:val="20"/>
        </w:rPr>
        <w:t xml:space="preserve"> </w:t>
      </w:r>
      <w:r>
        <w:tab/>
      </w:r>
      <w:r>
        <w:rPr>
          <w:rFonts w:ascii="Times New Roman" w:hAnsi="Times New Roman"/>
          <w:sz w:val="20"/>
        </w:rPr>
        <w:t xml:space="preserve">Comunicação da Comissão ao Parlamento Europeu, ao Conselho, ao Comité Económico e Social Europeu e ao Comité das Regiões, </w:t>
      </w:r>
      <w:r>
        <w:rPr>
          <w:rFonts w:ascii="Times New Roman" w:hAnsi="Times New Roman"/>
          <w:i/>
          <w:sz w:val="20"/>
        </w:rPr>
        <w:t>Our life insurance, our natural capital: an EU biodiversity strategy to 2020</w:t>
      </w:r>
      <w:r>
        <w:rPr>
          <w:rFonts w:ascii="Times New Roman" w:hAnsi="Times New Roman"/>
          <w:sz w:val="20"/>
        </w:rPr>
        <w:t xml:space="preserve"> [COM(2011) 244 final].</w:t>
      </w:r>
    </w:p>
  </w:footnote>
  <w:footnote w:id="15">
    <w:p>
      <w:pPr>
        <w:pStyle w:val="FootnoteText"/>
        <w:ind w:left="284" w:hanging="284"/>
        <w:rPr>
          <w:rFonts w:ascii="Times New Roman" w:hAnsi="Times New Roman"/>
          <w:sz w:val="20"/>
        </w:rPr>
      </w:pPr>
      <w:r>
        <w:rPr>
          <w:rStyle w:val="FootnoteReference"/>
        </w:rPr>
        <w:footnoteRef/>
      </w:r>
      <w:r>
        <w:t xml:space="preserve"> </w:t>
      </w:r>
      <w:r>
        <w:tab/>
      </w:r>
      <w:r>
        <w:rPr>
          <w:rFonts w:ascii="Times New Roman" w:hAnsi="Times New Roman"/>
          <w:sz w:val="20"/>
        </w:rPr>
        <w:t>Abrangidas pelo Acordo para a Conservação das Aves Aquáticas Migradoras Afro-Eurasiáticas (AEWA).</w:t>
      </w:r>
    </w:p>
  </w:footnote>
  <w:footnote w:id="16">
    <w:p>
      <w:pPr>
        <w:pStyle w:val="FootnoteText"/>
        <w:ind w:left="284" w:hanging="284"/>
        <w:rPr>
          <w:rFonts w:ascii="Times New Roman" w:hAnsi="Times New Roman"/>
          <w:sz w:val="20"/>
          <w:lang w:val="en-US"/>
        </w:rPr>
      </w:pPr>
      <w:r>
        <w:rPr>
          <w:rStyle w:val="FootnoteReference"/>
        </w:rPr>
        <w:footnoteRef/>
      </w:r>
      <w:r>
        <w:rPr>
          <w:lang w:val="en-US"/>
        </w:rPr>
        <w:t xml:space="preserve"> </w:t>
      </w:r>
      <w:r>
        <w:rPr>
          <w:lang w:val="en-US"/>
        </w:rPr>
        <w:tab/>
      </w:r>
      <w:r>
        <w:rPr>
          <w:rFonts w:ascii="Times New Roman" w:hAnsi="Times New Roman"/>
          <w:sz w:val="20"/>
          <w:lang w:val="en-US"/>
        </w:rPr>
        <w:t xml:space="preserve">Halada, L., Evans, D., Romão, C. e Petersen, J. E., «Which habitats of European importance depend on agricultural practices?», </w:t>
      </w:r>
      <w:r>
        <w:rPr>
          <w:rFonts w:ascii="Times New Roman" w:hAnsi="Times New Roman"/>
          <w:i/>
          <w:sz w:val="20"/>
          <w:lang w:val="en-US"/>
        </w:rPr>
        <w:t>Biodiversity and Conservation</w:t>
      </w:r>
      <w:r>
        <w:rPr>
          <w:rFonts w:ascii="Times New Roman" w:hAnsi="Times New Roman"/>
          <w:sz w:val="20"/>
          <w:lang w:val="en-US"/>
        </w:rPr>
        <w:t>, 20(11) 2 365–2 378, 2011.</w:t>
      </w:r>
    </w:p>
  </w:footnote>
  <w:footnote w:id="17">
    <w:p>
      <w:pPr>
        <w:pStyle w:val="NormalWeb"/>
        <w:spacing w:before="0" w:beforeAutospacing="0" w:after="0" w:afterAutospacing="0"/>
        <w:ind w:left="284" w:hanging="284"/>
        <w:jc w:val="both"/>
        <w:rPr>
          <w:sz w:val="20"/>
          <w:lang w:val="en-US"/>
        </w:rPr>
      </w:pPr>
      <w:r>
        <w:rPr>
          <w:rStyle w:val="FootnoteReference"/>
          <w:sz w:val="20"/>
          <w:szCs w:val="20"/>
        </w:rPr>
        <w:footnoteRef/>
      </w:r>
      <w:r>
        <w:rPr>
          <w:sz w:val="20"/>
          <w:szCs w:val="20"/>
          <w:lang w:val="en-US"/>
        </w:rPr>
        <w:t xml:space="preserve"> </w:t>
      </w:r>
      <w:r>
        <w:rPr>
          <w:lang w:val="en-US"/>
        </w:rPr>
        <w:tab/>
      </w:r>
      <w:r>
        <w:rPr>
          <w:sz w:val="20"/>
          <w:szCs w:val="20"/>
          <w:lang w:val="en-US"/>
        </w:rPr>
        <w:t xml:space="preserve">Hirschfeld, A. </w:t>
      </w:r>
      <w:r>
        <w:rPr>
          <w:i/>
          <w:sz w:val="20"/>
          <w:szCs w:val="20"/>
          <w:lang w:val="en-US"/>
        </w:rPr>
        <w:t>et al.</w:t>
      </w:r>
      <w:r>
        <w:rPr>
          <w:sz w:val="20"/>
          <w:szCs w:val="20"/>
          <w:lang w:val="en-US"/>
        </w:rPr>
        <w:t>, «Bird</w:t>
      </w:r>
      <w:r>
        <w:rPr>
          <w:sz w:val="20"/>
          <w:szCs w:val="20"/>
          <w:lang w:val="en-US"/>
        </w:rPr>
        <w:noBreakHyphen/>
        <w:t xml:space="preserve">hunting in Europe: an analysis of bag figures and the potential impact on the conservation of threatened species», </w:t>
      </w:r>
      <w:r>
        <w:rPr>
          <w:i/>
          <w:sz w:val="20"/>
          <w:szCs w:val="20"/>
          <w:lang w:val="en-US"/>
        </w:rPr>
        <w:t>British Birds:</w:t>
      </w:r>
      <w:r>
        <w:rPr>
          <w:sz w:val="20"/>
          <w:szCs w:val="20"/>
          <w:lang w:val="en-US"/>
        </w:rPr>
        <w:t xml:space="preserve"> 153-166, 2019.</w:t>
      </w:r>
    </w:p>
  </w:footnote>
  <w:footnote w:id="18">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 A Diretiva </w:t>
      </w:r>
      <w:r>
        <w:rPr>
          <w:rFonts w:ascii="Times New Roman" w:hAnsi="Times New Roman"/>
          <w:i/>
          <w:sz w:val="20"/>
        </w:rPr>
        <w:t>Habitats</w:t>
      </w:r>
      <w:r>
        <w:rPr>
          <w:rFonts w:ascii="Times New Roman" w:hAnsi="Times New Roman"/>
          <w:sz w:val="20"/>
        </w:rPr>
        <w:t xml:space="preserve"> praticamente não abrange os peixes marinhos (apenas algumas espécies de peixes anádromos).</w:t>
      </w:r>
    </w:p>
  </w:footnote>
  <w:footnote w:id="19">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 O Regulamento (UE) n.º 1143/2014 relativo à prevenção e gestão da introdução e propagação de espécies exóticas invasoras contém uma lista de espécies exóticas invasoras que suscitam preocupação na União (JO L 317 de 4.11.2014, p. 35).</w:t>
      </w:r>
    </w:p>
  </w:footnote>
  <w:footnote w:id="20">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Ver, por exemplo: IPBES, </w:t>
      </w:r>
      <w:r>
        <w:rPr>
          <w:rFonts w:ascii="Times New Roman" w:hAnsi="Times New Roman"/>
          <w:i/>
          <w:sz w:val="20"/>
        </w:rPr>
        <w:t>The IPBES regional assessment report on biodiversity and ecosystem services for Europe and Central Asia</w:t>
      </w:r>
      <w:r>
        <w:rPr>
          <w:rFonts w:ascii="Times New Roman" w:hAnsi="Times New Roman"/>
          <w:sz w:val="20"/>
        </w:rPr>
        <w:t>, , Secretariado da Plataforma Intergovernamental Científica e Política sobre a Biodiversidade e os Serviços Ecossistémicos, Bona, Alemanha, 2018, 892 páginas.</w:t>
      </w:r>
    </w:p>
  </w:footnote>
  <w:footnote w:id="21">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 Os cálculos das necessidades de recuperação excluem o Reino Unido.</w:t>
      </w:r>
    </w:p>
  </w:footnote>
  <w:footnote w:id="22">
    <w:p>
      <w:pPr>
        <w:pStyle w:val="FootnoteText"/>
        <w:ind w:left="284" w:hanging="284"/>
        <w:rPr>
          <w:rFonts w:ascii="Times New Roman" w:eastAsia="Times New Roman" w:hAnsi="Times New Roman"/>
          <w:iCs w:val="0"/>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iCs w:val="0"/>
          <w:sz w:val="20"/>
        </w:rPr>
        <w:t xml:space="preserve">Ao abrigo da Diretiva </w:t>
      </w:r>
      <w:r>
        <w:rPr>
          <w:rFonts w:ascii="Times New Roman" w:hAnsi="Times New Roman"/>
          <w:i/>
          <w:iCs w:val="0"/>
          <w:sz w:val="20"/>
        </w:rPr>
        <w:t>Habitats</w:t>
      </w:r>
      <w:r>
        <w:rPr>
          <w:rFonts w:ascii="Times New Roman" w:hAnsi="Times New Roman"/>
          <w:iCs w:val="0"/>
          <w:sz w:val="20"/>
        </w:rPr>
        <w:t>, os Estados-Membros propõem «sítios de importância comunitária», que a Comissão inclui em listas biogeográficas. Os Estados-Membros têm então seis anos para designar os sítios de importância comunitária como zonas especiais de conservação.</w:t>
      </w:r>
    </w:p>
  </w:footnote>
  <w:footnote w:id="23">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 Estes valores dizem respeito às zonas marinhas situadas até 200 milhas náuticas da costa; não incluem sítios Natura 2000 na plataforma continental alargada (válido para a Irlanda, Portugal e o Reino Unido).</w:t>
      </w:r>
    </w:p>
  </w:footnote>
  <w:footnote w:id="24">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hyperlink r:id="rId4" w:history="1">
        <w:r>
          <w:rPr>
            <w:rStyle w:val="Hyperlink"/>
            <w:rFonts w:ascii="Times New Roman" w:hAnsi="Times New Roman"/>
            <w:sz w:val="20"/>
          </w:rPr>
          <w:t>https://ec.europa.eu/easme/en/life</w:t>
        </w:r>
      </w:hyperlink>
      <w:r>
        <w:t>.</w:t>
      </w:r>
      <w:r>
        <w:rPr>
          <w:rFonts w:ascii="Times New Roman" w:hAnsi="Times New Roman"/>
          <w:sz w:val="20"/>
        </w:rPr>
        <w:t xml:space="preserve"> </w:t>
      </w:r>
    </w:p>
  </w:footnote>
  <w:footnote w:id="25">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 Comunicação da Comissão ao Parlamento Europeu, ao Conselho, ao Comité Económico e Social Europeu e ao Comité das Regiões, </w:t>
      </w:r>
      <w:r>
        <w:rPr>
          <w:rFonts w:ascii="Times New Roman" w:hAnsi="Times New Roman"/>
          <w:i/>
          <w:sz w:val="20"/>
        </w:rPr>
        <w:t>Estratégia de Biodiversidade da UE para 2030 — Trazer a natureza de volta às nossas vidas</w:t>
      </w:r>
      <w:r>
        <w:rPr>
          <w:rFonts w:ascii="Times New Roman" w:hAnsi="Times New Roman"/>
          <w:sz w:val="20"/>
        </w:rPr>
        <w:t xml:space="preserve"> [COM(2020) 380 final];</w:t>
      </w:r>
      <w:r>
        <w:tab/>
        <w:t xml:space="preserve"> </w:t>
      </w:r>
      <w:r>
        <w:br/>
      </w:r>
      <w:hyperlink r:id="rId5" w:history="1">
        <w:r>
          <w:rPr>
            <w:rStyle w:val="Hyperlink"/>
            <w:rFonts w:ascii="Times New Roman" w:hAnsi="Times New Roman"/>
            <w:sz w:val="20"/>
          </w:rPr>
          <w:t>https://eur-lex.europa.eu/legal-content/PT/TXT/?uri=CELEX%3A52020DC0380</w:t>
        </w:r>
      </w:hyperlink>
      <w:r>
        <w:t>.</w:t>
      </w:r>
    </w:p>
  </w:footnote>
  <w:footnote w:id="26">
    <w:p>
      <w:pPr>
        <w:pStyle w:val="FootnoteText"/>
        <w:ind w:left="284" w:hanging="284"/>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 Comunicação da Comissão ao Parlamento Europeu, ao Conselho, ao Comité Económico e Social Europeu e ao Comité das Regiões, </w:t>
      </w:r>
      <w:r>
        <w:rPr>
          <w:rFonts w:ascii="Times New Roman" w:hAnsi="Times New Roman"/>
          <w:i/>
          <w:sz w:val="20"/>
        </w:rPr>
        <w:t>Estratégia do Prado ao Prato para um sistema alimentar justo, saudável e respeitador do ambiente</w:t>
      </w:r>
      <w:r>
        <w:rPr>
          <w:rFonts w:ascii="Times New Roman" w:hAnsi="Times New Roman"/>
          <w:sz w:val="20"/>
        </w:rPr>
        <w:t xml:space="preserve"> [COM(2020) 381 final];</w:t>
      </w:r>
      <w:r>
        <w:tab/>
        <w:t xml:space="preserve"> </w:t>
      </w:r>
      <w:r>
        <w:br/>
      </w:r>
      <w:hyperlink r:id="rId6" w:history="1">
        <w:r>
          <w:rPr>
            <w:rStyle w:val="Hyperlink"/>
            <w:rFonts w:ascii="Times New Roman" w:hAnsi="Times New Roman"/>
            <w:sz w:val="20"/>
          </w:rPr>
          <w:t>https://eur-lex.europa.eu/legal-content/PT/TXT/HTML/?uri=CELEX:52020DC0381</w:t>
        </w:r>
      </w:hyperlink>
      <w:r>
        <w:t>.</w:t>
      </w:r>
      <w:r>
        <w:rPr>
          <w:rFonts w:ascii="Times New Roman" w:hAnsi="Times New Roman"/>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B71"/>
    <w:multiLevelType w:val="hybridMultilevel"/>
    <w:tmpl w:val="93882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B13E82"/>
    <w:multiLevelType w:val="multilevel"/>
    <w:tmpl w:val="4F2E0D4E"/>
    <w:lvl w:ilvl="0">
      <w:start w:val="1"/>
      <w:numFmt w:val="decimal"/>
      <w:pStyle w:val="Style2-Annex"/>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2EAE7260"/>
    <w:multiLevelType w:val="hybridMultilevel"/>
    <w:tmpl w:val="4DE8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590BE7"/>
    <w:multiLevelType w:val="hybridMultilevel"/>
    <w:tmpl w:val="43E6482E"/>
    <w:lvl w:ilvl="0" w:tplc="9CE0CE52">
      <w:start w:val="1"/>
      <w:numFmt w:val="bullet"/>
      <w:pStyle w:val="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920882"/>
    <w:multiLevelType w:val="hybridMultilevel"/>
    <w:tmpl w:val="30D6C6D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0DC22BE"/>
    <w:multiLevelType w:val="hybridMultilevel"/>
    <w:tmpl w:val="CCAA494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
    <w:nsid w:val="3EF57FC0"/>
    <w:multiLevelType w:val="hybridMultilevel"/>
    <w:tmpl w:val="81CE2F44"/>
    <w:lvl w:ilvl="0" w:tplc="08090001">
      <w:start w:val="1"/>
      <w:numFmt w:val="bullet"/>
      <w:lvlText w:val=""/>
      <w:lvlJc w:val="left"/>
      <w:pPr>
        <w:tabs>
          <w:tab w:val="num" w:pos="720"/>
        </w:tabs>
        <w:ind w:left="720" w:hanging="360"/>
      </w:pPr>
      <w:rPr>
        <w:rFonts w:ascii="Symbol" w:hAnsi="Symbol" w:hint="default"/>
      </w:rPr>
    </w:lvl>
    <w:lvl w:ilvl="1" w:tplc="B62897E2">
      <w:start w:val="146"/>
      <w:numFmt w:val="bullet"/>
      <w:lvlText w:val="•"/>
      <w:lvlJc w:val="left"/>
      <w:pPr>
        <w:tabs>
          <w:tab w:val="num" w:pos="1440"/>
        </w:tabs>
        <w:ind w:left="1440" w:hanging="360"/>
      </w:pPr>
      <w:rPr>
        <w:rFonts w:ascii="Times New Roman" w:hAnsi="Times New Roman" w:hint="default"/>
      </w:rPr>
    </w:lvl>
    <w:lvl w:ilvl="2" w:tplc="3BEAF2B0" w:tentative="1">
      <w:start w:val="1"/>
      <w:numFmt w:val="bullet"/>
      <w:lvlText w:val="•"/>
      <w:lvlJc w:val="left"/>
      <w:pPr>
        <w:tabs>
          <w:tab w:val="num" w:pos="2160"/>
        </w:tabs>
        <w:ind w:left="2160" w:hanging="360"/>
      </w:pPr>
      <w:rPr>
        <w:rFonts w:ascii="Arial" w:hAnsi="Arial" w:hint="default"/>
      </w:rPr>
    </w:lvl>
    <w:lvl w:ilvl="3" w:tplc="C9125EF8" w:tentative="1">
      <w:start w:val="1"/>
      <w:numFmt w:val="bullet"/>
      <w:lvlText w:val="•"/>
      <w:lvlJc w:val="left"/>
      <w:pPr>
        <w:tabs>
          <w:tab w:val="num" w:pos="2880"/>
        </w:tabs>
        <w:ind w:left="2880" w:hanging="360"/>
      </w:pPr>
      <w:rPr>
        <w:rFonts w:ascii="Arial" w:hAnsi="Arial" w:hint="default"/>
      </w:rPr>
    </w:lvl>
    <w:lvl w:ilvl="4" w:tplc="A972FFAA" w:tentative="1">
      <w:start w:val="1"/>
      <w:numFmt w:val="bullet"/>
      <w:lvlText w:val="•"/>
      <w:lvlJc w:val="left"/>
      <w:pPr>
        <w:tabs>
          <w:tab w:val="num" w:pos="3600"/>
        </w:tabs>
        <w:ind w:left="3600" w:hanging="360"/>
      </w:pPr>
      <w:rPr>
        <w:rFonts w:ascii="Arial" w:hAnsi="Arial" w:hint="default"/>
      </w:rPr>
    </w:lvl>
    <w:lvl w:ilvl="5" w:tplc="B4026304" w:tentative="1">
      <w:start w:val="1"/>
      <w:numFmt w:val="bullet"/>
      <w:lvlText w:val="•"/>
      <w:lvlJc w:val="left"/>
      <w:pPr>
        <w:tabs>
          <w:tab w:val="num" w:pos="4320"/>
        </w:tabs>
        <w:ind w:left="4320" w:hanging="360"/>
      </w:pPr>
      <w:rPr>
        <w:rFonts w:ascii="Arial" w:hAnsi="Arial" w:hint="default"/>
      </w:rPr>
    </w:lvl>
    <w:lvl w:ilvl="6" w:tplc="0EDA22A2" w:tentative="1">
      <w:start w:val="1"/>
      <w:numFmt w:val="bullet"/>
      <w:lvlText w:val="•"/>
      <w:lvlJc w:val="left"/>
      <w:pPr>
        <w:tabs>
          <w:tab w:val="num" w:pos="5040"/>
        </w:tabs>
        <w:ind w:left="5040" w:hanging="360"/>
      </w:pPr>
      <w:rPr>
        <w:rFonts w:ascii="Arial" w:hAnsi="Arial" w:hint="default"/>
      </w:rPr>
    </w:lvl>
    <w:lvl w:ilvl="7" w:tplc="1C2C3088" w:tentative="1">
      <w:start w:val="1"/>
      <w:numFmt w:val="bullet"/>
      <w:lvlText w:val="•"/>
      <w:lvlJc w:val="left"/>
      <w:pPr>
        <w:tabs>
          <w:tab w:val="num" w:pos="5760"/>
        </w:tabs>
        <w:ind w:left="5760" w:hanging="360"/>
      </w:pPr>
      <w:rPr>
        <w:rFonts w:ascii="Arial" w:hAnsi="Arial" w:hint="default"/>
      </w:rPr>
    </w:lvl>
    <w:lvl w:ilvl="8" w:tplc="299CBF9C" w:tentative="1">
      <w:start w:val="1"/>
      <w:numFmt w:val="bullet"/>
      <w:lvlText w:val="•"/>
      <w:lvlJc w:val="left"/>
      <w:pPr>
        <w:tabs>
          <w:tab w:val="num" w:pos="6480"/>
        </w:tabs>
        <w:ind w:left="6480" w:hanging="360"/>
      </w:pPr>
      <w:rPr>
        <w:rFonts w:ascii="Arial" w:hAnsi="Arial" w:hint="default"/>
      </w:rPr>
    </w:lvl>
  </w:abstractNum>
  <w:abstractNum w:abstractNumId="7">
    <w:nsid w:val="4ECF2223"/>
    <w:multiLevelType w:val="hybridMultilevel"/>
    <w:tmpl w:val="EF808130"/>
    <w:lvl w:ilvl="0" w:tplc="08090001">
      <w:start w:val="1"/>
      <w:numFmt w:val="bullet"/>
      <w:lvlText w:val=""/>
      <w:lvlJc w:val="left"/>
      <w:pPr>
        <w:tabs>
          <w:tab w:val="num" w:pos="720"/>
        </w:tabs>
        <w:ind w:left="720" w:hanging="360"/>
      </w:pPr>
      <w:rPr>
        <w:rFonts w:ascii="Symbol" w:hAnsi="Symbol" w:hint="default"/>
      </w:rPr>
    </w:lvl>
    <w:lvl w:ilvl="1" w:tplc="27008BF0" w:tentative="1">
      <w:start w:val="1"/>
      <w:numFmt w:val="bullet"/>
      <w:lvlText w:val="•"/>
      <w:lvlJc w:val="left"/>
      <w:pPr>
        <w:tabs>
          <w:tab w:val="num" w:pos="1440"/>
        </w:tabs>
        <w:ind w:left="1440" w:hanging="360"/>
      </w:pPr>
      <w:rPr>
        <w:rFonts w:ascii="Arial" w:hAnsi="Arial" w:hint="default"/>
      </w:rPr>
    </w:lvl>
    <w:lvl w:ilvl="2" w:tplc="0C5A5742" w:tentative="1">
      <w:start w:val="1"/>
      <w:numFmt w:val="bullet"/>
      <w:lvlText w:val="•"/>
      <w:lvlJc w:val="left"/>
      <w:pPr>
        <w:tabs>
          <w:tab w:val="num" w:pos="2160"/>
        </w:tabs>
        <w:ind w:left="2160" w:hanging="360"/>
      </w:pPr>
      <w:rPr>
        <w:rFonts w:ascii="Arial" w:hAnsi="Arial" w:hint="default"/>
      </w:rPr>
    </w:lvl>
    <w:lvl w:ilvl="3" w:tplc="D354CFBA" w:tentative="1">
      <w:start w:val="1"/>
      <w:numFmt w:val="bullet"/>
      <w:lvlText w:val="•"/>
      <w:lvlJc w:val="left"/>
      <w:pPr>
        <w:tabs>
          <w:tab w:val="num" w:pos="2880"/>
        </w:tabs>
        <w:ind w:left="2880" w:hanging="360"/>
      </w:pPr>
      <w:rPr>
        <w:rFonts w:ascii="Arial" w:hAnsi="Arial" w:hint="default"/>
      </w:rPr>
    </w:lvl>
    <w:lvl w:ilvl="4" w:tplc="BABC4F78" w:tentative="1">
      <w:start w:val="1"/>
      <w:numFmt w:val="bullet"/>
      <w:lvlText w:val="•"/>
      <w:lvlJc w:val="left"/>
      <w:pPr>
        <w:tabs>
          <w:tab w:val="num" w:pos="3600"/>
        </w:tabs>
        <w:ind w:left="3600" w:hanging="360"/>
      </w:pPr>
      <w:rPr>
        <w:rFonts w:ascii="Arial" w:hAnsi="Arial" w:hint="default"/>
      </w:rPr>
    </w:lvl>
    <w:lvl w:ilvl="5" w:tplc="20BAEC22" w:tentative="1">
      <w:start w:val="1"/>
      <w:numFmt w:val="bullet"/>
      <w:lvlText w:val="•"/>
      <w:lvlJc w:val="left"/>
      <w:pPr>
        <w:tabs>
          <w:tab w:val="num" w:pos="4320"/>
        </w:tabs>
        <w:ind w:left="4320" w:hanging="360"/>
      </w:pPr>
      <w:rPr>
        <w:rFonts w:ascii="Arial" w:hAnsi="Arial" w:hint="default"/>
      </w:rPr>
    </w:lvl>
    <w:lvl w:ilvl="6" w:tplc="713A1B7E" w:tentative="1">
      <w:start w:val="1"/>
      <w:numFmt w:val="bullet"/>
      <w:lvlText w:val="•"/>
      <w:lvlJc w:val="left"/>
      <w:pPr>
        <w:tabs>
          <w:tab w:val="num" w:pos="5040"/>
        </w:tabs>
        <w:ind w:left="5040" w:hanging="360"/>
      </w:pPr>
      <w:rPr>
        <w:rFonts w:ascii="Arial" w:hAnsi="Arial" w:hint="default"/>
      </w:rPr>
    </w:lvl>
    <w:lvl w:ilvl="7" w:tplc="0E040F96" w:tentative="1">
      <w:start w:val="1"/>
      <w:numFmt w:val="bullet"/>
      <w:lvlText w:val="•"/>
      <w:lvlJc w:val="left"/>
      <w:pPr>
        <w:tabs>
          <w:tab w:val="num" w:pos="5760"/>
        </w:tabs>
        <w:ind w:left="5760" w:hanging="360"/>
      </w:pPr>
      <w:rPr>
        <w:rFonts w:ascii="Arial" w:hAnsi="Arial" w:hint="default"/>
      </w:rPr>
    </w:lvl>
    <w:lvl w:ilvl="8" w:tplc="61684B6E" w:tentative="1">
      <w:start w:val="1"/>
      <w:numFmt w:val="bullet"/>
      <w:lvlText w:val="•"/>
      <w:lvlJc w:val="left"/>
      <w:pPr>
        <w:tabs>
          <w:tab w:val="num" w:pos="6480"/>
        </w:tabs>
        <w:ind w:left="6480" w:hanging="360"/>
      </w:pPr>
      <w:rPr>
        <w:rFonts w:ascii="Arial" w:hAnsi="Arial" w:hint="default"/>
      </w:rPr>
    </w:lvl>
  </w:abstractNum>
  <w:abstractNum w:abstractNumId="8">
    <w:nsid w:val="60097414"/>
    <w:multiLevelType w:val="hybridMultilevel"/>
    <w:tmpl w:val="0546C3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BE920D4"/>
    <w:multiLevelType w:val="hybridMultilevel"/>
    <w:tmpl w:val="052A86B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900560C"/>
    <w:multiLevelType w:val="hybridMultilevel"/>
    <w:tmpl w:val="B88A0204"/>
    <w:lvl w:ilvl="0" w:tplc="08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8"/>
  </w:num>
  <w:num w:numId="5">
    <w:abstractNumId w:val="7"/>
  </w:num>
  <w:num w:numId="6">
    <w:abstractNumId w:val="4"/>
  </w:num>
  <w:num w:numId="7">
    <w:abstractNumId w:val="3"/>
  </w:num>
  <w:num w:numId="8">
    <w:abstractNumId w:val="2"/>
  </w:num>
  <w:num w:numId="9">
    <w:abstractNumId w:val="10"/>
  </w:num>
  <w:num w:numId="10">
    <w:abstractNumId w:val="0"/>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8326455-008B-4C9F-86F8-73FE000F92D3"/>
    <w:docVar w:name="LW_COVERPAGE_TYPE" w:val="1"/>
    <w:docVar w:name="LW_CROSSREFERENCE" w:val="&lt;UNUSED&gt;"/>
    <w:docVar w:name="LW_DocType" w:val="NORMAL"/>
    <w:docVar w:name="LW_EMISSION" w:val="15.10.2020"/>
    <w:docVar w:name="LW_EMISSION_ISODATE" w:val="2020-10-15"/>
    <w:docVar w:name="LW_EMISSION_LOCATION" w:val="BRX"/>
    <w:docVar w:name="LW_EMISSION_PREFIX" w:val="Bruxelas, "/>
    <w:docVar w:name="LW_EMISSION_SUFFIX" w:val=" "/>
    <w:docVar w:name="LW_ID_DOCTYPE_NONLW" w:val="CP-007"/>
    <w:docVar w:name="LW_LANGUE" w:val="PT"/>
    <w:docVar w:name="LW_LEVEL_OF_SENSITIVITY" w:val="Standard treatmen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20) 6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 estado da natureza na União Europeia_x000d__x000d__x000b__x000d__x000d__x000b_Relatório sobre o estado e as tendências das espécies e dos tipos de &lt;FMT:Italic&gt;habitat &lt;/FMT&gt;protegidos pelas Diretivas Aves e &lt;FMT:Italic&gt;Habitats &lt;/FMT&gt;no período 2013-2018&lt;FMT:Font=Calibri&gt;_x000d_&lt;/FMT&gt;_x000d__x000d__x000b_"/>
    <w:docVar w:name="LW_TYPE.DOC.CP" w:val="RELATÓRIO DA COMISSÃO AO PARLAMENTO EUROPEU, AO CONSELHO E AO COMITÉ ECONÓMICO E SOCIAL EUROPEU"/>
    <w:docVar w:name="Stamp" w:val="\\dossiers.dgt.cec.eu.int\dossiers\ENV\ENV-2020-01276\ENV-2020-01276-00-00-EN-EDT-00.20200814150325524594.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120" w:after="120" w:line="240" w:lineRule="auto"/>
      <w:ind w:left="720" w:hanging="720"/>
      <w:jc w:val="both"/>
      <w:outlineLvl w:val="2"/>
    </w:pPr>
    <w:rPr>
      <w:rFonts w:eastAsia="ヒラギノ角ゴ Pro W3" w:cstheme="majorBidi"/>
      <w:b/>
      <w:i/>
      <w:iCs/>
      <w:color w:val="17365D"/>
      <w:sz w:val="24"/>
      <w:szCs w:val="24"/>
    </w:rPr>
  </w:style>
  <w:style w:type="paragraph" w:styleId="Heading8">
    <w:name w:val="heading 8"/>
    <w:basedOn w:val="Normal"/>
    <w:next w:val="Normal"/>
    <w:link w:val="Heading8Char"/>
    <w:uiPriority w:val="9"/>
    <w:semiHidden/>
    <w:unhideWhenUsed/>
    <w:qFormat/>
    <w:pPr>
      <w:keepNext/>
      <w:keepLines/>
      <w:spacing w:before="40" w:after="0" w:line="240" w:lineRule="auto"/>
      <w:ind w:left="1440" w:hanging="1440"/>
      <w:jc w:val="both"/>
      <w:outlineLvl w:val="7"/>
    </w:pPr>
    <w:rPr>
      <w:rFonts w:asciiTheme="majorHAnsi" w:eastAsiaTheme="majorEastAsia" w:hAnsiTheme="majorHAnsi" w:cstheme="majorBidi"/>
      <w:iCs/>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40" w:after="0" w:line="240" w:lineRule="auto"/>
      <w:ind w:left="1584" w:hanging="1584"/>
      <w:jc w:val="both"/>
      <w:outlineLvl w:val="8"/>
    </w:pPr>
    <w:rPr>
      <w:rFonts w:asciiTheme="majorHAnsi" w:eastAsiaTheme="majorEastAsia" w:hAnsiTheme="majorHAnsi" w:cstheme="majorBidi"/>
      <w: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de liste 2,Reference list,Bullet List Paragraph,List Paragraph1,Numbered Para 1,Dot pt,No Spacing1,List Paragraph Char Char Char,Indicator Text,Bullet 1,Bullet Points,MAIN CONTENT,List Paragraph12,F5 List Paragraph,Heading 2_sj"/>
    <w:basedOn w:val="Normal"/>
    <w:link w:val="ListParagraphChar"/>
    <w:uiPriority w:val="34"/>
    <w:qFormat/>
    <w:pPr>
      <w:ind w:left="720"/>
      <w:contextualSpacing/>
    </w:pPr>
  </w:style>
  <w:style w:type="table" w:styleId="TableGrid">
    <w:name w:val="Table Grid"/>
    <w:aliases w:val="Table Format 1,HTG"/>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able legend,Tab_Überschrift,Figure reference,Char Char,Char Char Char,Caption1 Char Char Char Char Char Char Char Char Tegn Tegn Tegn Tegn Tegn,Caption1 Char Char Char Char Char Char Char Char Tegn Tegn Tegn,F10 Table Figure and Chart Tit"/>
    <w:basedOn w:val="Normal"/>
    <w:next w:val="Normal"/>
    <w:link w:val="CaptionChar"/>
    <w:autoRedefine/>
    <w:unhideWhenUsed/>
    <w:qFormat/>
    <w:pPr>
      <w:keepNext/>
      <w:framePr w:hSpace="141" w:wrap="around" w:vAnchor="text" w:hAnchor="margin" w:y="179"/>
      <w:spacing w:after="120" w:line="240" w:lineRule="auto"/>
      <w:jc w:val="center"/>
    </w:pPr>
    <w:rPr>
      <w:rFonts w:ascii="Times New Roman" w:eastAsia="ヒラギノ角ゴ Pro W3" w:hAnsi="Times New Roman" w:cs="Times New Roman"/>
      <w:b/>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CaptionChar">
    <w:name w:val="Caption Char"/>
    <w:aliases w:val="Table legend Char,Tab_Überschrift Char,Figure reference Char,Char Char Char1,Char Char Char Char,Caption1 Char Char Char Char Char Char Char Char Tegn Tegn Tegn Tegn Tegn Char,F10 Table Figure and Chart Tit Char"/>
    <w:basedOn w:val="DefaultParagraphFont"/>
    <w:link w:val="Caption"/>
    <w:locked/>
    <w:rPr>
      <w:rFonts w:ascii="Times New Roman" w:eastAsia="ヒラギノ角ゴ Pro W3" w:hAnsi="Times New Roman" w:cs="Times New Roman"/>
      <w:b/>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pPr>
      <w:spacing w:before="360" w:after="360" w:line="240" w:lineRule="auto"/>
      <w:ind w:left="360"/>
      <w:jc w:val="both"/>
    </w:pPr>
    <w:rPr>
      <w:rFonts w:asciiTheme="minorHAnsi" w:eastAsia="ヒラギノ角ゴ Pro W3" w:hAnsiTheme="minorHAnsi" w:cs="Times New Roman"/>
      <w:b/>
      <w:iCs/>
      <w:color w:val="17365D"/>
      <w:sz w:val="24"/>
      <w:szCs w:val="24"/>
    </w:rPr>
  </w:style>
  <w:style w:type="paragraph" w:customStyle="1" w:styleId="Style2-Annex">
    <w:name w:val="Style2 - Annex"/>
    <w:basedOn w:val="Heading2"/>
    <w:next w:val="Normal"/>
    <w:qFormat/>
    <w:pPr>
      <w:numPr>
        <w:numId w:val="2"/>
      </w:numPr>
      <w:spacing w:before="240" w:after="240" w:line="240" w:lineRule="auto"/>
      <w:ind w:left="1440" w:hanging="360"/>
      <w:jc w:val="both"/>
    </w:pPr>
    <w:rPr>
      <w:rFonts w:asciiTheme="minorHAnsi" w:eastAsia="ヒラギノ角ゴ Pro W3" w:hAnsiTheme="minorHAnsi"/>
      <w:b/>
      <w:iCs/>
      <w:color w:val="17365D"/>
      <w:sz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Paragraphe de liste 2 Char,Reference list Char,Bullet List Paragraph Char,List Paragraph1 Char,Numbered Para 1 Char,Dot pt Char,No Spacing1 Char,List Paragraph Char Char Char Char,Indicator Text Char,Bullet 1 Char,Bullet Points Char"/>
    <w:basedOn w:val="DefaultParagraphFont"/>
    <w:link w:val="ListParagraph"/>
    <w:uiPriority w:val="34"/>
    <w:qFormat/>
    <w:locked/>
  </w:style>
  <w:style w:type="character" w:customStyle="1" w:styleId="Heading3Char">
    <w:name w:val="Heading 3 Char"/>
    <w:basedOn w:val="DefaultParagraphFont"/>
    <w:link w:val="Heading3"/>
    <w:uiPriority w:val="9"/>
    <w:rPr>
      <w:rFonts w:eastAsia="ヒラギノ角ゴ Pro W3" w:cstheme="majorBidi"/>
      <w:b/>
      <w:i/>
      <w:iCs/>
      <w:color w:val="17365D"/>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Cs/>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color w:val="272727" w:themeColor="text1" w:themeTint="D8"/>
      <w:sz w:val="21"/>
      <w:szCs w:val="21"/>
    </w:rPr>
  </w:style>
  <w:style w:type="paragraph" w:styleId="FootnoteText">
    <w:name w:val="footnote text"/>
    <w:basedOn w:val="Normal"/>
    <w:uiPriority w:val="99"/>
    <w:unhideWhenUsed/>
    <w:pPr>
      <w:spacing w:after="0" w:line="240" w:lineRule="auto"/>
      <w:jc w:val="both"/>
    </w:pPr>
    <w:rPr>
      <w:rFonts w:eastAsia="ヒラギノ角ゴ Pro W3" w:cs="Times New Roman"/>
      <w:iCs/>
      <w:szCs w:val="20"/>
    </w:rPr>
  </w:style>
  <w:style w:type="character" w:customStyle="1" w:styleId="FootnoteTextChar">
    <w:name w:val="Footnote Text Char"/>
    <w:basedOn w:val="DefaultParagraphFont"/>
    <w:uiPriority w:val="99"/>
    <w:rPr>
      <w:rFonts w:eastAsia="ヒラギノ角ゴ Pro W3" w:cs="Times New Roman"/>
      <w:iCs/>
      <w:szCs w:val="20"/>
    </w:rPr>
  </w:style>
  <w:style w:type="character" w:styleId="FootnoteReference">
    <w:name w:val="footnote reference"/>
    <w:basedOn w:val="DefaultParagraphFont"/>
    <w:uiPriority w:val="99"/>
    <w:unhideWhenUsed/>
    <w:rPr>
      <w:vertAlign w:val="superscript"/>
    </w:rPr>
  </w:style>
  <w:style w:type="table" w:customStyle="1" w:styleId="HTG1">
    <w:name w:val="HTG1"/>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HTG2">
    <w:name w:val="HTG2"/>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G3">
    <w:name w:val="HTG3"/>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G4">
    <w:name w:val="HTG4"/>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G5">
    <w:name w:val="HTG5"/>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G6">
    <w:name w:val="HTG6"/>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odyText">
    <w:name w:val="Body Text"/>
    <w:aliases w:val="EEA - Body Text"/>
    <w:basedOn w:val="Normal"/>
    <w:link w:val="BodyTextChar"/>
    <w:autoRedefine/>
    <w:qFormat/>
    <w:pPr>
      <w:numPr>
        <w:numId w:val="7"/>
      </w:numPr>
      <w:spacing w:after="160" w:line="259" w:lineRule="auto"/>
    </w:pPr>
    <w:rPr>
      <w:rFonts w:eastAsia="ヒラギノ角ゴ Pro W3" w:cs="Times New Roman"/>
      <w:color w:val="000000"/>
      <w:szCs w:val="20"/>
      <w:lang w:eastAsia="en-GB"/>
    </w:rPr>
  </w:style>
  <w:style w:type="character" w:customStyle="1" w:styleId="BodyTextChar">
    <w:name w:val="Body Text Char"/>
    <w:aliases w:val="EEA - Body Text Char"/>
    <w:basedOn w:val="DefaultParagraphFont"/>
    <w:link w:val="BodyText"/>
    <w:rPr>
      <w:rFonts w:eastAsia="ヒラギノ角ゴ Pro W3" w:cs="Times New Roman"/>
      <w:color w:val="000000"/>
      <w:szCs w:val="20"/>
      <w:lang w:eastAsia="en-GB"/>
    </w:rPr>
  </w:style>
  <w:style w:type="table" w:customStyle="1" w:styleId="HTG7">
    <w:name w:val="HTG7"/>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contextualSpacing/>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120" w:after="120" w:line="240" w:lineRule="auto"/>
      <w:ind w:left="720" w:hanging="720"/>
      <w:jc w:val="both"/>
      <w:outlineLvl w:val="2"/>
    </w:pPr>
    <w:rPr>
      <w:rFonts w:eastAsia="ヒラギノ角ゴ Pro W3" w:cstheme="majorBidi"/>
      <w:b/>
      <w:i/>
      <w:iCs/>
      <w:color w:val="17365D"/>
      <w:sz w:val="24"/>
      <w:szCs w:val="24"/>
    </w:rPr>
  </w:style>
  <w:style w:type="paragraph" w:styleId="Heading8">
    <w:name w:val="heading 8"/>
    <w:basedOn w:val="Normal"/>
    <w:next w:val="Normal"/>
    <w:link w:val="Heading8Char"/>
    <w:uiPriority w:val="9"/>
    <w:semiHidden/>
    <w:unhideWhenUsed/>
    <w:qFormat/>
    <w:pPr>
      <w:keepNext/>
      <w:keepLines/>
      <w:spacing w:before="40" w:after="0" w:line="240" w:lineRule="auto"/>
      <w:ind w:left="1440" w:hanging="1440"/>
      <w:jc w:val="both"/>
      <w:outlineLvl w:val="7"/>
    </w:pPr>
    <w:rPr>
      <w:rFonts w:asciiTheme="majorHAnsi" w:eastAsiaTheme="majorEastAsia" w:hAnsiTheme="majorHAnsi" w:cstheme="majorBidi"/>
      <w:iCs/>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40" w:after="0" w:line="240" w:lineRule="auto"/>
      <w:ind w:left="1584" w:hanging="1584"/>
      <w:jc w:val="both"/>
      <w:outlineLvl w:val="8"/>
    </w:pPr>
    <w:rPr>
      <w:rFonts w:asciiTheme="majorHAnsi" w:eastAsiaTheme="majorEastAsia" w:hAnsiTheme="majorHAnsi" w:cstheme="majorBidi"/>
      <w: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de liste 2,Reference list,Bullet List Paragraph,List Paragraph1,Numbered Para 1,Dot pt,No Spacing1,List Paragraph Char Char Char,Indicator Text,Bullet 1,Bullet Points,MAIN CONTENT,List Paragraph12,F5 List Paragraph,Heading 2_sj"/>
    <w:basedOn w:val="Normal"/>
    <w:link w:val="ListParagraphChar"/>
    <w:uiPriority w:val="34"/>
    <w:qFormat/>
    <w:pPr>
      <w:ind w:left="720"/>
      <w:contextualSpacing/>
    </w:pPr>
  </w:style>
  <w:style w:type="table" w:styleId="TableGrid">
    <w:name w:val="Table Grid"/>
    <w:aliases w:val="Table Format 1,HTG"/>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able legend,Tab_Überschrift,Figure reference,Char Char,Char Char Char,Caption1 Char Char Char Char Char Char Char Char Tegn Tegn Tegn Tegn Tegn,Caption1 Char Char Char Char Char Char Char Char Tegn Tegn Tegn,F10 Table Figure and Chart Tit"/>
    <w:basedOn w:val="Normal"/>
    <w:next w:val="Normal"/>
    <w:link w:val="CaptionChar"/>
    <w:autoRedefine/>
    <w:unhideWhenUsed/>
    <w:qFormat/>
    <w:pPr>
      <w:keepNext/>
      <w:framePr w:hSpace="141" w:wrap="around" w:vAnchor="text" w:hAnchor="margin" w:y="179"/>
      <w:spacing w:after="120" w:line="240" w:lineRule="auto"/>
      <w:jc w:val="center"/>
    </w:pPr>
    <w:rPr>
      <w:rFonts w:ascii="Times New Roman" w:eastAsia="ヒラギノ角ゴ Pro W3" w:hAnsi="Times New Roman" w:cs="Times New Roman"/>
      <w:b/>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CaptionChar">
    <w:name w:val="Caption Char"/>
    <w:aliases w:val="Table legend Char,Tab_Überschrift Char,Figure reference Char,Char Char Char1,Char Char Char Char,Caption1 Char Char Char Char Char Char Char Char Tegn Tegn Tegn Tegn Tegn Char,F10 Table Figure and Chart Tit Char"/>
    <w:basedOn w:val="DefaultParagraphFont"/>
    <w:link w:val="Caption"/>
    <w:locked/>
    <w:rPr>
      <w:rFonts w:ascii="Times New Roman" w:eastAsia="ヒラギノ角ゴ Pro W3" w:hAnsi="Times New Roman" w:cs="Times New Roman"/>
      <w:b/>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pPr>
      <w:spacing w:before="360" w:after="360" w:line="240" w:lineRule="auto"/>
      <w:ind w:left="360"/>
      <w:jc w:val="both"/>
    </w:pPr>
    <w:rPr>
      <w:rFonts w:asciiTheme="minorHAnsi" w:eastAsia="ヒラギノ角ゴ Pro W3" w:hAnsiTheme="minorHAnsi" w:cs="Times New Roman"/>
      <w:b/>
      <w:iCs/>
      <w:color w:val="17365D"/>
      <w:sz w:val="24"/>
      <w:szCs w:val="24"/>
    </w:rPr>
  </w:style>
  <w:style w:type="paragraph" w:customStyle="1" w:styleId="Style2-Annex">
    <w:name w:val="Style2 - Annex"/>
    <w:basedOn w:val="Heading2"/>
    <w:next w:val="Normal"/>
    <w:qFormat/>
    <w:pPr>
      <w:numPr>
        <w:numId w:val="2"/>
      </w:numPr>
      <w:spacing w:before="240" w:after="240" w:line="240" w:lineRule="auto"/>
      <w:ind w:left="1440" w:hanging="360"/>
      <w:jc w:val="both"/>
    </w:pPr>
    <w:rPr>
      <w:rFonts w:asciiTheme="minorHAnsi" w:eastAsia="ヒラギノ角ゴ Pro W3" w:hAnsiTheme="minorHAnsi"/>
      <w:b/>
      <w:iCs/>
      <w:color w:val="17365D"/>
      <w:sz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Paragraphe de liste 2 Char,Reference list Char,Bullet List Paragraph Char,List Paragraph1 Char,Numbered Para 1 Char,Dot pt Char,No Spacing1 Char,List Paragraph Char Char Char Char,Indicator Text Char,Bullet 1 Char,Bullet Points Char"/>
    <w:basedOn w:val="DefaultParagraphFont"/>
    <w:link w:val="ListParagraph"/>
    <w:uiPriority w:val="34"/>
    <w:qFormat/>
    <w:locked/>
  </w:style>
  <w:style w:type="character" w:customStyle="1" w:styleId="Heading3Char">
    <w:name w:val="Heading 3 Char"/>
    <w:basedOn w:val="DefaultParagraphFont"/>
    <w:link w:val="Heading3"/>
    <w:uiPriority w:val="9"/>
    <w:rPr>
      <w:rFonts w:eastAsia="ヒラギノ角ゴ Pro W3" w:cstheme="majorBidi"/>
      <w:b/>
      <w:i/>
      <w:iCs/>
      <w:color w:val="17365D"/>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Cs/>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color w:val="272727" w:themeColor="text1" w:themeTint="D8"/>
      <w:sz w:val="21"/>
      <w:szCs w:val="21"/>
    </w:rPr>
  </w:style>
  <w:style w:type="paragraph" w:styleId="FootnoteText">
    <w:name w:val="footnote text"/>
    <w:basedOn w:val="Normal"/>
    <w:uiPriority w:val="99"/>
    <w:unhideWhenUsed/>
    <w:pPr>
      <w:spacing w:after="0" w:line="240" w:lineRule="auto"/>
      <w:jc w:val="both"/>
    </w:pPr>
    <w:rPr>
      <w:rFonts w:eastAsia="ヒラギノ角ゴ Pro W3" w:cs="Times New Roman"/>
      <w:iCs/>
      <w:szCs w:val="20"/>
    </w:rPr>
  </w:style>
  <w:style w:type="character" w:customStyle="1" w:styleId="FootnoteTextChar">
    <w:name w:val="Footnote Text Char"/>
    <w:basedOn w:val="DefaultParagraphFont"/>
    <w:uiPriority w:val="99"/>
    <w:rPr>
      <w:rFonts w:eastAsia="ヒラギノ角ゴ Pro W3" w:cs="Times New Roman"/>
      <w:iCs/>
      <w:szCs w:val="20"/>
    </w:rPr>
  </w:style>
  <w:style w:type="character" w:styleId="FootnoteReference">
    <w:name w:val="footnote reference"/>
    <w:basedOn w:val="DefaultParagraphFont"/>
    <w:uiPriority w:val="99"/>
    <w:unhideWhenUsed/>
    <w:rPr>
      <w:vertAlign w:val="superscript"/>
    </w:rPr>
  </w:style>
  <w:style w:type="table" w:customStyle="1" w:styleId="HTG1">
    <w:name w:val="HTG1"/>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HTG2">
    <w:name w:val="HTG2"/>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G3">
    <w:name w:val="HTG3"/>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G4">
    <w:name w:val="HTG4"/>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G5">
    <w:name w:val="HTG5"/>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G6">
    <w:name w:val="HTG6"/>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odyText">
    <w:name w:val="Body Text"/>
    <w:aliases w:val="EEA - Body Text"/>
    <w:basedOn w:val="Normal"/>
    <w:link w:val="BodyTextChar"/>
    <w:autoRedefine/>
    <w:qFormat/>
    <w:pPr>
      <w:numPr>
        <w:numId w:val="7"/>
      </w:numPr>
      <w:spacing w:after="160" w:line="259" w:lineRule="auto"/>
    </w:pPr>
    <w:rPr>
      <w:rFonts w:eastAsia="ヒラギノ角ゴ Pro W3" w:cs="Times New Roman"/>
      <w:color w:val="000000"/>
      <w:szCs w:val="20"/>
      <w:lang w:eastAsia="en-GB"/>
    </w:rPr>
  </w:style>
  <w:style w:type="character" w:customStyle="1" w:styleId="BodyTextChar">
    <w:name w:val="Body Text Char"/>
    <w:aliases w:val="EEA - Body Text Char"/>
    <w:basedOn w:val="DefaultParagraphFont"/>
    <w:link w:val="BodyText"/>
    <w:rPr>
      <w:rFonts w:eastAsia="ヒラギノ角ゴ Pro W3" w:cs="Times New Roman"/>
      <w:color w:val="000000"/>
      <w:szCs w:val="20"/>
      <w:lang w:eastAsia="en-GB"/>
    </w:rPr>
  </w:style>
  <w:style w:type="table" w:customStyle="1" w:styleId="HTG7">
    <w:name w:val="HTG7"/>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contextualSpacing/>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0593">
      <w:bodyDiv w:val="1"/>
      <w:marLeft w:val="0"/>
      <w:marRight w:val="0"/>
      <w:marTop w:val="0"/>
      <w:marBottom w:val="0"/>
      <w:divBdr>
        <w:top w:val="none" w:sz="0" w:space="0" w:color="auto"/>
        <w:left w:val="none" w:sz="0" w:space="0" w:color="auto"/>
        <w:bottom w:val="none" w:sz="0" w:space="0" w:color="auto"/>
        <w:right w:val="none" w:sz="0" w:space="0" w:color="auto"/>
      </w:divBdr>
      <w:divsChild>
        <w:div w:id="1396275877">
          <w:marLeft w:val="547"/>
          <w:marRight w:val="0"/>
          <w:marTop w:val="115"/>
          <w:marBottom w:val="0"/>
          <w:divBdr>
            <w:top w:val="none" w:sz="0" w:space="0" w:color="auto"/>
            <w:left w:val="none" w:sz="0" w:space="0" w:color="auto"/>
            <w:bottom w:val="none" w:sz="0" w:space="0" w:color="auto"/>
            <w:right w:val="none" w:sz="0" w:space="0" w:color="auto"/>
          </w:divBdr>
        </w:div>
        <w:div w:id="1548640616">
          <w:marLeft w:val="547"/>
          <w:marRight w:val="0"/>
          <w:marTop w:val="115"/>
          <w:marBottom w:val="0"/>
          <w:divBdr>
            <w:top w:val="none" w:sz="0" w:space="0" w:color="auto"/>
            <w:left w:val="none" w:sz="0" w:space="0" w:color="auto"/>
            <w:bottom w:val="none" w:sz="0" w:space="0" w:color="auto"/>
            <w:right w:val="none" w:sz="0" w:space="0" w:color="auto"/>
          </w:divBdr>
        </w:div>
      </w:divsChild>
    </w:div>
    <w:div w:id="144862763">
      <w:bodyDiv w:val="1"/>
      <w:marLeft w:val="0"/>
      <w:marRight w:val="0"/>
      <w:marTop w:val="0"/>
      <w:marBottom w:val="0"/>
      <w:divBdr>
        <w:top w:val="none" w:sz="0" w:space="0" w:color="auto"/>
        <w:left w:val="none" w:sz="0" w:space="0" w:color="auto"/>
        <w:bottom w:val="none" w:sz="0" w:space="0" w:color="auto"/>
        <w:right w:val="none" w:sz="0" w:space="0" w:color="auto"/>
      </w:divBdr>
      <w:divsChild>
        <w:div w:id="545064902">
          <w:marLeft w:val="547"/>
          <w:marRight w:val="0"/>
          <w:marTop w:val="86"/>
          <w:marBottom w:val="0"/>
          <w:divBdr>
            <w:top w:val="none" w:sz="0" w:space="0" w:color="auto"/>
            <w:left w:val="none" w:sz="0" w:space="0" w:color="auto"/>
            <w:bottom w:val="none" w:sz="0" w:space="0" w:color="auto"/>
            <w:right w:val="none" w:sz="0" w:space="0" w:color="auto"/>
          </w:divBdr>
        </w:div>
        <w:div w:id="1278416364">
          <w:marLeft w:val="547"/>
          <w:marRight w:val="0"/>
          <w:marTop w:val="86"/>
          <w:marBottom w:val="0"/>
          <w:divBdr>
            <w:top w:val="none" w:sz="0" w:space="0" w:color="auto"/>
            <w:left w:val="none" w:sz="0" w:space="0" w:color="auto"/>
            <w:bottom w:val="none" w:sz="0" w:space="0" w:color="auto"/>
            <w:right w:val="none" w:sz="0" w:space="0" w:color="auto"/>
          </w:divBdr>
        </w:div>
        <w:div w:id="1326938521">
          <w:marLeft w:val="547"/>
          <w:marRight w:val="0"/>
          <w:marTop w:val="86"/>
          <w:marBottom w:val="0"/>
          <w:divBdr>
            <w:top w:val="none" w:sz="0" w:space="0" w:color="auto"/>
            <w:left w:val="none" w:sz="0" w:space="0" w:color="auto"/>
            <w:bottom w:val="none" w:sz="0" w:space="0" w:color="auto"/>
            <w:right w:val="none" w:sz="0" w:space="0" w:color="auto"/>
          </w:divBdr>
        </w:div>
        <w:div w:id="1916235343">
          <w:marLeft w:val="547"/>
          <w:marRight w:val="0"/>
          <w:marTop w:val="86"/>
          <w:marBottom w:val="0"/>
          <w:divBdr>
            <w:top w:val="none" w:sz="0" w:space="0" w:color="auto"/>
            <w:left w:val="none" w:sz="0" w:space="0" w:color="auto"/>
            <w:bottom w:val="none" w:sz="0" w:space="0" w:color="auto"/>
            <w:right w:val="none" w:sz="0" w:space="0" w:color="auto"/>
          </w:divBdr>
        </w:div>
      </w:divsChild>
    </w:div>
    <w:div w:id="200896669">
      <w:bodyDiv w:val="1"/>
      <w:marLeft w:val="0"/>
      <w:marRight w:val="0"/>
      <w:marTop w:val="0"/>
      <w:marBottom w:val="0"/>
      <w:divBdr>
        <w:top w:val="none" w:sz="0" w:space="0" w:color="auto"/>
        <w:left w:val="none" w:sz="0" w:space="0" w:color="auto"/>
        <w:bottom w:val="none" w:sz="0" w:space="0" w:color="auto"/>
        <w:right w:val="none" w:sz="0" w:space="0" w:color="auto"/>
      </w:divBdr>
      <w:divsChild>
        <w:div w:id="510337513">
          <w:marLeft w:val="547"/>
          <w:marRight w:val="0"/>
          <w:marTop w:val="86"/>
          <w:marBottom w:val="0"/>
          <w:divBdr>
            <w:top w:val="none" w:sz="0" w:space="0" w:color="auto"/>
            <w:left w:val="none" w:sz="0" w:space="0" w:color="auto"/>
            <w:bottom w:val="none" w:sz="0" w:space="0" w:color="auto"/>
            <w:right w:val="none" w:sz="0" w:space="0" w:color="auto"/>
          </w:divBdr>
        </w:div>
        <w:div w:id="939870130">
          <w:marLeft w:val="547"/>
          <w:marRight w:val="0"/>
          <w:marTop w:val="86"/>
          <w:marBottom w:val="0"/>
          <w:divBdr>
            <w:top w:val="none" w:sz="0" w:space="0" w:color="auto"/>
            <w:left w:val="none" w:sz="0" w:space="0" w:color="auto"/>
            <w:bottom w:val="none" w:sz="0" w:space="0" w:color="auto"/>
            <w:right w:val="none" w:sz="0" w:space="0" w:color="auto"/>
          </w:divBdr>
        </w:div>
        <w:div w:id="1377852902">
          <w:marLeft w:val="547"/>
          <w:marRight w:val="0"/>
          <w:marTop w:val="86"/>
          <w:marBottom w:val="0"/>
          <w:divBdr>
            <w:top w:val="none" w:sz="0" w:space="0" w:color="auto"/>
            <w:left w:val="none" w:sz="0" w:space="0" w:color="auto"/>
            <w:bottom w:val="none" w:sz="0" w:space="0" w:color="auto"/>
            <w:right w:val="none" w:sz="0" w:space="0" w:color="auto"/>
          </w:divBdr>
        </w:div>
        <w:div w:id="2039156541">
          <w:marLeft w:val="547"/>
          <w:marRight w:val="0"/>
          <w:marTop w:val="86"/>
          <w:marBottom w:val="0"/>
          <w:divBdr>
            <w:top w:val="none" w:sz="0" w:space="0" w:color="auto"/>
            <w:left w:val="none" w:sz="0" w:space="0" w:color="auto"/>
            <w:bottom w:val="none" w:sz="0" w:space="0" w:color="auto"/>
            <w:right w:val="none" w:sz="0" w:space="0" w:color="auto"/>
          </w:divBdr>
        </w:div>
      </w:divsChild>
    </w:div>
    <w:div w:id="249657218">
      <w:bodyDiv w:val="1"/>
      <w:marLeft w:val="0"/>
      <w:marRight w:val="0"/>
      <w:marTop w:val="0"/>
      <w:marBottom w:val="0"/>
      <w:divBdr>
        <w:top w:val="none" w:sz="0" w:space="0" w:color="auto"/>
        <w:left w:val="none" w:sz="0" w:space="0" w:color="auto"/>
        <w:bottom w:val="none" w:sz="0" w:space="0" w:color="auto"/>
        <w:right w:val="none" w:sz="0" w:space="0" w:color="auto"/>
      </w:divBdr>
      <w:divsChild>
        <w:div w:id="30113353">
          <w:marLeft w:val="547"/>
          <w:marRight w:val="0"/>
          <w:marTop w:val="115"/>
          <w:marBottom w:val="0"/>
          <w:divBdr>
            <w:top w:val="none" w:sz="0" w:space="0" w:color="auto"/>
            <w:left w:val="none" w:sz="0" w:space="0" w:color="auto"/>
            <w:bottom w:val="none" w:sz="0" w:space="0" w:color="auto"/>
            <w:right w:val="none" w:sz="0" w:space="0" w:color="auto"/>
          </w:divBdr>
        </w:div>
        <w:div w:id="860321644">
          <w:marLeft w:val="547"/>
          <w:marRight w:val="0"/>
          <w:marTop w:val="115"/>
          <w:marBottom w:val="0"/>
          <w:divBdr>
            <w:top w:val="none" w:sz="0" w:space="0" w:color="auto"/>
            <w:left w:val="none" w:sz="0" w:space="0" w:color="auto"/>
            <w:bottom w:val="none" w:sz="0" w:space="0" w:color="auto"/>
            <w:right w:val="none" w:sz="0" w:space="0" w:color="auto"/>
          </w:divBdr>
        </w:div>
        <w:div w:id="1640962737">
          <w:marLeft w:val="547"/>
          <w:marRight w:val="0"/>
          <w:marTop w:val="115"/>
          <w:marBottom w:val="0"/>
          <w:divBdr>
            <w:top w:val="none" w:sz="0" w:space="0" w:color="auto"/>
            <w:left w:val="none" w:sz="0" w:space="0" w:color="auto"/>
            <w:bottom w:val="none" w:sz="0" w:space="0" w:color="auto"/>
            <w:right w:val="none" w:sz="0" w:space="0" w:color="auto"/>
          </w:divBdr>
        </w:div>
      </w:divsChild>
    </w:div>
    <w:div w:id="325283249">
      <w:bodyDiv w:val="1"/>
      <w:marLeft w:val="0"/>
      <w:marRight w:val="0"/>
      <w:marTop w:val="0"/>
      <w:marBottom w:val="0"/>
      <w:divBdr>
        <w:top w:val="none" w:sz="0" w:space="0" w:color="auto"/>
        <w:left w:val="none" w:sz="0" w:space="0" w:color="auto"/>
        <w:bottom w:val="none" w:sz="0" w:space="0" w:color="auto"/>
        <w:right w:val="none" w:sz="0" w:space="0" w:color="auto"/>
      </w:divBdr>
    </w:div>
    <w:div w:id="336231972">
      <w:bodyDiv w:val="1"/>
      <w:marLeft w:val="0"/>
      <w:marRight w:val="0"/>
      <w:marTop w:val="0"/>
      <w:marBottom w:val="0"/>
      <w:divBdr>
        <w:top w:val="none" w:sz="0" w:space="0" w:color="auto"/>
        <w:left w:val="none" w:sz="0" w:space="0" w:color="auto"/>
        <w:bottom w:val="none" w:sz="0" w:space="0" w:color="auto"/>
        <w:right w:val="none" w:sz="0" w:space="0" w:color="auto"/>
      </w:divBdr>
      <w:divsChild>
        <w:div w:id="23217114">
          <w:marLeft w:val="547"/>
          <w:marRight w:val="0"/>
          <w:marTop w:val="115"/>
          <w:marBottom w:val="0"/>
          <w:divBdr>
            <w:top w:val="none" w:sz="0" w:space="0" w:color="auto"/>
            <w:left w:val="none" w:sz="0" w:space="0" w:color="auto"/>
            <w:bottom w:val="none" w:sz="0" w:space="0" w:color="auto"/>
            <w:right w:val="none" w:sz="0" w:space="0" w:color="auto"/>
          </w:divBdr>
        </w:div>
        <w:div w:id="171919333">
          <w:marLeft w:val="547"/>
          <w:marRight w:val="0"/>
          <w:marTop w:val="115"/>
          <w:marBottom w:val="0"/>
          <w:divBdr>
            <w:top w:val="none" w:sz="0" w:space="0" w:color="auto"/>
            <w:left w:val="none" w:sz="0" w:space="0" w:color="auto"/>
            <w:bottom w:val="none" w:sz="0" w:space="0" w:color="auto"/>
            <w:right w:val="none" w:sz="0" w:space="0" w:color="auto"/>
          </w:divBdr>
        </w:div>
        <w:div w:id="401099658">
          <w:marLeft w:val="547"/>
          <w:marRight w:val="0"/>
          <w:marTop w:val="115"/>
          <w:marBottom w:val="0"/>
          <w:divBdr>
            <w:top w:val="none" w:sz="0" w:space="0" w:color="auto"/>
            <w:left w:val="none" w:sz="0" w:space="0" w:color="auto"/>
            <w:bottom w:val="none" w:sz="0" w:space="0" w:color="auto"/>
            <w:right w:val="none" w:sz="0" w:space="0" w:color="auto"/>
          </w:divBdr>
        </w:div>
        <w:div w:id="1676109372">
          <w:marLeft w:val="547"/>
          <w:marRight w:val="0"/>
          <w:marTop w:val="115"/>
          <w:marBottom w:val="0"/>
          <w:divBdr>
            <w:top w:val="none" w:sz="0" w:space="0" w:color="auto"/>
            <w:left w:val="none" w:sz="0" w:space="0" w:color="auto"/>
            <w:bottom w:val="none" w:sz="0" w:space="0" w:color="auto"/>
            <w:right w:val="none" w:sz="0" w:space="0" w:color="auto"/>
          </w:divBdr>
        </w:div>
      </w:divsChild>
    </w:div>
    <w:div w:id="453331561">
      <w:bodyDiv w:val="1"/>
      <w:marLeft w:val="0"/>
      <w:marRight w:val="0"/>
      <w:marTop w:val="0"/>
      <w:marBottom w:val="0"/>
      <w:divBdr>
        <w:top w:val="none" w:sz="0" w:space="0" w:color="auto"/>
        <w:left w:val="none" w:sz="0" w:space="0" w:color="auto"/>
        <w:bottom w:val="none" w:sz="0" w:space="0" w:color="auto"/>
        <w:right w:val="none" w:sz="0" w:space="0" w:color="auto"/>
      </w:divBdr>
      <w:divsChild>
        <w:div w:id="1973553213">
          <w:marLeft w:val="547"/>
          <w:marRight w:val="0"/>
          <w:marTop w:val="106"/>
          <w:marBottom w:val="0"/>
          <w:divBdr>
            <w:top w:val="none" w:sz="0" w:space="0" w:color="auto"/>
            <w:left w:val="none" w:sz="0" w:space="0" w:color="auto"/>
            <w:bottom w:val="none" w:sz="0" w:space="0" w:color="auto"/>
            <w:right w:val="none" w:sz="0" w:space="0" w:color="auto"/>
          </w:divBdr>
        </w:div>
        <w:div w:id="2004313609">
          <w:marLeft w:val="547"/>
          <w:marRight w:val="0"/>
          <w:marTop w:val="106"/>
          <w:marBottom w:val="0"/>
          <w:divBdr>
            <w:top w:val="none" w:sz="0" w:space="0" w:color="auto"/>
            <w:left w:val="none" w:sz="0" w:space="0" w:color="auto"/>
            <w:bottom w:val="none" w:sz="0" w:space="0" w:color="auto"/>
            <w:right w:val="none" w:sz="0" w:space="0" w:color="auto"/>
          </w:divBdr>
        </w:div>
      </w:divsChild>
    </w:div>
    <w:div w:id="482502114">
      <w:bodyDiv w:val="1"/>
      <w:marLeft w:val="0"/>
      <w:marRight w:val="0"/>
      <w:marTop w:val="0"/>
      <w:marBottom w:val="0"/>
      <w:divBdr>
        <w:top w:val="none" w:sz="0" w:space="0" w:color="auto"/>
        <w:left w:val="none" w:sz="0" w:space="0" w:color="auto"/>
        <w:bottom w:val="none" w:sz="0" w:space="0" w:color="auto"/>
        <w:right w:val="none" w:sz="0" w:space="0" w:color="auto"/>
      </w:divBdr>
      <w:divsChild>
        <w:div w:id="40180027">
          <w:marLeft w:val="547"/>
          <w:marRight w:val="0"/>
          <w:marTop w:val="86"/>
          <w:marBottom w:val="0"/>
          <w:divBdr>
            <w:top w:val="none" w:sz="0" w:space="0" w:color="auto"/>
            <w:left w:val="none" w:sz="0" w:space="0" w:color="auto"/>
            <w:bottom w:val="none" w:sz="0" w:space="0" w:color="auto"/>
            <w:right w:val="none" w:sz="0" w:space="0" w:color="auto"/>
          </w:divBdr>
        </w:div>
        <w:div w:id="128057585">
          <w:marLeft w:val="547"/>
          <w:marRight w:val="0"/>
          <w:marTop w:val="86"/>
          <w:marBottom w:val="0"/>
          <w:divBdr>
            <w:top w:val="none" w:sz="0" w:space="0" w:color="auto"/>
            <w:left w:val="none" w:sz="0" w:space="0" w:color="auto"/>
            <w:bottom w:val="none" w:sz="0" w:space="0" w:color="auto"/>
            <w:right w:val="none" w:sz="0" w:space="0" w:color="auto"/>
          </w:divBdr>
        </w:div>
        <w:div w:id="1065764765">
          <w:marLeft w:val="547"/>
          <w:marRight w:val="0"/>
          <w:marTop w:val="86"/>
          <w:marBottom w:val="0"/>
          <w:divBdr>
            <w:top w:val="none" w:sz="0" w:space="0" w:color="auto"/>
            <w:left w:val="none" w:sz="0" w:space="0" w:color="auto"/>
            <w:bottom w:val="none" w:sz="0" w:space="0" w:color="auto"/>
            <w:right w:val="none" w:sz="0" w:space="0" w:color="auto"/>
          </w:divBdr>
        </w:div>
        <w:div w:id="1819611068">
          <w:marLeft w:val="547"/>
          <w:marRight w:val="0"/>
          <w:marTop w:val="86"/>
          <w:marBottom w:val="0"/>
          <w:divBdr>
            <w:top w:val="none" w:sz="0" w:space="0" w:color="auto"/>
            <w:left w:val="none" w:sz="0" w:space="0" w:color="auto"/>
            <w:bottom w:val="none" w:sz="0" w:space="0" w:color="auto"/>
            <w:right w:val="none" w:sz="0" w:space="0" w:color="auto"/>
          </w:divBdr>
        </w:div>
      </w:divsChild>
    </w:div>
    <w:div w:id="631591434">
      <w:bodyDiv w:val="1"/>
      <w:marLeft w:val="0"/>
      <w:marRight w:val="0"/>
      <w:marTop w:val="0"/>
      <w:marBottom w:val="0"/>
      <w:divBdr>
        <w:top w:val="none" w:sz="0" w:space="0" w:color="auto"/>
        <w:left w:val="none" w:sz="0" w:space="0" w:color="auto"/>
        <w:bottom w:val="none" w:sz="0" w:space="0" w:color="auto"/>
        <w:right w:val="none" w:sz="0" w:space="0" w:color="auto"/>
      </w:divBdr>
      <w:divsChild>
        <w:div w:id="653536133">
          <w:marLeft w:val="446"/>
          <w:marRight w:val="0"/>
          <w:marTop w:val="77"/>
          <w:marBottom w:val="0"/>
          <w:divBdr>
            <w:top w:val="none" w:sz="0" w:space="0" w:color="auto"/>
            <w:left w:val="none" w:sz="0" w:space="0" w:color="auto"/>
            <w:bottom w:val="none" w:sz="0" w:space="0" w:color="auto"/>
            <w:right w:val="none" w:sz="0" w:space="0" w:color="auto"/>
          </w:divBdr>
        </w:div>
      </w:divsChild>
    </w:div>
    <w:div w:id="690108345">
      <w:bodyDiv w:val="1"/>
      <w:marLeft w:val="0"/>
      <w:marRight w:val="0"/>
      <w:marTop w:val="0"/>
      <w:marBottom w:val="0"/>
      <w:divBdr>
        <w:top w:val="none" w:sz="0" w:space="0" w:color="auto"/>
        <w:left w:val="none" w:sz="0" w:space="0" w:color="auto"/>
        <w:bottom w:val="none" w:sz="0" w:space="0" w:color="auto"/>
        <w:right w:val="none" w:sz="0" w:space="0" w:color="auto"/>
      </w:divBdr>
      <w:divsChild>
        <w:div w:id="424763518">
          <w:marLeft w:val="547"/>
          <w:marRight w:val="0"/>
          <w:marTop w:val="106"/>
          <w:marBottom w:val="0"/>
          <w:divBdr>
            <w:top w:val="none" w:sz="0" w:space="0" w:color="auto"/>
            <w:left w:val="none" w:sz="0" w:space="0" w:color="auto"/>
            <w:bottom w:val="none" w:sz="0" w:space="0" w:color="auto"/>
            <w:right w:val="none" w:sz="0" w:space="0" w:color="auto"/>
          </w:divBdr>
        </w:div>
        <w:div w:id="1799689502">
          <w:marLeft w:val="547"/>
          <w:marRight w:val="0"/>
          <w:marTop w:val="106"/>
          <w:marBottom w:val="0"/>
          <w:divBdr>
            <w:top w:val="none" w:sz="0" w:space="0" w:color="auto"/>
            <w:left w:val="none" w:sz="0" w:space="0" w:color="auto"/>
            <w:bottom w:val="none" w:sz="0" w:space="0" w:color="auto"/>
            <w:right w:val="none" w:sz="0" w:space="0" w:color="auto"/>
          </w:divBdr>
        </w:div>
        <w:div w:id="2100591369">
          <w:marLeft w:val="547"/>
          <w:marRight w:val="0"/>
          <w:marTop w:val="106"/>
          <w:marBottom w:val="0"/>
          <w:divBdr>
            <w:top w:val="none" w:sz="0" w:space="0" w:color="auto"/>
            <w:left w:val="none" w:sz="0" w:space="0" w:color="auto"/>
            <w:bottom w:val="none" w:sz="0" w:space="0" w:color="auto"/>
            <w:right w:val="none" w:sz="0" w:space="0" w:color="auto"/>
          </w:divBdr>
        </w:div>
      </w:divsChild>
    </w:div>
    <w:div w:id="692264281">
      <w:bodyDiv w:val="1"/>
      <w:marLeft w:val="0"/>
      <w:marRight w:val="0"/>
      <w:marTop w:val="0"/>
      <w:marBottom w:val="0"/>
      <w:divBdr>
        <w:top w:val="none" w:sz="0" w:space="0" w:color="auto"/>
        <w:left w:val="none" w:sz="0" w:space="0" w:color="auto"/>
        <w:bottom w:val="none" w:sz="0" w:space="0" w:color="auto"/>
        <w:right w:val="none" w:sz="0" w:space="0" w:color="auto"/>
      </w:divBdr>
      <w:divsChild>
        <w:div w:id="17390937">
          <w:marLeft w:val="720"/>
          <w:marRight w:val="0"/>
          <w:marTop w:val="96"/>
          <w:marBottom w:val="0"/>
          <w:divBdr>
            <w:top w:val="none" w:sz="0" w:space="0" w:color="auto"/>
            <w:left w:val="none" w:sz="0" w:space="0" w:color="auto"/>
            <w:bottom w:val="none" w:sz="0" w:space="0" w:color="auto"/>
            <w:right w:val="none" w:sz="0" w:space="0" w:color="auto"/>
          </w:divBdr>
        </w:div>
        <w:div w:id="534079233">
          <w:marLeft w:val="720"/>
          <w:marRight w:val="0"/>
          <w:marTop w:val="96"/>
          <w:marBottom w:val="0"/>
          <w:divBdr>
            <w:top w:val="none" w:sz="0" w:space="0" w:color="auto"/>
            <w:left w:val="none" w:sz="0" w:space="0" w:color="auto"/>
            <w:bottom w:val="none" w:sz="0" w:space="0" w:color="auto"/>
            <w:right w:val="none" w:sz="0" w:space="0" w:color="auto"/>
          </w:divBdr>
        </w:div>
        <w:div w:id="1340502661">
          <w:marLeft w:val="720"/>
          <w:marRight w:val="0"/>
          <w:marTop w:val="96"/>
          <w:marBottom w:val="0"/>
          <w:divBdr>
            <w:top w:val="none" w:sz="0" w:space="0" w:color="auto"/>
            <w:left w:val="none" w:sz="0" w:space="0" w:color="auto"/>
            <w:bottom w:val="none" w:sz="0" w:space="0" w:color="auto"/>
            <w:right w:val="none" w:sz="0" w:space="0" w:color="auto"/>
          </w:divBdr>
        </w:div>
      </w:divsChild>
    </w:div>
    <w:div w:id="725950733">
      <w:bodyDiv w:val="1"/>
      <w:marLeft w:val="0"/>
      <w:marRight w:val="0"/>
      <w:marTop w:val="0"/>
      <w:marBottom w:val="0"/>
      <w:divBdr>
        <w:top w:val="none" w:sz="0" w:space="0" w:color="auto"/>
        <w:left w:val="none" w:sz="0" w:space="0" w:color="auto"/>
        <w:bottom w:val="none" w:sz="0" w:space="0" w:color="auto"/>
        <w:right w:val="none" w:sz="0" w:space="0" w:color="auto"/>
      </w:divBdr>
      <w:divsChild>
        <w:div w:id="14501414">
          <w:marLeft w:val="547"/>
          <w:marRight w:val="0"/>
          <w:marTop w:val="115"/>
          <w:marBottom w:val="0"/>
          <w:divBdr>
            <w:top w:val="none" w:sz="0" w:space="0" w:color="auto"/>
            <w:left w:val="none" w:sz="0" w:space="0" w:color="auto"/>
            <w:bottom w:val="none" w:sz="0" w:space="0" w:color="auto"/>
            <w:right w:val="none" w:sz="0" w:space="0" w:color="auto"/>
          </w:divBdr>
        </w:div>
        <w:div w:id="159467209">
          <w:marLeft w:val="547"/>
          <w:marRight w:val="0"/>
          <w:marTop w:val="115"/>
          <w:marBottom w:val="0"/>
          <w:divBdr>
            <w:top w:val="none" w:sz="0" w:space="0" w:color="auto"/>
            <w:left w:val="none" w:sz="0" w:space="0" w:color="auto"/>
            <w:bottom w:val="none" w:sz="0" w:space="0" w:color="auto"/>
            <w:right w:val="none" w:sz="0" w:space="0" w:color="auto"/>
          </w:divBdr>
        </w:div>
        <w:div w:id="292565799">
          <w:marLeft w:val="547"/>
          <w:marRight w:val="0"/>
          <w:marTop w:val="115"/>
          <w:marBottom w:val="0"/>
          <w:divBdr>
            <w:top w:val="none" w:sz="0" w:space="0" w:color="auto"/>
            <w:left w:val="none" w:sz="0" w:space="0" w:color="auto"/>
            <w:bottom w:val="none" w:sz="0" w:space="0" w:color="auto"/>
            <w:right w:val="none" w:sz="0" w:space="0" w:color="auto"/>
          </w:divBdr>
        </w:div>
        <w:div w:id="1409767493">
          <w:marLeft w:val="547"/>
          <w:marRight w:val="0"/>
          <w:marTop w:val="115"/>
          <w:marBottom w:val="0"/>
          <w:divBdr>
            <w:top w:val="none" w:sz="0" w:space="0" w:color="auto"/>
            <w:left w:val="none" w:sz="0" w:space="0" w:color="auto"/>
            <w:bottom w:val="none" w:sz="0" w:space="0" w:color="auto"/>
            <w:right w:val="none" w:sz="0" w:space="0" w:color="auto"/>
          </w:divBdr>
        </w:div>
      </w:divsChild>
    </w:div>
    <w:div w:id="833759114">
      <w:bodyDiv w:val="1"/>
      <w:marLeft w:val="0"/>
      <w:marRight w:val="0"/>
      <w:marTop w:val="0"/>
      <w:marBottom w:val="0"/>
      <w:divBdr>
        <w:top w:val="none" w:sz="0" w:space="0" w:color="auto"/>
        <w:left w:val="none" w:sz="0" w:space="0" w:color="auto"/>
        <w:bottom w:val="none" w:sz="0" w:space="0" w:color="auto"/>
        <w:right w:val="none" w:sz="0" w:space="0" w:color="auto"/>
      </w:divBdr>
      <w:divsChild>
        <w:div w:id="10306345">
          <w:marLeft w:val="547"/>
          <w:marRight w:val="0"/>
          <w:marTop w:val="96"/>
          <w:marBottom w:val="0"/>
          <w:divBdr>
            <w:top w:val="none" w:sz="0" w:space="0" w:color="auto"/>
            <w:left w:val="none" w:sz="0" w:space="0" w:color="auto"/>
            <w:bottom w:val="none" w:sz="0" w:space="0" w:color="auto"/>
            <w:right w:val="none" w:sz="0" w:space="0" w:color="auto"/>
          </w:divBdr>
        </w:div>
        <w:div w:id="143665433">
          <w:marLeft w:val="547"/>
          <w:marRight w:val="0"/>
          <w:marTop w:val="96"/>
          <w:marBottom w:val="0"/>
          <w:divBdr>
            <w:top w:val="none" w:sz="0" w:space="0" w:color="auto"/>
            <w:left w:val="none" w:sz="0" w:space="0" w:color="auto"/>
            <w:bottom w:val="none" w:sz="0" w:space="0" w:color="auto"/>
            <w:right w:val="none" w:sz="0" w:space="0" w:color="auto"/>
          </w:divBdr>
        </w:div>
        <w:div w:id="1185173507">
          <w:marLeft w:val="547"/>
          <w:marRight w:val="0"/>
          <w:marTop w:val="96"/>
          <w:marBottom w:val="0"/>
          <w:divBdr>
            <w:top w:val="none" w:sz="0" w:space="0" w:color="auto"/>
            <w:left w:val="none" w:sz="0" w:space="0" w:color="auto"/>
            <w:bottom w:val="none" w:sz="0" w:space="0" w:color="auto"/>
            <w:right w:val="none" w:sz="0" w:space="0" w:color="auto"/>
          </w:divBdr>
        </w:div>
        <w:div w:id="1677538199">
          <w:marLeft w:val="547"/>
          <w:marRight w:val="0"/>
          <w:marTop w:val="96"/>
          <w:marBottom w:val="0"/>
          <w:divBdr>
            <w:top w:val="none" w:sz="0" w:space="0" w:color="auto"/>
            <w:left w:val="none" w:sz="0" w:space="0" w:color="auto"/>
            <w:bottom w:val="none" w:sz="0" w:space="0" w:color="auto"/>
            <w:right w:val="none" w:sz="0" w:space="0" w:color="auto"/>
          </w:divBdr>
        </w:div>
      </w:divsChild>
    </w:div>
    <w:div w:id="968512392">
      <w:bodyDiv w:val="1"/>
      <w:marLeft w:val="0"/>
      <w:marRight w:val="0"/>
      <w:marTop w:val="0"/>
      <w:marBottom w:val="0"/>
      <w:divBdr>
        <w:top w:val="none" w:sz="0" w:space="0" w:color="auto"/>
        <w:left w:val="none" w:sz="0" w:space="0" w:color="auto"/>
        <w:bottom w:val="none" w:sz="0" w:space="0" w:color="auto"/>
        <w:right w:val="none" w:sz="0" w:space="0" w:color="auto"/>
      </w:divBdr>
      <w:divsChild>
        <w:div w:id="8220587">
          <w:marLeft w:val="446"/>
          <w:marRight w:val="0"/>
          <w:marTop w:val="86"/>
          <w:marBottom w:val="0"/>
          <w:divBdr>
            <w:top w:val="none" w:sz="0" w:space="0" w:color="auto"/>
            <w:left w:val="none" w:sz="0" w:space="0" w:color="auto"/>
            <w:bottom w:val="none" w:sz="0" w:space="0" w:color="auto"/>
            <w:right w:val="none" w:sz="0" w:space="0" w:color="auto"/>
          </w:divBdr>
        </w:div>
        <w:div w:id="26297765">
          <w:marLeft w:val="446"/>
          <w:marRight w:val="0"/>
          <w:marTop w:val="0"/>
          <w:marBottom w:val="0"/>
          <w:divBdr>
            <w:top w:val="none" w:sz="0" w:space="0" w:color="auto"/>
            <w:left w:val="none" w:sz="0" w:space="0" w:color="auto"/>
            <w:bottom w:val="none" w:sz="0" w:space="0" w:color="auto"/>
            <w:right w:val="none" w:sz="0" w:space="0" w:color="auto"/>
          </w:divBdr>
        </w:div>
        <w:div w:id="604193114">
          <w:marLeft w:val="446"/>
          <w:marRight w:val="0"/>
          <w:marTop w:val="86"/>
          <w:marBottom w:val="0"/>
          <w:divBdr>
            <w:top w:val="none" w:sz="0" w:space="0" w:color="auto"/>
            <w:left w:val="none" w:sz="0" w:space="0" w:color="auto"/>
            <w:bottom w:val="none" w:sz="0" w:space="0" w:color="auto"/>
            <w:right w:val="none" w:sz="0" w:space="0" w:color="auto"/>
          </w:divBdr>
        </w:div>
        <w:div w:id="891380635">
          <w:marLeft w:val="446"/>
          <w:marRight w:val="0"/>
          <w:marTop w:val="86"/>
          <w:marBottom w:val="0"/>
          <w:divBdr>
            <w:top w:val="none" w:sz="0" w:space="0" w:color="auto"/>
            <w:left w:val="none" w:sz="0" w:space="0" w:color="auto"/>
            <w:bottom w:val="none" w:sz="0" w:space="0" w:color="auto"/>
            <w:right w:val="none" w:sz="0" w:space="0" w:color="auto"/>
          </w:divBdr>
        </w:div>
        <w:div w:id="1326855853">
          <w:marLeft w:val="446"/>
          <w:marRight w:val="0"/>
          <w:marTop w:val="86"/>
          <w:marBottom w:val="0"/>
          <w:divBdr>
            <w:top w:val="none" w:sz="0" w:space="0" w:color="auto"/>
            <w:left w:val="none" w:sz="0" w:space="0" w:color="auto"/>
            <w:bottom w:val="none" w:sz="0" w:space="0" w:color="auto"/>
            <w:right w:val="none" w:sz="0" w:space="0" w:color="auto"/>
          </w:divBdr>
        </w:div>
        <w:div w:id="1652755591">
          <w:marLeft w:val="446"/>
          <w:marRight w:val="0"/>
          <w:marTop w:val="0"/>
          <w:marBottom w:val="0"/>
          <w:divBdr>
            <w:top w:val="none" w:sz="0" w:space="0" w:color="auto"/>
            <w:left w:val="none" w:sz="0" w:space="0" w:color="auto"/>
            <w:bottom w:val="none" w:sz="0" w:space="0" w:color="auto"/>
            <w:right w:val="none" w:sz="0" w:space="0" w:color="auto"/>
          </w:divBdr>
        </w:div>
      </w:divsChild>
    </w:div>
    <w:div w:id="992488102">
      <w:bodyDiv w:val="1"/>
      <w:marLeft w:val="0"/>
      <w:marRight w:val="0"/>
      <w:marTop w:val="0"/>
      <w:marBottom w:val="0"/>
      <w:divBdr>
        <w:top w:val="none" w:sz="0" w:space="0" w:color="auto"/>
        <w:left w:val="none" w:sz="0" w:space="0" w:color="auto"/>
        <w:bottom w:val="none" w:sz="0" w:space="0" w:color="auto"/>
        <w:right w:val="none" w:sz="0" w:space="0" w:color="auto"/>
      </w:divBdr>
      <w:divsChild>
        <w:div w:id="118306263">
          <w:marLeft w:val="547"/>
          <w:marRight w:val="0"/>
          <w:marTop w:val="82"/>
          <w:marBottom w:val="0"/>
          <w:divBdr>
            <w:top w:val="none" w:sz="0" w:space="0" w:color="auto"/>
            <w:left w:val="none" w:sz="0" w:space="0" w:color="auto"/>
            <w:bottom w:val="none" w:sz="0" w:space="0" w:color="auto"/>
            <w:right w:val="none" w:sz="0" w:space="0" w:color="auto"/>
          </w:divBdr>
        </w:div>
        <w:div w:id="306446346">
          <w:marLeft w:val="446"/>
          <w:marRight w:val="0"/>
          <w:marTop w:val="82"/>
          <w:marBottom w:val="0"/>
          <w:divBdr>
            <w:top w:val="none" w:sz="0" w:space="0" w:color="auto"/>
            <w:left w:val="none" w:sz="0" w:space="0" w:color="auto"/>
            <w:bottom w:val="none" w:sz="0" w:space="0" w:color="auto"/>
            <w:right w:val="none" w:sz="0" w:space="0" w:color="auto"/>
          </w:divBdr>
        </w:div>
        <w:div w:id="413090796">
          <w:marLeft w:val="547"/>
          <w:marRight w:val="0"/>
          <w:marTop w:val="82"/>
          <w:marBottom w:val="0"/>
          <w:divBdr>
            <w:top w:val="none" w:sz="0" w:space="0" w:color="auto"/>
            <w:left w:val="none" w:sz="0" w:space="0" w:color="auto"/>
            <w:bottom w:val="none" w:sz="0" w:space="0" w:color="auto"/>
            <w:right w:val="none" w:sz="0" w:space="0" w:color="auto"/>
          </w:divBdr>
        </w:div>
        <w:div w:id="505051249">
          <w:marLeft w:val="547"/>
          <w:marRight w:val="0"/>
          <w:marTop w:val="82"/>
          <w:marBottom w:val="0"/>
          <w:divBdr>
            <w:top w:val="none" w:sz="0" w:space="0" w:color="auto"/>
            <w:left w:val="none" w:sz="0" w:space="0" w:color="auto"/>
            <w:bottom w:val="none" w:sz="0" w:space="0" w:color="auto"/>
            <w:right w:val="none" w:sz="0" w:space="0" w:color="auto"/>
          </w:divBdr>
        </w:div>
        <w:div w:id="560796562">
          <w:marLeft w:val="547"/>
          <w:marRight w:val="0"/>
          <w:marTop w:val="82"/>
          <w:marBottom w:val="0"/>
          <w:divBdr>
            <w:top w:val="none" w:sz="0" w:space="0" w:color="auto"/>
            <w:left w:val="none" w:sz="0" w:space="0" w:color="auto"/>
            <w:bottom w:val="none" w:sz="0" w:space="0" w:color="auto"/>
            <w:right w:val="none" w:sz="0" w:space="0" w:color="auto"/>
          </w:divBdr>
        </w:div>
        <w:div w:id="666443388">
          <w:marLeft w:val="547"/>
          <w:marRight w:val="0"/>
          <w:marTop w:val="82"/>
          <w:marBottom w:val="0"/>
          <w:divBdr>
            <w:top w:val="none" w:sz="0" w:space="0" w:color="auto"/>
            <w:left w:val="none" w:sz="0" w:space="0" w:color="auto"/>
            <w:bottom w:val="none" w:sz="0" w:space="0" w:color="auto"/>
            <w:right w:val="none" w:sz="0" w:space="0" w:color="auto"/>
          </w:divBdr>
        </w:div>
        <w:div w:id="1540821205">
          <w:marLeft w:val="547"/>
          <w:marRight w:val="0"/>
          <w:marTop w:val="82"/>
          <w:marBottom w:val="0"/>
          <w:divBdr>
            <w:top w:val="none" w:sz="0" w:space="0" w:color="auto"/>
            <w:left w:val="none" w:sz="0" w:space="0" w:color="auto"/>
            <w:bottom w:val="none" w:sz="0" w:space="0" w:color="auto"/>
            <w:right w:val="none" w:sz="0" w:space="0" w:color="auto"/>
          </w:divBdr>
        </w:div>
      </w:divsChild>
    </w:div>
    <w:div w:id="1042248920">
      <w:bodyDiv w:val="1"/>
      <w:marLeft w:val="0"/>
      <w:marRight w:val="0"/>
      <w:marTop w:val="0"/>
      <w:marBottom w:val="0"/>
      <w:divBdr>
        <w:top w:val="none" w:sz="0" w:space="0" w:color="auto"/>
        <w:left w:val="none" w:sz="0" w:space="0" w:color="auto"/>
        <w:bottom w:val="none" w:sz="0" w:space="0" w:color="auto"/>
        <w:right w:val="none" w:sz="0" w:space="0" w:color="auto"/>
      </w:divBdr>
    </w:div>
    <w:div w:id="1046761426">
      <w:bodyDiv w:val="1"/>
      <w:marLeft w:val="0"/>
      <w:marRight w:val="0"/>
      <w:marTop w:val="0"/>
      <w:marBottom w:val="0"/>
      <w:divBdr>
        <w:top w:val="none" w:sz="0" w:space="0" w:color="auto"/>
        <w:left w:val="none" w:sz="0" w:space="0" w:color="auto"/>
        <w:bottom w:val="none" w:sz="0" w:space="0" w:color="auto"/>
        <w:right w:val="none" w:sz="0" w:space="0" w:color="auto"/>
      </w:divBdr>
      <w:divsChild>
        <w:div w:id="1200240395">
          <w:marLeft w:val="547"/>
          <w:marRight w:val="0"/>
          <w:marTop w:val="106"/>
          <w:marBottom w:val="0"/>
          <w:divBdr>
            <w:top w:val="none" w:sz="0" w:space="0" w:color="auto"/>
            <w:left w:val="none" w:sz="0" w:space="0" w:color="auto"/>
            <w:bottom w:val="none" w:sz="0" w:space="0" w:color="auto"/>
            <w:right w:val="none" w:sz="0" w:space="0" w:color="auto"/>
          </w:divBdr>
        </w:div>
        <w:div w:id="1835100537">
          <w:marLeft w:val="547"/>
          <w:marRight w:val="0"/>
          <w:marTop w:val="106"/>
          <w:marBottom w:val="0"/>
          <w:divBdr>
            <w:top w:val="none" w:sz="0" w:space="0" w:color="auto"/>
            <w:left w:val="none" w:sz="0" w:space="0" w:color="auto"/>
            <w:bottom w:val="none" w:sz="0" w:space="0" w:color="auto"/>
            <w:right w:val="none" w:sz="0" w:space="0" w:color="auto"/>
          </w:divBdr>
        </w:div>
      </w:divsChild>
    </w:div>
    <w:div w:id="1239176036">
      <w:bodyDiv w:val="1"/>
      <w:marLeft w:val="0"/>
      <w:marRight w:val="0"/>
      <w:marTop w:val="0"/>
      <w:marBottom w:val="0"/>
      <w:divBdr>
        <w:top w:val="none" w:sz="0" w:space="0" w:color="auto"/>
        <w:left w:val="none" w:sz="0" w:space="0" w:color="auto"/>
        <w:bottom w:val="none" w:sz="0" w:space="0" w:color="auto"/>
        <w:right w:val="none" w:sz="0" w:space="0" w:color="auto"/>
      </w:divBdr>
    </w:div>
    <w:div w:id="1261135173">
      <w:bodyDiv w:val="1"/>
      <w:marLeft w:val="0"/>
      <w:marRight w:val="0"/>
      <w:marTop w:val="0"/>
      <w:marBottom w:val="0"/>
      <w:divBdr>
        <w:top w:val="none" w:sz="0" w:space="0" w:color="auto"/>
        <w:left w:val="none" w:sz="0" w:space="0" w:color="auto"/>
        <w:bottom w:val="none" w:sz="0" w:space="0" w:color="auto"/>
        <w:right w:val="none" w:sz="0" w:space="0" w:color="auto"/>
      </w:divBdr>
      <w:divsChild>
        <w:div w:id="632835312">
          <w:marLeft w:val="547"/>
          <w:marRight w:val="0"/>
          <w:marTop w:val="115"/>
          <w:marBottom w:val="0"/>
          <w:divBdr>
            <w:top w:val="none" w:sz="0" w:space="0" w:color="auto"/>
            <w:left w:val="none" w:sz="0" w:space="0" w:color="auto"/>
            <w:bottom w:val="none" w:sz="0" w:space="0" w:color="auto"/>
            <w:right w:val="none" w:sz="0" w:space="0" w:color="auto"/>
          </w:divBdr>
        </w:div>
        <w:div w:id="803737343">
          <w:marLeft w:val="547"/>
          <w:marRight w:val="0"/>
          <w:marTop w:val="115"/>
          <w:marBottom w:val="0"/>
          <w:divBdr>
            <w:top w:val="none" w:sz="0" w:space="0" w:color="auto"/>
            <w:left w:val="none" w:sz="0" w:space="0" w:color="auto"/>
            <w:bottom w:val="none" w:sz="0" w:space="0" w:color="auto"/>
            <w:right w:val="none" w:sz="0" w:space="0" w:color="auto"/>
          </w:divBdr>
        </w:div>
        <w:div w:id="1463572182">
          <w:marLeft w:val="547"/>
          <w:marRight w:val="0"/>
          <w:marTop w:val="115"/>
          <w:marBottom w:val="0"/>
          <w:divBdr>
            <w:top w:val="none" w:sz="0" w:space="0" w:color="auto"/>
            <w:left w:val="none" w:sz="0" w:space="0" w:color="auto"/>
            <w:bottom w:val="none" w:sz="0" w:space="0" w:color="auto"/>
            <w:right w:val="none" w:sz="0" w:space="0" w:color="auto"/>
          </w:divBdr>
        </w:div>
      </w:divsChild>
    </w:div>
    <w:div w:id="1332874663">
      <w:bodyDiv w:val="1"/>
      <w:marLeft w:val="0"/>
      <w:marRight w:val="0"/>
      <w:marTop w:val="0"/>
      <w:marBottom w:val="0"/>
      <w:divBdr>
        <w:top w:val="none" w:sz="0" w:space="0" w:color="auto"/>
        <w:left w:val="none" w:sz="0" w:space="0" w:color="auto"/>
        <w:bottom w:val="none" w:sz="0" w:space="0" w:color="auto"/>
        <w:right w:val="none" w:sz="0" w:space="0" w:color="auto"/>
      </w:divBdr>
    </w:div>
    <w:div w:id="1448085942">
      <w:bodyDiv w:val="1"/>
      <w:marLeft w:val="0"/>
      <w:marRight w:val="0"/>
      <w:marTop w:val="0"/>
      <w:marBottom w:val="0"/>
      <w:divBdr>
        <w:top w:val="none" w:sz="0" w:space="0" w:color="auto"/>
        <w:left w:val="none" w:sz="0" w:space="0" w:color="auto"/>
        <w:bottom w:val="none" w:sz="0" w:space="0" w:color="auto"/>
        <w:right w:val="none" w:sz="0" w:space="0" w:color="auto"/>
      </w:divBdr>
      <w:divsChild>
        <w:div w:id="125240172">
          <w:marLeft w:val="547"/>
          <w:marRight w:val="0"/>
          <w:marTop w:val="106"/>
          <w:marBottom w:val="0"/>
          <w:divBdr>
            <w:top w:val="none" w:sz="0" w:space="0" w:color="auto"/>
            <w:left w:val="none" w:sz="0" w:space="0" w:color="auto"/>
            <w:bottom w:val="none" w:sz="0" w:space="0" w:color="auto"/>
            <w:right w:val="none" w:sz="0" w:space="0" w:color="auto"/>
          </w:divBdr>
        </w:div>
        <w:div w:id="391125269">
          <w:marLeft w:val="547"/>
          <w:marRight w:val="0"/>
          <w:marTop w:val="106"/>
          <w:marBottom w:val="0"/>
          <w:divBdr>
            <w:top w:val="none" w:sz="0" w:space="0" w:color="auto"/>
            <w:left w:val="none" w:sz="0" w:space="0" w:color="auto"/>
            <w:bottom w:val="none" w:sz="0" w:space="0" w:color="auto"/>
            <w:right w:val="none" w:sz="0" w:space="0" w:color="auto"/>
          </w:divBdr>
        </w:div>
        <w:div w:id="503086300">
          <w:marLeft w:val="547"/>
          <w:marRight w:val="0"/>
          <w:marTop w:val="106"/>
          <w:marBottom w:val="0"/>
          <w:divBdr>
            <w:top w:val="none" w:sz="0" w:space="0" w:color="auto"/>
            <w:left w:val="none" w:sz="0" w:space="0" w:color="auto"/>
            <w:bottom w:val="none" w:sz="0" w:space="0" w:color="auto"/>
            <w:right w:val="none" w:sz="0" w:space="0" w:color="auto"/>
          </w:divBdr>
        </w:div>
        <w:div w:id="1162623435">
          <w:marLeft w:val="547"/>
          <w:marRight w:val="0"/>
          <w:marTop w:val="106"/>
          <w:marBottom w:val="0"/>
          <w:divBdr>
            <w:top w:val="none" w:sz="0" w:space="0" w:color="auto"/>
            <w:left w:val="none" w:sz="0" w:space="0" w:color="auto"/>
            <w:bottom w:val="none" w:sz="0" w:space="0" w:color="auto"/>
            <w:right w:val="none" w:sz="0" w:space="0" w:color="auto"/>
          </w:divBdr>
        </w:div>
        <w:div w:id="2095546269">
          <w:marLeft w:val="547"/>
          <w:marRight w:val="0"/>
          <w:marTop w:val="106"/>
          <w:marBottom w:val="0"/>
          <w:divBdr>
            <w:top w:val="none" w:sz="0" w:space="0" w:color="auto"/>
            <w:left w:val="none" w:sz="0" w:space="0" w:color="auto"/>
            <w:bottom w:val="none" w:sz="0" w:space="0" w:color="auto"/>
            <w:right w:val="none" w:sz="0" w:space="0" w:color="auto"/>
          </w:divBdr>
        </w:div>
      </w:divsChild>
    </w:div>
    <w:div w:id="1485002361">
      <w:bodyDiv w:val="1"/>
      <w:marLeft w:val="0"/>
      <w:marRight w:val="0"/>
      <w:marTop w:val="0"/>
      <w:marBottom w:val="0"/>
      <w:divBdr>
        <w:top w:val="none" w:sz="0" w:space="0" w:color="auto"/>
        <w:left w:val="none" w:sz="0" w:space="0" w:color="auto"/>
        <w:bottom w:val="none" w:sz="0" w:space="0" w:color="auto"/>
        <w:right w:val="none" w:sz="0" w:space="0" w:color="auto"/>
      </w:divBdr>
      <w:divsChild>
        <w:div w:id="319895932">
          <w:marLeft w:val="547"/>
          <w:marRight w:val="0"/>
          <w:marTop w:val="134"/>
          <w:marBottom w:val="0"/>
          <w:divBdr>
            <w:top w:val="none" w:sz="0" w:space="0" w:color="auto"/>
            <w:left w:val="none" w:sz="0" w:space="0" w:color="auto"/>
            <w:bottom w:val="none" w:sz="0" w:space="0" w:color="auto"/>
            <w:right w:val="none" w:sz="0" w:space="0" w:color="auto"/>
          </w:divBdr>
        </w:div>
        <w:div w:id="820582436">
          <w:marLeft w:val="547"/>
          <w:marRight w:val="0"/>
          <w:marTop w:val="134"/>
          <w:marBottom w:val="0"/>
          <w:divBdr>
            <w:top w:val="none" w:sz="0" w:space="0" w:color="auto"/>
            <w:left w:val="none" w:sz="0" w:space="0" w:color="auto"/>
            <w:bottom w:val="none" w:sz="0" w:space="0" w:color="auto"/>
            <w:right w:val="none" w:sz="0" w:space="0" w:color="auto"/>
          </w:divBdr>
        </w:div>
        <w:div w:id="2121217883">
          <w:marLeft w:val="547"/>
          <w:marRight w:val="0"/>
          <w:marTop w:val="134"/>
          <w:marBottom w:val="0"/>
          <w:divBdr>
            <w:top w:val="none" w:sz="0" w:space="0" w:color="auto"/>
            <w:left w:val="none" w:sz="0" w:space="0" w:color="auto"/>
            <w:bottom w:val="none" w:sz="0" w:space="0" w:color="auto"/>
            <w:right w:val="none" w:sz="0" w:space="0" w:color="auto"/>
          </w:divBdr>
        </w:div>
      </w:divsChild>
    </w:div>
    <w:div w:id="1584877481">
      <w:bodyDiv w:val="1"/>
      <w:marLeft w:val="0"/>
      <w:marRight w:val="0"/>
      <w:marTop w:val="0"/>
      <w:marBottom w:val="0"/>
      <w:divBdr>
        <w:top w:val="none" w:sz="0" w:space="0" w:color="auto"/>
        <w:left w:val="none" w:sz="0" w:space="0" w:color="auto"/>
        <w:bottom w:val="none" w:sz="0" w:space="0" w:color="auto"/>
        <w:right w:val="none" w:sz="0" w:space="0" w:color="auto"/>
      </w:divBdr>
      <w:divsChild>
        <w:div w:id="286744003">
          <w:marLeft w:val="547"/>
          <w:marRight w:val="0"/>
          <w:marTop w:val="115"/>
          <w:marBottom w:val="0"/>
          <w:divBdr>
            <w:top w:val="none" w:sz="0" w:space="0" w:color="auto"/>
            <w:left w:val="none" w:sz="0" w:space="0" w:color="auto"/>
            <w:bottom w:val="none" w:sz="0" w:space="0" w:color="auto"/>
            <w:right w:val="none" w:sz="0" w:space="0" w:color="auto"/>
          </w:divBdr>
        </w:div>
        <w:div w:id="289897360">
          <w:marLeft w:val="1166"/>
          <w:marRight w:val="0"/>
          <w:marTop w:val="96"/>
          <w:marBottom w:val="0"/>
          <w:divBdr>
            <w:top w:val="none" w:sz="0" w:space="0" w:color="auto"/>
            <w:left w:val="none" w:sz="0" w:space="0" w:color="auto"/>
            <w:bottom w:val="none" w:sz="0" w:space="0" w:color="auto"/>
            <w:right w:val="none" w:sz="0" w:space="0" w:color="auto"/>
          </w:divBdr>
        </w:div>
        <w:div w:id="321470567">
          <w:marLeft w:val="1166"/>
          <w:marRight w:val="0"/>
          <w:marTop w:val="96"/>
          <w:marBottom w:val="0"/>
          <w:divBdr>
            <w:top w:val="none" w:sz="0" w:space="0" w:color="auto"/>
            <w:left w:val="none" w:sz="0" w:space="0" w:color="auto"/>
            <w:bottom w:val="none" w:sz="0" w:space="0" w:color="auto"/>
            <w:right w:val="none" w:sz="0" w:space="0" w:color="auto"/>
          </w:divBdr>
        </w:div>
        <w:div w:id="327640973">
          <w:marLeft w:val="547"/>
          <w:marRight w:val="0"/>
          <w:marTop w:val="115"/>
          <w:marBottom w:val="0"/>
          <w:divBdr>
            <w:top w:val="none" w:sz="0" w:space="0" w:color="auto"/>
            <w:left w:val="none" w:sz="0" w:space="0" w:color="auto"/>
            <w:bottom w:val="none" w:sz="0" w:space="0" w:color="auto"/>
            <w:right w:val="none" w:sz="0" w:space="0" w:color="auto"/>
          </w:divBdr>
        </w:div>
        <w:div w:id="517353795">
          <w:marLeft w:val="1166"/>
          <w:marRight w:val="0"/>
          <w:marTop w:val="96"/>
          <w:marBottom w:val="0"/>
          <w:divBdr>
            <w:top w:val="none" w:sz="0" w:space="0" w:color="auto"/>
            <w:left w:val="none" w:sz="0" w:space="0" w:color="auto"/>
            <w:bottom w:val="none" w:sz="0" w:space="0" w:color="auto"/>
            <w:right w:val="none" w:sz="0" w:space="0" w:color="auto"/>
          </w:divBdr>
        </w:div>
        <w:div w:id="866719950">
          <w:marLeft w:val="547"/>
          <w:marRight w:val="0"/>
          <w:marTop w:val="115"/>
          <w:marBottom w:val="0"/>
          <w:divBdr>
            <w:top w:val="none" w:sz="0" w:space="0" w:color="auto"/>
            <w:left w:val="none" w:sz="0" w:space="0" w:color="auto"/>
            <w:bottom w:val="none" w:sz="0" w:space="0" w:color="auto"/>
            <w:right w:val="none" w:sz="0" w:space="0" w:color="auto"/>
          </w:divBdr>
        </w:div>
        <w:div w:id="1631520220">
          <w:marLeft w:val="547"/>
          <w:marRight w:val="0"/>
          <w:marTop w:val="115"/>
          <w:marBottom w:val="0"/>
          <w:divBdr>
            <w:top w:val="none" w:sz="0" w:space="0" w:color="auto"/>
            <w:left w:val="none" w:sz="0" w:space="0" w:color="auto"/>
            <w:bottom w:val="none" w:sz="0" w:space="0" w:color="auto"/>
            <w:right w:val="none" w:sz="0" w:space="0" w:color="auto"/>
          </w:divBdr>
        </w:div>
      </w:divsChild>
    </w:div>
    <w:div w:id="1588880712">
      <w:bodyDiv w:val="1"/>
      <w:marLeft w:val="0"/>
      <w:marRight w:val="0"/>
      <w:marTop w:val="0"/>
      <w:marBottom w:val="0"/>
      <w:divBdr>
        <w:top w:val="none" w:sz="0" w:space="0" w:color="auto"/>
        <w:left w:val="none" w:sz="0" w:space="0" w:color="auto"/>
        <w:bottom w:val="none" w:sz="0" w:space="0" w:color="auto"/>
        <w:right w:val="none" w:sz="0" w:space="0" w:color="auto"/>
      </w:divBdr>
      <w:divsChild>
        <w:div w:id="888876115">
          <w:marLeft w:val="547"/>
          <w:marRight w:val="0"/>
          <w:marTop w:val="115"/>
          <w:marBottom w:val="0"/>
          <w:divBdr>
            <w:top w:val="none" w:sz="0" w:space="0" w:color="auto"/>
            <w:left w:val="none" w:sz="0" w:space="0" w:color="auto"/>
            <w:bottom w:val="none" w:sz="0" w:space="0" w:color="auto"/>
            <w:right w:val="none" w:sz="0" w:space="0" w:color="auto"/>
          </w:divBdr>
        </w:div>
        <w:div w:id="1565529455">
          <w:marLeft w:val="547"/>
          <w:marRight w:val="0"/>
          <w:marTop w:val="115"/>
          <w:marBottom w:val="0"/>
          <w:divBdr>
            <w:top w:val="none" w:sz="0" w:space="0" w:color="auto"/>
            <w:left w:val="none" w:sz="0" w:space="0" w:color="auto"/>
            <w:bottom w:val="none" w:sz="0" w:space="0" w:color="auto"/>
            <w:right w:val="none" w:sz="0" w:space="0" w:color="auto"/>
          </w:divBdr>
        </w:div>
        <w:div w:id="2053311756">
          <w:marLeft w:val="547"/>
          <w:marRight w:val="0"/>
          <w:marTop w:val="115"/>
          <w:marBottom w:val="0"/>
          <w:divBdr>
            <w:top w:val="none" w:sz="0" w:space="0" w:color="auto"/>
            <w:left w:val="none" w:sz="0" w:space="0" w:color="auto"/>
            <w:bottom w:val="none" w:sz="0" w:space="0" w:color="auto"/>
            <w:right w:val="none" w:sz="0" w:space="0" w:color="auto"/>
          </w:divBdr>
        </w:div>
      </w:divsChild>
    </w:div>
    <w:div w:id="1588997875">
      <w:bodyDiv w:val="1"/>
      <w:marLeft w:val="0"/>
      <w:marRight w:val="0"/>
      <w:marTop w:val="0"/>
      <w:marBottom w:val="0"/>
      <w:divBdr>
        <w:top w:val="none" w:sz="0" w:space="0" w:color="auto"/>
        <w:left w:val="none" w:sz="0" w:space="0" w:color="auto"/>
        <w:bottom w:val="none" w:sz="0" w:space="0" w:color="auto"/>
        <w:right w:val="none" w:sz="0" w:space="0" w:color="auto"/>
      </w:divBdr>
      <w:divsChild>
        <w:div w:id="405222825">
          <w:marLeft w:val="547"/>
          <w:marRight w:val="0"/>
          <w:marTop w:val="96"/>
          <w:marBottom w:val="0"/>
          <w:divBdr>
            <w:top w:val="none" w:sz="0" w:space="0" w:color="auto"/>
            <w:left w:val="none" w:sz="0" w:space="0" w:color="auto"/>
            <w:bottom w:val="none" w:sz="0" w:space="0" w:color="auto"/>
            <w:right w:val="none" w:sz="0" w:space="0" w:color="auto"/>
          </w:divBdr>
        </w:div>
        <w:div w:id="650405471">
          <w:marLeft w:val="547"/>
          <w:marRight w:val="0"/>
          <w:marTop w:val="96"/>
          <w:marBottom w:val="0"/>
          <w:divBdr>
            <w:top w:val="none" w:sz="0" w:space="0" w:color="auto"/>
            <w:left w:val="none" w:sz="0" w:space="0" w:color="auto"/>
            <w:bottom w:val="none" w:sz="0" w:space="0" w:color="auto"/>
            <w:right w:val="none" w:sz="0" w:space="0" w:color="auto"/>
          </w:divBdr>
        </w:div>
        <w:div w:id="1577087608">
          <w:marLeft w:val="547"/>
          <w:marRight w:val="0"/>
          <w:marTop w:val="96"/>
          <w:marBottom w:val="0"/>
          <w:divBdr>
            <w:top w:val="none" w:sz="0" w:space="0" w:color="auto"/>
            <w:left w:val="none" w:sz="0" w:space="0" w:color="auto"/>
            <w:bottom w:val="none" w:sz="0" w:space="0" w:color="auto"/>
            <w:right w:val="none" w:sz="0" w:space="0" w:color="auto"/>
          </w:divBdr>
        </w:div>
        <w:div w:id="1602838319">
          <w:marLeft w:val="547"/>
          <w:marRight w:val="0"/>
          <w:marTop w:val="96"/>
          <w:marBottom w:val="0"/>
          <w:divBdr>
            <w:top w:val="none" w:sz="0" w:space="0" w:color="auto"/>
            <w:left w:val="none" w:sz="0" w:space="0" w:color="auto"/>
            <w:bottom w:val="none" w:sz="0" w:space="0" w:color="auto"/>
            <w:right w:val="none" w:sz="0" w:space="0" w:color="auto"/>
          </w:divBdr>
        </w:div>
        <w:div w:id="1947998292">
          <w:marLeft w:val="547"/>
          <w:marRight w:val="0"/>
          <w:marTop w:val="96"/>
          <w:marBottom w:val="0"/>
          <w:divBdr>
            <w:top w:val="none" w:sz="0" w:space="0" w:color="auto"/>
            <w:left w:val="none" w:sz="0" w:space="0" w:color="auto"/>
            <w:bottom w:val="none" w:sz="0" w:space="0" w:color="auto"/>
            <w:right w:val="none" w:sz="0" w:space="0" w:color="auto"/>
          </w:divBdr>
        </w:div>
      </w:divsChild>
    </w:div>
    <w:div w:id="1634406327">
      <w:bodyDiv w:val="1"/>
      <w:marLeft w:val="0"/>
      <w:marRight w:val="0"/>
      <w:marTop w:val="0"/>
      <w:marBottom w:val="0"/>
      <w:divBdr>
        <w:top w:val="none" w:sz="0" w:space="0" w:color="auto"/>
        <w:left w:val="none" w:sz="0" w:space="0" w:color="auto"/>
        <w:bottom w:val="none" w:sz="0" w:space="0" w:color="auto"/>
        <w:right w:val="none" w:sz="0" w:space="0" w:color="auto"/>
      </w:divBdr>
      <w:divsChild>
        <w:div w:id="494690533">
          <w:marLeft w:val="1627"/>
          <w:marRight w:val="0"/>
          <w:marTop w:val="0"/>
          <w:marBottom w:val="0"/>
          <w:divBdr>
            <w:top w:val="none" w:sz="0" w:space="0" w:color="auto"/>
            <w:left w:val="none" w:sz="0" w:space="0" w:color="auto"/>
            <w:bottom w:val="none" w:sz="0" w:space="0" w:color="auto"/>
            <w:right w:val="none" w:sz="0" w:space="0" w:color="auto"/>
          </w:divBdr>
        </w:div>
        <w:div w:id="1701779363">
          <w:marLeft w:val="1627"/>
          <w:marRight w:val="0"/>
          <w:marTop w:val="0"/>
          <w:marBottom w:val="0"/>
          <w:divBdr>
            <w:top w:val="none" w:sz="0" w:space="0" w:color="auto"/>
            <w:left w:val="none" w:sz="0" w:space="0" w:color="auto"/>
            <w:bottom w:val="none" w:sz="0" w:space="0" w:color="auto"/>
            <w:right w:val="none" w:sz="0" w:space="0" w:color="auto"/>
          </w:divBdr>
        </w:div>
      </w:divsChild>
    </w:div>
    <w:div w:id="1727800202">
      <w:bodyDiv w:val="1"/>
      <w:marLeft w:val="0"/>
      <w:marRight w:val="0"/>
      <w:marTop w:val="0"/>
      <w:marBottom w:val="0"/>
      <w:divBdr>
        <w:top w:val="none" w:sz="0" w:space="0" w:color="auto"/>
        <w:left w:val="none" w:sz="0" w:space="0" w:color="auto"/>
        <w:bottom w:val="none" w:sz="0" w:space="0" w:color="auto"/>
        <w:right w:val="none" w:sz="0" w:space="0" w:color="auto"/>
      </w:divBdr>
      <w:divsChild>
        <w:div w:id="559093533">
          <w:marLeft w:val="547"/>
          <w:marRight w:val="0"/>
          <w:marTop w:val="106"/>
          <w:marBottom w:val="0"/>
          <w:divBdr>
            <w:top w:val="none" w:sz="0" w:space="0" w:color="auto"/>
            <w:left w:val="none" w:sz="0" w:space="0" w:color="auto"/>
            <w:bottom w:val="none" w:sz="0" w:space="0" w:color="auto"/>
            <w:right w:val="none" w:sz="0" w:space="0" w:color="auto"/>
          </w:divBdr>
        </w:div>
        <w:div w:id="1326737168">
          <w:marLeft w:val="547"/>
          <w:marRight w:val="0"/>
          <w:marTop w:val="106"/>
          <w:marBottom w:val="0"/>
          <w:divBdr>
            <w:top w:val="none" w:sz="0" w:space="0" w:color="auto"/>
            <w:left w:val="none" w:sz="0" w:space="0" w:color="auto"/>
            <w:bottom w:val="none" w:sz="0" w:space="0" w:color="auto"/>
            <w:right w:val="none" w:sz="0" w:space="0" w:color="auto"/>
          </w:divBdr>
        </w:div>
        <w:div w:id="1839802627">
          <w:marLeft w:val="547"/>
          <w:marRight w:val="0"/>
          <w:marTop w:val="106"/>
          <w:marBottom w:val="0"/>
          <w:divBdr>
            <w:top w:val="none" w:sz="0" w:space="0" w:color="auto"/>
            <w:left w:val="none" w:sz="0" w:space="0" w:color="auto"/>
            <w:bottom w:val="none" w:sz="0" w:space="0" w:color="auto"/>
            <w:right w:val="none" w:sz="0" w:space="0" w:color="auto"/>
          </w:divBdr>
        </w:div>
      </w:divsChild>
    </w:div>
    <w:div w:id="1728991325">
      <w:bodyDiv w:val="1"/>
      <w:marLeft w:val="0"/>
      <w:marRight w:val="0"/>
      <w:marTop w:val="0"/>
      <w:marBottom w:val="0"/>
      <w:divBdr>
        <w:top w:val="none" w:sz="0" w:space="0" w:color="auto"/>
        <w:left w:val="none" w:sz="0" w:space="0" w:color="auto"/>
        <w:bottom w:val="none" w:sz="0" w:space="0" w:color="auto"/>
        <w:right w:val="none" w:sz="0" w:space="0" w:color="auto"/>
      </w:divBdr>
      <w:divsChild>
        <w:div w:id="202834277">
          <w:marLeft w:val="547"/>
          <w:marRight w:val="0"/>
          <w:marTop w:val="106"/>
          <w:marBottom w:val="0"/>
          <w:divBdr>
            <w:top w:val="none" w:sz="0" w:space="0" w:color="auto"/>
            <w:left w:val="none" w:sz="0" w:space="0" w:color="auto"/>
            <w:bottom w:val="none" w:sz="0" w:space="0" w:color="auto"/>
            <w:right w:val="none" w:sz="0" w:space="0" w:color="auto"/>
          </w:divBdr>
        </w:div>
        <w:div w:id="1237474950">
          <w:marLeft w:val="547"/>
          <w:marRight w:val="0"/>
          <w:marTop w:val="106"/>
          <w:marBottom w:val="0"/>
          <w:divBdr>
            <w:top w:val="none" w:sz="0" w:space="0" w:color="auto"/>
            <w:left w:val="none" w:sz="0" w:space="0" w:color="auto"/>
            <w:bottom w:val="none" w:sz="0" w:space="0" w:color="auto"/>
            <w:right w:val="none" w:sz="0" w:space="0" w:color="auto"/>
          </w:divBdr>
        </w:div>
        <w:div w:id="1482304554">
          <w:marLeft w:val="547"/>
          <w:marRight w:val="0"/>
          <w:marTop w:val="106"/>
          <w:marBottom w:val="0"/>
          <w:divBdr>
            <w:top w:val="none" w:sz="0" w:space="0" w:color="auto"/>
            <w:left w:val="none" w:sz="0" w:space="0" w:color="auto"/>
            <w:bottom w:val="none" w:sz="0" w:space="0" w:color="auto"/>
            <w:right w:val="none" w:sz="0" w:space="0" w:color="auto"/>
          </w:divBdr>
        </w:div>
        <w:div w:id="1486362340">
          <w:marLeft w:val="547"/>
          <w:marRight w:val="0"/>
          <w:marTop w:val="106"/>
          <w:marBottom w:val="0"/>
          <w:divBdr>
            <w:top w:val="none" w:sz="0" w:space="0" w:color="auto"/>
            <w:left w:val="none" w:sz="0" w:space="0" w:color="auto"/>
            <w:bottom w:val="none" w:sz="0" w:space="0" w:color="auto"/>
            <w:right w:val="none" w:sz="0" w:space="0" w:color="auto"/>
          </w:divBdr>
        </w:div>
      </w:divsChild>
    </w:div>
    <w:div w:id="1730575521">
      <w:bodyDiv w:val="1"/>
      <w:marLeft w:val="0"/>
      <w:marRight w:val="0"/>
      <w:marTop w:val="0"/>
      <w:marBottom w:val="0"/>
      <w:divBdr>
        <w:top w:val="none" w:sz="0" w:space="0" w:color="auto"/>
        <w:left w:val="none" w:sz="0" w:space="0" w:color="auto"/>
        <w:bottom w:val="none" w:sz="0" w:space="0" w:color="auto"/>
        <w:right w:val="none" w:sz="0" w:space="0" w:color="auto"/>
      </w:divBdr>
    </w:div>
    <w:div w:id="1739399391">
      <w:bodyDiv w:val="1"/>
      <w:marLeft w:val="0"/>
      <w:marRight w:val="0"/>
      <w:marTop w:val="0"/>
      <w:marBottom w:val="0"/>
      <w:divBdr>
        <w:top w:val="none" w:sz="0" w:space="0" w:color="auto"/>
        <w:left w:val="none" w:sz="0" w:space="0" w:color="auto"/>
        <w:bottom w:val="none" w:sz="0" w:space="0" w:color="auto"/>
        <w:right w:val="none" w:sz="0" w:space="0" w:color="auto"/>
      </w:divBdr>
    </w:div>
    <w:div w:id="1774786044">
      <w:bodyDiv w:val="1"/>
      <w:marLeft w:val="0"/>
      <w:marRight w:val="0"/>
      <w:marTop w:val="0"/>
      <w:marBottom w:val="0"/>
      <w:divBdr>
        <w:top w:val="none" w:sz="0" w:space="0" w:color="auto"/>
        <w:left w:val="none" w:sz="0" w:space="0" w:color="auto"/>
        <w:bottom w:val="none" w:sz="0" w:space="0" w:color="auto"/>
        <w:right w:val="none" w:sz="0" w:space="0" w:color="auto"/>
      </w:divBdr>
    </w:div>
    <w:div w:id="1801919690">
      <w:bodyDiv w:val="1"/>
      <w:marLeft w:val="0"/>
      <w:marRight w:val="0"/>
      <w:marTop w:val="0"/>
      <w:marBottom w:val="0"/>
      <w:divBdr>
        <w:top w:val="none" w:sz="0" w:space="0" w:color="auto"/>
        <w:left w:val="none" w:sz="0" w:space="0" w:color="auto"/>
        <w:bottom w:val="none" w:sz="0" w:space="0" w:color="auto"/>
        <w:right w:val="none" w:sz="0" w:space="0" w:color="auto"/>
      </w:divBdr>
    </w:div>
    <w:div w:id="1813713233">
      <w:bodyDiv w:val="1"/>
      <w:marLeft w:val="0"/>
      <w:marRight w:val="0"/>
      <w:marTop w:val="0"/>
      <w:marBottom w:val="0"/>
      <w:divBdr>
        <w:top w:val="none" w:sz="0" w:space="0" w:color="auto"/>
        <w:left w:val="none" w:sz="0" w:space="0" w:color="auto"/>
        <w:bottom w:val="none" w:sz="0" w:space="0" w:color="auto"/>
        <w:right w:val="none" w:sz="0" w:space="0" w:color="auto"/>
      </w:divBdr>
      <w:divsChild>
        <w:div w:id="113914022">
          <w:marLeft w:val="547"/>
          <w:marRight w:val="0"/>
          <w:marTop w:val="115"/>
          <w:marBottom w:val="0"/>
          <w:divBdr>
            <w:top w:val="none" w:sz="0" w:space="0" w:color="auto"/>
            <w:left w:val="none" w:sz="0" w:space="0" w:color="auto"/>
            <w:bottom w:val="none" w:sz="0" w:space="0" w:color="auto"/>
            <w:right w:val="none" w:sz="0" w:space="0" w:color="auto"/>
          </w:divBdr>
        </w:div>
        <w:div w:id="177894506">
          <w:marLeft w:val="547"/>
          <w:marRight w:val="0"/>
          <w:marTop w:val="115"/>
          <w:marBottom w:val="0"/>
          <w:divBdr>
            <w:top w:val="none" w:sz="0" w:space="0" w:color="auto"/>
            <w:left w:val="none" w:sz="0" w:space="0" w:color="auto"/>
            <w:bottom w:val="none" w:sz="0" w:space="0" w:color="auto"/>
            <w:right w:val="none" w:sz="0" w:space="0" w:color="auto"/>
          </w:divBdr>
        </w:div>
        <w:div w:id="327174833">
          <w:marLeft w:val="547"/>
          <w:marRight w:val="0"/>
          <w:marTop w:val="115"/>
          <w:marBottom w:val="0"/>
          <w:divBdr>
            <w:top w:val="none" w:sz="0" w:space="0" w:color="auto"/>
            <w:left w:val="none" w:sz="0" w:space="0" w:color="auto"/>
            <w:bottom w:val="none" w:sz="0" w:space="0" w:color="auto"/>
            <w:right w:val="none" w:sz="0" w:space="0" w:color="auto"/>
          </w:divBdr>
        </w:div>
        <w:div w:id="1888029491">
          <w:marLeft w:val="547"/>
          <w:marRight w:val="0"/>
          <w:marTop w:val="115"/>
          <w:marBottom w:val="0"/>
          <w:divBdr>
            <w:top w:val="none" w:sz="0" w:space="0" w:color="auto"/>
            <w:left w:val="none" w:sz="0" w:space="0" w:color="auto"/>
            <w:bottom w:val="none" w:sz="0" w:space="0" w:color="auto"/>
            <w:right w:val="none" w:sz="0" w:space="0" w:color="auto"/>
          </w:divBdr>
        </w:div>
      </w:divsChild>
    </w:div>
    <w:div w:id="1854369524">
      <w:bodyDiv w:val="1"/>
      <w:marLeft w:val="0"/>
      <w:marRight w:val="0"/>
      <w:marTop w:val="0"/>
      <w:marBottom w:val="0"/>
      <w:divBdr>
        <w:top w:val="none" w:sz="0" w:space="0" w:color="auto"/>
        <w:left w:val="none" w:sz="0" w:space="0" w:color="auto"/>
        <w:bottom w:val="none" w:sz="0" w:space="0" w:color="auto"/>
        <w:right w:val="none" w:sz="0" w:space="0" w:color="auto"/>
      </w:divBdr>
      <w:divsChild>
        <w:div w:id="383482024">
          <w:marLeft w:val="547"/>
          <w:marRight w:val="0"/>
          <w:marTop w:val="115"/>
          <w:marBottom w:val="0"/>
          <w:divBdr>
            <w:top w:val="none" w:sz="0" w:space="0" w:color="auto"/>
            <w:left w:val="none" w:sz="0" w:space="0" w:color="auto"/>
            <w:bottom w:val="none" w:sz="0" w:space="0" w:color="auto"/>
            <w:right w:val="none" w:sz="0" w:space="0" w:color="auto"/>
          </w:divBdr>
        </w:div>
        <w:div w:id="1406296078">
          <w:marLeft w:val="547"/>
          <w:marRight w:val="0"/>
          <w:marTop w:val="115"/>
          <w:marBottom w:val="0"/>
          <w:divBdr>
            <w:top w:val="none" w:sz="0" w:space="0" w:color="auto"/>
            <w:left w:val="none" w:sz="0" w:space="0" w:color="auto"/>
            <w:bottom w:val="none" w:sz="0" w:space="0" w:color="auto"/>
            <w:right w:val="none" w:sz="0" w:space="0" w:color="auto"/>
          </w:divBdr>
        </w:div>
        <w:div w:id="1709913112">
          <w:marLeft w:val="547"/>
          <w:marRight w:val="0"/>
          <w:marTop w:val="115"/>
          <w:marBottom w:val="0"/>
          <w:divBdr>
            <w:top w:val="none" w:sz="0" w:space="0" w:color="auto"/>
            <w:left w:val="none" w:sz="0" w:space="0" w:color="auto"/>
            <w:bottom w:val="none" w:sz="0" w:space="0" w:color="auto"/>
            <w:right w:val="none" w:sz="0" w:space="0" w:color="auto"/>
          </w:divBdr>
        </w:div>
      </w:divsChild>
    </w:div>
    <w:div w:id="1898583516">
      <w:bodyDiv w:val="1"/>
      <w:marLeft w:val="0"/>
      <w:marRight w:val="0"/>
      <w:marTop w:val="0"/>
      <w:marBottom w:val="0"/>
      <w:divBdr>
        <w:top w:val="none" w:sz="0" w:space="0" w:color="auto"/>
        <w:left w:val="none" w:sz="0" w:space="0" w:color="auto"/>
        <w:bottom w:val="none" w:sz="0" w:space="0" w:color="auto"/>
        <w:right w:val="none" w:sz="0" w:space="0" w:color="auto"/>
      </w:divBdr>
    </w:div>
    <w:div w:id="1928610624">
      <w:bodyDiv w:val="1"/>
      <w:marLeft w:val="0"/>
      <w:marRight w:val="0"/>
      <w:marTop w:val="0"/>
      <w:marBottom w:val="0"/>
      <w:divBdr>
        <w:top w:val="none" w:sz="0" w:space="0" w:color="auto"/>
        <w:left w:val="none" w:sz="0" w:space="0" w:color="auto"/>
        <w:bottom w:val="none" w:sz="0" w:space="0" w:color="auto"/>
        <w:right w:val="none" w:sz="0" w:space="0" w:color="auto"/>
      </w:divBdr>
      <w:divsChild>
        <w:div w:id="1369406299">
          <w:marLeft w:val="0"/>
          <w:marRight w:val="0"/>
          <w:marTop w:val="0"/>
          <w:marBottom w:val="0"/>
          <w:divBdr>
            <w:top w:val="none" w:sz="0" w:space="0" w:color="auto"/>
            <w:left w:val="none" w:sz="0" w:space="0" w:color="auto"/>
            <w:bottom w:val="none" w:sz="0" w:space="0" w:color="auto"/>
            <w:right w:val="none" w:sz="0" w:space="0" w:color="auto"/>
          </w:divBdr>
          <w:divsChild>
            <w:div w:id="1932422864">
              <w:marLeft w:val="0"/>
              <w:marRight w:val="0"/>
              <w:marTop w:val="0"/>
              <w:marBottom w:val="0"/>
              <w:divBdr>
                <w:top w:val="none" w:sz="0" w:space="0" w:color="auto"/>
                <w:left w:val="none" w:sz="0" w:space="0" w:color="auto"/>
                <w:bottom w:val="none" w:sz="0" w:space="0" w:color="auto"/>
                <w:right w:val="none" w:sz="0" w:space="0" w:color="auto"/>
              </w:divBdr>
              <w:divsChild>
                <w:div w:id="1175730700">
                  <w:marLeft w:val="0"/>
                  <w:marRight w:val="0"/>
                  <w:marTop w:val="0"/>
                  <w:marBottom w:val="0"/>
                  <w:divBdr>
                    <w:top w:val="none" w:sz="0" w:space="0" w:color="auto"/>
                    <w:left w:val="none" w:sz="0" w:space="0" w:color="auto"/>
                    <w:bottom w:val="none" w:sz="0" w:space="0" w:color="auto"/>
                    <w:right w:val="none" w:sz="0" w:space="0" w:color="auto"/>
                  </w:divBdr>
                </w:div>
              </w:divsChild>
            </w:div>
            <w:div w:id="153302029">
              <w:marLeft w:val="0"/>
              <w:marRight w:val="0"/>
              <w:marTop w:val="0"/>
              <w:marBottom w:val="0"/>
              <w:divBdr>
                <w:top w:val="none" w:sz="0" w:space="0" w:color="auto"/>
                <w:left w:val="none" w:sz="0" w:space="0" w:color="auto"/>
                <w:bottom w:val="none" w:sz="0" w:space="0" w:color="auto"/>
                <w:right w:val="none" w:sz="0" w:space="0" w:color="auto"/>
              </w:divBdr>
            </w:div>
            <w:div w:id="2280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06177">
      <w:bodyDiv w:val="1"/>
      <w:marLeft w:val="0"/>
      <w:marRight w:val="0"/>
      <w:marTop w:val="0"/>
      <w:marBottom w:val="0"/>
      <w:divBdr>
        <w:top w:val="none" w:sz="0" w:space="0" w:color="auto"/>
        <w:left w:val="none" w:sz="0" w:space="0" w:color="auto"/>
        <w:bottom w:val="none" w:sz="0" w:space="0" w:color="auto"/>
        <w:right w:val="none" w:sz="0" w:space="0" w:color="auto"/>
      </w:divBdr>
    </w:div>
    <w:div w:id="1980957063">
      <w:bodyDiv w:val="1"/>
      <w:marLeft w:val="0"/>
      <w:marRight w:val="0"/>
      <w:marTop w:val="0"/>
      <w:marBottom w:val="0"/>
      <w:divBdr>
        <w:top w:val="none" w:sz="0" w:space="0" w:color="auto"/>
        <w:left w:val="none" w:sz="0" w:space="0" w:color="auto"/>
        <w:bottom w:val="none" w:sz="0" w:space="0" w:color="auto"/>
        <w:right w:val="none" w:sz="0" w:space="0" w:color="auto"/>
      </w:divBdr>
      <w:divsChild>
        <w:div w:id="1388336437">
          <w:marLeft w:val="547"/>
          <w:marRight w:val="0"/>
          <w:marTop w:val="115"/>
          <w:marBottom w:val="0"/>
          <w:divBdr>
            <w:top w:val="none" w:sz="0" w:space="0" w:color="auto"/>
            <w:left w:val="none" w:sz="0" w:space="0" w:color="auto"/>
            <w:bottom w:val="none" w:sz="0" w:space="0" w:color="auto"/>
            <w:right w:val="none" w:sz="0" w:space="0" w:color="auto"/>
          </w:divBdr>
        </w:div>
        <w:div w:id="2012757756">
          <w:marLeft w:val="547"/>
          <w:marRight w:val="0"/>
          <w:marTop w:val="115"/>
          <w:marBottom w:val="0"/>
          <w:divBdr>
            <w:top w:val="none" w:sz="0" w:space="0" w:color="auto"/>
            <w:left w:val="none" w:sz="0" w:space="0" w:color="auto"/>
            <w:bottom w:val="none" w:sz="0" w:space="0" w:color="auto"/>
            <w:right w:val="none" w:sz="0" w:space="0" w:color="auto"/>
          </w:divBdr>
        </w:div>
      </w:divsChild>
    </w:div>
    <w:div w:id="1994212487">
      <w:bodyDiv w:val="1"/>
      <w:marLeft w:val="0"/>
      <w:marRight w:val="0"/>
      <w:marTop w:val="0"/>
      <w:marBottom w:val="0"/>
      <w:divBdr>
        <w:top w:val="none" w:sz="0" w:space="0" w:color="auto"/>
        <w:left w:val="none" w:sz="0" w:space="0" w:color="auto"/>
        <w:bottom w:val="none" w:sz="0" w:space="0" w:color="auto"/>
        <w:right w:val="none" w:sz="0" w:space="0" w:color="auto"/>
      </w:divBdr>
      <w:divsChild>
        <w:div w:id="274097945">
          <w:marLeft w:val="547"/>
          <w:marRight w:val="0"/>
          <w:marTop w:val="96"/>
          <w:marBottom w:val="0"/>
          <w:divBdr>
            <w:top w:val="none" w:sz="0" w:space="0" w:color="auto"/>
            <w:left w:val="none" w:sz="0" w:space="0" w:color="auto"/>
            <w:bottom w:val="none" w:sz="0" w:space="0" w:color="auto"/>
            <w:right w:val="none" w:sz="0" w:space="0" w:color="auto"/>
          </w:divBdr>
        </w:div>
        <w:div w:id="1052924997">
          <w:marLeft w:val="547"/>
          <w:marRight w:val="0"/>
          <w:marTop w:val="96"/>
          <w:marBottom w:val="0"/>
          <w:divBdr>
            <w:top w:val="none" w:sz="0" w:space="0" w:color="auto"/>
            <w:left w:val="none" w:sz="0" w:space="0" w:color="auto"/>
            <w:bottom w:val="none" w:sz="0" w:space="0" w:color="auto"/>
            <w:right w:val="none" w:sz="0" w:space="0" w:color="auto"/>
          </w:divBdr>
        </w:div>
        <w:div w:id="1218856753">
          <w:marLeft w:val="547"/>
          <w:marRight w:val="0"/>
          <w:marTop w:val="96"/>
          <w:marBottom w:val="0"/>
          <w:divBdr>
            <w:top w:val="none" w:sz="0" w:space="0" w:color="auto"/>
            <w:left w:val="none" w:sz="0" w:space="0" w:color="auto"/>
            <w:bottom w:val="none" w:sz="0" w:space="0" w:color="auto"/>
            <w:right w:val="none" w:sz="0" w:space="0" w:color="auto"/>
          </w:divBdr>
        </w:div>
        <w:div w:id="1710757699">
          <w:marLeft w:val="547"/>
          <w:marRight w:val="0"/>
          <w:marTop w:val="96"/>
          <w:marBottom w:val="0"/>
          <w:divBdr>
            <w:top w:val="none" w:sz="0" w:space="0" w:color="auto"/>
            <w:left w:val="none" w:sz="0" w:space="0" w:color="auto"/>
            <w:bottom w:val="none" w:sz="0" w:space="0" w:color="auto"/>
            <w:right w:val="none" w:sz="0" w:space="0" w:color="auto"/>
          </w:divBdr>
        </w:div>
      </w:divsChild>
    </w:div>
    <w:div w:id="2122873602">
      <w:bodyDiv w:val="1"/>
      <w:marLeft w:val="0"/>
      <w:marRight w:val="0"/>
      <w:marTop w:val="0"/>
      <w:marBottom w:val="0"/>
      <w:divBdr>
        <w:top w:val="none" w:sz="0" w:space="0" w:color="auto"/>
        <w:left w:val="none" w:sz="0" w:space="0" w:color="auto"/>
        <w:bottom w:val="none" w:sz="0" w:space="0" w:color="auto"/>
        <w:right w:val="none" w:sz="0" w:space="0" w:color="auto"/>
      </w:divBdr>
    </w:div>
    <w:div w:id="2139913564">
      <w:bodyDiv w:val="1"/>
      <w:marLeft w:val="0"/>
      <w:marRight w:val="0"/>
      <w:marTop w:val="0"/>
      <w:marBottom w:val="0"/>
      <w:divBdr>
        <w:top w:val="none" w:sz="0" w:space="0" w:color="auto"/>
        <w:left w:val="none" w:sz="0" w:space="0" w:color="auto"/>
        <w:bottom w:val="none" w:sz="0" w:space="0" w:color="auto"/>
        <w:right w:val="none" w:sz="0" w:space="0" w:color="auto"/>
      </w:divBdr>
      <w:divsChild>
        <w:div w:id="139002335">
          <w:marLeft w:val="547"/>
          <w:marRight w:val="0"/>
          <w:marTop w:val="115"/>
          <w:marBottom w:val="0"/>
          <w:divBdr>
            <w:top w:val="none" w:sz="0" w:space="0" w:color="auto"/>
            <w:left w:val="none" w:sz="0" w:space="0" w:color="auto"/>
            <w:bottom w:val="none" w:sz="0" w:space="0" w:color="auto"/>
            <w:right w:val="none" w:sz="0" w:space="0" w:color="auto"/>
          </w:divBdr>
        </w:div>
        <w:div w:id="530611131">
          <w:marLeft w:val="547"/>
          <w:marRight w:val="0"/>
          <w:marTop w:val="115"/>
          <w:marBottom w:val="0"/>
          <w:divBdr>
            <w:top w:val="none" w:sz="0" w:space="0" w:color="auto"/>
            <w:left w:val="none" w:sz="0" w:space="0" w:color="auto"/>
            <w:bottom w:val="none" w:sz="0" w:space="0" w:color="auto"/>
            <w:right w:val="none" w:sz="0" w:space="0" w:color="auto"/>
          </w:divBdr>
        </w:div>
        <w:div w:id="559098873">
          <w:marLeft w:val="547"/>
          <w:marRight w:val="0"/>
          <w:marTop w:val="115"/>
          <w:marBottom w:val="0"/>
          <w:divBdr>
            <w:top w:val="none" w:sz="0" w:space="0" w:color="auto"/>
            <w:left w:val="none" w:sz="0" w:space="0" w:color="auto"/>
            <w:bottom w:val="none" w:sz="0" w:space="0" w:color="auto"/>
            <w:right w:val="none" w:sz="0" w:space="0" w:color="auto"/>
          </w:divBdr>
        </w:div>
        <w:div w:id="834295794">
          <w:marLeft w:val="547"/>
          <w:marRight w:val="0"/>
          <w:marTop w:val="115"/>
          <w:marBottom w:val="0"/>
          <w:divBdr>
            <w:top w:val="none" w:sz="0" w:space="0" w:color="auto"/>
            <w:left w:val="none" w:sz="0" w:space="0" w:color="auto"/>
            <w:bottom w:val="none" w:sz="0" w:space="0" w:color="auto"/>
            <w:right w:val="none" w:sz="0" w:space="0" w:color="auto"/>
          </w:divBdr>
        </w:div>
        <w:div w:id="1667394274">
          <w:marLeft w:val="547"/>
          <w:marRight w:val="0"/>
          <w:marTop w:val="115"/>
          <w:marBottom w:val="0"/>
          <w:divBdr>
            <w:top w:val="none" w:sz="0" w:space="0" w:color="auto"/>
            <w:left w:val="none" w:sz="0" w:space="0" w:color="auto"/>
            <w:bottom w:val="none" w:sz="0" w:space="0" w:color="auto"/>
            <w:right w:val="none" w:sz="0" w:space="0" w:color="auto"/>
          </w:divBdr>
        </w:div>
      </w:divsChild>
    </w:div>
    <w:div w:id="2140831149">
      <w:bodyDiv w:val="1"/>
      <w:marLeft w:val="0"/>
      <w:marRight w:val="0"/>
      <w:marTop w:val="0"/>
      <w:marBottom w:val="0"/>
      <w:divBdr>
        <w:top w:val="none" w:sz="0" w:space="0" w:color="auto"/>
        <w:left w:val="none" w:sz="0" w:space="0" w:color="auto"/>
        <w:bottom w:val="none" w:sz="0" w:space="0" w:color="auto"/>
        <w:right w:val="none" w:sz="0" w:space="0" w:color="auto"/>
      </w:divBdr>
      <w:divsChild>
        <w:div w:id="515776070">
          <w:marLeft w:val="446"/>
          <w:marRight w:val="0"/>
          <w:marTop w:val="77"/>
          <w:marBottom w:val="0"/>
          <w:divBdr>
            <w:top w:val="none" w:sz="0" w:space="0" w:color="auto"/>
            <w:left w:val="none" w:sz="0" w:space="0" w:color="auto"/>
            <w:bottom w:val="none" w:sz="0" w:space="0" w:color="auto"/>
            <w:right w:val="none" w:sz="0" w:space="0" w:color="auto"/>
          </w:divBdr>
        </w:div>
        <w:div w:id="1725370188">
          <w:marLeft w:val="446"/>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20.png"/><Relationship Id="rId42" Type="http://schemas.openxmlformats.org/officeDocument/2006/relationships/header" Target="header5.xml"/><Relationship Id="rId47" Type="http://schemas.openxmlformats.org/officeDocument/2006/relationships/fontTable" Target="fontTable.xml"/><Relationship Id="rId50"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emf"/><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5.png"/><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emf"/><Relationship Id="rId40" Type="http://schemas.openxmlformats.org/officeDocument/2006/relationships/image" Target="media/image26.png"/><Relationship Id="rId45"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emf"/><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footer" Target="footer4.xml"/><Relationship Id="rId48"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eea.europa.eu/themes/biodiversity/state-of-nature-in-the-eu/state-of-nature-2020" TargetMode="External"/><Relationship Id="rId2" Type="http://schemas.openxmlformats.org/officeDocument/2006/relationships/hyperlink" Target="https://ec.europa.eu/environment/nature/knowledge/rep_habitats/index_en.htm" TargetMode="External"/><Relationship Id="rId1" Type="http://schemas.openxmlformats.org/officeDocument/2006/relationships/hyperlink" Target="https://www.eea.europa.eu/themes/biodiversity/state-of-nature-in-the-eu/state-of-nature-2020" TargetMode="External"/><Relationship Id="rId6" Type="http://schemas.openxmlformats.org/officeDocument/2006/relationships/hyperlink" Target="https://eur-lex.europa.eu/legal-content/PT/TXT/HTML/?uri=CELEX:52020DC0381" TargetMode="External"/><Relationship Id="rId5" Type="http://schemas.openxmlformats.org/officeDocument/2006/relationships/hyperlink" Target="https://eur-lex.europa.eu/legal-content/PT/TXT/?uri=CELEX%3A52020DC0380" TargetMode="External"/><Relationship Id="rId4" Type="http://schemas.openxmlformats.org/officeDocument/2006/relationships/hyperlink" Target="https://ec.europa.eu/easme/en/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9E3729A-0C65-47CA-901F-2ACD459C5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24</Pages>
  <Words>7095</Words>
  <Characters>37037</Characters>
  <Application>Microsoft Office Word</Application>
  <DocSecurity>0</DocSecurity>
  <Lines>685</Lines>
  <Paragraphs>180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48</cp:revision>
  <dcterms:created xsi:type="dcterms:W3CDTF">2020-09-01T10:18:00Z</dcterms:created>
  <dcterms:modified xsi:type="dcterms:W3CDTF">2020-10-12T14:26:00Z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CP-007</vt:lpwstr>
  </property>
  <property fmtid="{D5CDD505-2E9C-101B-9397-08002B2CF9AE}" pid="7" name="Last edited using">
    <vt:lpwstr>LW 7.0, Build 20190717</vt:lpwstr>
  </property>
  <property fmtid="{D5CDD505-2E9C-101B-9397-08002B2CF9AE}" pid="8" name="Created using">
    <vt:lpwstr>LW 7.0.1, Build 20190916</vt:lpwstr>
  </property>
</Properties>
</file>