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1946A7A-4DF3-4309-B209-71A9A967E6F5" style="width:450.6pt;height:393.15pt">
            <v:imagedata r:id="rId9" o:title=""/>
          </v:shape>
        </w:pict>
      </w:r>
    </w:p>
    <w:bookmarkEnd w:id="0"/>
    <w:p>
      <w:pPr>
        <w:ind w:right="-24"/>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ind w:right="-24"/>
        <w:jc w:val="center"/>
        <w:rPr>
          <w:rFonts w:cstheme="minorHAnsi"/>
          <w:noProof/>
        </w:rPr>
      </w:pPr>
      <w:bookmarkStart w:id="1" w:name="_GoBack"/>
      <w:bookmarkEnd w:id="1"/>
      <w:r>
        <w:rPr>
          <w:rFonts w:ascii="Times New Roman" w:hAnsi="Times New Roman"/>
          <w:b/>
          <w:noProof/>
        </w:rPr>
        <w:lastRenderedPageBreak/>
        <w:t>Anexa 1: Orientări pentru planificarea și punerea în aplicare a cadrelor strategice naționale privind romii</w:t>
      </w: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Combaterea atitudinilor negative față de romi</w:t>
            </w:r>
          </w:p>
          <w:p>
            <w:pPr>
              <w:spacing w:before="60" w:after="60"/>
              <w:ind w:right="-24"/>
              <w:jc w:val="both"/>
              <w:rPr>
                <w:rFonts w:ascii="Times New Roman" w:hAnsi="Times New Roman" w:cs="Times New Roman"/>
                <w:noProof/>
              </w:rPr>
            </w:pPr>
            <w:r>
              <w:rPr>
                <w:rFonts w:ascii="Times New Roman" w:hAnsi="Times New Roman"/>
                <w:noProof/>
              </w:rPr>
              <w:t>Datorită activității Alianței împotriva atitudinilor negative față de romi, a Parlamentului European și a Consiliului Europei</w:t>
            </w:r>
            <w:r>
              <w:rPr>
                <w:rStyle w:val="FootnoteReference"/>
                <w:rFonts w:ascii="Times New Roman" w:hAnsi="Times New Roman" w:cs="Times New Roman"/>
                <w:noProof/>
              </w:rPr>
              <w:footnoteReference w:id="1"/>
            </w:r>
            <w:r>
              <w:rPr>
                <w:rFonts w:ascii="Times New Roman" w:hAnsi="Times New Roman"/>
                <w:noProof/>
              </w:rPr>
              <w:t>, s-a ajuns la un consens cu privire la faptul că atitudinile negative față de romi (o formă specifică de rasism împotriva romilor) contribuie la excluziunea persistentă a acestora. Având în vedere că atitudinile negative față de romi și excluziunea formează un cerc vicios, acestea ar trebui abordate împreună. Combaterea discriminării și a atitudinilor negative față de romi va contribui la succesul măsurilor de incluziune, care, la rândul lor, vor favoriza o mai mare deschidere și acceptare în societate. Combaterea atitudinilor negative față de romi și promovarea diversității și a incluziunii necesită participarea întregii societăți, a comunităților rome și a celor de alte etnii în egală măsură. Aceasta presupune consolidarea capacității de acțiune a romilor și combaterea atitudinilor și a comportamentelor generale (inclusiv a celor instituționale). Organismele de promovare a egalității ar putea fi parteneri privilegiați ai punctelor de contact naționale pentru romi în ceea ce privește stabilirea unor standarde de punere în aplicare și încurajarea acordării unei atenții sporite combaterii discriminării în cadrul strategiilor.</w:t>
            </w:r>
          </w:p>
          <w:p>
            <w:pPr>
              <w:spacing w:before="60" w:after="60"/>
              <w:ind w:right="-24"/>
              <w:jc w:val="both"/>
              <w:rPr>
                <w:rFonts w:ascii="Times New Roman" w:hAnsi="Times New Roman"/>
                <w:b/>
                <w:noProof/>
              </w:rPr>
            </w:pPr>
            <w:r>
              <w:rPr>
                <w:rFonts w:ascii="Times New Roman" w:hAnsi="Times New Roman"/>
                <w:b/>
                <w:noProof/>
              </w:rPr>
              <w:t>Cadrele strategice naționale privind romii ar trebui:</w:t>
            </w:r>
          </w:p>
          <w:p>
            <w:pPr>
              <w:pStyle w:val="ListParagraph"/>
              <w:numPr>
                <w:ilvl w:val="0"/>
                <w:numId w:val="1"/>
              </w:numPr>
              <w:spacing w:after="0" w:line="240" w:lineRule="auto"/>
              <w:ind w:right="-24"/>
              <w:contextualSpacing w:val="0"/>
              <w:rPr>
                <w:rFonts w:ascii="Times New Roman" w:hAnsi="Times New Roman"/>
                <w:noProof/>
                <w:sz w:val="22"/>
                <w:szCs w:val="22"/>
              </w:rPr>
            </w:pPr>
            <w:r>
              <w:rPr>
                <w:rFonts w:ascii="Times New Roman" w:hAnsi="Times New Roman"/>
                <w:b/>
                <w:noProof/>
                <w:sz w:val="22"/>
                <w:szCs w:val="22"/>
              </w:rPr>
              <w:t>să acorde o atenție specială combaterii atitudinilor negative față de romi</w:t>
            </w:r>
            <w:r>
              <w:rPr>
                <w:rFonts w:ascii="Times New Roman" w:hAnsi="Times New Roman"/>
                <w:noProof/>
                <w:sz w:val="22"/>
                <w:szCs w:val="22"/>
              </w:rPr>
              <w:t>, astfel încât:</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1) </w:t>
            </w:r>
            <w:r>
              <w:rPr>
                <w:noProof/>
              </w:rPr>
              <w:tab/>
            </w:r>
            <w:r>
              <w:rPr>
                <w:rFonts w:ascii="Times New Roman" w:hAnsi="Times New Roman"/>
                <w:noProof/>
                <w:sz w:val="22"/>
                <w:szCs w:val="22"/>
              </w:rPr>
              <w:t xml:space="preserve">să se recunoască atitudinile negative față de romi și responsabilitatea care ne revine de a lupta împotriva acestora;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2) </w:t>
            </w:r>
            <w:r>
              <w:rPr>
                <w:noProof/>
              </w:rPr>
              <w:tab/>
            </w:r>
            <w:r>
              <w:rPr>
                <w:rFonts w:ascii="Times New Roman" w:hAnsi="Times New Roman"/>
                <w:noProof/>
                <w:sz w:val="22"/>
                <w:szCs w:val="22"/>
              </w:rPr>
              <w:t xml:space="preserve">să se recunoască dimensiunile istorice ale atitudinilor negative față de romi, în special ale Holocaustului romilor; să se ia măsuri de sensibilizare cu privire la istoria romilor și să se promoveze reconcilierea;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3) </w:t>
            </w:r>
            <w:r>
              <w:rPr>
                <w:noProof/>
              </w:rPr>
              <w:tab/>
            </w:r>
            <w:r>
              <w:rPr>
                <w:rFonts w:ascii="Times New Roman" w:hAnsi="Times New Roman"/>
                <w:noProof/>
                <w:sz w:val="22"/>
                <w:szCs w:val="22"/>
              </w:rPr>
              <w:t xml:space="preserve">să se ia măsuri de sensibilizare cu privire la avantajele reciproce ale diversității și ale incluziunii; să se elaboreze discursuri pozitive; să se promoveze modele de urmat; să se sprijine întâlnirile intercomunitare și învățarea interculturală pentru a combate stereotipurile și dezinformarea cu privire la romi în educație, mass-media, artă, cultură și istorie;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4) </w:t>
            </w:r>
            <w:r>
              <w:rPr>
                <w:noProof/>
              </w:rPr>
              <w:tab/>
            </w:r>
            <w:r>
              <w:rPr>
                <w:rFonts w:ascii="Times New Roman" w:hAnsi="Times New Roman"/>
                <w:noProof/>
                <w:sz w:val="22"/>
                <w:szCs w:val="22"/>
              </w:rPr>
              <w:t xml:space="preserve">să se combată discriminarea ca manifestare a atitudinilor negative față de romi;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5) </w:t>
            </w:r>
            <w:r>
              <w:rPr>
                <w:noProof/>
              </w:rPr>
              <w:tab/>
            </w:r>
            <w:r>
              <w:rPr>
                <w:rFonts w:ascii="Times New Roman" w:hAnsi="Times New Roman"/>
                <w:noProof/>
                <w:sz w:val="22"/>
                <w:szCs w:val="22"/>
              </w:rPr>
              <w:t>să se combată discursurile de incitare la ură și infracțiunile motivate de ură ca manifestări ale atitudinilor negative față de romi și</w:t>
            </w:r>
            <w:r>
              <w:rPr>
                <w:noProof/>
                <w:sz w:val="22"/>
                <w:szCs w:val="22"/>
              </w:rPr>
              <w:t xml:space="preserve"> </w:t>
            </w:r>
            <w:r>
              <w:rPr>
                <w:rFonts w:ascii="Times New Roman" w:hAnsi="Times New Roman"/>
                <w:noProof/>
                <w:sz w:val="22"/>
                <w:szCs w:val="22"/>
              </w:rPr>
              <w:t xml:space="preserve">să se încurajeze raportarea infracțiunilor, a hărțuirii și a violenței motivate de prejudecăți;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6) </w:t>
            </w:r>
            <w:r>
              <w:rPr>
                <w:noProof/>
              </w:rPr>
              <w:tab/>
            </w:r>
            <w:r>
              <w:rPr>
                <w:rFonts w:ascii="Times New Roman" w:hAnsi="Times New Roman"/>
                <w:noProof/>
                <w:sz w:val="22"/>
                <w:szCs w:val="22"/>
              </w:rPr>
              <w:t xml:space="preserve">să se promoveze accesul la justiție pentru victimele atitudinilor negative față de romi și ale discriminării; </w:t>
            </w:r>
          </w:p>
          <w:p>
            <w:pPr>
              <w:pStyle w:val="ListParagraph"/>
              <w:spacing w:after="0"/>
              <w:ind w:left="641" w:right="-23" w:hanging="284"/>
              <w:rPr>
                <w:rFonts w:ascii="Times New Roman" w:hAnsi="Times New Roman"/>
                <w:noProof/>
                <w:sz w:val="22"/>
                <w:szCs w:val="22"/>
              </w:rPr>
            </w:pPr>
            <w:r>
              <w:rPr>
                <w:rFonts w:ascii="Times New Roman" w:hAnsi="Times New Roman"/>
                <w:noProof/>
                <w:sz w:val="22"/>
                <w:szCs w:val="22"/>
              </w:rPr>
              <w:t xml:space="preserve">7) </w:t>
            </w:r>
            <w:r>
              <w:rPr>
                <w:noProof/>
              </w:rPr>
              <w:tab/>
            </w:r>
            <w:r>
              <w:rPr>
                <w:rFonts w:ascii="Times New Roman" w:hAnsi="Times New Roman"/>
                <w:noProof/>
                <w:sz w:val="22"/>
                <w:szCs w:val="22"/>
              </w:rPr>
              <w:t xml:space="preserve">să se ia măsuri de sensibilizare a romilor cu privire la drepturile lor și </w:t>
            </w:r>
          </w:p>
          <w:p>
            <w:pPr>
              <w:pStyle w:val="ListParagraph"/>
              <w:spacing w:before="60" w:after="60"/>
              <w:ind w:left="644" w:right="-23" w:hanging="284"/>
              <w:contextualSpacing w:val="0"/>
              <w:rPr>
                <w:rFonts w:ascii="Times New Roman" w:hAnsi="Times New Roman"/>
                <w:noProof/>
                <w:sz w:val="22"/>
                <w:szCs w:val="22"/>
              </w:rPr>
            </w:pPr>
            <w:r>
              <w:rPr>
                <w:rFonts w:ascii="Times New Roman" w:hAnsi="Times New Roman"/>
                <w:noProof/>
                <w:sz w:val="22"/>
                <w:szCs w:val="22"/>
              </w:rPr>
              <w:t xml:space="preserve">8) </w:t>
            </w:r>
            <w:r>
              <w:rPr>
                <w:noProof/>
              </w:rPr>
              <w:tab/>
            </w:r>
            <w:r>
              <w:rPr>
                <w:rFonts w:ascii="Times New Roman" w:hAnsi="Times New Roman"/>
                <w:noProof/>
                <w:sz w:val="22"/>
                <w:szCs w:val="22"/>
              </w:rPr>
              <w:t>să se elimine și să se prevină discriminarea sistemică/instituțională/structurală</w:t>
            </w:r>
            <w:r>
              <w:rPr>
                <w:rStyle w:val="FootnoteReference"/>
                <w:rFonts w:ascii="Times New Roman" w:hAnsi="Times New Roman"/>
                <w:noProof/>
                <w:sz w:val="22"/>
                <w:szCs w:val="22"/>
              </w:rPr>
              <w:footnoteReference w:id="2"/>
            </w:r>
            <w:r>
              <w:rPr>
                <w:rFonts w:ascii="Times New Roman" w:hAnsi="Times New Roman"/>
                <w:noProof/>
                <w:sz w:val="22"/>
                <w:szCs w:val="22"/>
              </w:rPr>
              <w:t xml:space="preserve"> cu care se confruntă romii;</w:t>
            </w:r>
          </w:p>
          <w:p>
            <w:pPr>
              <w:pStyle w:val="ListParagraph"/>
              <w:numPr>
                <w:ilvl w:val="0"/>
                <w:numId w:val="1"/>
              </w:numPr>
              <w:spacing w:before="60" w:after="0" w:line="240" w:lineRule="auto"/>
              <w:ind w:right="-24"/>
              <w:contextualSpacing w:val="0"/>
              <w:rPr>
                <w:rFonts w:ascii="Times New Roman" w:hAnsi="Times New Roman"/>
                <w:noProof/>
                <w:sz w:val="22"/>
                <w:szCs w:val="22"/>
              </w:rPr>
            </w:pPr>
            <w:r>
              <w:rPr>
                <w:rFonts w:ascii="Times New Roman" w:hAnsi="Times New Roman"/>
                <w:b/>
                <w:noProof/>
                <w:sz w:val="22"/>
                <w:szCs w:val="22"/>
              </w:rPr>
              <w:t>să prevină și să combată atitudinile negative față de romi ca prioritate transversală/orizontală</w:t>
            </w:r>
            <w:r>
              <w:rPr>
                <w:rFonts w:ascii="Times New Roman" w:hAnsi="Times New Roman"/>
                <w:noProof/>
                <w:sz w:val="22"/>
                <w:szCs w:val="22"/>
              </w:rPr>
              <w:t xml:space="preserve"> în toate domeniile de politică sectorială, astfel încât: </w:t>
            </w:r>
          </w:p>
          <w:p>
            <w:pPr>
              <w:pStyle w:val="ListParagraph"/>
              <w:spacing w:after="0"/>
              <w:ind w:left="641" w:right="-23" w:hanging="284"/>
              <w:contextualSpacing w:val="0"/>
              <w:rPr>
                <w:rFonts w:ascii="Times New Roman" w:hAnsi="Times New Roman"/>
                <w:noProof/>
                <w:sz w:val="22"/>
                <w:szCs w:val="22"/>
              </w:rPr>
            </w:pPr>
            <w:r>
              <w:rPr>
                <w:rFonts w:ascii="Times New Roman" w:hAnsi="Times New Roman"/>
                <w:noProof/>
                <w:sz w:val="22"/>
                <w:szCs w:val="22"/>
              </w:rPr>
              <w:t xml:space="preserve">1) </w:t>
            </w:r>
            <w:r>
              <w:rPr>
                <w:noProof/>
              </w:rPr>
              <w:tab/>
            </w:r>
            <w:r>
              <w:rPr>
                <w:rFonts w:ascii="Times New Roman" w:hAnsi="Times New Roman"/>
                <w:noProof/>
                <w:sz w:val="22"/>
                <w:szCs w:val="22"/>
              </w:rPr>
              <w:t xml:space="preserve">să se combată segregarea, intimidarea și hărțuirea în sistemul de învățământ; să se sensibilizeze corpul didactic; </w:t>
            </w:r>
          </w:p>
          <w:p>
            <w:pPr>
              <w:pStyle w:val="ListParagraph"/>
              <w:spacing w:after="0"/>
              <w:ind w:left="641" w:right="-23" w:hanging="284"/>
              <w:contextualSpacing w:val="0"/>
              <w:rPr>
                <w:rFonts w:ascii="Times New Roman" w:hAnsi="Times New Roman"/>
                <w:noProof/>
                <w:sz w:val="22"/>
                <w:szCs w:val="22"/>
              </w:rPr>
            </w:pPr>
            <w:r>
              <w:rPr>
                <w:rFonts w:ascii="Times New Roman" w:hAnsi="Times New Roman"/>
                <w:noProof/>
                <w:sz w:val="22"/>
                <w:szCs w:val="22"/>
              </w:rPr>
              <w:t xml:space="preserve">2) </w:t>
            </w:r>
            <w:r>
              <w:rPr>
                <w:noProof/>
              </w:rPr>
              <w:tab/>
            </w:r>
            <w:r>
              <w:rPr>
                <w:rFonts w:ascii="Times New Roman" w:hAnsi="Times New Roman"/>
                <w:noProof/>
                <w:sz w:val="22"/>
                <w:szCs w:val="22"/>
              </w:rPr>
              <w:t xml:space="preserve">să se combată discriminarea în ceea ce privește (accesul la) locurile de muncă și să se sensibilizeze angajatorii; </w:t>
            </w:r>
          </w:p>
          <w:p>
            <w:pPr>
              <w:pStyle w:val="ListParagraph"/>
              <w:spacing w:after="0"/>
              <w:ind w:left="641" w:right="-23" w:hanging="284"/>
              <w:contextualSpacing w:val="0"/>
              <w:rPr>
                <w:rFonts w:ascii="Times New Roman" w:hAnsi="Times New Roman"/>
                <w:noProof/>
                <w:sz w:val="22"/>
                <w:szCs w:val="22"/>
              </w:rPr>
            </w:pPr>
            <w:r>
              <w:rPr>
                <w:rFonts w:ascii="Times New Roman" w:hAnsi="Times New Roman"/>
                <w:noProof/>
                <w:sz w:val="22"/>
                <w:szCs w:val="22"/>
              </w:rPr>
              <w:t xml:space="preserve">3) </w:t>
            </w:r>
            <w:r>
              <w:rPr>
                <w:noProof/>
              </w:rPr>
              <w:tab/>
            </w:r>
            <w:r>
              <w:rPr>
                <w:rFonts w:ascii="Times New Roman" w:hAnsi="Times New Roman"/>
                <w:noProof/>
                <w:sz w:val="22"/>
                <w:szCs w:val="22"/>
              </w:rPr>
              <w:t xml:space="preserve">să se combată discriminarea în ceea ce privește accesul la asistență medicală; să se elimine serviciile paralele, segregate; să se prevină încălcarea drepturilor omului (de exemplu, avortul forțat și sterilizarea forțată); să se sensibilizeze cadrele medico-sanitare; </w:t>
            </w:r>
          </w:p>
          <w:p>
            <w:pPr>
              <w:pStyle w:val="ListParagraph"/>
              <w:spacing w:after="0"/>
              <w:ind w:left="641" w:right="-23" w:hanging="284"/>
              <w:contextualSpacing w:val="0"/>
              <w:rPr>
                <w:rFonts w:ascii="Times New Roman" w:hAnsi="Times New Roman"/>
                <w:noProof/>
                <w:sz w:val="22"/>
                <w:szCs w:val="22"/>
              </w:rPr>
            </w:pPr>
            <w:r>
              <w:rPr>
                <w:rFonts w:ascii="Times New Roman" w:hAnsi="Times New Roman"/>
                <w:noProof/>
                <w:sz w:val="22"/>
                <w:szCs w:val="22"/>
              </w:rPr>
              <w:t xml:space="preserve">4) </w:t>
            </w:r>
            <w:r>
              <w:rPr>
                <w:noProof/>
              </w:rPr>
              <w:tab/>
            </w:r>
            <w:r>
              <w:rPr>
                <w:rFonts w:ascii="Times New Roman" w:hAnsi="Times New Roman"/>
                <w:noProof/>
                <w:sz w:val="22"/>
                <w:szCs w:val="22"/>
              </w:rPr>
              <w:t>să se combată segregarea spațială; să se prevină evacuările forțate fără a se asigura o altă locuință; să se sensibilizeze autoritățile și</w:t>
            </w:r>
          </w:p>
          <w:p>
            <w:pPr>
              <w:pStyle w:val="ListParagraph"/>
              <w:spacing w:after="0"/>
              <w:ind w:left="641" w:right="-23" w:hanging="284"/>
              <w:contextualSpacing w:val="0"/>
              <w:rPr>
                <w:rFonts w:ascii="Times New Roman" w:hAnsi="Times New Roman"/>
                <w:noProof/>
                <w:sz w:val="21"/>
                <w:szCs w:val="21"/>
              </w:rPr>
            </w:pPr>
            <w:r>
              <w:rPr>
                <w:rFonts w:ascii="Times New Roman" w:hAnsi="Times New Roman"/>
                <w:noProof/>
                <w:sz w:val="22"/>
                <w:szCs w:val="22"/>
              </w:rPr>
              <w:t xml:space="preserve">5) </w:t>
            </w:r>
            <w:r>
              <w:rPr>
                <w:noProof/>
              </w:rPr>
              <w:tab/>
            </w:r>
            <w:r>
              <w:rPr>
                <w:rFonts w:ascii="Times New Roman" w:hAnsi="Times New Roman"/>
                <w:noProof/>
                <w:sz w:val="22"/>
                <w:szCs w:val="22"/>
              </w:rPr>
              <w:t>să se colecteze periodic date privind egalitatea (date privind experiențele de discriminare; date furnizate de organismele de promovare a egalității privind incidente de discriminare).</w:t>
            </w:r>
          </w:p>
        </w:tc>
      </w:tr>
    </w:tbl>
    <w:p>
      <w:pPr>
        <w:rPr>
          <w:noProof/>
        </w:rPr>
      </w:pP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3"/>
              <w:jc w:val="center"/>
              <w:rPr>
                <w:rFonts w:ascii="Times New Roman" w:eastAsia="MS Mincho" w:hAnsi="Times New Roman" w:cs="Times New Roman"/>
                <w:bCs/>
                <w:noProof/>
                <w:color w:val="0070C0"/>
              </w:rPr>
            </w:pPr>
            <w:r>
              <w:rPr>
                <w:rFonts w:ascii="Times New Roman Bold" w:hAnsi="Times New Roman Bold"/>
                <w:b/>
                <w:bCs/>
                <w:smallCaps/>
                <w:noProof/>
                <w:color w:val="0070C0"/>
              </w:rPr>
              <w:t>Combaterea sărăciei multigeneraționale</w:t>
            </w:r>
            <w:r>
              <w:rPr>
                <w:noProof/>
              </w:rPr>
              <w:t xml:space="preserve"> </w:t>
            </w:r>
            <w:r>
              <w:rPr>
                <w:noProof/>
              </w:rPr>
              <w:br/>
            </w:r>
            <w:r>
              <w:rPr>
                <w:rFonts w:ascii="Times New Roman" w:hAnsi="Times New Roman"/>
                <w:bCs/>
                <w:noProof/>
                <w:color w:val="0070C0"/>
              </w:rPr>
              <w:t>(acordându-se o atenție specială protecției copilului și unei mai bune utilizări a fondurilor UE)</w:t>
            </w:r>
          </w:p>
          <w:p>
            <w:pPr>
              <w:spacing w:before="60" w:after="60"/>
              <w:ind w:right="-24"/>
              <w:jc w:val="both"/>
              <w:rPr>
                <w:rFonts w:ascii="Times New Roman" w:eastAsia="MS Mincho" w:hAnsi="Times New Roman" w:cs="Times New Roman"/>
                <w:noProof/>
              </w:rPr>
            </w:pPr>
            <w:r>
              <w:rPr>
                <w:rFonts w:ascii="Times New Roman" w:hAnsi="Times New Roman"/>
                <w:noProof/>
              </w:rPr>
              <w:t xml:space="preserve">Combaterea sărăciei și a excluziunii multigeneraționale este esențială pentru a îmbunătăți situația romilor marginalizați. Excluziunea și discriminarea în ceea ce privește accesul la educație, la locuri de muncă, la asistență medicală și la locuințe afectează dezvoltarea copiilor și se pot transmite și generației viitoare, </w:t>
            </w:r>
            <w:r>
              <w:rPr>
                <w:rFonts w:ascii="Times New Roman" w:hAnsi="Times New Roman"/>
                <w:noProof/>
                <w:color w:val="000000"/>
              </w:rPr>
              <w:t>copiii acestora suferind la rândul lor din cauza excluziunii și a discriminării. Cercul vicios al excluziunii și al discriminării va continua, dacă nu va exista o intervenție semnificativă, care să abordeze în mod cuprinzător dinamica principalelor cauze și</w:t>
            </w:r>
            <w:r>
              <w:rPr>
                <w:rFonts w:ascii="Times New Roman" w:hAnsi="Times New Roman"/>
                <w:noProof/>
              </w:rPr>
              <w:t xml:space="preserve"> să ofere un viitor mai bun următoarei generații. În acest scop, este necesar </w:t>
            </w:r>
            <w:r>
              <w:rPr>
                <w:rFonts w:ascii="Times New Roman" w:hAnsi="Times New Roman"/>
                <w:b/>
                <w:noProof/>
              </w:rPr>
              <w:t>să se acorde o atenție specială copiilor</w:t>
            </w:r>
            <w:r>
              <w:rPr>
                <w:rFonts w:ascii="Times New Roman" w:hAnsi="Times New Roman"/>
                <w:noProof/>
              </w:rPr>
              <w:t xml:space="preserve"> și eforturile trebuie să fie susținute în timp.</w:t>
            </w:r>
          </w:p>
          <w:p>
            <w:pPr>
              <w:spacing w:before="60" w:after="60"/>
              <w:ind w:right="-24"/>
              <w:jc w:val="both"/>
              <w:rPr>
                <w:rFonts w:ascii="Times New Roman" w:eastAsia="MS Mincho" w:hAnsi="Times New Roman" w:cs="Times New Roman"/>
                <w:b/>
                <w:bCs/>
                <w:noProof/>
                <w:color w:val="212121"/>
              </w:rPr>
            </w:pPr>
            <w:r>
              <w:rPr>
                <w:rFonts w:ascii="Times New Roman" w:hAnsi="Times New Roman"/>
                <w:b/>
                <w:bCs/>
                <w:noProof/>
                <w:color w:val="212121"/>
              </w:rPr>
              <w:t>Cadrele strategice naționale privind romii ar trebui:</w:t>
            </w:r>
          </w:p>
          <w:p>
            <w:pPr>
              <w:numPr>
                <w:ilvl w:val="0"/>
                <w:numId w:val="5"/>
              </w:numPr>
              <w:spacing w:before="60" w:after="60"/>
              <w:ind w:left="360" w:right="-24"/>
              <w:jc w:val="both"/>
              <w:rPr>
                <w:rFonts w:ascii="Times New Roman" w:eastAsia="MS Mincho" w:hAnsi="Times New Roman" w:cs="Times New Roman"/>
                <w:noProof/>
                <w:color w:val="000000"/>
              </w:rPr>
            </w:pPr>
            <w:r>
              <w:rPr>
                <w:rFonts w:ascii="Times New Roman" w:hAnsi="Times New Roman"/>
                <w:noProof/>
              </w:rPr>
              <w:t xml:space="preserve">să mobilizeze expertiza relevantă la toate nivelurile de guvernanță pentru a se formula măsuri de protecție a copilului; </w:t>
            </w:r>
            <w:r>
              <w:rPr>
                <w:rFonts w:ascii="Times New Roman" w:hAnsi="Times New Roman"/>
                <w:noProof/>
                <w:color w:val="000000"/>
              </w:rPr>
              <w:t>să aloce resurse adecvate pentru educația și îngrijirea copiilor preșcolari, precum și pentru educație (de exemplu, burse de studii, mentorat, sprijin în afara orelor de școală), alimentație, dezvoltare personală și activități cu participarea familiilor;</w:t>
            </w:r>
          </w:p>
          <w:p>
            <w:pPr>
              <w:numPr>
                <w:ilvl w:val="0"/>
                <w:numId w:val="5"/>
              </w:numPr>
              <w:spacing w:before="60" w:after="60"/>
              <w:ind w:left="360" w:right="-24"/>
              <w:jc w:val="both"/>
              <w:rPr>
                <w:rFonts w:ascii="Times New Roman" w:eastAsia="MS Mincho" w:hAnsi="Times New Roman" w:cs="Times New Roman"/>
                <w:noProof/>
                <w:color w:val="000000"/>
              </w:rPr>
            </w:pPr>
            <w:r>
              <w:rPr>
                <w:rFonts w:ascii="Times New Roman" w:hAnsi="Times New Roman"/>
                <w:noProof/>
              </w:rPr>
              <w:t>să încurajeze participarea la educația și îngrijirea copiilor preșcolari;</w:t>
            </w:r>
          </w:p>
          <w:p>
            <w:pPr>
              <w:numPr>
                <w:ilvl w:val="0"/>
                <w:numId w:val="5"/>
              </w:numPr>
              <w:spacing w:before="60" w:after="60"/>
              <w:ind w:left="360" w:right="-24"/>
              <w:jc w:val="both"/>
              <w:rPr>
                <w:rFonts w:ascii="Times New Roman" w:eastAsia="MS Mincho" w:hAnsi="Times New Roman" w:cs="Times New Roman"/>
                <w:noProof/>
                <w:color w:val="000000"/>
                <w:u w:val="single"/>
              </w:rPr>
            </w:pPr>
            <w:r>
              <w:rPr>
                <w:rFonts w:ascii="Times New Roman" w:hAnsi="Times New Roman"/>
                <w:noProof/>
                <w:color w:val="000000"/>
              </w:rPr>
              <w:t>să protejeze femeile, copiii și tinerii prin strategii de combatere a unor infracțiuni cum ar fi traficul de persoane, care să includă toate formele de exploatare relevante (exploatare sexuală, exploatare prin muncă, cerșetorie forțată și exploatarea activităților infracționale în scopul încheierii de căsătorii fictive forțate și abuzive) și să le permită accesul la asistență, sprijin și protecție;</w:t>
            </w:r>
          </w:p>
          <w:p>
            <w:pPr>
              <w:numPr>
                <w:ilvl w:val="0"/>
                <w:numId w:val="5"/>
              </w:numPr>
              <w:spacing w:before="60" w:after="60"/>
              <w:ind w:left="360" w:right="-24"/>
              <w:jc w:val="both"/>
              <w:rPr>
                <w:rFonts w:ascii="Times New Roman" w:eastAsia="MS Mincho" w:hAnsi="Times New Roman" w:cs="Times New Roman"/>
                <w:noProof/>
                <w:color w:val="000000"/>
              </w:rPr>
            </w:pPr>
            <w:r>
              <w:rPr>
                <w:rFonts w:ascii="Times New Roman" w:hAnsi="Times New Roman"/>
                <w:noProof/>
                <w:color w:val="000000"/>
              </w:rPr>
              <w:t>să îmbunătățească accesul persoanelor cu handicap și al copiilor lipsiți de îngrijire părintească la serviciile axate pe integrarea în cadrul comunității și la serviciile de îngrijire de tip familial; să consolideze măsurile de prevenire a instituționalizării prin sprijinirea familiilor aflate în situații precare și a persoanelor cu handicap;</w:t>
            </w:r>
          </w:p>
          <w:p>
            <w:pPr>
              <w:numPr>
                <w:ilvl w:val="0"/>
                <w:numId w:val="5"/>
              </w:numPr>
              <w:spacing w:before="60" w:after="60"/>
              <w:ind w:left="360" w:right="-24"/>
              <w:jc w:val="both"/>
              <w:rPr>
                <w:rFonts w:ascii="Times New Roman" w:eastAsia="MS Mincho" w:hAnsi="Times New Roman" w:cs="Times New Roman"/>
                <w:noProof/>
              </w:rPr>
            </w:pPr>
            <w:r>
              <w:rPr>
                <w:rFonts w:ascii="Times New Roman" w:hAnsi="Times New Roman"/>
                <w:noProof/>
              </w:rPr>
              <w:t>să asigure durabilitatea pe termen lung a măsurilor de sprijin pentru copii și familiile acestora, astfel încât să se îmbunătățească situația generației următoare;</w:t>
            </w:r>
          </w:p>
          <w:p>
            <w:pPr>
              <w:numPr>
                <w:ilvl w:val="0"/>
                <w:numId w:val="5"/>
              </w:numPr>
              <w:spacing w:before="60" w:after="60"/>
              <w:ind w:left="360" w:right="-24"/>
              <w:jc w:val="both"/>
              <w:rPr>
                <w:rFonts w:ascii="Times New Roman" w:eastAsia="MS Mincho" w:hAnsi="Times New Roman" w:cs="Times New Roman"/>
                <w:noProof/>
              </w:rPr>
            </w:pPr>
            <w:r>
              <w:rPr>
                <w:rFonts w:ascii="Times New Roman" w:hAnsi="Times New Roman"/>
                <w:noProof/>
              </w:rPr>
              <w:t>să asigure planificarea sprijinului financiar și a investițiilor pe baza unei analize precise a cauzelor profunde ale marginalizării (excluziune și discriminare de natură socioeconomică); să colecteze date mai detaliate prin intermediul unor evaluări și analize sistematice ale tipurilor de intervenții la nivel național, regional și local care (nu) dau rezultate și motivele reușitei sau ale nereușitei acestora, pentru a înțelege mai bine obstacolele din calea incluziunii; să implice toate părțile interesate (autorități locale, societatea civilă, părțile interesate de etnie romă/de alte etnii cu posibile opinii divergente) în activitatea de analiză;</w:t>
            </w:r>
          </w:p>
          <w:p>
            <w:pPr>
              <w:numPr>
                <w:ilvl w:val="0"/>
                <w:numId w:val="5"/>
              </w:numPr>
              <w:spacing w:before="60" w:after="60"/>
              <w:ind w:left="360" w:right="-24"/>
              <w:jc w:val="both"/>
              <w:rPr>
                <w:rFonts w:ascii="Times New Roman" w:eastAsia="MS Mincho" w:hAnsi="Times New Roman" w:cs="Times New Roman"/>
                <w:noProof/>
              </w:rPr>
            </w:pPr>
            <w:r>
              <w:rPr>
                <w:rFonts w:ascii="Times New Roman" w:hAnsi="Times New Roman"/>
                <w:noProof/>
              </w:rPr>
              <w:t>să analizeze utilizarea fondurilor UE în cooperare cu autoritățile de management – dacă din rapoartele de monitorizare reiese că fondurile nu au fost utilizate în mod eficace pentru îndeplinirea obiectivelor de incluziune, să colaboreze cu autoritățile locale/de management și cu părțile interesate pentru a înțelege motivele și să abordeze eventualele obstacole identificate și</w:t>
            </w:r>
          </w:p>
          <w:p>
            <w:pPr>
              <w:numPr>
                <w:ilvl w:val="0"/>
                <w:numId w:val="5"/>
              </w:numPr>
              <w:spacing w:before="60" w:after="60"/>
              <w:ind w:left="360" w:right="-24"/>
              <w:jc w:val="both"/>
              <w:rPr>
                <w:rFonts w:ascii="Times New Roman" w:eastAsia="MS Mincho" w:hAnsi="Times New Roman" w:cs="Times New Roman"/>
                <w:noProof/>
              </w:rPr>
            </w:pPr>
            <w:r>
              <w:rPr>
                <w:rFonts w:ascii="Times New Roman" w:hAnsi="Times New Roman"/>
                <w:noProof/>
              </w:rPr>
              <w:t>să stabilească legături strânse între punctele de contact naționale pentru romi și autoritățile responsabile cu monitorizarea fondurilor UE; să se asigure că fondurile UE destinate romilor sunt utilizate pentru a le oferi acestora oportunități reale de participare și că au un impact real asupra vieții lor de zi cu zi și că nu sunt folosite în alte scopuri.</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Promovarea participării romilor</w:t>
            </w:r>
          </w:p>
          <w:p>
            <w:pPr>
              <w:spacing w:before="60" w:after="60"/>
              <w:ind w:right="-24"/>
              <w:jc w:val="both"/>
              <w:rPr>
                <w:rFonts w:ascii="Times New Roman" w:eastAsia="Times New Roman" w:hAnsi="Times New Roman" w:cs="Times New Roman"/>
                <w:noProof/>
              </w:rPr>
            </w:pPr>
            <w:r>
              <w:rPr>
                <w:rFonts w:ascii="Times New Roman" w:hAnsi="Times New Roman"/>
                <w:noProof/>
              </w:rPr>
              <w:t>Participarea romilor la agenda afacerilor publice reprezintă o condiție prealabilă a egalității și incluziunii și un factor care le favorizează, promovând totodată o guvernanță democratică și eficientă. Participarea romilor și consolidarea capacității lor de acțiune le vor permite să își facă auzită vocea și să adopte noi modalități de a-și susține dezideratele. Incluziunea este un vector al acțiunii și al participării cetățenilor. Participarea și consolidarea capacității de acțiune sunt principii și procese care permit îmbunătățirea condițiilor de trai și ale perspectivelor în viață ale cetățenilor. Sprijinirea unei participări constructive a romilor la elaborarea politicilor la nivel local, la nivel național și la nivelul UE este o condiție prealabilă pentru combaterea excluziunii. Organizațiile societății civile conduse de romi și cele pro-rome sunt actori deosebit de importanți. Atunci când coordonează elaborarea cadrelor naționale strategice</w:t>
            </w:r>
            <w:r>
              <w:rPr>
                <w:rFonts w:ascii="Times New Roman" w:hAnsi="Times New Roman"/>
                <w:bCs/>
                <w:noProof/>
                <w:color w:val="212121"/>
              </w:rPr>
              <w:t xml:space="preserve">, </w:t>
            </w:r>
            <w:r>
              <w:rPr>
                <w:rFonts w:ascii="Times New Roman" w:hAnsi="Times New Roman"/>
                <w:noProof/>
              </w:rPr>
              <w:t>punctele de contact naționale pentru romi sunt încurajate să promoveze modele participative, de exemplu prin facilitarea grupurilor de lucru tematice care să efectueze evaluări ale nevoilor și care să definească priorități, ținte, acțiuni în domenii-cheie, reunind actori naționali, regionali, locali și neguvernamentali și asigurând participarea romilor. Aceste modele și structuri ar putea fi utilizate ulterior pentru monitorizarea și evaluarea punerii în aplicare.</w:t>
            </w:r>
          </w:p>
          <w:p>
            <w:pPr>
              <w:keepNext/>
              <w:keepLines/>
              <w:spacing w:before="60" w:after="60"/>
              <w:ind w:right="-24"/>
              <w:rPr>
                <w:rFonts w:ascii="Times New Roman" w:hAnsi="Times New Roman"/>
                <w:b/>
                <w:noProof/>
              </w:rPr>
            </w:pPr>
            <w:r>
              <w:rPr>
                <w:rFonts w:ascii="Times New Roman" w:hAnsi="Times New Roman"/>
                <w:b/>
                <w:bCs/>
                <w:noProof/>
                <w:color w:val="212121"/>
              </w:rPr>
              <w:t>Cadrele</w:t>
            </w:r>
            <w:r>
              <w:rPr>
                <w:rFonts w:ascii="Times New Roman" w:hAnsi="Times New Roman"/>
                <w:b/>
                <w:noProof/>
              </w:rPr>
              <w:t xml:space="preserve"> strategice naționale privind romii ar trebui:</w:t>
            </w:r>
          </w:p>
          <w:p>
            <w:pPr>
              <w:pStyle w:val="ListParagraph"/>
              <w:keepNext/>
              <w:keepLines/>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stabilească elementele minime obligatorii și canalele de participare a romilor la elaborarea, punerea în aplicare și monitorizarea politicilor, precum și la programarea fondurilor UE, inclusiv prin protocoale scrise de participare în care să se definească mandatul (sfera și natura participării), componența (principiile de selecție a membrilor), metodele de lucru și rezultatele preconizate ale organismelor de consultare și de participare, în vederea asigurării unei cooperări eficace, a unui climat de încredere și a asumării responsabilității</w:t>
            </w:r>
            <w:r>
              <w:rPr>
                <w:rStyle w:val="FootnoteReference"/>
                <w:rFonts w:ascii="Times New Roman" w:hAnsi="Times New Roman"/>
                <w:noProof/>
                <w:sz w:val="22"/>
                <w:szCs w:val="22"/>
              </w:rPr>
              <w:footnoteReference w:id="3"/>
            </w:r>
            <w:r>
              <w:rPr>
                <w:rFonts w:ascii="Times New Roman" w:hAnsi="Times New Roman"/>
                <w:noProof/>
                <w:sz w:val="22"/>
                <w:szCs w:val="22"/>
              </w:rPr>
              <w:t>;</w:t>
            </w:r>
          </w:p>
          <w:p>
            <w:pPr>
              <w:pStyle w:val="ListParagraph"/>
              <w:keepNext/>
              <w:keepLines/>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creeze oportunități pentru consolidarea capacității de acțiune a comunităților rome la nivel local, cu scopul de a permite asumarea responsabilității de către comunitate și luarea de măsuri care să vizeze în mod explicit realizarea unei schimbări sociale și politice. Mobilizarea comunităților ar trebui privită ca un proces participativ și favorabil incluziunii deliberat, care să implice populația romă, precum și autoritățile și organizațiile locale;</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se asigure că romii sunt reprezentați în întreaga lor diversitate (inclusiv proprii resortisanți și resortisanții străini, persoanele marginalizate și cele integrate, femeile, copiii și tinerii) în procesele de decizie politică și de consultare;</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îmbunătățească acțiunile la nivel local prin implicarea unui număr mai mare de profesioniști romi care să acționeze ca mediatori și să contribuie la depășirea lipsei persistente de încredere dintre romi și comunitățile majoritare;</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promoveze, în cadrul societății civile, cooperarea între organizațiile a căror activitate îi vizează pe romi și organizațiile generale, în special organizațiile a căror activitate se axează pe drepturile copiilor, ale tinerilor și ale femeilor;</w:t>
            </w:r>
          </w:p>
          <w:p>
            <w:pPr>
              <w:pStyle w:val="ListParagraph"/>
              <w:numPr>
                <w:ilvl w:val="0"/>
                <w:numId w:val="1"/>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 xml:space="preserve">să utilizeze fonduri ale UE și alte tipuri de fonduri pentru a oferi cu regularitate sprijin pentru consolidarea capacităților (în ceea ce privește analiza situației în materie de egalitate, de participare etc.), în special pentru consolidarea capacităților cetățenilor și ale societății civile de la nivel local, și </w:t>
            </w:r>
          </w:p>
          <w:p>
            <w:pPr>
              <w:pStyle w:val="ListParagraph"/>
              <w:numPr>
                <w:ilvl w:val="0"/>
                <w:numId w:val="1"/>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i/>
                <w:noProof/>
                <w:sz w:val="22"/>
                <w:szCs w:val="22"/>
              </w:rPr>
              <w:t>în țările cu o populație de etnie romă semnificativă:</w:t>
            </w:r>
          </w:p>
          <w:p>
            <w:pPr>
              <w:pStyle w:val="ListParagraph"/>
              <w:numPr>
                <w:ilvl w:val="1"/>
                <w:numId w:val="1"/>
              </w:numPr>
              <w:shd w:val="clear" w:color="auto" w:fill="FFFFFF" w:themeFill="background1"/>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să promoveze acțiuni pozitive pentru a spori gradul de participare a romilor în administrația națională și în cea locală în domeniile egalității și incluziunii, cercetării etc. și</w:t>
            </w:r>
          </w:p>
          <w:p>
            <w:pPr>
              <w:pStyle w:val="ListParagraph"/>
              <w:numPr>
                <w:ilvl w:val="1"/>
                <w:numId w:val="1"/>
              </w:numPr>
              <w:shd w:val="clear" w:color="auto" w:fill="FFFFFF" w:themeFill="background1"/>
              <w:spacing w:before="60" w:after="60" w:line="240" w:lineRule="auto"/>
              <w:ind w:left="851" w:right="-23" w:hanging="284"/>
              <w:contextualSpacing w:val="0"/>
              <w:rPr>
                <w:rFonts w:ascii="Times New Roman" w:hAnsi="Times New Roman"/>
                <w:noProof/>
                <w:sz w:val="21"/>
                <w:szCs w:val="21"/>
              </w:rPr>
            </w:pPr>
            <w:r>
              <w:rPr>
                <w:rFonts w:ascii="Times New Roman" w:hAnsi="Times New Roman"/>
                <w:noProof/>
                <w:sz w:val="22"/>
                <w:szCs w:val="22"/>
              </w:rPr>
              <w:t>să aibă în vedere instituirea unor organizații-umbrelă naționale ale romilor care să fie consultate și care să participe la discuțiile în materie de politici. Acestea ar trebui să primească granturi instituționale de bază din partea guvernelor naționale sau fonduri periodice de sprijin din partea societății civile.</w:t>
            </w:r>
          </w:p>
        </w:tc>
      </w:tr>
    </w:tbl>
    <w:p>
      <w:pPr>
        <w:rPr>
          <w:noProof/>
        </w:rPr>
      </w:pP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Reflectarea diversității</w:t>
            </w:r>
          </w:p>
          <w:p>
            <w:pPr>
              <w:spacing w:before="60" w:after="60"/>
              <w:ind w:right="-24"/>
              <w:jc w:val="both"/>
              <w:rPr>
                <w:rFonts w:ascii="Times New Roman" w:hAnsi="Times New Roman" w:cs="Times New Roman"/>
                <w:noProof/>
              </w:rPr>
            </w:pPr>
            <w:r>
              <w:rPr>
                <w:rFonts w:ascii="Times New Roman" w:hAnsi="Times New Roman"/>
                <w:noProof/>
              </w:rPr>
              <w:t>Este esențial să se recunoască diversitatea romilor și a comunităților rome în procesul de elaborare a cadrelor strategice naționale. Cadrul strategic al UE pentru romi promovează consolidarea capacității de acțiune a femeilor, a tinerilor și a copiilor de etnie romă (precum și cea a romilor cu handicap, a romilor în vârstă, a romilor LGBTI+ și a cetățenilor mobili ai UE) pentru a depăși disparitățile socioeconomice, pentru a-și exercita pe deplin drepturile, pentru a-și realiza potențialul și pentru a fi agenți activi ai schimbării.</w:t>
            </w:r>
          </w:p>
          <w:p>
            <w:pPr>
              <w:spacing w:before="60" w:after="60"/>
              <w:ind w:right="-24"/>
              <w:rPr>
                <w:rFonts w:ascii="Times New Roman" w:hAnsi="Times New Roman"/>
                <w:b/>
                <w:noProof/>
              </w:rPr>
            </w:pPr>
            <w:r>
              <w:rPr>
                <w:rFonts w:ascii="Times New Roman" w:hAnsi="Times New Roman"/>
                <w:b/>
                <w:noProof/>
              </w:rPr>
              <w:t>Cadrele strategice naționale privind romii ar trebui:</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evalueze nevoile și situația tuturor romilor (inclusiv cele ale romilor care nu sunt resortisanți proprii, ale romilor care sunt resortisanți ai unor țări terțe și ale romilor apatrizi);</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abordeze discriminarea multiplă și intersecționalitatea, care agravează excluziunea;</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vizeze grupurile de romi cele mai marginalizate, prevăzând pentru acestea măsuri de incluziune și de combatere a sărăciei (fără a exclude alte grupuri aflate într-o situație similară), să prevadă măsuri de participare destinate tuturor romilor și să prevadă măsuri de promovare a participării destinate deopotrivă romilor și restului populației, care să prevină și să combată atitudinile negative față de romi și discriminarea;</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stabilească obiective și măsuri specifice pentru femeile, copiii și tinerii de etnie romă, pentru romii cu handicap, pentru romii în vârstă, pentru cetățenii mobili ai UE, pentru romii apatrizi și pentru romii din țările terțe (după caz), precum și să defalcheze indicatorii în funcție de sex și vârstă;</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abordeze dimensiunea de gen în toate domeniile, în special în domeniile educației, ocupării forței de muncă, asistenței medicale, sprijinului acordat copiilor și combaterii discriminării (multiple), inclusiv a violenței (domestice) și a exploatării; să promoveze participarea și să se asigure că măsurile iau în considerare dimensiunea de gen;</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sprijine accesul femeilor rome la justiție pentru a preveni/a combate violența domestică și alte încălcări ale drepturilor omului;</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recurgă la cooperarea transnațională pentru a aborda cu mai multă eficacitate provocările și oportunitățile care decurg din mobilitatea transnațională a romilor, asigurând accesul la educație, la locuri de muncă, la locuințe, la asistență medicală și la alte servicii sociale și</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 xml:space="preserve">să pună capăt apatridiei în rândul romilor, prin asigurarea înregistrării universale a nașterii și a accesului la documente de identitate, a procedurilor formale de stabilire a statutului de apatrid și a accesului universal la servicii. </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Îmbinarea abordărilor generale cu cele specifice</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noProof/>
              </w:rPr>
              <w:t>În timp ce discriminarea și excluziunea romilor justifică o abordare continuă specifică, direcționarea măsurilor are drept obiectiv promovarea incluziunii și a egalității efective a romilor în toate sferele vieții. Realizarea acestui obiectiv presupune o reformă favorabilă incluziunii a politicilor generale, ceea ce necesită îmbinarea inteligentă a abordărilor specifice cu cele generale. Politicile specifice ar trebui să fie temporare și să contribuie la atenuarea dezavantajelor suplimentare întâmpinate de romi și a discriminării cu care se confruntă aceștia. Ar trebui să se efectueze o direcționare explicită (însă nu neapărat bazată pe originea etnică), dar nu exclusivă, adică fără a exclude restul populației aflate în aceeași situație.</w:t>
            </w:r>
          </w:p>
          <w:p>
            <w:pPr>
              <w:spacing w:before="60" w:after="60"/>
              <w:ind w:right="-24"/>
              <w:rPr>
                <w:rFonts w:ascii="Times New Roman" w:hAnsi="Times New Roman"/>
                <w:b/>
                <w:noProof/>
              </w:rPr>
            </w:pPr>
            <w:r>
              <w:rPr>
                <w:rFonts w:ascii="Times New Roman" w:hAnsi="Times New Roman"/>
                <w:b/>
                <w:noProof/>
              </w:rPr>
              <w:t>Cadrele strategice naționale privind romii ar trebui:</w:t>
            </w:r>
          </w:p>
          <w:p>
            <w:pPr>
              <w:pStyle w:val="ListParagraph"/>
              <w:numPr>
                <w:ilvl w:val="0"/>
                <w:numId w:val="2"/>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precizeze modul în care măsurile direcționate specifice (garanții) abordează barierele care îi împiedică pe romi să aibă acces la politicile generale și să beneficieze de acestea și modul în care politicile publice devin mai favorabile incluziunii romilor;</w:t>
            </w:r>
          </w:p>
          <w:p>
            <w:pPr>
              <w:pStyle w:val="ListParagraph"/>
              <w:numPr>
                <w:ilvl w:val="0"/>
                <w:numId w:val="2"/>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promoveze accesul romilor la drepturi și la servicii generale datorită unui sprijin specific suplimentar, dar fără a se crea structuri paralele permanente;</w:t>
            </w:r>
          </w:p>
          <w:p>
            <w:pPr>
              <w:pStyle w:val="ListParagraph"/>
              <w:numPr>
                <w:ilvl w:val="0"/>
                <w:numId w:val="2"/>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direcționeze intervențiile la nivel teritorial pentru a se asigura faptul că acestea țin seama de condițiile locale; să îmbine acțiunile orientate către aspecte teritoriale cu acțiuni orientate către aspecte sociale în cadrul unor intervenții ample (de exemplu, pentru a combate sărăcia extremă) și să se asigure că romii beneficiază efectiv de acestea;</w:t>
            </w:r>
          </w:p>
          <w:p>
            <w:pPr>
              <w:pStyle w:val="ListParagraph"/>
              <w:numPr>
                <w:ilvl w:val="0"/>
                <w:numId w:val="2"/>
              </w:numPr>
              <w:shd w:val="clear" w:color="auto" w:fill="FFFFFF" w:themeFill="background1"/>
              <w:spacing w:before="60" w:after="60" w:line="240" w:lineRule="auto"/>
              <w:ind w:right="-24"/>
              <w:contextualSpacing w:val="0"/>
              <w:rPr>
                <w:rFonts w:ascii="Times New Roman" w:hAnsi="Times New Roman"/>
                <w:noProof/>
                <w:sz w:val="22"/>
                <w:szCs w:val="22"/>
              </w:rPr>
            </w:pPr>
            <w:r>
              <w:rPr>
                <w:rFonts w:ascii="Times New Roman" w:hAnsi="Times New Roman"/>
                <w:i/>
                <w:noProof/>
                <w:sz w:val="22"/>
                <w:szCs w:val="22"/>
              </w:rPr>
              <w:t>în țările cu o populație de etnie romă semnificativă:</w:t>
            </w:r>
          </w:p>
          <w:p>
            <w:pPr>
              <w:pStyle w:val="ListParagraph"/>
              <w:numPr>
                <w:ilvl w:val="1"/>
                <w:numId w:val="2"/>
              </w:numPr>
              <w:shd w:val="clear" w:color="auto" w:fill="FFFFFF" w:themeFill="background1"/>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să supună principalele măsuri de politică generală unei verificări/unui audit pentru a evalua impactul acestora asupra egalității și incluziunii romilor;</w:t>
            </w:r>
          </w:p>
          <w:p>
            <w:pPr>
              <w:pStyle w:val="ListParagraph"/>
              <w:numPr>
                <w:ilvl w:val="1"/>
                <w:numId w:val="2"/>
              </w:numPr>
              <w:shd w:val="clear" w:color="auto" w:fill="FFFFFF" w:themeFill="background1"/>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să stabilească modul în care fondurile UE vor fi utilizate pentru o reformă favorabilă incluziunii a politicilor generale (de exemplu, desegregarea în domeniul educației sau al locuințelor) și pentru acțiuni specifice și</w:t>
            </w:r>
          </w:p>
          <w:p>
            <w:pPr>
              <w:pStyle w:val="ListParagraph"/>
              <w:numPr>
                <w:ilvl w:val="1"/>
                <w:numId w:val="2"/>
              </w:numPr>
              <w:shd w:val="clear" w:color="auto" w:fill="FFFFFF" w:themeFill="background1"/>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să stabilească modalități de luare în considerare a egalității, a incluziunii și a participării romilor la nivelurile local și regional.</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Extinderea măsurilor de prevenire/atenuare a impactului disproporționat al crizelor asupra romilor</w:t>
            </w:r>
          </w:p>
          <w:p>
            <w:pPr>
              <w:spacing w:before="60" w:after="60"/>
              <w:ind w:right="-24"/>
              <w:jc w:val="both"/>
              <w:rPr>
                <w:rFonts w:ascii="Times New Roman" w:hAnsi="Times New Roman" w:cs="Times New Roman"/>
                <w:noProof/>
                <w:color w:val="000000" w:themeColor="text1"/>
              </w:rPr>
            </w:pPr>
            <w:r>
              <w:rPr>
                <w:rFonts w:ascii="Times New Roman" w:hAnsi="Times New Roman"/>
                <w:noProof/>
                <w:color w:val="000000" w:themeColor="text1"/>
              </w:rPr>
              <w:t>Toate provocările majore cu care se confruntă UE în prezent (inclusiv pandemia de COVID-19, schimbările climatice, tranziția verde și cea digitală) au o dimensiune referitoare la egalitatea și incluziunea romilor. Ar trebui să se acorde o atenție deosebită asigurării faptului că grupurile discriminate și marginalizate, în special din rândul romilor, nu sunt nevoite să suporte o parte disproporționată a poverii generate de crize și de tranziții și că răspunsurile de urgență și strategiile de creștere pe termen mai lung implică un sprijin suplimentar specific pentru incluziunea acestor grupuri. Ar trebui să se desprindă învățăminte în urma pandemiei de COVID-19, care a afectat în mod disproporționat comunitățile rome marginalizate, acestea resimțind mult mai puternic efectele pe termen scurt asupra sănătății și efectele economice pe termen mediu/lung. Cadrele strategice naționale privind romii ar trebui să contribuie la atenuarea efectelor crizei generate de pandemia de COVID-19 și să ne pregătească să facem față mai bine unor astfel de situații în viitor.</w:t>
            </w:r>
          </w:p>
          <w:p>
            <w:pPr>
              <w:spacing w:before="60" w:after="60"/>
              <w:ind w:right="-24"/>
              <w:rPr>
                <w:rFonts w:ascii="Times New Roman" w:hAnsi="Times New Roman" w:cs="Times New Roman"/>
                <w:b/>
                <w:noProof/>
                <w:color w:val="000000" w:themeColor="text1"/>
              </w:rPr>
            </w:pPr>
            <w:r>
              <w:rPr>
                <w:rFonts w:ascii="Times New Roman" w:hAnsi="Times New Roman"/>
                <w:b/>
                <w:noProof/>
                <w:color w:val="000000" w:themeColor="text1"/>
              </w:rPr>
              <w:t>Cadrele strategice naționale privind romii ar trebui:</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planifice un proces eficace de colectare a datelor și monitorizare a efectelor socioeconomice (în funcție de vârstă, sex și nevoi medicale) pentru a se asigura instituirea unor măsuri de politică eficace și adaptate de răspuns la pandemiile existente/viitoare;</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țină seama de nevoile pe termen scurt, mediu și lung și să implice părțile interesate în elaborarea și punerea în aplicare a măsurilor;</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sprijine eforturile depuse de autoritățile locale pentru a răspunde celor mai urgente nevoi ale comunităților rome (de exemplu, accesul la adăpost, inclusiv la alimente și la apă, accesul la servicii medicale gratuite și la sprijin financiar pentru familiile rome în situații economice precare);</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acorde prioritate eforturilor de combatere a inegalităților structurale și a lipsei de acces a comunităților rome la serviciile și la infrastructurile de bază;</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se asigure că măsurile și/sau acțiunile care utilizează fonduri ale UE și fonduri naționale sunt în beneficiul și răspund nevoilor celor mai marginalizate și defavorizate comunități;</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promoveze accesul romilor la apă potabilă sigură și curată</w:t>
            </w:r>
            <w:r>
              <w:rPr>
                <w:rStyle w:val="FootnoteReference"/>
                <w:rFonts w:ascii="Times New Roman" w:hAnsi="Times New Roman"/>
                <w:noProof/>
                <w:sz w:val="22"/>
                <w:szCs w:val="22"/>
              </w:rPr>
              <w:footnoteReference w:id="4"/>
            </w:r>
            <w:r>
              <w:rPr>
                <w:rFonts w:ascii="Times New Roman" w:hAnsi="Times New Roman"/>
                <w:noProof/>
                <w:color w:val="000000" w:themeColor="text1"/>
                <w:sz w:val="22"/>
                <w:szCs w:val="22"/>
              </w:rPr>
              <w:t>;</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îmbunătățească accesul la servicii de salubrizare și să asigure continuitatea serviciilor de utilități de bază în caz de pandemie;</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promoveze educația în materie de sănătate în rândul populației rome;</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promoveze difuzarea unor informații precise, clare și bazate pe date concrete și campaniile de sensibilizare, ca instrumente eficace de combatere a discriminării și a xenofobiei;</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asigure monitorizarea periodică a condițiilor de mediu și a riscurilor care afectează în mod specific comunitățile rome defavorizate și să ia măsuri de remediere a condițiilor periculoase sau de igienă precară și</w:t>
            </w:r>
          </w:p>
          <w:p>
            <w:pPr>
              <w:pStyle w:val="ListParagraph"/>
              <w:numPr>
                <w:ilvl w:val="0"/>
                <w:numId w:val="4"/>
              </w:numPr>
              <w:spacing w:before="60" w:after="60" w:line="240" w:lineRule="auto"/>
              <w:ind w:left="426" w:right="-24" w:hanging="426"/>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promoveze coerența între măsurile de urgență și cele de redresare și să acorde un loc central unor inițiative cum ar fi Pactul verde, digitalizarea, Pilonul european al drepturilor sociale, obiectivele de dezvoltare durabilă, semestrul european, precum și strategiile, programele și reformele generale.</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rPr>
          <w:trHeight w:val="1691"/>
        </w:trP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Asigurarea incluziunii digitale</w:t>
            </w:r>
          </w:p>
          <w:p>
            <w:pPr>
              <w:spacing w:before="60" w:after="60"/>
              <w:ind w:right="-24"/>
              <w:jc w:val="both"/>
              <w:rPr>
                <w:rFonts w:ascii="Times New Roman" w:hAnsi="Times New Roman" w:cs="Times New Roman"/>
                <w:noProof/>
              </w:rPr>
            </w:pPr>
            <w:r>
              <w:rPr>
                <w:rFonts w:ascii="Times New Roman" w:hAnsi="Times New Roman"/>
                <w:noProof/>
              </w:rPr>
              <w:t xml:space="preserve">În condițiile în care pandemia de COVID-19 a impus închiderea școlilor, a campusurilor și a birourilor, internetul a fost soluția salvatoare. Trecerea în masă la educația online și la telemedicină etc. a plecat de la premisa că toți cetățenii au acces la internet. Cu toate acestea, criza a evidențiat </w:t>
            </w:r>
            <w:hyperlink r:id="rId16" w:history="1">
              <w:r>
                <w:rPr>
                  <w:rStyle w:val="Hyperlink"/>
                  <w:rFonts w:ascii="Times New Roman" w:hAnsi="Times New Roman"/>
                  <w:noProof/>
                </w:rPr>
                <w:t>disparități la nivel mondial</w:t>
              </w:r>
            </w:hyperlink>
            <w:r>
              <w:rPr>
                <w:rFonts w:ascii="Times New Roman" w:hAnsi="Times New Roman"/>
                <w:noProof/>
              </w:rPr>
              <w:t xml:space="preserve"> alarmante în ceea ce privește învățarea online și la distanță. Romii locuiesc adesea în zone rurale, care sunt încă în urmă în ceea ce privește accesul la infrastructurile de bandă largă de mare viteză. Pentru romii marginalizați care au un acces limitat sau nu au deloc acces la echipamente informatice sau la alfabetizarea digitală, criza a scos în evidență inegalități structurale profunde, ceea ce înseamnă că în cazul copiilor romi există riscul de a avea performanțe slabe și de a rămâne în urmă în activitatea lor școlară, iar în cazul adulților </w:t>
            </w:r>
            <w:r>
              <w:rPr>
                <w:rFonts w:ascii="Times New Roman" w:hAnsi="Times New Roman"/>
                <w:b/>
                <w:noProof/>
              </w:rPr>
              <w:t>–</w:t>
            </w:r>
            <w:r>
              <w:rPr>
                <w:rFonts w:ascii="Times New Roman" w:hAnsi="Times New Roman"/>
                <w:noProof/>
              </w:rPr>
              <w:t xml:space="preserve"> de a nu avea acces la informații în timp real și la oportunități de angajare. Este necesar să se abordeze provocările subiacente legate de inegalitate, discriminare și excluziune în era digitală, astfel încât nimeni să nu fie lăsat în urmă. Implementarea cu succes a tehnologiilor digitale, precum și reziliența și echitatea socială a Europei depind de accesul cetățenilor la infrastructura, la echipamentele și la competențele digitale necesare.</w:t>
            </w:r>
          </w:p>
          <w:p>
            <w:pPr>
              <w:spacing w:before="60" w:after="60"/>
              <w:ind w:right="-24"/>
              <w:rPr>
                <w:rFonts w:ascii="Times New Roman" w:hAnsi="Times New Roman"/>
                <w:b/>
                <w:noProof/>
              </w:rPr>
            </w:pPr>
            <w:r>
              <w:rPr>
                <w:rFonts w:ascii="Times New Roman" w:hAnsi="Times New Roman"/>
                <w:b/>
                <w:noProof/>
              </w:rPr>
              <w:t>Cadrele strategice naționale privind romii ar trebui:</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combată excluziunea digitală a romilor prin asigurarea accesului la tehnologiile digitale, în special accesul la învățământul online și la distanță și sprijinirea acestuia în cazul în care instituțiile de învățământ și formare se închid, așa cum s-a întâmplat în timpul pandemiei de COVID-19;</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încurajeze sinergiile cu alte inițiative în materie de politică (în special cele referitoare la serviciile publice online, la serviciile de e-Guvernare și la serviciile comerciale online), pentru a îmbunătăți ușurința în utilizarea serviciilor publice și pentru a promova o e-Guvernare favorabilă incluziunii, cu ajutorul unor măsuri specifice care să le permită romilor să poată beneficia de serviciile publice și să aibă acces la conexiunea la internet, acordând o atenție specială zonelor rurale;</w:t>
            </w:r>
          </w:p>
          <w:p>
            <w:pPr>
              <w:pStyle w:val="ListParagraph"/>
              <w:numPr>
                <w:ilvl w:val="0"/>
                <w:numId w:val="1"/>
              </w:numPr>
              <w:spacing w:before="60" w:after="60" w:line="276" w:lineRule="auto"/>
              <w:ind w:right="-24"/>
              <w:contextualSpacing w:val="0"/>
              <w:rPr>
                <w:noProof/>
                <w:sz w:val="22"/>
                <w:szCs w:val="22"/>
              </w:rPr>
            </w:pPr>
            <w:r>
              <w:rPr>
                <w:rFonts w:ascii="Times New Roman" w:hAnsi="Times New Roman"/>
                <w:noProof/>
                <w:sz w:val="22"/>
                <w:szCs w:val="22"/>
              </w:rPr>
              <w:t>să stimuleze dezvoltarea aptitudinilor și a competențelor digitale</w:t>
            </w:r>
            <w:r>
              <w:rPr>
                <w:rStyle w:val="FootnoteReference"/>
                <w:rFonts w:ascii="Times New Roman" w:hAnsi="Times New Roman"/>
                <w:noProof/>
                <w:sz w:val="22"/>
                <w:szCs w:val="22"/>
              </w:rPr>
              <w:footnoteReference w:id="5"/>
            </w:r>
            <w:r>
              <w:rPr>
                <w:rFonts w:ascii="Times New Roman" w:hAnsi="Times New Roman"/>
                <w:noProof/>
                <w:sz w:val="22"/>
                <w:szCs w:val="22"/>
              </w:rPr>
              <w:t xml:space="preserve"> în rândul romilor prin: </w:t>
            </w:r>
          </w:p>
          <w:p>
            <w:pPr>
              <w:spacing w:before="60" w:after="60"/>
              <w:ind w:left="851" w:right="-23" w:hanging="284"/>
              <w:jc w:val="both"/>
              <w:rPr>
                <w:rFonts w:ascii="Times New Roman" w:hAnsi="Times New Roman"/>
                <w:noProof/>
              </w:rPr>
            </w:pPr>
            <w:r>
              <w:rPr>
                <w:rFonts w:ascii="Times New Roman" w:hAnsi="Times New Roman"/>
                <w:noProof/>
              </w:rPr>
              <w:t xml:space="preserve">1) </w:t>
            </w:r>
            <w:r>
              <w:rPr>
                <w:noProof/>
              </w:rPr>
              <w:tab/>
            </w:r>
            <w:r>
              <w:rPr>
                <w:rFonts w:ascii="Times New Roman" w:hAnsi="Times New Roman"/>
                <w:noProof/>
              </w:rPr>
              <w:t>îmbunătățirea accesului la echipamente digitale și la conexiuni de rețea (de exemplu, puncte publice de acces la internet în zonele defavorizate);</w:t>
            </w:r>
          </w:p>
          <w:p>
            <w:pPr>
              <w:spacing w:before="60" w:after="60"/>
              <w:ind w:left="851" w:right="-23" w:hanging="284"/>
              <w:jc w:val="both"/>
              <w:rPr>
                <w:rFonts w:ascii="Times New Roman" w:hAnsi="Times New Roman"/>
                <w:noProof/>
              </w:rPr>
            </w:pPr>
            <w:r>
              <w:rPr>
                <w:rFonts w:ascii="Times New Roman" w:hAnsi="Times New Roman"/>
                <w:noProof/>
              </w:rPr>
              <w:t xml:space="preserve">2) </w:t>
            </w:r>
            <w:r>
              <w:rPr>
                <w:noProof/>
              </w:rPr>
              <w:tab/>
            </w:r>
            <w:r>
              <w:rPr>
                <w:rFonts w:ascii="Times New Roman" w:hAnsi="Times New Roman"/>
                <w:noProof/>
              </w:rPr>
              <w:t xml:space="preserve">promovarea aptitudinilor și a competențelor digitale de bază dintr-o perspectivă de învățare pe tot parcursul vieții și oferirea de cursuri de formare corespunzătoare; </w:t>
            </w:r>
          </w:p>
          <w:p>
            <w:pPr>
              <w:spacing w:before="60" w:after="60"/>
              <w:ind w:left="851" w:right="-23" w:hanging="284"/>
              <w:jc w:val="both"/>
              <w:rPr>
                <w:rFonts w:ascii="Times New Roman" w:hAnsi="Times New Roman"/>
                <w:noProof/>
              </w:rPr>
            </w:pPr>
            <w:r>
              <w:rPr>
                <w:rFonts w:ascii="Times New Roman" w:hAnsi="Times New Roman"/>
                <w:noProof/>
              </w:rPr>
              <w:t xml:space="preserve">3) </w:t>
            </w:r>
            <w:r>
              <w:rPr>
                <w:noProof/>
              </w:rPr>
              <w:tab/>
            </w:r>
            <w:r>
              <w:rPr>
                <w:rFonts w:ascii="Times New Roman" w:hAnsi="Times New Roman"/>
                <w:noProof/>
              </w:rPr>
              <w:t xml:space="preserve">îmbunătățirea calității utilizării de către romi a societății informaționale și îmbunătățirea participării acestora la societatea informațională și </w:t>
            </w:r>
          </w:p>
          <w:p>
            <w:pPr>
              <w:spacing w:before="60" w:after="60"/>
              <w:ind w:left="851" w:right="-23" w:hanging="284"/>
              <w:jc w:val="both"/>
              <w:rPr>
                <w:rFonts w:ascii="Times New Roman" w:hAnsi="Times New Roman"/>
                <w:noProof/>
              </w:rPr>
            </w:pPr>
            <w:r>
              <w:rPr>
                <w:rFonts w:ascii="Times New Roman" w:hAnsi="Times New Roman"/>
                <w:noProof/>
              </w:rPr>
              <w:t xml:space="preserve">4) </w:t>
            </w:r>
            <w:r>
              <w:rPr>
                <w:noProof/>
              </w:rPr>
              <w:tab/>
            </w:r>
            <w:r>
              <w:rPr>
                <w:rFonts w:ascii="Times New Roman" w:hAnsi="Times New Roman"/>
                <w:noProof/>
              </w:rPr>
              <w:t>promovarea raportării practicilor discriminatorii online în ceea ce privește accesul la servicii și utilizarea acestora;</w:t>
            </w:r>
          </w:p>
          <w:p>
            <w:pPr>
              <w:spacing w:before="60" w:after="60"/>
              <w:ind w:left="851" w:right="-23" w:hanging="284"/>
              <w:jc w:val="both"/>
              <w:rPr>
                <w:rFonts w:ascii="Times New Roman" w:hAnsi="Times New Roman"/>
                <w:noProof/>
              </w:rPr>
            </w:pPr>
            <w:r>
              <w:rPr>
                <w:rFonts w:ascii="Times New Roman" w:hAnsi="Times New Roman"/>
                <w:noProof/>
              </w:rPr>
              <w:t>5) ancorarea inițiativelor privind alfabetizarea digitală în contextele socioeconomice locale, adaptându-le la nevoile și condițiile specifice ale comunităților rome;</w:t>
            </w:r>
          </w:p>
          <w:p>
            <w:pPr>
              <w:spacing w:before="60" w:after="60"/>
              <w:ind w:left="851" w:right="-23" w:hanging="284"/>
              <w:jc w:val="both"/>
              <w:rPr>
                <w:rFonts w:ascii="Times New Roman" w:hAnsi="Times New Roman"/>
                <w:noProof/>
              </w:rPr>
            </w:pPr>
            <w:r>
              <w:rPr>
                <w:rFonts w:ascii="Times New Roman" w:hAnsi="Times New Roman"/>
                <w:noProof/>
              </w:rPr>
              <w:t>6) încurajarea și sprijinirea inițiativelor privind alfabetizarea digitală</w:t>
            </w:r>
            <w:r>
              <w:rPr>
                <w:rStyle w:val="FootnoteReference"/>
                <w:rFonts w:ascii="Times New Roman" w:hAnsi="Times New Roman"/>
                <w:noProof/>
              </w:rPr>
              <w:footnoteReference w:id="6"/>
            </w:r>
            <w:r>
              <w:rPr>
                <w:rFonts w:ascii="Times New Roman" w:hAnsi="Times New Roman"/>
                <w:noProof/>
              </w:rPr>
              <w:t xml:space="preserve"> care:</w:t>
            </w:r>
          </w:p>
          <w:p>
            <w:pPr>
              <w:pStyle w:val="ListParagraph"/>
              <w:numPr>
                <w:ilvl w:val="0"/>
                <w:numId w:val="7"/>
              </w:numPr>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 xml:space="preserve">stimulează motivația de a utiliza internetul și sensibilizarea cu privire la utilizarea internetului; </w:t>
            </w:r>
          </w:p>
          <w:p>
            <w:pPr>
              <w:pStyle w:val="ListParagraph"/>
              <w:numPr>
                <w:ilvl w:val="0"/>
                <w:numId w:val="7"/>
              </w:numPr>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 xml:space="preserve">au prețuri accesibile și sunt durabile; </w:t>
            </w:r>
          </w:p>
          <w:p>
            <w:pPr>
              <w:pStyle w:val="ListParagraph"/>
              <w:numPr>
                <w:ilvl w:val="0"/>
                <w:numId w:val="7"/>
              </w:numPr>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 xml:space="preserve">au conținuturi și moduri de transmitere adaptate pentru romi (noi metode de predare, învățarea informală etc.) și </w:t>
            </w:r>
          </w:p>
          <w:p>
            <w:pPr>
              <w:pStyle w:val="ListParagraph"/>
              <w:numPr>
                <w:ilvl w:val="0"/>
                <w:numId w:val="7"/>
              </w:numPr>
              <w:spacing w:before="60" w:after="60" w:line="240" w:lineRule="auto"/>
              <w:ind w:left="851" w:right="-23" w:hanging="284"/>
              <w:contextualSpacing w:val="0"/>
              <w:rPr>
                <w:rFonts w:ascii="Times New Roman" w:hAnsi="Times New Roman"/>
                <w:noProof/>
                <w:sz w:val="22"/>
                <w:szCs w:val="22"/>
              </w:rPr>
            </w:pPr>
            <w:r>
              <w:rPr>
                <w:rFonts w:ascii="Times New Roman" w:hAnsi="Times New Roman"/>
                <w:noProof/>
                <w:sz w:val="22"/>
                <w:szCs w:val="22"/>
              </w:rPr>
              <w:t xml:space="preserve">au prețuri accesibile și sunt ușor de utilizat; </w:t>
            </w:r>
          </w:p>
          <w:p>
            <w:pPr>
              <w:pStyle w:val="ListParagraph"/>
              <w:numPr>
                <w:ilvl w:val="0"/>
                <w:numId w:val="1"/>
              </w:numPr>
              <w:spacing w:before="60" w:after="60" w:line="240" w:lineRule="auto"/>
              <w:ind w:right="-24"/>
              <w:contextualSpacing w:val="0"/>
              <w:rPr>
                <w:rFonts w:ascii="Times New Roman" w:hAnsi="Times New Roman"/>
                <w:noProof/>
                <w:sz w:val="22"/>
                <w:szCs w:val="22"/>
              </w:rPr>
            </w:pPr>
            <w:r>
              <w:rPr>
                <w:rFonts w:ascii="Times New Roman" w:hAnsi="Times New Roman"/>
                <w:noProof/>
                <w:sz w:val="22"/>
                <w:szCs w:val="22"/>
              </w:rPr>
              <w:t>să încurajeze utilizarea soluțiilor digitale în ceea ce privește asistența medicală, atât în cazul pacienților, cât și al cadrelor medico-sanitare, pentru a se garanta continuitatea asistenței medicale și tratamentele sigure, și</w:t>
            </w:r>
          </w:p>
          <w:p>
            <w:pPr>
              <w:pStyle w:val="ListParagraph"/>
              <w:numPr>
                <w:ilvl w:val="0"/>
                <w:numId w:val="1"/>
              </w:numPr>
              <w:spacing w:before="60" w:after="60" w:line="240" w:lineRule="auto"/>
              <w:ind w:right="-24"/>
              <w:contextualSpacing w:val="0"/>
              <w:rPr>
                <w:noProof/>
                <w:sz w:val="22"/>
                <w:szCs w:val="22"/>
              </w:rPr>
            </w:pPr>
            <w:r>
              <w:rPr>
                <w:rFonts w:ascii="Times New Roman" w:hAnsi="Times New Roman"/>
                <w:noProof/>
                <w:sz w:val="22"/>
                <w:szCs w:val="22"/>
              </w:rPr>
              <w:t>să reexamineze cadrele strategice privind incluziunea digitală pentru a evalua barierele cu care se confruntă romii.</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rPr>
          <w:trHeight w:val="416"/>
        </w:trP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Asigurarea justiției în domeniul mediului</w:t>
            </w:r>
          </w:p>
          <w:p>
            <w:pPr>
              <w:spacing w:before="60" w:after="60"/>
              <w:ind w:right="-24"/>
              <w:jc w:val="both"/>
              <w:rPr>
                <w:rFonts w:ascii="Times New Roman" w:hAnsi="Times New Roman" w:cs="Times New Roman"/>
                <w:noProof/>
              </w:rPr>
            </w:pPr>
            <w:r>
              <w:rPr>
                <w:rFonts w:ascii="Times New Roman" w:hAnsi="Times New Roman"/>
                <w:noProof/>
              </w:rPr>
              <w:t>Discriminarea de mediu</w:t>
            </w:r>
            <w:r>
              <w:rPr>
                <w:rStyle w:val="FootnoteReference"/>
                <w:rFonts w:ascii="Times New Roman" w:hAnsi="Times New Roman" w:cs="Times New Roman"/>
                <w:smallCaps/>
                <w:noProof/>
                <w:color w:val="0070C0"/>
              </w:rPr>
              <w:footnoteReference w:id="7"/>
            </w:r>
            <w:r>
              <w:rPr>
                <w:rFonts w:ascii="Times New Roman" w:hAnsi="Times New Roman"/>
                <w:noProof/>
              </w:rPr>
              <w:t xml:space="preserve"> cu care se confruntă numeroase comunități rome este adusă în atenția publicului. Efectele disproporționate ale acestei realități mult timp neglijate au ieșit la lumină în timpul pandemiei de COVID-19, comunitățile marginalizate fiind mult mai expuse riscului de contaminare și altor probleme de sănătate conexe. În combinație cu condițiile de trai necorespunzătoare și cu segregarea, riscurile sanitare au agravat excluziunea socioeconomică a romilor. </w:t>
            </w:r>
          </w:p>
          <w:p>
            <w:pPr>
              <w:spacing w:before="60" w:after="60"/>
              <w:ind w:right="-24"/>
              <w:rPr>
                <w:rFonts w:ascii="Times New Roman" w:hAnsi="Times New Roman"/>
                <w:b/>
                <w:noProof/>
                <w:color w:val="000000" w:themeColor="text1"/>
              </w:rPr>
            </w:pPr>
            <w:r>
              <w:rPr>
                <w:rFonts w:ascii="Times New Roman" w:hAnsi="Times New Roman"/>
                <w:b/>
                <w:noProof/>
                <w:color w:val="000000" w:themeColor="text1"/>
              </w:rPr>
              <w:t>Cadrele strategice naționale privind romii ar trebui:</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2"/>
                <w:szCs w:val="22"/>
              </w:rPr>
            </w:pPr>
            <w:r>
              <w:rPr>
                <w:rFonts w:ascii="Times New Roman" w:hAnsi="Times New Roman"/>
                <w:noProof/>
                <w:color w:val="000000" w:themeColor="text1"/>
                <w:sz w:val="22"/>
                <w:szCs w:val="22"/>
              </w:rPr>
              <w:t>să recunoască și să combată discriminarea de mediu, în special atunci când afectează comunitățile rome marginalizate din zone segregate (ca expresie a atitudinilor negative față de romi); să promoveze înțelegerea modului în care discriminarea de mediu și lipsa serviciilor de mediu forțează populația romă marginalizată să locuiască în zone cu un mediu degradat;</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2"/>
                <w:szCs w:val="22"/>
              </w:rPr>
            </w:pPr>
            <w:r>
              <w:rPr>
                <w:rFonts w:ascii="Times New Roman" w:hAnsi="Times New Roman"/>
                <w:noProof/>
                <w:color w:val="000000" w:themeColor="text1"/>
                <w:sz w:val="22"/>
                <w:szCs w:val="22"/>
              </w:rPr>
              <w:t>să se concentreze asupra accesului la apă, la servicii de salubrizare adecvate, la servicii de colectare și gestionare a deșeurilor și să combată segregarea spațială persistentă ca o cauză a discriminării de mediu în domeniile locuințelor și serviciilor esențiale;</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2"/>
                <w:szCs w:val="22"/>
              </w:rPr>
            </w:pPr>
            <w:r>
              <w:rPr>
                <w:rFonts w:ascii="Times New Roman" w:hAnsi="Times New Roman"/>
                <w:noProof/>
                <w:color w:val="000000" w:themeColor="text1"/>
                <w:sz w:val="22"/>
                <w:szCs w:val="22"/>
              </w:rPr>
              <w:t>să remedieze problema accesului insuficient al romilor la zone de locuit verzi cu o valoare recreativă;</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2"/>
                <w:szCs w:val="22"/>
              </w:rPr>
            </w:pPr>
            <w:r>
              <w:rPr>
                <w:rFonts w:ascii="Times New Roman" w:hAnsi="Times New Roman"/>
                <w:noProof/>
                <w:color w:val="000000" w:themeColor="text1"/>
                <w:sz w:val="22"/>
                <w:szCs w:val="22"/>
              </w:rPr>
              <w:t>să prevină riscurile pentru sănătate legate de mediu și să combată impactul pe care expunerea la poluare și la contaminare îl are asupra sănătății și</w:t>
            </w:r>
          </w:p>
          <w:p>
            <w:pPr>
              <w:pStyle w:val="ListParagraph"/>
              <w:numPr>
                <w:ilvl w:val="0"/>
                <w:numId w:val="3"/>
              </w:numPr>
              <w:spacing w:before="60" w:after="60" w:line="240" w:lineRule="auto"/>
              <w:ind w:right="-24"/>
              <w:contextualSpacing w:val="0"/>
              <w:rPr>
                <w:rFonts w:ascii="Times New Roman" w:hAnsi="Times New Roman"/>
                <w:b/>
                <w:smallCaps/>
                <w:noProof/>
                <w:color w:val="000000" w:themeColor="text1"/>
                <w:sz w:val="21"/>
                <w:szCs w:val="21"/>
              </w:rPr>
            </w:pPr>
            <w:r>
              <w:rPr>
                <w:rFonts w:ascii="Times New Roman" w:hAnsi="Times New Roman"/>
                <w:noProof/>
                <w:color w:val="000000" w:themeColor="text1"/>
                <w:sz w:val="22"/>
                <w:szCs w:val="22"/>
              </w:rPr>
              <w:t>să asigure sănătatea și securitatea în muncă a persoanelor care lucrează în condiții de mediu mai puțin favorabile.</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rPr>
          <w:trHeight w:val="691"/>
        </w:trP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Promovarea artei, a istoriei și a culturii romilor (promovarea unor acțiuni de sensibilizare cu privire la istoria, arta și cultura romilor)</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noProof/>
              </w:rPr>
              <w:t xml:space="preserve">Arta, istoria și cultura romilor fac parte integrantă din peisajele noastre europene și naționale. Cu toate acestea, de-a lungul secolelor, reprezentările culturii și ale identității romilor au fost romanțate și reduse la stereotipuri, ceea ce a agravat alienarea comunităților rome în raport cu societățile dominante. Recunoașterea culturală ar trebui să se bazeze pe narațiunile romilor. </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b/>
                <w:noProof/>
              </w:rPr>
              <w:t>Cadrele strategice naționale privind romii ar trebui:</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recunoască și să desfășoare acțiuni de sensibilizare privind contribuția artei și a culturii romilor la patrimoniul național și european și să le permită romilor să își asume această contribuție;</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sprijine platformele care facilitează contactele dintre romi și restul populației la nivel local, prin promovarea artelor, a meșteșugurilor și a culturii tradiționale și moderne ale romilor, precum și a cunoașterii istoriei romilor;</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 xml:space="preserve">să promoveze, în colaborare cu operatorii mass-media, activități de sensibilizare în sprijinul unei identități și al unui patrimoniu cultural autoconstruite ale romilor; </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 xml:space="preserve">să combată stereotipurile și prejudecățile împotriva romilor; </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stabilească și să comemoreze data de 2 august drept Ziua Europeană de Comemorare a Holocaustului Romilor, în amintirea victimelor genocidului comis împotriva romilor în timpul celui de Al Doilea Război Mondial;</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promoveze o abordare integrată a comemorării Holocaustului, amintind victimele rome cu ocazia Zilei Internaționale de Comemorare a Holocaustului (27 ianuarie, ziua eliberării lagărului de concentrare de la Auschwitz-Birkenau);</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integreze comunitățile rome în discursul cultural național, incluzând arta, istoria și cultura romilor în colecțiile arhivelor naționale, ale muzeelor și ale expozițiilor de artă permanente; să aloce resurse adecvate pentru păstrarea, conservarea și dezvoltarea artei și culturii romilor, inclusiv prin promovarea festivalurilor;</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includă limba romani și istoria romilor în programele și în manualele școlare, atât pentru elevii romi, cât și pentru cei de alte etnii; să promoveze activitățile multiculturale și campaniile de sensibilizare în școli și</w:t>
            </w:r>
          </w:p>
          <w:p>
            <w:pPr>
              <w:pStyle w:val="ListParagraph"/>
              <w:numPr>
                <w:ilvl w:val="0"/>
                <w:numId w:val="1"/>
              </w:numPr>
              <w:spacing w:before="60" w:after="60" w:line="240" w:lineRule="auto"/>
              <w:ind w:right="-24"/>
              <w:contextualSpacing w:val="0"/>
              <w:rPr>
                <w:rFonts w:ascii="Times New Roman" w:hAnsi="Times New Roman"/>
                <w:b/>
                <w:smallCaps/>
                <w:noProof/>
                <w:sz w:val="22"/>
                <w:szCs w:val="22"/>
              </w:rPr>
            </w:pPr>
            <w:r>
              <w:rPr>
                <w:rFonts w:ascii="Times New Roman" w:hAnsi="Times New Roman"/>
                <w:noProof/>
                <w:color w:val="000000" w:themeColor="text1"/>
                <w:sz w:val="22"/>
                <w:szCs w:val="22"/>
              </w:rPr>
              <w:t>să ofere posibilități de consolidare a capacității de acțiune a antreprenorilor și a persoanelor de etnie romă care desfășoară activități independente care au afaceri locale ce promovează tradițiile și cultura romilor și să le acorde sprijin.</w:t>
            </w:r>
          </w:p>
        </w:tc>
      </w:tr>
    </w:tbl>
    <w:p>
      <w:pPr>
        <w:rPr>
          <w:noProof/>
        </w:rPr>
      </w:pPr>
      <w:r>
        <w:rPr>
          <w:noProof/>
        </w:rPr>
        <w:br w:type="page"/>
      </w:r>
    </w:p>
    <w:tbl>
      <w:tblPr>
        <w:tblStyle w:val="TableGrid"/>
        <w:tblW w:w="9322" w:type="dxa"/>
        <w:tblLayout w:type="fixed"/>
        <w:tblLook w:val="04A0" w:firstRow="1" w:lastRow="0" w:firstColumn="1" w:lastColumn="0" w:noHBand="0" w:noVBand="1"/>
      </w:tblPr>
      <w:tblGrid>
        <w:gridCol w:w="9322"/>
      </w:tblGrid>
      <w:tr>
        <w:trPr>
          <w:trHeight w:val="691"/>
        </w:trPr>
        <w:tc>
          <w:tcPr>
            <w:tcW w:w="9322" w:type="dxa"/>
          </w:tcPr>
          <w:p>
            <w:pPr>
              <w:spacing w:before="60" w:after="60"/>
              <w:ind w:right="-24"/>
              <w:jc w:val="center"/>
              <w:rPr>
                <w:rFonts w:ascii="Times New Roman" w:hAnsi="Times New Roman" w:cs="Times New Roman"/>
                <w:b/>
                <w:smallCaps/>
                <w:noProof/>
                <w:color w:val="0070C0"/>
              </w:rPr>
            </w:pPr>
            <w:r>
              <w:rPr>
                <w:rFonts w:ascii="Times New Roman" w:hAnsi="Times New Roman"/>
                <w:b/>
                <w:smallCaps/>
                <w:noProof/>
                <w:color w:val="0070C0"/>
              </w:rPr>
              <w:t>Promovarea inovării sociale și a experimentării în materie de politică socială</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noProof/>
              </w:rPr>
              <w:t xml:space="preserve">Inovarea socială și experimentarea în materie de politică socială constituie noi abordări din domeniul schimbărilor sociale care cuprind idei, practici și inițiative ce intervin la diversele niveluri ale unui sistem pentru a determina o schimbare profundă și un impact pozitiv durabil. Ca atare, acestea pot fi instrumente importante de promovare a egalității, a incluziunii, a participării și a consolidării capacității de acțiune a romilor. </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noProof/>
              </w:rPr>
              <w:t>Politica UE definește „inovarea socială” ca reprezentând activități care au un caracter social atât din punctul de vedere al scopurilor urmărite, cât și al mijloacelor folosite, în special cele referitoare la dezvoltarea și punerea în aplicare de idei noi (privind produse, servicii și modele) care răspund unor nevoi sociale și, în același timp, creează relații sau colaborări sociale noi, fiind astfel benefice pentru societate și stimulând capacitatea acesteia de a acționa</w:t>
            </w:r>
            <w:r>
              <w:rPr>
                <w:rStyle w:val="FootnoteReference"/>
                <w:rFonts w:ascii="Times New Roman" w:hAnsi="Times New Roman" w:cs="Times New Roman"/>
                <w:noProof/>
              </w:rPr>
              <w:footnoteReference w:id="8"/>
            </w:r>
            <w:r>
              <w:rPr>
                <w:rFonts w:ascii="Times New Roman" w:hAnsi="Times New Roman"/>
                <w:noProof/>
              </w:rPr>
              <w:t>. „Experimentarea în materie de politică socială” înseamnă intervenții de politică ce aduc răspunsuri inovatoare la nevoile sociale, puse în aplicare la scară mică și în condiții care asigură posibilitatea de a măsura impactul acestora, înainte de a fi puse în aplicare în alte contexte sau la scară mai mare, dacă rezultatele se dovedesc convingătoare</w:t>
            </w:r>
            <w:r>
              <w:rPr>
                <w:rStyle w:val="FootnoteReference"/>
                <w:rFonts w:ascii="Times New Roman" w:hAnsi="Times New Roman" w:cs="Times New Roman"/>
                <w:noProof/>
              </w:rPr>
              <w:footnoteReference w:id="9"/>
            </w:r>
            <w:r>
              <w:rPr>
                <w:rFonts w:ascii="Times New Roman" w:hAnsi="Times New Roman"/>
                <w:noProof/>
              </w:rPr>
              <w:t>.</w:t>
            </w:r>
          </w:p>
          <w:p>
            <w:pPr>
              <w:keepNext/>
              <w:keepLines/>
              <w:shd w:val="clear" w:color="auto" w:fill="FFFFFF" w:themeFill="background1"/>
              <w:spacing w:before="60" w:after="60"/>
              <w:ind w:right="-24"/>
              <w:jc w:val="both"/>
              <w:rPr>
                <w:rFonts w:ascii="Times New Roman" w:hAnsi="Times New Roman" w:cs="Times New Roman"/>
                <w:noProof/>
              </w:rPr>
            </w:pPr>
            <w:r>
              <w:rPr>
                <w:rFonts w:ascii="Times New Roman" w:hAnsi="Times New Roman"/>
                <w:b/>
                <w:noProof/>
              </w:rPr>
              <w:t>Cadrele strategice naționale privind romii ar trebui:</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sprijine crearea de alianțe naționale pentru învățare și inovare în vederea incluziunii – care să reunească actori din întregul ecosistem (organizații relevante ale practicienilor romi, rețele ale mediului de afaceri/industriei, ale incubatoarelor sociale și ale vectorilor schimbării, ambasade, organizații de cercetare);</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lanseze procese de co-creare, la care să participe părțile interesate naționale/regionale, precum și organizațiile filantropice și cele cu scop social pentru a identifica nevoile, resursele disponibile și posibilitățile de acțiune comună sistematică (inclusiv cu sprijinul serviciilor de consultanță disponibile ale UE);</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sprijine incubarea proiectelor orientate spre rezultate care vizează domenii-cheie ale serviciilor sociale (acces la locuințe, la utilități, la infrastructura publică de bază și la servicii etc.);</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acționeze ca un catalizator al metodelor de lucru adaptate diferitelor teme/sectoare în acest domeniu, încurajând actori-cheie din diferite sectoare (public, privat, civil) să colaboreze și consolidând capacitățile lor de acțiune, precum și să permită acumularea de experiență cu privire la aceste metode de lucru;</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experimenteze în domeniul politicilor sociale (de exemplu, oferind venituri de bază garantate) pentru a genera modele și a testa mecanisme alternative de acordare a prestațiilor sociale;</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exploreze mobilizarea capitalului privat și punerea în comun a fondurilor, de exemplu cu organizații filantropice, prin intermediul unor eventuale regimuri de compensare, pentru a răspunde nevoilor nesatisfăcute ale celor mai vulnerabili;</w:t>
            </w:r>
          </w:p>
          <w:p>
            <w:pPr>
              <w:pStyle w:val="ListParagraph"/>
              <w:numPr>
                <w:ilvl w:val="0"/>
                <w:numId w:val="1"/>
              </w:numPr>
              <w:spacing w:before="60" w:after="60" w:line="240" w:lineRule="auto"/>
              <w:ind w:right="-24"/>
              <w:contextualSpacing w:val="0"/>
              <w:rPr>
                <w:rFonts w:ascii="Times New Roman" w:hAnsi="Times New Roman"/>
                <w:noProof/>
                <w:color w:val="000000" w:themeColor="text1"/>
                <w:sz w:val="22"/>
                <w:szCs w:val="22"/>
              </w:rPr>
            </w:pPr>
            <w:r>
              <w:rPr>
                <w:rFonts w:ascii="Times New Roman" w:hAnsi="Times New Roman"/>
                <w:noProof/>
                <w:color w:val="000000" w:themeColor="text1"/>
                <w:sz w:val="22"/>
                <w:szCs w:val="22"/>
              </w:rPr>
              <w:t>să exploreze noi modele de servicii sau de prestații, precum și posibilitatea de a le furniza la o scară mai largă, prin intermediul unor parteneriate orientate spre rezultate;</w:t>
            </w:r>
          </w:p>
          <w:p>
            <w:pPr>
              <w:pStyle w:val="ListParagraph"/>
              <w:numPr>
                <w:ilvl w:val="0"/>
                <w:numId w:val="1"/>
              </w:numPr>
              <w:spacing w:before="60" w:after="60" w:line="240" w:lineRule="auto"/>
              <w:ind w:right="-24"/>
              <w:contextualSpacing w:val="0"/>
              <w:rPr>
                <w:rFonts w:ascii="Times New Roman" w:hAnsi="Times New Roman"/>
                <w:noProof/>
              </w:rPr>
            </w:pPr>
            <w:r>
              <w:rPr>
                <w:rFonts w:ascii="Times New Roman" w:hAnsi="Times New Roman"/>
                <w:noProof/>
                <w:color w:val="000000" w:themeColor="text1"/>
                <w:sz w:val="22"/>
                <w:szCs w:val="22"/>
              </w:rPr>
              <w:t xml:space="preserve">să sprijine punerea în comun a fondurilor și </w:t>
            </w:r>
            <w:r>
              <w:rPr>
                <w:rFonts w:ascii="Times New Roman" w:hAnsi="Times New Roman"/>
                <w:noProof/>
                <w:sz w:val="22"/>
                <w:szCs w:val="22"/>
              </w:rPr>
              <w:t>integrarea finanțării direcționate și flexibile și</w:t>
            </w:r>
          </w:p>
          <w:p>
            <w:pPr>
              <w:pStyle w:val="ListParagraph"/>
              <w:numPr>
                <w:ilvl w:val="0"/>
                <w:numId w:val="1"/>
              </w:numPr>
              <w:spacing w:before="60" w:after="60" w:line="240" w:lineRule="auto"/>
              <w:ind w:right="-24"/>
              <w:contextualSpacing w:val="0"/>
              <w:rPr>
                <w:rFonts w:ascii="Times New Roman" w:hAnsi="Times New Roman"/>
                <w:noProof/>
              </w:rPr>
            </w:pPr>
            <w:r>
              <w:rPr>
                <w:rFonts w:ascii="Times New Roman" w:hAnsi="Times New Roman"/>
                <w:noProof/>
                <w:sz w:val="22"/>
                <w:szCs w:val="22"/>
              </w:rPr>
              <w:t xml:space="preserve">să sprijine înființarea de </w:t>
            </w:r>
            <w:r>
              <w:rPr>
                <w:rFonts w:ascii="Times New Roman" w:hAnsi="Times New Roman"/>
                <w:noProof/>
                <w:color w:val="000000" w:themeColor="text1"/>
                <w:sz w:val="22"/>
                <w:szCs w:val="22"/>
              </w:rPr>
              <w:t>centre de competență în materie de inovare socială (care să fie sprijinite prin activități transnaționale în cadrul FSE+) și să le mandateze să sprijine nevoile în materie de incluziune ale romilor.</w:t>
            </w:r>
          </w:p>
        </w:tc>
      </w:tr>
    </w:tbl>
    <w:p>
      <w:pPr>
        <w:ind w:right="-24"/>
        <w:rPr>
          <w:rFonts w:cstheme="minorHAnsi"/>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487508"/>
      <w:docPartObj>
        <w:docPartGallery w:val="Page Numbers (Bottom of Page)"/>
        <w:docPartUnique/>
      </w:docPartObj>
    </w:sdtPr>
    <w:sdtEndPr>
      <w:rPr>
        <w:sz w:val="18"/>
        <w:szCs w:val="18"/>
      </w:rPr>
    </w:sdtEndPr>
    <w:sdtContent>
      <w:p>
        <w:pPr>
          <w:pStyle w:val="Footer"/>
          <w:jc w:val="center"/>
          <w:rPr>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noProof/>
            <w:sz w:val="18"/>
            <w:szCs w:val="18"/>
          </w:rPr>
          <w:t>1</w:t>
        </w:r>
        <w:r>
          <w:rPr>
            <w:rFonts w:ascii="Times New Roman" w:hAnsi="Times New Roman" w:cs="Times New Roman"/>
            <w:sz w:val="18"/>
            <w:szCs w:val="18"/>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line="240" w:lineRule="auto"/>
        <w:ind w:left="284" w:hanging="284"/>
        <w:jc w:val="both"/>
        <w:rPr>
          <w:rFonts w:ascii="Times New Roman" w:hAnsi="Times New Roman" w:cs="Times New Roman"/>
          <w:color w:val="000000" w:themeColor="text1"/>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hyperlink r:id="rId1" w:history="1">
        <w:r>
          <w:rPr>
            <w:rStyle w:val="Hyperlink"/>
            <w:rFonts w:ascii="Times New Roman" w:hAnsi="Times New Roman"/>
            <w:i/>
            <w:sz w:val="19"/>
            <w:szCs w:val="19"/>
          </w:rPr>
          <w:t>Antigypsyism – a reference paper</w:t>
        </w:r>
        <w:r>
          <w:rPr>
            <w:rStyle w:val="Hyperlink"/>
            <w:rFonts w:ascii="Times New Roman" w:hAnsi="Times New Roman"/>
            <w:sz w:val="19"/>
            <w:szCs w:val="19"/>
          </w:rPr>
          <w:t xml:space="preserve"> („Atitudini negative față de romi – un document de referință”)</w:t>
        </w:r>
      </w:hyperlink>
      <w:r>
        <w:rPr>
          <w:rFonts w:ascii="Times New Roman" w:hAnsi="Times New Roman"/>
          <w:sz w:val="19"/>
          <w:szCs w:val="19"/>
        </w:rPr>
        <w:t xml:space="preserve">, Berlin/Budapesta, 2017; </w:t>
      </w:r>
      <w:hyperlink r:id="rId2" w:history="1">
        <w:r>
          <w:rPr>
            <w:rStyle w:val="Hyperlink"/>
            <w:rFonts w:ascii="Times New Roman" w:hAnsi="Times New Roman"/>
            <w:sz w:val="19"/>
            <w:szCs w:val="19"/>
          </w:rPr>
          <w:t>Rezoluția Parlamentului European din 15 aprilie 2015 referitoare la Ziua internațională a romilor – atitudini antițigănești în Europa și recunoașterea de către UE a Zilei de comemorare a genocidului împotriva romilor în al Doilea Război Mondial</w:t>
        </w:r>
      </w:hyperlink>
      <w:r>
        <w:rPr>
          <w:rFonts w:ascii="Times New Roman" w:hAnsi="Times New Roman"/>
          <w:sz w:val="19"/>
          <w:szCs w:val="19"/>
        </w:rPr>
        <w:t xml:space="preserve">; </w:t>
      </w:r>
      <w:hyperlink r:id="rId3" w:history="1">
        <w:r>
          <w:rPr>
            <w:rStyle w:val="Hyperlink"/>
            <w:rFonts w:ascii="Times New Roman" w:hAnsi="Times New Roman"/>
            <w:sz w:val="19"/>
            <w:szCs w:val="19"/>
          </w:rPr>
          <w:t>Raportul Parlamentului European referitor la aspecte legate de drepturile fundamentale în ceea ce privește integrarea romilor în UE: combaterea atitudinilor negative față de romi (2017/2038 (INI))</w:t>
        </w:r>
      </w:hyperlink>
      <w:r>
        <w:rPr>
          <w:rFonts w:ascii="Times New Roman" w:hAnsi="Times New Roman"/>
          <w:sz w:val="19"/>
          <w:szCs w:val="19"/>
        </w:rPr>
        <w:t xml:space="preserve">; </w:t>
      </w:r>
      <w:hyperlink r:id="rId4" w:history="1">
        <w:r>
          <w:rPr>
            <w:rStyle w:val="Hyperlink"/>
            <w:rFonts w:ascii="Times New Roman" w:hAnsi="Times New Roman"/>
            <w:sz w:val="19"/>
            <w:szCs w:val="19"/>
          </w:rPr>
          <w:t>Rezoluția Parlamentului European din 12 februarie 2019 referitoare la necesitatea de a consolida cadrul strategic al UE pentru strategiile naționale de integrare a romilor post-2020 și de a intensifica lupta împotriva atitudinilor negative față de romi</w:t>
        </w:r>
      </w:hyperlink>
      <w:r>
        <w:rPr>
          <w:rFonts w:ascii="Times New Roman" w:hAnsi="Times New Roman"/>
          <w:sz w:val="19"/>
          <w:szCs w:val="19"/>
        </w:rPr>
        <w:t xml:space="preserve">; </w:t>
      </w:r>
      <w:hyperlink r:id="rId5" w:history="1">
        <w:r>
          <w:rPr>
            <w:rStyle w:val="Hyperlink"/>
            <w:rFonts w:ascii="Times New Roman" w:hAnsi="Times New Roman"/>
            <w:sz w:val="19"/>
            <w:szCs w:val="19"/>
          </w:rPr>
          <w:t>Recomandarea de politică generală nr. 13 a ECRI 2012 privind combaterea anti-țiganismului și discriminării împotriva romilor</w:t>
        </w:r>
      </w:hyperlink>
      <w:r>
        <w:rPr>
          <w:rFonts w:ascii="Times New Roman" w:hAnsi="Times New Roman"/>
          <w:sz w:val="19"/>
          <w:szCs w:val="19"/>
        </w:rPr>
        <w:t xml:space="preserve">; </w:t>
      </w:r>
      <w:hyperlink r:id="rId6" w:history="1">
        <w:r>
          <w:rPr>
            <w:rStyle w:val="Hyperlink"/>
            <w:rFonts w:ascii="Times New Roman" w:hAnsi="Times New Roman"/>
            <w:sz w:val="19"/>
            <w:szCs w:val="19"/>
          </w:rPr>
          <w:t>Consiliul Europei, Declarația Comitetului de Miniștri privind proliferarea în Europa a atitudinilor negative și a violenței rasiste îndreptate împotriva romilor</w:t>
        </w:r>
      </w:hyperlink>
      <w:r>
        <w:rPr>
          <w:rStyle w:val="Hyperlink"/>
          <w:rFonts w:ascii="Times New Roman" w:hAnsi="Times New Roman"/>
          <w:sz w:val="19"/>
          <w:szCs w:val="19"/>
          <w:u w:val="none"/>
        </w:rPr>
        <w:t>.</w:t>
      </w:r>
    </w:p>
  </w:footnote>
  <w:footnote w:id="2">
    <w:p>
      <w:pPr>
        <w:pStyle w:val="FootnoteText"/>
        <w:ind w:left="284" w:hanging="284"/>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r>
        <w:rPr>
          <w:rFonts w:ascii="Times New Roman" w:hAnsi="Times New Roman"/>
          <w:sz w:val="19"/>
          <w:szCs w:val="19"/>
        </w:rPr>
        <w:t xml:space="preserve">Discriminarea sistemică rezultă din inegalitățile care fac parte integrantă din legislație, politici și practici. Adesea, acest fenomen nu este intenționat, ci este cauzat de o serie de factori instituționali implicați în formularea, punerea în aplicare și revizuirea legislației, a politicilor și a practicilor. A se vedea </w:t>
      </w:r>
      <w:hyperlink r:id="rId7" w:history="1">
        <w:r>
          <w:rPr>
            <w:rStyle w:val="Hyperlink"/>
            <w:rFonts w:ascii="Times New Roman" w:hAnsi="Times New Roman"/>
            <w:i/>
            <w:iCs/>
            <w:sz w:val="19"/>
            <w:szCs w:val="19"/>
          </w:rPr>
          <w:t>Roma and traveller inclusion: towards a new EU framework, learning from the work of equality bodies</w:t>
        </w:r>
      </w:hyperlink>
      <w:r>
        <w:rPr>
          <w:rStyle w:val="Hyperlink"/>
          <w:rFonts w:ascii="Times New Roman" w:hAnsi="Times New Roman"/>
          <w:i/>
          <w:iCs/>
          <w:sz w:val="19"/>
          <w:szCs w:val="19"/>
        </w:rPr>
        <w:t xml:space="preserve"> </w:t>
      </w:r>
      <w:hyperlink r:id="rId8" w:history="1">
        <w:r>
          <w:rPr>
            <w:rStyle w:val="Hyperlink"/>
            <w:rFonts w:ascii="Times New Roman" w:hAnsi="Times New Roman"/>
            <w:sz w:val="19"/>
            <w:szCs w:val="19"/>
          </w:rPr>
          <w:t>(„Incluziunea romilor și a nomazilor: către un nou cadru al UE, învățăminte desprinse din activitatea desfășurată de organismele de promovare a egalității”)</w:t>
        </w:r>
      </w:hyperlink>
      <w:r>
        <w:rPr>
          <w:rStyle w:val="Hyperlink"/>
          <w:rFonts w:ascii="Times New Roman" w:hAnsi="Times New Roman"/>
          <w:sz w:val="19"/>
          <w:szCs w:val="19"/>
          <w:u w:val="none"/>
        </w:rPr>
        <w:t>.</w:t>
      </w:r>
    </w:p>
  </w:footnote>
  <w:footnote w:id="3">
    <w:p>
      <w:pPr>
        <w:pStyle w:val="FootnoteText"/>
        <w:ind w:left="284" w:hanging="284"/>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r>
        <w:rPr>
          <w:rFonts w:ascii="Times New Roman" w:hAnsi="Times New Roman"/>
          <w:sz w:val="19"/>
          <w:szCs w:val="19"/>
        </w:rPr>
        <w:tab/>
        <w:t xml:space="preserve">Violetta Zentai, Georgeta Munteanu și Simona Torotcoi, </w:t>
      </w:r>
      <w:hyperlink r:id="rId9" w:history="1">
        <w:r>
          <w:rPr>
            <w:rStyle w:val="Hyperlink"/>
            <w:rFonts w:ascii="Times New Roman" w:hAnsi="Times New Roman"/>
            <w:i/>
            <w:sz w:val="19"/>
            <w:szCs w:val="19"/>
          </w:rPr>
          <w:t>The quality of participation in a post-2020 EU initiative for Roma equality and inclusion</w:t>
        </w:r>
        <w:r>
          <w:rPr>
            <w:rStyle w:val="Hyperlink"/>
            <w:rFonts w:ascii="Times New Roman" w:hAnsi="Times New Roman"/>
            <w:sz w:val="19"/>
            <w:szCs w:val="19"/>
          </w:rPr>
          <w:t xml:space="preserve"> („Calitatea participării la o inițiativă a UE pentru egalitatea și incluziunea romilor post-2020”)</w:t>
        </w:r>
      </w:hyperlink>
      <w:r>
        <w:rPr>
          <w:rFonts w:ascii="Times New Roman" w:hAnsi="Times New Roman"/>
          <w:sz w:val="19"/>
          <w:szCs w:val="19"/>
        </w:rPr>
        <w:t>, rapoarte de expertiză bazate pe aspecte prospective ale evaluării cadrului UE pentru strategiile naționale de integrare a romilor, 2020, p. 41, 59-60.</w:t>
      </w:r>
    </w:p>
  </w:footnote>
  <w:footnote w:id="4">
    <w:p>
      <w:pPr>
        <w:pStyle w:val="FootnoteText"/>
        <w:ind w:left="284" w:hanging="284"/>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hyperlink r:id="rId10" w:history="1">
        <w:r>
          <w:rPr>
            <w:rStyle w:val="Hyperlink"/>
            <w:rFonts w:ascii="Times New Roman" w:hAnsi="Times New Roman"/>
            <w:sz w:val="19"/>
            <w:szCs w:val="19"/>
          </w:rPr>
          <w:t>Directiva privind apa potabilă</w:t>
        </w:r>
      </w:hyperlink>
      <w:r>
        <w:rPr>
          <w:rFonts w:ascii="Times New Roman" w:hAnsi="Times New Roman"/>
          <w:sz w:val="19"/>
          <w:szCs w:val="19"/>
        </w:rPr>
        <w:t xml:space="preserve"> [considerentul 31; articolul (16)] prevede obligația statelor membre de a ține seama de situația specifică a culturilor minoritare, cum ar fi romii și nomazii, stabiliți sau nu, prin luarea măsurilor necesare pentru îmbunătățirea accesului acestora la apa destinată consumului uman.</w:t>
      </w:r>
    </w:p>
  </w:footnote>
  <w:footnote w:id="5">
    <w:p>
      <w:pPr>
        <w:pStyle w:val="FootnoteText"/>
        <w:jc w:val="both"/>
        <w:rPr>
          <w:rFonts w:ascii="Times New Roman" w:hAnsi="Times New Roman" w:cs="Times New Roman"/>
          <w:sz w:val="18"/>
          <w:szCs w:val="18"/>
        </w:rPr>
      </w:pPr>
      <w:r>
        <w:rPr>
          <w:rStyle w:val="FootnoteReference"/>
        </w:rPr>
        <w:footnoteRef/>
      </w:r>
      <w:r>
        <w:rPr>
          <w:rFonts w:ascii="Times New Roman" w:hAnsi="Times New Roman"/>
          <w:sz w:val="18"/>
          <w:szCs w:val="18"/>
        </w:rPr>
        <w:t xml:space="preserve"> </w:t>
      </w:r>
      <w:hyperlink r:id="rId11" w:history="1">
        <w:r>
          <w:rPr>
            <w:rStyle w:val="Hyperlink"/>
            <w:rFonts w:ascii="Times New Roman" w:hAnsi="Times New Roman"/>
            <w:sz w:val="18"/>
            <w:szCs w:val="18"/>
          </w:rPr>
          <w:t>Cadrul competențelor digitale pentru cetățeni</w:t>
        </w:r>
      </w:hyperlink>
      <w:r>
        <w:rPr>
          <w:rFonts w:ascii="Times New Roman" w:hAnsi="Times New Roman"/>
          <w:sz w:val="18"/>
          <w:szCs w:val="18"/>
        </w:rPr>
        <w:t xml:space="preserve"> identifică cinci componente ale competenței digitale: alfabetizarea în domeniul informației și al datelor, comunicarea și colaborarea, crearea de conținuturi digitale, siguranța și soluționarea problemelor în mediul digital.</w:t>
      </w:r>
    </w:p>
  </w:footnote>
  <w:footnote w:id="6">
    <w:p>
      <w:pPr>
        <w:pStyle w:val="FootnoteText"/>
        <w:jc w:val="both"/>
      </w:pPr>
      <w:r>
        <w:rPr>
          <w:rStyle w:val="FootnoteReference"/>
        </w:rPr>
        <w:footnoteRef/>
      </w:r>
      <w:r>
        <w:rPr>
          <w:rFonts w:ascii="Times New Roman" w:hAnsi="Times New Roman"/>
          <w:sz w:val="18"/>
          <w:szCs w:val="18"/>
        </w:rPr>
        <w:t xml:space="preserve"> </w:t>
      </w:r>
      <w:hyperlink r:id="rId12" w:history="1">
        <w:r>
          <w:rPr>
            <w:rStyle w:val="Hyperlink"/>
            <w:rFonts w:ascii="Times New Roman" w:hAnsi="Times New Roman"/>
            <w:sz w:val="18"/>
            <w:szCs w:val="18"/>
          </w:rPr>
          <w:t>Cadrul competențelor digitale pentru cetățeni</w:t>
        </w:r>
      </w:hyperlink>
      <w:r>
        <w:rPr>
          <w:rFonts w:ascii="Times New Roman" w:hAnsi="Times New Roman"/>
          <w:sz w:val="18"/>
          <w:szCs w:val="18"/>
        </w:rPr>
        <w:t xml:space="preserve"> definește alfabetizarea în domeniul informației și al datelor/ alfabetizarea digitală drept capacitatea </w:t>
      </w:r>
      <w:r>
        <w:rPr>
          <w:rFonts w:ascii="Times New Roman" w:hAnsi="Times New Roman"/>
          <w:color w:val="000000"/>
          <w:sz w:val="18"/>
          <w:szCs w:val="18"/>
        </w:rPr>
        <w:t>de a enunța cu claritate nevoile de informare, de a localiza și a extrage date, informații și conținuturi digitale, de a evalua relevanța sursei și a conținutului acesteia, precum și de a stoca, a gestiona și a organiza datele, informațiile și conținuturile digitale.</w:t>
      </w:r>
    </w:p>
  </w:footnote>
  <w:footnote w:id="7">
    <w:p>
      <w:pPr>
        <w:pStyle w:val="FootnoteText"/>
        <w:ind w:left="284" w:hanging="284"/>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w:t>
      </w:r>
      <w:r>
        <w:tab/>
      </w:r>
      <w:r>
        <w:rPr>
          <w:rFonts w:ascii="Times New Roman" w:hAnsi="Times New Roman"/>
          <w:sz w:val="19"/>
          <w:szCs w:val="19"/>
        </w:rPr>
        <w:t xml:space="preserve">Discriminarea de mediu este resimțită de romii care trăiesc în așezări segregate, într-un mediu periculos (în apropierea gropilor de gunoi, a zonelor industriale abandonate sau a zonelor expuse la inundații), lipsiți de servicii de bază în materie de mediu, cum ar fi gestionarea apei și a deșeurilor. A se vedea </w:t>
      </w:r>
      <w:hyperlink r:id="rId13" w:history="1">
        <w:r>
          <w:rPr>
            <w:rStyle w:val="Hyperlink"/>
            <w:rFonts w:ascii="Times New Roman" w:hAnsi="Times New Roman"/>
            <w:i/>
            <w:sz w:val="19"/>
            <w:szCs w:val="19"/>
          </w:rPr>
          <w:t>Pushed to the wastelands:</w:t>
        </w:r>
      </w:hyperlink>
      <w:hyperlink r:id="rId14" w:history="1">
        <w:r>
          <w:rPr>
            <w:rStyle w:val="Hyperlink"/>
            <w:rFonts w:ascii="Times New Roman" w:hAnsi="Times New Roman"/>
            <w:i/>
            <w:sz w:val="19"/>
            <w:szCs w:val="19"/>
          </w:rPr>
          <w:t xml:space="preserve"> environmental racism against Roma communities in central and Eastern Europe</w:t>
        </w:r>
      </w:hyperlink>
      <w:r>
        <w:t xml:space="preserve"> </w:t>
      </w:r>
      <w:hyperlink r:id="rId15" w:history="1">
        <w:r>
          <w:rPr>
            <w:rStyle w:val="Hyperlink"/>
            <w:rFonts w:ascii="Times New Roman" w:hAnsi="Times New Roman"/>
            <w:sz w:val="19"/>
            <w:szCs w:val="19"/>
          </w:rPr>
          <w:t>(„Împinși către depozitele de deșeuri: rasismul de mediu împotriva comunităților rome din Europa Centrală și de Est”)</w:t>
        </w:r>
      </w:hyperlink>
      <w:r>
        <w:t>.</w:t>
      </w:r>
      <w:r>
        <w:rPr>
          <w:rFonts w:ascii="Times New Roman" w:hAnsi="Times New Roman"/>
          <w:sz w:val="19"/>
          <w:szCs w:val="19"/>
        </w:rPr>
        <w:t xml:space="preserve"> Pentru explicații conceptuale și resurse, a se vedea </w:t>
      </w:r>
      <w:hyperlink r:id="rId16" w:history="1">
        <w:r>
          <w:rPr>
            <w:rStyle w:val="Hyperlink"/>
            <w:rFonts w:ascii="Times New Roman" w:hAnsi="Times New Roman"/>
            <w:sz w:val="19"/>
            <w:szCs w:val="19"/>
          </w:rPr>
          <w:t>site-ul web</w:t>
        </w:r>
      </w:hyperlink>
      <w:r>
        <w:t xml:space="preserve"> </w:t>
      </w:r>
      <w:r>
        <w:rPr>
          <w:rFonts w:ascii="Times New Roman" w:hAnsi="Times New Roman"/>
          <w:sz w:val="19"/>
          <w:szCs w:val="19"/>
        </w:rPr>
        <w:t>al Rețelei de justiție în domeniul energiei.</w:t>
      </w:r>
    </w:p>
  </w:footnote>
  <w:footnote w:id="8">
    <w:p>
      <w:pPr>
        <w:pStyle w:val="FootnoteText"/>
        <w:jc w:val="both"/>
        <w:rPr>
          <w:rFonts w:ascii="Times New Roman" w:hAnsi="Times New Roman" w:cs="Times New Roman"/>
          <w:sz w:val="19"/>
          <w:szCs w:val="19"/>
        </w:rPr>
      </w:pPr>
      <w:r>
        <w:rPr>
          <w:rStyle w:val="FootnoteReference"/>
          <w:rFonts w:ascii="Times New Roman" w:hAnsi="Times New Roman" w:cs="Times New Roman"/>
          <w:sz w:val="19"/>
          <w:szCs w:val="19"/>
        </w:rPr>
        <w:footnoteRef/>
      </w:r>
      <w:r>
        <w:rPr>
          <w:rFonts w:ascii="Times New Roman" w:hAnsi="Times New Roman"/>
          <w:sz w:val="19"/>
          <w:szCs w:val="19"/>
        </w:rPr>
        <w:t xml:space="preserve"> Cf. Propunerii 2018/0206 COD a Comisiei de Regulament al Parlamentului European și al Consiliului privind Fondul social european Plus (FSE+) [</w:t>
      </w:r>
      <w:hyperlink r:id="rId17" w:history="1">
        <w:r>
          <w:rPr>
            <w:rStyle w:val="Hyperlink"/>
            <w:rFonts w:ascii="Times New Roman" w:hAnsi="Times New Roman"/>
            <w:sz w:val="19"/>
            <w:szCs w:val="19"/>
          </w:rPr>
          <w:t>COM(2018) 382 final</w:t>
        </w:r>
      </w:hyperlink>
      <w:r>
        <w:rPr>
          <w:rFonts w:ascii="Times New Roman" w:hAnsi="Times New Roman"/>
          <w:sz w:val="19"/>
          <w:szCs w:val="19"/>
        </w:rPr>
        <w:t>], 30.5.2018, articolul (2) punctul 16.</w:t>
      </w:r>
    </w:p>
  </w:footnote>
  <w:footnote w:id="9">
    <w:p>
      <w:pPr>
        <w:pStyle w:val="FootnoteText"/>
        <w:jc w:val="both"/>
      </w:pPr>
      <w:r>
        <w:rPr>
          <w:rStyle w:val="FootnoteReference"/>
          <w:rFonts w:ascii="Times New Roman" w:hAnsi="Times New Roman" w:cs="Times New Roman"/>
          <w:sz w:val="19"/>
          <w:szCs w:val="19"/>
        </w:rPr>
        <w:footnoteRef/>
      </w:r>
      <w:r>
        <w:rPr>
          <w:rFonts w:ascii="Times New Roman" w:hAnsi="Times New Roman"/>
          <w:sz w:val="19"/>
          <w:szCs w:val="19"/>
        </w:rPr>
        <w:t xml:space="preserve"> </w:t>
      </w:r>
      <w:r>
        <w:rPr>
          <w:rFonts w:ascii="Times New Roman" w:hAnsi="Times New Roman"/>
          <w:i/>
          <w:sz w:val="19"/>
          <w:szCs w:val="19"/>
        </w:rPr>
        <w:t>Ibid</w:t>
      </w:r>
      <w:r>
        <w:rPr>
          <w:rFonts w:ascii="Times New Roman" w:hAnsi="Times New Roman"/>
          <w:sz w:val="19"/>
          <w:szCs w:val="19"/>
        </w:rPr>
        <w:t>., articolul (2) punctul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GB"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583680" cy="1645920"/>
              <wp:effectExtent l="0" t="1771650" r="0" b="16973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83680" cy="1645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NormalWeb"/>
                            <w:spacing w:before="0" w:beforeAutospacing="0" w:after="0" w:afterAutospacing="0"/>
                            <w:jc w:val="center"/>
                          </w:pPr>
                          <w:r>
                            <w:rPr>
                              <w:rFonts w:ascii="Calibri" w:hAnsi="Calibri"/>
                              <w:color w:val="7F7F7F" w:themeColor="text1" w:themeTint="80"/>
                              <w:sz w:val="2"/>
                              <w:szCs w:val="2"/>
                              <w14:textFill>
                                <w14:solidFill>
                                  <w14:schemeClr w14:val="tx1">
                                    <w14:alpha w14:val="50000"/>
                                    <w14:lumMod w14:val="50000"/>
                                    <w14:lumOff w14:val="50000"/>
                                  </w14:schemeClr>
                                </w14:solidFill>
                              </w14:textFill>
                            </w:rPr>
                            <w:t>Internal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518.4pt;height:129.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" o:allowincell="f" filled="f" stroked="f">
              <v:stroke joinstyle="round"/>
              <o:lock v:ext="edit" shapetype="t"/>
              <v:textbox style="mso-fit-shape-to-text:t">
                <w:txbxContent>
                  <w:p>
                    <w:pPr>
                      <w:pStyle w:val="NormalWeb"/>
                      <w:spacing w:before="0" w:beforeAutospacing="0" w:after="0" w:afterAutospacing="0"/>
                      <w:jc w:val="center"/>
                    </w:pPr>
                    <w:r>
                      <w:rPr>
                        <w:rFonts w:ascii="Calibri" w:hAnsi="Calibri"/>
                        <w:color w:val="7F7F7F" w:themeColor="text1" w:themeTint="80"/>
                        <w:sz w:val="2"/>
                        <w:szCs w:val="2"/>
                        <w14:textFill>
                          <w14:solidFill>
                            <w14:schemeClr w14:val="tx1">
                              <w14:alpha w14:val="50000"/>
                              <w14:lumMod w14:val="50000"/>
                              <w14:lumOff w14:val="50000"/>
                            </w14:schemeClr>
                          </w14:solidFill>
                        </w14:textFill>
                      </w:rPr>
                      <w:t>Internal 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GB" w:eastAsia="en-GB"/>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583680" cy="1645920"/>
              <wp:effectExtent l="0" t="1771650" r="0" b="16973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83680" cy="1645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pPr>
                            <w:pStyle w:val="NormalWeb"/>
                            <w:spacing w:before="0" w:beforeAutospacing="0" w:after="0" w:afterAutospacing="0"/>
                            <w:jc w:val="center"/>
                          </w:pPr>
                          <w:r>
                            <w:rPr>
                              <w:rFonts w:ascii="Calibri" w:hAnsi="Calibri"/>
                              <w:color w:val="7F7F7F" w:themeColor="text1" w:themeTint="80"/>
                              <w:sz w:val="2"/>
                              <w:szCs w:val="2"/>
                              <w14:textFill>
                                <w14:solidFill>
                                  <w14:schemeClr w14:val="tx1">
                                    <w14:alpha w14:val="50000"/>
                                    <w14:lumMod w14:val="50000"/>
                                    <w14:lumOff w14:val="50000"/>
                                  </w14:schemeClr>
                                </w14:solidFill>
                              </w14:textFill>
                            </w:rPr>
                            <w:t>Internal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518.4pt;height:129.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" o:allowincell="f" filled="f" stroked="f">
              <v:stroke joinstyle="round"/>
              <o:lock v:ext="edit" shapetype="t"/>
              <v:textbox style="mso-fit-shape-to-text:t">
                <w:txbxContent>
                  <w:p>
                    <w:pPr>
                      <w:pStyle w:val="NormalWeb"/>
                      <w:spacing w:before="0" w:beforeAutospacing="0" w:after="0" w:afterAutospacing="0"/>
                      <w:jc w:val="center"/>
                    </w:pPr>
                    <w:r>
                      <w:rPr>
                        <w:rFonts w:ascii="Calibri" w:hAnsi="Calibri"/>
                        <w:color w:val="7F7F7F" w:themeColor="text1" w:themeTint="80"/>
                        <w:sz w:val="2"/>
                        <w:szCs w:val="2"/>
                        <w14:textFill>
                          <w14:solidFill>
                            <w14:schemeClr w14:val="tx1">
                              <w14:alpha w14:val="50000"/>
                              <w14:lumMod w14:val="50000"/>
                              <w14:lumOff w14:val="50000"/>
                            </w14:schemeClr>
                          </w14:solidFill>
                        </w14:textFill>
                      </w:rPr>
                      <w:t>Internal 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E58B7"/>
    <w:multiLevelType w:val="hybridMultilevel"/>
    <w:tmpl w:val="7C508B4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17F83ED7"/>
    <w:multiLevelType w:val="hybridMultilevel"/>
    <w:tmpl w:val="FC7A96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8466082"/>
    <w:multiLevelType w:val="hybridMultilevel"/>
    <w:tmpl w:val="72AC9D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nsid w:val="2CAA1ED9"/>
    <w:multiLevelType w:val="hybridMultilevel"/>
    <w:tmpl w:val="BAF8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600B9"/>
    <w:multiLevelType w:val="hybridMultilevel"/>
    <w:tmpl w:val="F07419FA"/>
    <w:lvl w:ilvl="0" w:tplc="01EC09CE">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nsid w:val="40A365C1"/>
    <w:multiLevelType w:val="hybridMultilevel"/>
    <w:tmpl w:val="F74C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C36B5B"/>
    <w:multiLevelType w:val="hybridMultilevel"/>
    <w:tmpl w:val="85A6ADE6"/>
    <w:lvl w:ilvl="0" w:tplc="01EC09CE">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nsid w:val="6C7D5596"/>
    <w:multiLevelType w:val="hybridMultilevel"/>
    <w:tmpl w:val="4ABC6AF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nsid w:val="6E0A4F56"/>
    <w:multiLevelType w:val="hybridMultilevel"/>
    <w:tmpl w:val="A92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5"/>
  </w:num>
  <w:num w:numId="5">
    <w:abstractNumId w:val="3"/>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a"/>
    <w:docVar w:name="LW_ANNEX_NBR_FIRST" w:val="1"/>
    <w:docVar w:name="LW_ANNEX_NBR_LAST" w:val="1"/>
    <w:docVar w:name="LW_ANNEX_UNIQUE" w:val="0"/>
    <w:docVar w:name="LW_CORRIGENDUM" w:val="&lt;UNUSED&gt;"/>
    <w:docVar w:name="LW_COVERPAGE_EXISTS" w:val="True"/>
    <w:docVar w:name="LW_COVERPAGE_GUID" w:val="61946A7A-4DF3-4309-B209-71A9A967E6F5"/>
    <w:docVar w:name="LW_COVERPAGE_TYPE" w:val="1"/>
    <w:docVar w:name="LW_CROSSREFERENCE" w:val="{SWD(2020) 530 final}"/>
    <w:docVar w:name="LW_DocType" w:val="NORMAL"/>
    <w:docVar w:name="LW_EMISSION" w:val="7.10.2020"/>
    <w:docVar w:name="LW_EMISSION_ISODATE" w:val="2020-10-07"/>
    <w:docVar w:name="LW_EMISSION_LOCATION" w:val="BRX"/>
    <w:docVar w:name="LW_EMISSION_PREFIX" w:val="Bruxelles, "/>
    <w:docVar w:name="LW_EMISSION_SUFFIX" w:val=" "/>
    <w:docVar w:name="LW_ID_DOCTYPE_NONLW" w:val="CP-039"/>
    <w:docVar w:name="LW_LANGUE" w:val="RO"/>
    <w:docVar w:name="LW_LEVEL_OF_SENSITIVITY" w:val="Standard treatment"/>
    <w:docVar w:name="LW_NOM.INST" w:val="COMISIA EUROPEAN\u258?"/>
    <w:docVar w:name="LW_NOM.INST_JOINTDOC" w:val="&lt;EMPTY&gt;"/>
    <w:docVar w:name="LW_OBJETACTEPRINCIPAL.CP" w:val="O Uniune a egalit\u259?\u539?ii:_x000d__x000d__x000d__x000d__x000d__x000d__x000d__x000d__x000b_Cadrul strategic al UE pentru egalitatea, incluziunea \u537?i participarea romilor"/>
    <w:docVar w:name="LW_PART_NBR" w:val="1"/>
    <w:docVar w:name="LW_PART_NBR_TOTAL" w:val="1"/>
    <w:docVar w:name="LW_REF.INST.NEW" w:val="COM"/>
    <w:docVar w:name="LW_REF.INST.NEW_ADOPTED" w:val="final"/>
    <w:docVar w:name="LW_REF.INST.NEW_TEXT" w:val="(2020) 6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u258?_x000b_"/>
    <w:docVar w:name="LW_TYPEACTEPRINCIPAL.CP" w:val="COMUNICAREA COMISIEI C\u258?TRE PARLAMENTUL EUROPEAN \u536?I CONSILIU"/>
    <w:docVar w:name="Stamp" w:val="\\dossiers.dgt.cec.eu.int\dossiers\JUST\JUST-2020-03278\JUST-2020-03278-00-01-EN-EDT-00.202007070940194183075.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spacing w:after="120" w:line="259" w:lineRule="auto"/>
      <w:ind w:left="720"/>
      <w:contextualSpacing/>
      <w:jc w:val="both"/>
    </w:pPr>
    <w:rPr>
      <w:rFonts w:ascii="Verdana" w:eastAsia="Times New Roman" w:hAnsi="Verdana" w:cs="Times New Roman"/>
      <w:sz w:val="20"/>
      <w:szCs w:val="20"/>
      <w:lang w:eastAsia="en-GB"/>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f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qFormat/>
    <w:pPr>
      <w:spacing w:after="160" w:line="240" w:lineRule="exact"/>
      <w:jc w:val="both"/>
    </w:pPr>
    <w:rPr>
      <w:vertAlign w:val="superscript"/>
    </w:rPr>
  </w:style>
  <w:style w:type="paragraph" w:styleId="CommentText">
    <w:name w:val="annotation text"/>
    <w:basedOn w:val="Normal"/>
    <w:link w:val="CommentTextChar"/>
    <w:uiPriority w:val="99"/>
    <w:unhideWhenUsed/>
    <w:pPr>
      <w:spacing w:after="16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rPr>
      <w:rFonts w:ascii="Verdana" w:eastAsia="Times New Roman" w:hAnsi="Verdana" w:cs="Times New Roman"/>
      <w:sz w:val="20"/>
      <w:szCs w:val="20"/>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1st level - Bullet List Paragraph,List Paragraph1,Lettre d'introduction,Paragrafo elenco,Medium Grid 1 - Accent 21,Fiche List Paragraph,body,Odsek zoznamu2,Odsek zoznamu1,3,Bullet 1,Bullet Points,Colorful List - Accent 11,Dot pt,Bulle,2"/>
    <w:basedOn w:val="Normal"/>
    <w:link w:val="ListParagraphChar"/>
    <w:uiPriority w:val="34"/>
    <w:qFormat/>
    <w:pPr>
      <w:spacing w:after="120" w:line="259" w:lineRule="auto"/>
      <w:ind w:left="720"/>
      <w:contextualSpacing/>
      <w:jc w:val="both"/>
    </w:pPr>
    <w:rPr>
      <w:rFonts w:ascii="Verdana" w:eastAsia="Times New Roman" w:hAnsi="Verdana" w:cs="Times New Roman"/>
      <w:sz w:val="20"/>
      <w:szCs w:val="20"/>
      <w:lang w:eastAsia="en-GB"/>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f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uiPriority w:val="99"/>
    <w:qFormat/>
    <w:rPr>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qFormat/>
    <w:pPr>
      <w:spacing w:after="160" w:line="240" w:lineRule="exact"/>
      <w:jc w:val="both"/>
    </w:pPr>
    <w:rPr>
      <w:vertAlign w:val="superscript"/>
    </w:rPr>
  </w:style>
  <w:style w:type="paragraph" w:styleId="CommentText">
    <w:name w:val="annotation text"/>
    <w:basedOn w:val="Normal"/>
    <w:link w:val="CommentTextChar"/>
    <w:uiPriority w:val="99"/>
    <w:unhideWhenUsed/>
    <w:pPr>
      <w:spacing w:after="16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List Paragraph1 Char,Lettre d'introduction Char,Paragrafo elenco Char,Medium Grid 1 - Accent 21 Char,Fiche List Paragraph Char,body Char,Odsek zoznamu2 Char,Odsek zoznamu1 Char,3 Char,Bulle Char"/>
    <w:link w:val="ListParagraph"/>
    <w:uiPriority w:val="34"/>
    <w:qFormat/>
    <w:locked/>
    <w:rPr>
      <w:rFonts w:ascii="Verdana" w:eastAsia="Times New Roman" w:hAnsi="Verdana" w:cs="Times New Roman"/>
      <w:sz w:val="20"/>
      <w:szCs w:val="20"/>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news.un.org/en/story/2020/04/1062232"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quineteurope.org/2020/roma-and-traveller-inclusion-towards-a-new-eu-framework/" TargetMode="External"/><Relationship Id="rId13" Type="http://schemas.openxmlformats.org/officeDocument/2006/relationships/hyperlink" Target="https://eeb.org/library/pushed-to-the-wastelands-environmental-racism-against-roma-communities-in-central-and-eastern-europe/" TargetMode="External"/><Relationship Id="rId3" Type="http://schemas.openxmlformats.org/officeDocument/2006/relationships/hyperlink" Target="https://www.europarl.europa.eu/doceo/document/A-8-2017-0294_RO.html" TargetMode="External"/><Relationship Id="rId7" Type="http://schemas.openxmlformats.org/officeDocument/2006/relationships/hyperlink" Target="https://equineteurope.org/2020/roma-and-traveller-inclusion-towards-a-new-eu-framework/" TargetMode="External"/><Relationship Id="rId12" Type="http://schemas.openxmlformats.org/officeDocument/2006/relationships/hyperlink" Target="https://ec.europa.eu/jrc/en/publication/eur-scientific-and-technical-research-reports/digcomp-21-digital-competence-framework-citizens-eight-proficiency-levels-and-examples-usehttps:/ec.europa.eu/jrc/en/publication/eur-scientific-and-technical-research-reports/digcomp-21-digital-competence-framework-citizens-eight-proficiency-levels-and-examples-use" TargetMode="External"/><Relationship Id="rId17" Type="http://schemas.openxmlformats.org/officeDocument/2006/relationships/hyperlink" Target="https://eur-lex.europa.eu/legal-content/RO/TXT/?uri=CELEX%3A52018PC0382" TargetMode="External"/><Relationship Id="rId2" Type="http://schemas.openxmlformats.org/officeDocument/2006/relationships/hyperlink" Target="https://eur-lex.europa.eu/legal-content/RO/TXT/?uri=CELEX:52015IP0095" TargetMode="External"/><Relationship Id="rId16" Type="http://schemas.openxmlformats.org/officeDocument/2006/relationships/hyperlink" Target="https://www.ejnet.org/ej/" TargetMode="External"/><Relationship Id="rId1" Type="http://schemas.openxmlformats.org/officeDocument/2006/relationships/hyperlink" Target="https://www.antigypsyism.eu/?page_id=17" TargetMode="External"/><Relationship Id="rId6" Type="http://schemas.openxmlformats.org/officeDocument/2006/relationships/hyperlink" Target="https://rm.coe.int/16800c0adc" TargetMode="External"/><Relationship Id="rId11" Type="http://schemas.openxmlformats.org/officeDocument/2006/relationships/hyperlink" Target="https://ec.europa.eu/jrc/en/publication/eur-scientific-and-technical-research-reports/digcomp-21-digital-competence-framework-citizens-eight-proficiency-levels-and-examples-usehttps:/ec.europa.eu/jrc/en/publication/eur-scientific-and-technical-research-reports/digcomp-21-digital-competence-framework-citizens-eight-proficiency-levels-and-examples-use" TargetMode="External"/><Relationship Id="rId5" Type="http://schemas.openxmlformats.org/officeDocument/2006/relationships/hyperlink" Target="https://rm.coe.int/ecri-general-policy-recommendation-no-13-on-combating-anti-gypsyism-an/16808b5af4" TargetMode="External"/><Relationship Id="rId15" Type="http://schemas.openxmlformats.org/officeDocument/2006/relationships/hyperlink" Target="https://eeb.org/library/pushed-to-the-wastelands-environmental-racism-against-roma-communities-in-central-and-eastern-europe/" TargetMode="External"/><Relationship Id="rId10" Type="http://schemas.openxmlformats.org/officeDocument/2006/relationships/hyperlink" Target="https://eur-lex.europa.eu/legal-content/RO/TXT/?qid=1583491875802&amp;uri=CONSIL%3AST_6060_2020_REV_1" TargetMode="External"/><Relationship Id="rId4" Type="http://schemas.openxmlformats.org/officeDocument/2006/relationships/hyperlink" Target="https://www.europarl.europa.eu/doceo/document/TA-8-2019-0075_RO.html" TargetMode="External"/><Relationship Id="rId9" Type="http://schemas.openxmlformats.org/officeDocument/2006/relationships/hyperlink" Target="https://ec.europa.eu/info/policies/justice-and-fundamental-rights/combatting-discrimination/roma-and-eu/preparing-post-2020-initiative-roma-equality-and-inclusion_en" TargetMode="External"/><Relationship Id="rId14" Type="http://schemas.openxmlformats.org/officeDocument/2006/relationships/hyperlink" Target="https://eeb.org/library/pushed-to-the-wastelands-environmental-racism-against-roma-communities-in-central-and-eastern-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00480-D006-496C-A6FD-04567E4A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13</Pages>
  <Words>4483</Words>
  <Characters>26815</Characters>
  <Application>Microsoft Office Word</Application>
  <DocSecurity>0</DocSecurity>
  <Lines>388</Lines>
  <Paragraphs>149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GEDEI Ottilia (JUST)</dc:creator>
  <cp:keywords/>
  <dc:description/>
  <cp:lastModifiedBy>DIGIT/C6</cp:lastModifiedBy>
  <cp:revision>31</cp:revision>
  <cp:lastPrinted>2020-07-02T14:49:00Z</cp:lastPrinted>
  <dcterms:created xsi:type="dcterms:W3CDTF">2020-10-06T07:51:00Z</dcterms:created>
  <dcterms:modified xsi:type="dcterms:W3CDTF">2020-10-16T15:55:00Z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7.0.1, Build 20190916</vt:lpwstr>
  </property>
  <property fmtid="{D5CDD505-2E9C-101B-9397-08002B2CF9AE}" pid="11" name="Created using">
    <vt:lpwstr>LW 7.0, Build 20190717</vt:lpwstr>
  </property>
</Properties>
</file>