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C0EAF630-B0CB-40A2-9600-72E0895F972A" style="width:450.7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ANEXO</w:t>
      </w:r>
    </w:p>
    <w:p>
      <w:pPr>
        <w:pStyle w:val="NormalCentered"/>
        <w:rPr>
          <w:noProof/>
        </w:rPr>
      </w:pPr>
      <w:r>
        <w:rPr>
          <w:b/>
          <w:noProof/>
          <w:u w:val="single"/>
        </w:rPr>
        <w:t>Formalidades não aduaneiras da União abrangidas pelo EU CSW-CERTEX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369"/>
        <w:gridCol w:w="1185"/>
        <w:gridCol w:w="2070"/>
        <w:gridCol w:w="2070"/>
      </w:tblGrid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Formalidade não aduaneira da União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Acrónimo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Sistema não aduaneiro da União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Legislação pertinente da UE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Data de aplicação 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Documento sanitário comum de entrada para animais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DSCE-A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Artigos 56.º e 57.º do Regulamento (UE) n.º 2017/625 do Parlamento Europeu e do Conselho</w:t>
            </w:r>
            <w:r>
              <w:rPr>
                <w:rStyle w:val="FootnoteReference"/>
                <w:noProof/>
              </w:rPr>
              <w:footnoteReference w:id="1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Regulamento de Execução (UE) 2019/1715 da Comissão</w:t>
            </w:r>
            <w:r>
              <w:rPr>
                <w:rStyle w:val="FootnoteReference"/>
                <w:noProof/>
              </w:rPr>
              <w:footnoteReference w:id="2"/>
            </w:r>
            <w:r>
              <w:rPr>
                <w:noProof/>
              </w:rPr>
              <w:t xml:space="preserve"> 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de março de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Documento sanitário comum de entrada para produtos 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DSCE-P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Artigos 56.º e 57.º do Regulamento (UE) 2017/625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Regulamento de Execução (UE) 2019/1715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de março de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Documento sanitário comum de entrada para alimentos para animais e géneros alimentícios de origem não animal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DSCE-D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Artigos 56.º e 57.º do Regulamento (UE) 2017/625 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Regulamento de Execução (UE) 2019/1715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de março de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Documento sanitário comum de entrada para vegetais e produtos vegetais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DSCE-PP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Artigos 56.º e 57.º do Regulamento (UE) 2017/625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Regulamento de Execução (UE) 2019/1715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de março de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Certificado de inspeção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COI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Artigo 33.º do Regulamento (CE) n.º 834/2007 do Conselho</w:t>
            </w:r>
            <w:r>
              <w:rPr>
                <w:rStyle w:val="FootnoteReference"/>
                <w:noProof/>
              </w:rPr>
              <w:footnoteReference w:id="3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Regulamento (CE) n.º 1235/2008 da Comissão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de março de 2024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Licenças para as substâncias que empobrecem a camada de ozono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ODS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Sistema de concessão de licenças ODS 2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Artigos 15.º, 16.º, 17.º e 18.º do Regulamento (CE) n.º 1005/2009 do Parlamento Europeu e do Conselho</w:t>
            </w:r>
            <w:r>
              <w:rPr>
                <w:rStyle w:val="FootnoteReference"/>
                <w:noProof/>
              </w:rPr>
              <w:footnoteReference w:id="5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Regulamento (UE) n.º 537/2011 da Comissão</w:t>
            </w:r>
            <w:r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de março de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Gases fluorados com efeito de estufa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F-GAS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Portal F-GAS e Sistema de licenciamento de HFC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Artigos 14.º, 15.º e 17.º do Regulamento (UE) n.º 517/2014 do Parlamento Europeu e do Conselho</w:t>
            </w:r>
            <w:r>
              <w:rPr>
                <w:rStyle w:val="FootnoteReference"/>
                <w:noProof/>
              </w:rPr>
              <w:footnoteReference w:id="7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Regulamento de Execução (UE) n.º 1191/2014 da Comissão</w:t>
            </w:r>
            <w:r>
              <w:rPr>
                <w:rStyle w:val="FootnoteReference"/>
                <w:noProof/>
              </w:rPr>
              <w:footnoteReference w:id="8"/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 de março de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Licença de importação e declaração do importador para bens culturais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Bens culturais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Artigos 3.º, 4.º, 5.º e 7.º do Regulamento (UE) 2019/880 do Parlamento Europeu e do Conselho</w:t>
            </w:r>
            <w:r>
              <w:rPr>
                <w:rStyle w:val="FootnoteReference"/>
                <w:noProof/>
              </w:rPr>
              <w:footnoteReference w:id="9"/>
            </w:r>
            <w:r>
              <w:rPr>
                <w:noProof/>
              </w:rPr>
              <w:t xml:space="preserve"> 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 de março de 2025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PT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Regulamento (UE) 2017/625 do Parlamento Europeu e do Conselho, de 15 de março de 2017, relativo aos controlos oficiais e outras atividades oficiais que visam assegurar a aplicação da legislação em matéria de géneros alimentícios e alimentos para animais e das regras sobre saúde e bem-estar animal, fitossanidade e produtos fitofarmacêuticos, que altera os Regulamentos (CE) n.º 999/2001, (CE) n.º 396/2005, (CE) n.º 1069/2009, (CE) n.º 1107/2009, (UE) n.º 1151/2012, (UE) n.º 652/2014, (UE) 2016/429 e (UE) 2016/2031 do Parlamento Europeu e do Conselho, os Regulamentos (CE) n.º 1/2005 e (CE) n.º 1099/2009 do Conselho, e as Diretivas 98/58/CE, 1999/74/CE, 2007/43/CE, 2008/119/CE e 2008/120/CE do Conselho, e que revoga os Regulamentos (CE) n.º 854/2004 e (CE) n.º 882/2004 do Parlamento Europeu e do Conselho, as Diretivas 89/608/CEE, 89/662/CEE, 90/425/CEE, 91/496/CEE, 96/23/CE, 96/93/CE e 97/78/CE do Conselho e a Decisão 92/438/CEE do Conselho (Regulamento sobre os controlos oficiais) (JO L 95 de 7.4.2017, p. 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Regulamento de Execução (UE) 2019/1715 da Comissão, de 30 de setembro de 2019, que estabelece regras aplicáveis ao funcionamento do sistema de gestão da informação sobre os controlos oficiais e dos seus componentes de sistema («Regulamento IMSOC») ( JO L 261 de 14.10.2019, p. 37).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Regulamento (CE) n.º 834/2007 do Conselho, de 28 de junho de 2007, relativo à produção biológica e à rotulagem dos produtos biológicos e que revoga o Regulamento (CEE) n.º 2092/91 (JO L 189 de 20.7.2007, p. 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Regulamento (CE) n.º 1235/2008 da Comissão, de 8 de dezembro de 2008, que estabelece normas de execução do Regulamento (CE) n.º 834/2007 do Conselho no que respeita ao regime de importação de produtos biológicos de países terceiros (JO L 334 de 12.12.2008, p. 25).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Regulamento (CE) n.º 1005/2009 do Parlamento Europeu e do Conselho, de 16 de setembro de 2009, relativo às substâncias que empobrecem a camada de ozono (JO L 286 de 31.10.2009, p. 1).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Regulamento (UE) n.º 537/2011 da Comissão, de 1 de junho de 2011, relativo ao mecanismo de atribuição das quantidades de substâncias regulamentadas que são autorizadas para utilizações laboratoriais e analíticas na União ao abrigo do Regulamento (CE) n.º 1005/2009 do Parlamento Europeu e do Conselho relativo às substâncias que empobrecem a camada de ozono (JO L 147 de 2.6.2011, p. 4).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Regulamento (UE) n.º 517/2014 do Parlamento Europeu e do Conselho, de 16 de abril de 2014, relativo aos gases fluorados com efeito de estufa e que revoga o Regulamento (CE) n.º 842/2006 (JO L 150 de 20.5.2014, p. 195).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Regulamento de Execução (UE) n.º 1191/2014 da Comissão, de 30 de outubro de 2014, que estabelece o modelo e os meios para a apresentação do relatório referido no artigo 19.º do Regulamento (UE) n.º 517/2014 do Parlamento Europeu e do Conselho relativo aos gases fluorados com efeito de estufa (JO L 318 de 5.11.2014, p. 5).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Regulamento (UE) 2019/880 do Parlamento Europeu e do Conselho, de 17 de abril de 2019, relativo à introdução e à importação de bens culturais (JO L 151 de 7.6.2019, p.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5FC87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BAAF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01A06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76AB2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4DE12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4C081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31029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A624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1-04 15:23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a Proposta de"/>
    <w:docVar w:name="LW_ACCOMPAGNANT.CP" w:val="da Proposta d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0EAF630-B0CB-40A2-9600-72E0895F972A"/>
    <w:docVar w:name="LW_COVERPAGE_TYPE" w:val="1"/>
    <w:docVar w:name="LW_CROSSREFERENCE" w:val="{SEC(2020) 360 final} - {SWD(2020) 237 final} - {SWD(2020) 238 final} - {SWD(2020) 239 final}"/>
    <w:docVar w:name="LW_DocType" w:val="ANNEX"/>
    <w:docVar w:name="LW_EMISSION" w:val="28.10.2020"/>
    <w:docVar w:name="LW_EMISSION_ISODATE" w:val="2020-10-28"/>
    <w:docVar w:name="LW_EMISSION_LOCATION" w:val="BRX"/>
    <w:docVar w:name="LW_EMISSION_PREFIX" w:val="Bruxelas, "/>
    <w:docVar w:name="LW_EMISSION_SUFFIX" w:val=" "/>
    <w:docVar w:name="LW_ID_DOCSTRUCTURE" w:val="COM/ANNEX"/>
    <w:docVar w:name="LW_ID_DOCTYPE" w:val="SG-017"/>
    <w:docVar w:name="LW_LANGUE" w:val="PT"/>
    <w:docVar w:name="LW_LEVEL_OF_SENSITIVITY" w:val="Standard treatment"/>
    <w:docVar w:name="LW_NOM.INST" w:val="COMISSÃO EUROPEIA"/>
    <w:docVar w:name="LW_NOM.INST_JOINTDOC" w:val="&lt;EMPTY&gt;"/>
    <w:docVar w:name="LW_OBJETACTEPRINCIPAL" w:val="que estabelece o Ambiente de Janela Única Aduaneira da União Europeia e altera o Regulamento (UE) n.º 952/2013_x000d__x000b_"/>
    <w:docVar w:name="LW_OBJETACTEPRINCIPAL.CP" w:val="que estabelece o Ambiente de Janela Única Aduaneira da União Europeia e altera o Regulamento (UE) n.º 952/2013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67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EXO"/>
    <w:docVar w:name="LW_TYPE.DOC.CP" w:val="ANEXO"/>
    <w:docVar w:name="LW_TYPEACTEPRINCIPAL" w:val="REGULAMENTO DO PARLAMENTO EUROPEU E DO CONSELHO"/>
    <w:docVar w:name="LW_TYPEACTEPRINCIPAL.CP" w:val="REGULAMENTO DO PARLAMENTO EUROPEU E DO CONSELHO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t-P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pt-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t-P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pt-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310</Words>
  <Characters>1620</Characters>
  <Application>Microsoft Office Word</Application>
  <DocSecurity>0</DocSecurity>
  <Lines>180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GATTEGNO Valerie (TAXUD)</dc:creator>
  <cp:keywords/>
  <dc:description/>
  <cp:lastModifiedBy>WES PDFC Administrator</cp:lastModifiedBy>
  <cp:revision>10</cp:revision>
  <dcterms:created xsi:type="dcterms:W3CDTF">2020-10-30T13:53:00Z</dcterms:created>
  <dcterms:modified xsi:type="dcterms:W3CDTF">2020-11-04T14:23:00Z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