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_Toc527457948"/>
      <w:bookmarkStart w:id="1"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alt="320C767F-6EB3-42BC-845B-F4E5E5A7C802" style="width:450.8pt;height:348.1pt">
            <v:imagedata r:id="rId12" o:title=""/>
          </v:shape>
        </w:pict>
      </w:r>
    </w:p>
    <w:bookmarkEnd w:id="1"/>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pStyle w:val="TOCHeading"/>
        <w:rPr>
          <w:rFonts w:eastAsiaTheme="minorHAnsi"/>
          <w:noProof/>
        </w:rPr>
      </w:pPr>
      <w:bookmarkStart w:id="2" w:name="_GoBack"/>
      <w:bookmarkEnd w:id="2"/>
    </w:p>
    <w:sdt>
      <w:sdtPr>
        <w:rPr>
          <w:rFonts w:asciiTheme="minorHAnsi" w:eastAsiaTheme="minorHAnsi" w:hAnsiTheme="minorHAnsi" w:cstheme="minorBidi"/>
          <w:b w:val="0"/>
          <w:caps w:val="0"/>
          <w:noProof/>
          <w:sz w:val="22"/>
          <w:szCs w:val="22"/>
        </w:rPr>
        <w:id w:val="-864828770"/>
        <w:docPartObj>
          <w:docPartGallery w:val="Table of Contents"/>
          <w:docPartUnique/>
        </w:docPartObj>
      </w:sdtPr>
      <w:sdtEndPr>
        <w:rPr>
          <w:rFonts w:ascii="Times New Roman" w:hAnsi="Times New Roman" w:cs="Times New Roman"/>
          <w:bCs/>
        </w:rPr>
      </w:sdtEndPr>
      <w:sdtContent>
        <w:p>
          <w:pPr>
            <w:pStyle w:val="TOCHeading"/>
            <w:rPr>
              <w:noProof/>
            </w:rPr>
          </w:pPr>
          <w:r>
            <w:rPr>
              <w:noProof/>
            </w:rPr>
            <w:t>Tartalomjegyzék</w:t>
          </w:r>
        </w:p>
        <w:p>
          <w:pPr>
            <w:pStyle w:val="TOC1"/>
            <w:tabs>
              <w:tab w:val="right" w:leader="dot" w:pos="9350"/>
            </w:tabs>
            <w:rPr>
              <w:rFonts w:cstheme="minorBidi"/>
              <w:noProof/>
              <w:lang w:eastAsia="hu-HU"/>
            </w:rPr>
          </w:pPr>
          <w:r>
            <w:rPr>
              <w:rFonts w:ascii="Times New Roman" w:hAnsi="Times New Roman"/>
              <w:b/>
              <w:noProof/>
            </w:rPr>
            <w:fldChar w:fldCharType="begin"/>
          </w:r>
          <w:r>
            <w:rPr>
              <w:rFonts w:ascii="Times New Roman" w:hAnsi="Times New Roman"/>
              <w:b/>
              <w:noProof/>
            </w:rPr>
            <w:instrText xml:space="preserve"> TOC \o "1-3" \h \z \u </w:instrText>
          </w:r>
          <w:r>
            <w:rPr>
              <w:rFonts w:ascii="Times New Roman" w:hAnsi="Times New Roman"/>
              <w:b/>
              <w:noProof/>
            </w:rPr>
            <w:fldChar w:fldCharType="separate"/>
          </w:r>
          <w:hyperlink w:anchor="_Toc55303816" w:history="1">
            <w:r>
              <w:rPr>
                <w:rStyle w:val="Hyperlink"/>
                <w:noProof/>
              </w:rPr>
              <w:t>1. BEVEZETÉS</w:t>
            </w:r>
            <w:r>
              <w:rPr>
                <w:noProof/>
                <w:webHidden/>
              </w:rPr>
              <w:tab/>
            </w:r>
            <w:r>
              <w:rPr>
                <w:noProof/>
                <w:webHidden/>
              </w:rPr>
              <w:fldChar w:fldCharType="begin"/>
            </w:r>
            <w:r>
              <w:rPr>
                <w:noProof/>
                <w:webHidden/>
              </w:rPr>
              <w:instrText xml:space="preserve"> PAGEREF _Toc55303816 \h </w:instrText>
            </w:r>
            <w:r>
              <w:rPr>
                <w:noProof/>
                <w:webHidden/>
              </w:rPr>
            </w:r>
            <w:r>
              <w:rPr>
                <w:noProof/>
                <w:webHidden/>
              </w:rPr>
              <w:fldChar w:fldCharType="separate"/>
            </w:r>
            <w:r>
              <w:rPr>
                <w:noProof/>
                <w:webHidden/>
              </w:rPr>
              <w:t>7</w:t>
            </w:r>
            <w:r>
              <w:rPr>
                <w:noProof/>
                <w:webHidden/>
              </w:rPr>
              <w:fldChar w:fldCharType="end"/>
            </w:r>
          </w:hyperlink>
        </w:p>
        <w:p>
          <w:pPr>
            <w:pStyle w:val="TOC1"/>
            <w:tabs>
              <w:tab w:val="right" w:leader="dot" w:pos="9350"/>
            </w:tabs>
            <w:rPr>
              <w:rFonts w:cstheme="minorBidi"/>
              <w:noProof/>
              <w:lang w:eastAsia="hu-HU"/>
            </w:rPr>
          </w:pPr>
          <w:hyperlink w:anchor="_Toc55303817" w:history="1">
            <w:r>
              <w:rPr>
                <w:rStyle w:val="Hyperlink"/>
                <w:noProof/>
              </w:rPr>
              <w:t>2. A FŐBB MEGÁLLAPÍTÁSOK ÁTTEKINTÉSE: KERESKEDELMI FORGALOM</w:t>
            </w:r>
            <w:r>
              <w:rPr>
                <w:noProof/>
                <w:webHidden/>
              </w:rPr>
              <w:tab/>
            </w:r>
            <w:r>
              <w:rPr>
                <w:noProof/>
                <w:webHidden/>
              </w:rPr>
              <w:fldChar w:fldCharType="begin"/>
            </w:r>
            <w:r>
              <w:rPr>
                <w:noProof/>
                <w:webHidden/>
              </w:rPr>
              <w:instrText xml:space="preserve"> PAGEREF _Toc55303817 \h </w:instrText>
            </w:r>
            <w:r>
              <w:rPr>
                <w:noProof/>
                <w:webHidden/>
              </w:rPr>
            </w:r>
            <w:r>
              <w:rPr>
                <w:noProof/>
                <w:webHidden/>
              </w:rPr>
              <w:fldChar w:fldCharType="separate"/>
            </w:r>
            <w:r>
              <w:rPr>
                <w:noProof/>
                <w:webHidden/>
              </w:rPr>
              <w:t>10</w:t>
            </w:r>
            <w:r>
              <w:rPr>
                <w:noProof/>
                <w:webHidden/>
              </w:rPr>
              <w:fldChar w:fldCharType="end"/>
            </w:r>
          </w:hyperlink>
        </w:p>
        <w:p>
          <w:pPr>
            <w:pStyle w:val="TOC1"/>
            <w:tabs>
              <w:tab w:val="right" w:leader="dot" w:pos="9350"/>
            </w:tabs>
            <w:rPr>
              <w:rFonts w:cstheme="minorBidi"/>
              <w:noProof/>
              <w:lang w:eastAsia="hu-HU"/>
            </w:rPr>
          </w:pPr>
          <w:hyperlink w:anchor="_Toc55303818" w:history="1">
            <w:r>
              <w:rPr>
                <w:rStyle w:val="Hyperlink"/>
                <w:noProof/>
              </w:rPr>
              <w:t>3. A FŐBB MEGÁLLAPÍTÁSOK ÁTTEKINTÉSE TÉRSÉGENKÉNT</w:t>
            </w:r>
            <w:r>
              <w:rPr>
                <w:noProof/>
                <w:webHidden/>
              </w:rPr>
              <w:tab/>
            </w:r>
            <w:r>
              <w:rPr>
                <w:noProof/>
                <w:webHidden/>
              </w:rPr>
              <w:fldChar w:fldCharType="begin"/>
            </w:r>
            <w:r>
              <w:rPr>
                <w:noProof/>
                <w:webHidden/>
              </w:rPr>
              <w:instrText xml:space="preserve"> PAGEREF _Toc55303818 \h </w:instrText>
            </w:r>
            <w:r>
              <w:rPr>
                <w:noProof/>
                <w:webHidden/>
              </w:rPr>
            </w:r>
            <w:r>
              <w:rPr>
                <w:noProof/>
                <w:webHidden/>
              </w:rPr>
              <w:fldChar w:fldCharType="separate"/>
            </w:r>
            <w:r>
              <w:rPr>
                <w:noProof/>
                <w:webHidden/>
              </w:rPr>
              <w:t>14</w:t>
            </w:r>
            <w:r>
              <w:rPr>
                <w:noProof/>
                <w:webHidden/>
              </w:rPr>
              <w:fldChar w:fldCharType="end"/>
            </w:r>
          </w:hyperlink>
        </w:p>
        <w:p>
          <w:pPr>
            <w:pStyle w:val="TOC2"/>
            <w:tabs>
              <w:tab w:val="right" w:leader="dot" w:pos="9350"/>
            </w:tabs>
            <w:rPr>
              <w:rFonts w:cstheme="minorBidi"/>
              <w:noProof/>
              <w:lang w:eastAsia="hu-HU"/>
            </w:rPr>
          </w:pPr>
          <w:hyperlink w:anchor="_Toc55303819" w:history="1">
            <w:r>
              <w:rPr>
                <w:rStyle w:val="Hyperlink"/>
                <w:noProof/>
              </w:rPr>
              <w:t>3.1. ÁZSIA</w:t>
            </w:r>
            <w:r>
              <w:rPr>
                <w:noProof/>
                <w:webHidden/>
              </w:rPr>
              <w:tab/>
            </w:r>
            <w:r>
              <w:rPr>
                <w:noProof/>
                <w:webHidden/>
              </w:rPr>
              <w:fldChar w:fldCharType="begin"/>
            </w:r>
            <w:r>
              <w:rPr>
                <w:noProof/>
                <w:webHidden/>
              </w:rPr>
              <w:instrText xml:space="preserve"> PAGEREF _Toc55303819 \h </w:instrText>
            </w:r>
            <w:r>
              <w:rPr>
                <w:noProof/>
                <w:webHidden/>
              </w:rPr>
            </w:r>
            <w:r>
              <w:rPr>
                <w:noProof/>
                <w:webHidden/>
              </w:rPr>
              <w:fldChar w:fldCharType="separate"/>
            </w:r>
            <w:r>
              <w:rPr>
                <w:noProof/>
                <w:webHidden/>
              </w:rPr>
              <w:t>14</w:t>
            </w:r>
            <w:r>
              <w:rPr>
                <w:noProof/>
                <w:webHidden/>
              </w:rPr>
              <w:fldChar w:fldCharType="end"/>
            </w:r>
          </w:hyperlink>
        </w:p>
        <w:p>
          <w:pPr>
            <w:pStyle w:val="TOC3"/>
            <w:tabs>
              <w:tab w:val="right" w:leader="dot" w:pos="9350"/>
            </w:tabs>
            <w:rPr>
              <w:rFonts w:cstheme="minorBidi"/>
              <w:noProof/>
              <w:lang w:eastAsia="hu-HU"/>
            </w:rPr>
          </w:pPr>
          <w:hyperlink w:anchor="_Toc55303820" w:history="1">
            <w:r>
              <w:rPr>
                <w:rStyle w:val="Hyperlink"/>
                <w:noProof/>
              </w:rPr>
              <w:t>3.1.1. Dél-Korea</w:t>
            </w:r>
            <w:r>
              <w:rPr>
                <w:noProof/>
                <w:webHidden/>
              </w:rPr>
              <w:tab/>
            </w:r>
            <w:r>
              <w:rPr>
                <w:noProof/>
                <w:webHidden/>
              </w:rPr>
              <w:fldChar w:fldCharType="begin"/>
            </w:r>
            <w:r>
              <w:rPr>
                <w:noProof/>
                <w:webHidden/>
              </w:rPr>
              <w:instrText xml:space="preserve"> PAGEREF _Toc55303820 \h </w:instrText>
            </w:r>
            <w:r>
              <w:rPr>
                <w:noProof/>
                <w:webHidden/>
              </w:rPr>
            </w:r>
            <w:r>
              <w:rPr>
                <w:noProof/>
                <w:webHidden/>
              </w:rPr>
              <w:fldChar w:fldCharType="separate"/>
            </w:r>
            <w:r>
              <w:rPr>
                <w:noProof/>
                <w:webHidden/>
              </w:rPr>
              <w:t>15</w:t>
            </w:r>
            <w:r>
              <w:rPr>
                <w:noProof/>
                <w:webHidden/>
              </w:rPr>
              <w:fldChar w:fldCharType="end"/>
            </w:r>
          </w:hyperlink>
        </w:p>
        <w:p>
          <w:pPr>
            <w:pStyle w:val="TOC3"/>
            <w:tabs>
              <w:tab w:val="right" w:leader="dot" w:pos="9350"/>
            </w:tabs>
            <w:rPr>
              <w:rFonts w:cstheme="minorBidi"/>
              <w:noProof/>
              <w:lang w:eastAsia="hu-HU"/>
            </w:rPr>
          </w:pPr>
          <w:hyperlink w:anchor="_Toc55303821" w:history="1">
            <w:r>
              <w:rPr>
                <w:rStyle w:val="Hyperlink"/>
                <w:noProof/>
              </w:rPr>
              <w:t>3.1.2. Japán</w:t>
            </w:r>
            <w:r>
              <w:rPr>
                <w:noProof/>
                <w:webHidden/>
              </w:rPr>
              <w:tab/>
            </w:r>
            <w:r>
              <w:rPr>
                <w:noProof/>
                <w:webHidden/>
              </w:rPr>
              <w:fldChar w:fldCharType="begin"/>
            </w:r>
            <w:r>
              <w:rPr>
                <w:noProof/>
                <w:webHidden/>
              </w:rPr>
              <w:instrText xml:space="preserve"> PAGEREF _Toc55303821 \h </w:instrText>
            </w:r>
            <w:r>
              <w:rPr>
                <w:noProof/>
                <w:webHidden/>
              </w:rPr>
            </w:r>
            <w:r>
              <w:rPr>
                <w:noProof/>
                <w:webHidden/>
              </w:rPr>
              <w:fldChar w:fldCharType="separate"/>
            </w:r>
            <w:r>
              <w:rPr>
                <w:noProof/>
                <w:webHidden/>
              </w:rPr>
              <w:t>16</w:t>
            </w:r>
            <w:r>
              <w:rPr>
                <w:noProof/>
                <w:webHidden/>
              </w:rPr>
              <w:fldChar w:fldCharType="end"/>
            </w:r>
          </w:hyperlink>
        </w:p>
        <w:p>
          <w:pPr>
            <w:pStyle w:val="TOC3"/>
            <w:tabs>
              <w:tab w:val="right" w:leader="dot" w:pos="9350"/>
            </w:tabs>
            <w:rPr>
              <w:rFonts w:cstheme="minorBidi"/>
              <w:noProof/>
              <w:lang w:eastAsia="hu-HU"/>
            </w:rPr>
          </w:pPr>
          <w:hyperlink w:anchor="_Toc55303822" w:history="1">
            <w:r>
              <w:rPr>
                <w:rStyle w:val="Hyperlink"/>
                <w:noProof/>
              </w:rPr>
              <w:t>3.1.3. Szingapúr (előkészületek a hatálybalépésre)</w:t>
            </w:r>
            <w:r>
              <w:rPr>
                <w:noProof/>
                <w:webHidden/>
              </w:rPr>
              <w:tab/>
            </w:r>
            <w:r>
              <w:rPr>
                <w:noProof/>
                <w:webHidden/>
              </w:rPr>
              <w:fldChar w:fldCharType="begin"/>
            </w:r>
            <w:r>
              <w:rPr>
                <w:noProof/>
                <w:webHidden/>
              </w:rPr>
              <w:instrText xml:space="preserve"> PAGEREF _Toc55303822 \h </w:instrText>
            </w:r>
            <w:r>
              <w:rPr>
                <w:noProof/>
                <w:webHidden/>
              </w:rPr>
            </w:r>
            <w:r>
              <w:rPr>
                <w:noProof/>
                <w:webHidden/>
              </w:rPr>
              <w:fldChar w:fldCharType="separate"/>
            </w:r>
            <w:r>
              <w:rPr>
                <w:noProof/>
                <w:webHidden/>
              </w:rPr>
              <w:t>18</w:t>
            </w:r>
            <w:r>
              <w:rPr>
                <w:noProof/>
                <w:webHidden/>
              </w:rPr>
              <w:fldChar w:fldCharType="end"/>
            </w:r>
          </w:hyperlink>
        </w:p>
        <w:p>
          <w:pPr>
            <w:pStyle w:val="TOC2"/>
            <w:tabs>
              <w:tab w:val="right" w:leader="dot" w:pos="9350"/>
            </w:tabs>
            <w:rPr>
              <w:rFonts w:cstheme="minorBidi"/>
              <w:noProof/>
              <w:lang w:eastAsia="hu-HU"/>
            </w:rPr>
          </w:pPr>
          <w:hyperlink w:anchor="_Toc55303823" w:history="1">
            <w:r>
              <w:rPr>
                <w:rStyle w:val="Hyperlink"/>
                <w:noProof/>
              </w:rPr>
              <w:t>3.2. AZ AMERIKAI KONTINENS ORSZÁGAI</w:t>
            </w:r>
            <w:r>
              <w:rPr>
                <w:noProof/>
                <w:webHidden/>
              </w:rPr>
              <w:tab/>
            </w:r>
            <w:r>
              <w:rPr>
                <w:noProof/>
                <w:webHidden/>
              </w:rPr>
              <w:fldChar w:fldCharType="begin"/>
            </w:r>
            <w:r>
              <w:rPr>
                <w:noProof/>
                <w:webHidden/>
              </w:rPr>
              <w:instrText xml:space="preserve"> PAGEREF _Toc55303823 \h </w:instrText>
            </w:r>
            <w:r>
              <w:rPr>
                <w:noProof/>
                <w:webHidden/>
              </w:rPr>
            </w:r>
            <w:r>
              <w:rPr>
                <w:noProof/>
                <w:webHidden/>
              </w:rPr>
              <w:fldChar w:fldCharType="separate"/>
            </w:r>
            <w:r>
              <w:rPr>
                <w:noProof/>
                <w:webHidden/>
              </w:rPr>
              <w:t>18</w:t>
            </w:r>
            <w:r>
              <w:rPr>
                <w:noProof/>
                <w:webHidden/>
              </w:rPr>
              <w:fldChar w:fldCharType="end"/>
            </w:r>
          </w:hyperlink>
        </w:p>
        <w:p>
          <w:pPr>
            <w:pStyle w:val="TOC3"/>
            <w:tabs>
              <w:tab w:val="right" w:leader="dot" w:pos="9350"/>
            </w:tabs>
            <w:rPr>
              <w:rFonts w:cstheme="minorBidi"/>
              <w:noProof/>
              <w:lang w:eastAsia="hu-HU"/>
            </w:rPr>
          </w:pPr>
          <w:hyperlink w:anchor="_Toc55303824" w:history="1">
            <w:r>
              <w:rPr>
                <w:rStyle w:val="Hyperlink"/>
                <w:noProof/>
              </w:rPr>
              <w:t>3.2.1. Kanada</w:t>
            </w:r>
            <w:r>
              <w:rPr>
                <w:noProof/>
                <w:webHidden/>
              </w:rPr>
              <w:tab/>
            </w:r>
            <w:r>
              <w:rPr>
                <w:noProof/>
                <w:webHidden/>
              </w:rPr>
              <w:fldChar w:fldCharType="begin"/>
            </w:r>
            <w:r>
              <w:rPr>
                <w:noProof/>
                <w:webHidden/>
              </w:rPr>
              <w:instrText xml:space="preserve"> PAGEREF _Toc55303824 \h </w:instrText>
            </w:r>
            <w:r>
              <w:rPr>
                <w:noProof/>
                <w:webHidden/>
              </w:rPr>
            </w:r>
            <w:r>
              <w:rPr>
                <w:noProof/>
                <w:webHidden/>
              </w:rPr>
              <w:fldChar w:fldCharType="separate"/>
            </w:r>
            <w:r>
              <w:rPr>
                <w:noProof/>
                <w:webHidden/>
              </w:rPr>
              <w:t>18</w:t>
            </w:r>
            <w:r>
              <w:rPr>
                <w:noProof/>
                <w:webHidden/>
              </w:rPr>
              <w:fldChar w:fldCharType="end"/>
            </w:r>
          </w:hyperlink>
        </w:p>
        <w:p>
          <w:pPr>
            <w:pStyle w:val="TOC3"/>
            <w:tabs>
              <w:tab w:val="right" w:leader="dot" w:pos="9350"/>
            </w:tabs>
            <w:rPr>
              <w:rFonts w:cstheme="minorBidi"/>
              <w:noProof/>
              <w:lang w:eastAsia="hu-HU"/>
            </w:rPr>
          </w:pPr>
          <w:hyperlink w:anchor="_Toc55303825" w:history="1">
            <w:r>
              <w:rPr>
                <w:rStyle w:val="Hyperlink"/>
                <w:noProof/>
              </w:rPr>
              <w:t>3. 2.2. Latin-amerikai partnerországok</w:t>
            </w:r>
            <w:r>
              <w:rPr>
                <w:noProof/>
                <w:webHidden/>
              </w:rPr>
              <w:tab/>
            </w:r>
            <w:r>
              <w:rPr>
                <w:noProof/>
                <w:webHidden/>
              </w:rPr>
              <w:fldChar w:fldCharType="begin"/>
            </w:r>
            <w:r>
              <w:rPr>
                <w:noProof/>
                <w:webHidden/>
              </w:rPr>
              <w:instrText xml:space="preserve"> PAGEREF _Toc55303825 \h </w:instrText>
            </w:r>
            <w:r>
              <w:rPr>
                <w:noProof/>
                <w:webHidden/>
              </w:rPr>
            </w:r>
            <w:r>
              <w:rPr>
                <w:noProof/>
                <w:webHidden/>
              </w:rPr>
              <w:fldChar w:fldCharType="separate"/>
            </w:r>
            <w:r>
              <w:rPr>
                <w:noProof/>
                <w:webHidden/>
              </w:rPr>
              <w:t>21</w:t>
            </w:r>
            <w:r>
              <w:rPr>
                <w:noProof/>
                <w:webHidden/>
              </w:rPr>
              <w:fldChar w:fldCharType="end"/>
            </w:r>
          </w:hyperlink>
        </w:p>
        <w:p>
          <w:pPr>
            <w:pStyle w:val="TOC2"/>
            <w:tabs>
              <w:tab w:val="right" w:leader="dot" w:pos="9350"/>
            </w:tabs>
            <w:rPr>
              <w:rFonts w:cstheme="minorBidi"/>
              <w:noProof/>
              <w:lang w:eastAsia="hu-HU"/>
            </w:rPr>
          </w:pPr>
          <w:hyperlink w:anchor="_Toc55303826" w:history="1">
            <w:r>
              <w:rPr>
                <w:rStyle w:val="Hyperlink"/>
                <w:noProof/>
              </w:rPr>
              <w:t>3.3. AZ EU-VAL SZOMSZÉDOS ORSZÁGOK</w:t>
            </w:r>
            <w:r>
              <w:rPr>
                <w:noProof/>
                <w:webHidden/>
              </w:rPr>
              <w:tab/>
            </w:r>
            <w:r>
              <w:rPr>
                <w:noProof/>
                <w:webHidden/>
              </w:rPr>
              <w:fldChar w:fldCharType="begin"/>
            </w:r>
            <w:r>
              <w:rPr>
                <w:noProof/>
                <w:webHidden/>
              </w:rPr>
              <w:instrText xml:space="preserve"> PAGEREF _Toc55303826 \h </w:instrText>
            </w:r>
            <w:r>
              <w:rPr>
                <w:noProof/>
                <w:webHidden/>
              </w:rPr>
            </w:r>
            <w:r>
              <w:rPr>
                <w:noProof/>
                <w:webHidden/>
              </w:rPr>
              <w:fldChar w:fldCharType="separate"/>
            </w:r>
            <w:r>
              <w:rPr>
                <w:noProof/>
                <w:webHidden/>
              </w:rPr>
              <w:t>25</w:t>
            </w:r>
            <w:r>
              <w:rPr>
                <w:noProof/>
                <w:webHidden/>
              </w:rPr>
              <w:fldChar w:fldCharType="end"/>
            </w:r>
          </w:hyperlink>
        </w:p>
        <w:p>
          <w:pPr>
            <w:pStyle w:val="TOC3"/>
            <w:tabs>
              <w:tab w:val="right" w:leader="dot" w:pos="9350"/>
            </w:tabs>
            <w:rPr>
              <w:rFonts w:cstheme="minorBidi"/>
              <w:noProof/>
              <w:lang w:eastAsia="hu-HU"/>
            </w:rPr>
          </w:pPr>
          <w:hyperlink w:anchor="_Toc55303827" w:history="1">
            <w:r>
              <w:rPr>
                <w:rStyle w:val="Hyperlink"/>
                <w:noProof/>
              </w:rPr>
              <w:t>3.3.1. A földközi-tengeri és közel-keleti partnerek</w:t>
            </w:r>
            <w:r>
              <w:rPr>
                <w:noProof/>
                <w:webHidden/>
              </w:rPr>
              <w:tab/>
            </w:r>
            <w:r>
              <w:rPr>
                <w:noProof/>
                <w:webHidden/>
              </w:rPr>
              <w:fldChar w:fldCharType="begin"/>
            </w:r>
            <w:r>
              <w:rPr>
                <w:noProof/>
                <w:webHidden/>
              </w:rPr>
              <w:instrText xml:space="preserve"> PAGEREF _Toc55303827 \h </w:instrText>
            </w:r>
            <w:r>
              <w:rPr>
                <w:noProof/>
                <w:webHidden/>
              </w:rPr>
            </w:r>
            <w:r>
              <w:rPr>
                <w:noProof/>
                <w:webHidden/>
              </w:rPr>
              <w:fldChar w:fldCharType="separate"/>
            </w:r>
            <w:r>
              <w:rPr>
                <w:noProof/>
                <w:webHidden/>
              </w:rPr>
              <w:t>25</w:t>
            </w:r>
            <w:r>
              <w:rPr>
                <w:noProof/>
                <w:webHidden/>
              </w:rPr>
              <w:fldChar w:fldCharType="end"/>
            </w:r>
          </w:hyperlink>
        </w:p>
        <w:p>
          <w:pPr>
            <w:pStyle w:val="TOC3"/>
            <w:tabs>
              <w:tab w:val="right" w:leader="dot" w:pos="9350"/>
            </w:tabs>
            <w:rPr>
              <w:rFonts w:cstheme="minorBidi"/>
              <w:noProof/>
              <w:lang w:eastAsia="hu-HU"/>
            </w:rPr>
          </w:pPr>
          <w:hyperlink w:anchor="_Toc55303828" w:history="1">
            <w:r>
              <w:rPr>
                <w:rStyle w:val="Hyperlink"/>
                <w:noProof/>
              </w:rPr>
              <w:t>3.3.2. Grúzia, Moldova, Ukrajna</w:t>
            </w:r>
            <w:r>
              <w:rPr>
                <w:noProof/>
                <w:webHidden/>
              </w:rPr>
              <w:tab/>
            </w:r>
            <w:r>
              <w:rPr>
                <w:noProof/>
                <w:webHidden/>
              </w:rPr>
              <w:fldChar w:fldCharType="begin"/>
            </w:r>
            <w:r>
              <w:rPr>
                <w:noProof/>
                <w:webHidden/>
              </w:rPr>
              <w:instrText xml:space="preserve"> PAGEREF _Toc55303828 \h </w:instrText>
            </w:r>
            <w:r>
              <w:rPr>
                <w:noProof/>
                <w:webHidden/>
              </w:rPr>
            </w:r>
            <w:r>
              <w:rPr>
                <w:noProof/>
                <w:webHidden/>
              </w:rPr>
              <w:fldChar w:fldCharType="separate"/>
            </w:r>
            <w:r>
              <w:rPr>
                <w:noProof/>
                <w:webHidden/>
              </w:rPr>
              <w:t>28</w:t>
            </w:r>
            <w:r>
              <w:rPr>
                <w:noProof/>
                <w:webHidden/>
              </w:rPr>
              <w:fldChar w:fldCharType="end"/>
            </w:r>
          </w:hyperlink>
        </w:p>
        <w:p>
          <w:pPr>
            <w:pStyle w:val="TOC3"/>
            <w:tabs>
              <w:tab w:val="right" w:leader="dot" w:pos="9350"/>
            </w:tabs>
            <w:rPr>
              <w:rFonts w:cstheme="minorBidi"/>
              <w:noProof/>
              <w:lang w:eastAsia="hu-HU"/>
            </w:rPr>
          </w:pPr>
          <w:hyperlink w:anchor="_Toc55303829" w:history="1">
            <w:r>
              <w:rPr>
                <w:rStyle w:val="Hyperlink"/>
                <w:noProof/>
              </w:rPr>
              <w:t>3.3.3. Nyugat-Balkán</w:t>
            </w:r>
            <w:r>
              <w:rPr>
                <w:noProof/>
                <w:webHidden/>
              </w:rPr>
              <w:tab/>
            </w:r>
            <w:r>
              <w:rPr>
                <w:noProof/>
                <w:webHidden/>
              </w:rPr>
              <w:fldChar w:fldCharType="begin"/>
            </w:r>
            <w:r>
              <w:rPr>
                <w:noProof/>
                <w:webHidden/>
              </w:rPr>
              <w:instrText xml:space="preserve"> PAGEREF _Toc55303829 \h </w:instrText>
            </w:r>
            <w:r>
              <w:rPr>
                <w:noProof/>
                <w:webHidden/>
              </w:rPr>
            </w:r>
            <w:r>
              <w:rPr>
                <w:noProof/>
                <w:webHidden/>
              </w:rPr>
              <w:fldChar w:fldCharType="separate"/>
            </w:r>
            <w:r>
              <w:rPr>
                <w:noProof/>
                <w:webHidden/>
              </w:rPr>
              <w:t>29</w:t>
            </w:r>
            <w:r>
              <w:rPr>
                <w:noProof/>
                <w:webHidden/>
              </w:rPr>
              <w:fldChar w:fldCharType="end"/>
            </w:r>
          </w:hyperlink>
        </w:p>
        <w:p>
          <w:pPr>
            <w:pStyle w:val="TOC3"/>
            <w:tabs>
              <w:tab w:val="right" w:leader="dot" w:pos="9350"/>
            </w:tabs>
            <w:rPr>
              <w:rFonts w:cstheme="minorBidi"/>
              <w:noProof/>
              <w:lang w:eastAsia="hu-HU"/>
            </w:rPr>
          </w:pPr>
          <w:hyperlink w:anchor="_Toc55303830" w:history="1">
            <w:r>
              <w:rPr>
                <w:rStyle w:val="Hyperlink"/>
                <w:noProof/>
              </w:rPr>
              <w:t>3.3.4. Svájc</w:t>
            </w:r>
            <w:r>
              <w:rPr>
                <w:noProof/>
                <w:webHidden/>
              </w:rPr>
              <w:tab/>
            </w:r>
            <w:r>
              <w:rPr>
                <w:noProof/>
                <w:webHidden/>
              </w:rPr>
              <w:fldChar w:fldCharType="begin"/>
            </w:r>
            <w:r>
              <w:rPr>
                <w:noProof/>
                <w:webHidden/>
              </w:rPr>
              <w:instrText xml:space="preserve"> PAGEREF _Toc55303830 \h </w:instrText>
            </w:r>
            <w:r>
              <w:rPr>
                <w:noProof/>
                <w:webHidden/>
              </w:rPr>
            </w:r>
            <w:r>
              <w:rPr>
                <w:noProof/>
                <w:webHidden/>
              </w:rPr>
              <w:fldChar w:fldCharType="separate"/>
            </w:r>
            <w:r>
              <w:rPr>
                <w:noProof/>
                <w:webHidden/>
              </w:rPr>
              <w:t>30</w:t>
            </w:r>
            <w:r>
              <w:rPr>
                <w:noProof/>
                <w:webHidden/>
              </w:rPr>
              <w:fldChar w:fldCharType="end"/>
            </w:r>
          </w:hyperlink>
        </w:p>
        <w:p>
          <w:pPr>
            <w:pStyle w:val="TOC3"/>
            <w:tabs>
              <w:tab w:val="right" w:leader="dot" w:pos="9350"/>
            </w:tabs>
            <w:rPr>
              <w:rFonts w:cstheme="minorBidi"/>
              <w:noProof/>
              <w:lang w:eastAsia="hu-HU"/>
            </w:rPr>
          </w:pPr>
          <w:hyperlink w:anchor="_Toc55303831" w:history="1">
            <w:r>
              <w:rPr>
                <w:rStyle w:val="Hyperlink"/>
                <w:noProof/>
              </w:rPr>
              <w:t>3.3.5. Norvégia</w:t>
            </w:r>
            <w:r>
              <w:rPr>
                <w:noProof/>
                <w:webHidden/>
              </w:rPr>
              <w:tab/>
            </w:r>
            <w:r>
              <w:rPr>
                <w:noProof/>
                <w:webHidden/>
              </w:rPr>
              <w:fldChar w:fldCharType="begin"/>
            </w:r>
            <w:r>
              <w:rPr>
                <w:noProof/>
                <w:webHidden/>
              </w:rPr>
              <w:instrText xml:space="preserve"> PAGEREF _Toc55303831 \h </w:instrText>
            </w:r>
            <w:r>
              <w:rPr>
                <w:noProof/>
                <w:webHidden/>
              </w:rPr>
            </w:r>
            <w:r>
              <w:rPr>
                <w:noProof/>
                <w:webHidden/>
              </w:rPr>
              <w:fldChar w:fldCharType="separate"/>
            </w:r>
            <w:r>
              <w:rPr>
                <w:noProof/>
                <w:webHidden/>
              </w:rPr>
              <w:t>32</w:t>
            </w:r>
            <w:r>
              <w:rPr>
                <w:noProof/>
                <w:webHidden/>
              </w:rPr>
              <w:fldChar w:fldCharType="end"/>
            </w:r>
          </w:hyperlink>
        </w:p>
        <w:p>
          <w:pPr>
            <w:pStyle w:val="TOC3"/>
            <w:tabs>
              <w:tab w:val="right" w:leader="dot" w:pos="9350"/>
            </w:tabs>
            <w:rPr>
              <w:rFonts w:cstheme="minorBidi"/>
              <w:noProof/>
              <w:lang w:eastAsia="hu-HU"/>
            </w:rPr>
          </w:pPr>
          <w:hyperlink w:anchor="_Toc55303832" w:history="1">
            <w:r>
              <w:rPr>
                <w:rStyle w:val="Hyperlink"/>
                <w:noProof/>
              </w:rPr>
              <w:t>3.3.6. Törökország</w:t>
            </w:r>
            <w:r>
              <w:rPr>
                <w:noProof/>
                <w:webHidden/>
              </w:rPr>
              <w:tab/>
            </w:r>
            <w:r>
              <w:rPr>
                <w:noProof/>
                <w:webHidden/>
              </w:rPr>
              <w:fldChar w:fldCharType="begin"/>
            </w:r>
            <w:r>
              <w:rPr>
                <w:noProof/>
                <w:webHidden/>
              </w:rPr>
              <w:instrText xml:space="preserve"> PAGEREF _Toc55303832 \h </w:instrText>
            </w:r>
            <w:r>
              <w:rPr>
                <w:noProof/>
                <w:webHidden/>
              </w:rPr>
            </w:r>
            <w:r>
              <w:rPr>
                <w:noProof/>
                <w:webHidden/>
              </w:rPr>
              <w:fldChar w:fldCharType="separate"/>
            </w:r>
            <w:r>
              <w:rPr>
                <w:noProof/>
                <w:webHidden/>
              </w:rPr>
              <w:t>33</w:t>
            </w:r>
            <w:r>
              <w:rPr>
                <w:noProof/>
                <w:webHidden/>
              </w:rPr>
              <w:fldChar w:fldCharType="end"/>
            </w:r>
          </w:hyperlink>
        </w:p>
        <w:p>
          <w:pPr>
            <w:pStyle w:val="TOC2"/>
            <w:tabs>
              <w:tab w:val="left" w:pos="880"/>
              <w:tab w:val="right" w:leader="dot" w:pos="9350"/>
            </w:tabs>
            <w:rPr>
              <w:rFonts w:cstheme="minorBidi"/>
              <w:noProof/>
              <w:lang w:eastAsia="hu-HU"/>
            </w:rPr>
          </w:pPr>
          <w:hyperlink w:anchor="_Toc55303833" w:history="1">
            <w:r>
              <w:rPr>
                <w:rStyle w:val="Hyperlink"/>
                <w:noProof/>
              </w:rPr>
              <w:t>3.4.</w:t>
            </w:r>
            <w:r>
              <w:rPr>
                <w:rFonts w:cstheme="minorBidi"/>
                <w:noProof/>
                <w:lang w:eastAsia="hu-HU"/>
              </w:rPr>
              <w:tab/>
            </w:r>
            <w:r>
              <w:rPr>
                <w:rStyle w:val="Hyperlink"/>
                <w:noProof/>
              </w:rPr>
              <w:t>AZ AFRIKAI, KARIBI ÉS CSENDES-ÓCEÁNI ORSZÁGOK</w:t>
            </w:r>
            <w:r>
              <w:rPr>
                <w:noProof/>
                <w:webHidden/>
              </w:rPr>
              <w:tab/>
            </w:r>
            <w:r>
              <w:rPr>
                <w:noProof/>
                <w:webHidden/>
              </w:rPr>
              <w:fldChar w:fldCharType="begin"/>
            </w:r>
            <w:r>
              <w:rPr>
                <w:noProof/>
                <w:webHidden/>
              </w:rPr>
              <w:instrText xml:space="preserve"> PAGEREF _Toc55303833 \h </w:instrText>
            </w:r>
            <w:r>
              <w:rPr>
                <w:noProof/>
                <w:webHidden/>
              </w:rPr>
            </w:r>
            <w:r>
              <w:rPr>
                <w:noProof/>
                <w:webHidden/>
              </w:rPr>
              <w:fldChar w:fldCharType="separate"/>
            </w:r>
            <w:r>
              <w:rPr>
                <w:noProof/>
                <w:webHidden/>
              </w:rPr>
              <w:t>33</w:t>
            </w:r>
            <w:r>
              <w:rPr>
                <w:noProof/>
                <w:webHidden/>
              </w:rPr>
              <w:fldChar w:fldCharType="end"/>
            </w:r>
          </w:hyperlink>
        </w:p>
        <w:p>
          <w:pPr>
            <w:pStyle w:val="TOC1"/>
            <w:tabs>
              <w:tab w:val="right" w:leader="dot" w:pos="9350"/>
            </w:tabs>
            <w:rPr>
              <w:rFonts w:cstheme="minorBidi"/>
              <w:noProof/>
              <w:lang w:eastAsia="hu-HU"/>
            </w:rPr>
          </w:pPr>
          <w:hyperlink w:anchor="_Toc55303834" w:history="1">
            <w:r>
              <w:rPr>
                <w:rStyle w:val="Hyperlink"/>
                <w:noProof/>
              </w:rPr>
              <w:t>4. KERESKEDELEM ÉS FENNTARTHATÓ FEJLŐDÉS</w:t>
            </w:r>
            <w:r>
              <w:rPr>
                <w:noProof/>
                <w:webHidden/>
              </w:rPr>
              <w:tab/>
            </w:r>
            <w:r>
              <w:rPr>
                <w:noProof/>
                <w:webHidden/>
              </w:rPr>
              <w:fldChar w:fldCharType="begin"/>
            </w:r>
            <w:r>
              <w:rPr>
                <w:noProof/>
                <w:webHidden/>
              </w:rPr>
              <w:instrText xml:space="preserve"> PAGEREF _Toc55303834 \h </w:instrText>
            </w:r>
            <w:r>
              <w:rPr>
                <w:noProof/>
                <w:webHidden/>
              </w:rPr>
            </w:r>
            <w:r>
              <w:rPr>
                <w:noProof/>
                <w:webHidden/>
              </w:rPr>
              <w:fldChar w:fldCharType="separate"/>
            </w:r>
            <w:r>
              <w:rPr>
                <w:noProof/>
                <w:webHidden/>
              </w:rPr>
              <w:t>36</w:t>
            </w:r>
            <w:r>
              <w:rPr>
                <w:noProof/>
                <w:webHidden/>
              </w:rPr>
              <w:fldChar w:fldCharType="end"/>
            </w:r>
          </w:hyperlink>
        </w:p>
        <w:p>
          <w:pPr>
            <w:pStyle w:val="TOC1"/>
            <w:tabs>
              <w:tab w:val="right" w:leader="dot" w:pos="9350"/>
            </w:tabs>
            <w:rPr>
              <w:rFonts w:cstheme="minorBidi"/>
              <w:noProof/>
              <w:lang w:eastAsia="hu-HU"/>
            </w:rPr>
          </w:pPr>
          <w:hyperlink w:anchor="_Toc55303835" w:history="1">
            <w:r>
              <w:rPr>
                <w:rStyle w:val="Hyperlink"/>
                <w:noProof/>
              </w:rPr>
              <w:t>5. AZ UNIÓS KERESKEDELMI MEGÁLLAPODÁSOK ALAPJÁN FOLYTATOTT AGRÁR-ÉLELMISZERIPARI KERESKEDELEM</w:t>
            </w:r>
            <w:r>
              <w:rPr>
                <w:noProof/>
                <w:webHidden/>
              </w:rPr>
              <w:tab/>
            </w:r>
            <w:r>
              <w:rPr>
                <w:noProof/>
                <w:webHidden/>
              </w:rPr>
              <w:fldChar w:fldCharType="begin"/>
            </w:r>
            <w:r>
              <w:rPr>
                <w:noProof/>
                <w:webHidden/>
              </w:rPr>
              <w:instrText xml:space="preserve"> PAGEREF _Toc55303835 \h </w:instrText>
            </w:r>
            <w:r>
              <w:rPr>
                <w:noProof/>
                <w:webHidden/>
              </w:rPr>
            </w:r>
            <w:r>
              <w:rPr>
                <w:noProof/>
                <w:webHidden/>
              </w:rPr>
              <w:fldChar w:fldCharType="separate"/>
            </w:r>
            <w:r>
              <w:rPr>
                <w:noProof/>
                <w:webHidden/>
              </w:rPr>
              <w:t>39</w:t>
            </w:r>
            <w:r>
              <w:rPr>
                <w:noProof/>
                <w:webHidden/>
              </w:rPr>
              <w:fldChar w:fldCharType="end"/>
            </w:r>
          </w:hyperlink>
        </w:p>
        <w:p>
          <w:pPr>
            <w:pStyle w:val="TOC1"/>
            <w:tabs>
              <w:tab w:val="right" w:leader="dot" w:pos="9350"/>
            </w:tabs>
            <w:rPr>
              <w:rFonts w:cstheme="minorBidi"/>
              <w:noProof/>
              <w:lang w:eastAsia="hu-HU"/>
            </w:rPr>
          </w:pPr>
          <w:hyperlink w:anchor="_Toc55303836" w:history="1">
            <w:r>
              <w:rPr>
                <w:rStyle w:val="Hyperlink"/>
                <w:noProof/>
              </w:rPr>
              <w:t>6. SZOLGÁLTATÁSOK, KÖZBESZERZÉS, SZELLEMITULAJDON-JOGOK</w:t>
            </w:r>
            <w:r>
              <w:rPr>
                <w:noProof/>
                <w:webHidden/>
              </w:rPr>
              <w:tab/>
            </w:r>
            <w:r>
              <w:rPr>
                <w:noProof/>
                <w:webHidden/>
              </w:rPr>
              <w:fldChar w:fldCharType="begin"/>
            </w:r>
            <w:r>
              <w:rPr>
                <w:noProof/>
                <w:webHidden/>
              </w:rPr>
              <w:instrText xml:space="preserve"> PAGEREF _Toc55303836 \h </w:instrText>
            </w:r>
            <w:r>
              <w:rPr>
                <w:noProof/>
                <w:webHidden/>
              </w:rPr>
            </w:r>
            <w:r>
              <w:rPr>
                <w:noProof/>
                <w:webHidden/>
              </w:rPr>
              <w:fldChar w:fldCharType="separate"/>
            </w:r>
            <w:r>
              <w:rPr>
                <w:noProof/>
                <w:webHidden/>
              </w:rPr>
              <w:t>45</w:t>
            </w:r>
            <w:r>
              <w:rPr>
                <w:noProof/>
                <w:webHidden/>
              </w:rPr>
              <w:fldChar w:fldCharType="end"/>
            </w:r>
          </w:hyperlink>
        </w:p>
        <w:p>
          <w:pPr>
            <w:pStyle w:val="TOC2"/>
            <w:tabs>
              <w:tab w:val="right" w:leader="dot" w:pos="9350"/>
            </w:tabs>
            <w:rPr>
              <w:rFonts w:cstheme="minorBidi"/>
              <w:noProof/>
              <w:lang w:eastAsia="hu-HU"/>
            </w:rPr>
          </w:pPr>
          <w:hyperlink w:anchor="_Toc55303837" w:history="1">
            <w:r>
              <w:rPr>
                <w:rStyle w:val="Hyperlink"/>
                <w:noProof/>
              </w:rPr>
              <w:t>6.1. Szolgáltatások és közvetlen külföldi tőkebefektetés (FDI)</w:t>
            </w:r>
            <w:r>
              <w:rPr>
                <w:noProof/>
                <w:webHidden/>
              </w:rPr>
              <w:tab/>
            </w:r>
            <w:r>
              <w:rPr>
                <w:noProof/>
                <w:webHidden/>
              </w:rPr>
              <w:fldChar w:fldCharType="begin"/>
            </w:r>
            <w:r>
              <w:rPr>
                <w:noProof/>
                <w:webHidden/>
              </w:rPr>
              <w:instrText xml:space="preserve"> PAGEREF _Toc55303837 \h </w:instrText>
            </w:r>
            <w:r>
              <w:rPr>
                <w:noProof/>
                <w:webHidden/>
              </w:rPr>
            </w:r>
            <w:r>
              <w:rPr>
                <w:noProof/>
                <w:webHidden/>
              </w:rPr>
              <w:fldChar w:fldCharType="separate"/>
            </w:r>
            <w:r>
              <w:rPr>
                <w:noProof/>
                <w:webHidden/>
              </w:rPr>
              <w:t>45</w:t>
            </w:r>
            <w:r>
              <w:rPr>
                <w:noProof/>
                <w:webHidden/>
              </w:rPr>
              <w:fldChar w:fldCharType="end"/>
            </w:r>
          </w:hyperlink>
        </w:p>
        <w:p>
          <w:pPr>
            <w:pStyle w:val="TOC2"/>
            <w:tabs>
              <w:tab w:val="right" w:leader="dot" w:pos="9350"/>
            </w:tabs>
            <w:rPr>
              <w:rFonts w:cstheme="minorBidi"/>
              <w:noProof/>
              <w:lang w:eastAsia="hu-HU"/>
            </w:rPr>
          </w:pPr>
          <w:hyperlink w:anchor="_Toc55303838" w:history="1">
            <w:r>
              <w:rPr>
                <w:rStyle w:val="Hyperlink"/>
                <w:noProof/>
              </w:rPr>
              <w:t>6.2. Közbeszerzés</w:t>
            </w:r>
            <w:r>
              <w:rPr>
                <w:noProof/>
                <w:webHidden/>
              </w:rPr>
              <w:tab/>
            </w:r>
            <w:r>
              <w:rPr>
                <w:noProof/>
                <w:webHidden/>
              </w:rPr>
              <w:fldChar w:fldCharType="begin"/>
            </w:r>
            <w:r>
              <w:rPr>
                <w:noProof/>
                <w:webHidden/>
              </w:rPr>
              <w:instrText xml:space="preserve"> PAGEREF _Toc55303838 \h </w:instrText>
            </w:r>
            <w:r>
              <w:rPr>
                <w:noProof/>
                <w:webHidden/>
              </w:rPr>
            </w:r>
            <w:r>
              <w:rPr>
                <w:noProof/>
                <w:webHidden/>
              </w:rPr>
              <w:fldChar w:fldCharType="separate"/>
            </w:r>
            <w:r>
              <w:rPr>
                <w:noProof/>
                <w:webHidden/>
              </w:rPr>
              <w:t>49</w:t>
            </w:r>
            <w:r>
              <w:rPr>
                <w:noProof/>
                <w:webHidden/>
              </w:rPr>
              <w:fldChar w:fldCharType="end"/>
            </w:r>
          </w:hyperlink>
        </w:p>
        <w:p>
          <w:pPr>
            <w:pStyle w:val="TOC2"/>
            <w:tabs>
              <w:tab w:val="right" w:leader="dot" w:pos="9350"/>
            </w:tabs>
            <w:rPr>
              <w:rFonts w:cstheme="minorBidi"/>
              <w:noProof/>
              <w:lang w:eastAsia="hu-HU"/>
            </w:rPr>
          </w:pPr>
          <w:hyperlink w:anchor="_Toc55303839" w:history="1">
            <w:r>
              <w:rPr>
                <w:rStyle w:val="Hyperlink"/>
                <w:noProof/>
              </w:rPr>
              <w:t>6.3. Szellemitulajdon-jogok</w:t>
            </w:r>
            <w:r>
              <w:rPr>
                <w:noProof/>
                <w:webHidden/>
              </w:rPr>
              <w:tab/>
            </w:r>
            <w:r>
              <w:rPr>
                <w:noProof/>
                <w:webHidden/>
              </w:rPr>
              <w:fldChar w:fldCharType="begin"/>
            </w:r>
            <w:r>
              <w:rPr>
                <w:noProof/>
                <w:webHidden/>
              </w:rPr>
              <w:instrText xml:space="preserve"> PAGEREF _Toc55303839 \h </w:instrText>
            </w:r>
            <w:r>
              <w:rPr>
                <w:noProof/>
                <w:webHidden/>
              </w:rPr>
            </w:r>
            <w:r>
              <w:rPr>
                <w:noProof/>
                <w:webHidden/>
              </w:rPr>
              <w:fldChar w:fldCharType="separate"/>
            </w:r>
            <w:r>
              <w:rPr>
                <w:noProof/>
                <w:webHidden/>
              </w:rPr>
              <w:t>53</w:t>
            </w:r>
            <w:r>
              <w:rPr>
                <w:noProof/>
                <w:webHidden/>
              </w:rPr>
              <w:fldChar w:fldCharType="end"/>
            </w:r>
          </w:hyperlink>
        </w:p>
        <w:p>
          <w:pPr>
            <w:pStyle w:val="TOC1"/>
            <w:tabs>
              <w:tab w:val="right" w:leader="dot" w:pos="9350"/>
            </w:tabs>
            <w:rPr>
              <w:rFonts w:cstheme="minorBidi"/>
              <w:noProof/>
              <w:lang w:eastAsia="hu-HU"/>
            </w:rPr>
          </w:pPr>
          <w:hyperlink w:anchor="_Toc55303840" w:history="1">
            <w:r>
              <w:rPr>
                <w:rStyle w:val="Hyperlink"/>
                <w:noProof/>
              </w:rPr>
              <w:t>7. KIS- ÉS KÖZÉPVÁLLALKOZÁSOK</w:t>
            </w:r>
            <w:r>
              <w:rPr>
                <w:noProof/>
                <w:webHidden/>
              </w:rPr>
              <w:tab/>
            </w:r>
            <w:r>
              <w:rPr>
                <w:noProof/>
                <w:webHidden/>
              </w:rPr>
              <w:fldChar w:fldCharType="begin"/>
            </w:r>
            <w:r>
              <w:rPr>
                <w:noProof/>
                <w:webHidden/>
              </w:rPr>
              <w:instrText xml:space="preserve"> PAGEREF _Toc55303840 \h </w:instrText>
            </w:r>
            <w:r>
              <w:rPr>
                <w:noProof/>
                <w:webHidden/>
              </w:rPr>
            </w:r>
            <w:r>
              <w:rPr>
                <w:noProof/>
                <w:webHidden/>
              </w:rPr>
              <w:fldChar w:fldCharType="separate"/>
            </w:r>
            <w:r>
              <w:rPr>
                <w:noProof/>
                <w:webHidden/>
              </w:rPr>
              <w:t>55</w:t>
            </w:r>
            <w:r>
              <w:rPr>
                <w:noProof/>
                <w:webHidden/>
              </w:rPr>
              <w:fldChar w:fldCharType="end"/>
            </w:r>
          </w:hyperlink>
        </w:p>
        <w:p>
          <w:pPr>
            <w:pStyle w:val="TOC1"/>
            <w:tabs>
              <w:tab w:val="right" w:leader="dot" w:pos="9350"/>
            </w:tabs>
            <w:rPr>
              <w:rFonts w:cstheme="minorBidi"/>
              <w:noProof/>
              <w:lang w:eastAsia="hu-HU"/>
            </w:rPr>
          </w:pPr>
          <w:hyperlink w:anchor="_Toc55303841" w:history="1">
            <w:r>
              <w:rPr>
                <w:rStyle w:val="Hyperlink"/>
                <w:noProof/>
              </w:rPr>
              <w:t>8. JOGÉRVÉNYESÍTÉS</w:t>
            </w:r>
            <w:r>
              <w:rPr>
                <w:noProof/>
                <w:webHidden/>
              </w:rPr>
              <w:tab/>
            </w:r>
            <w:r>
              <w:rPr>
                <w:noProof/>
                <w:webHidden/>
              </w:rPr>
              <w:fldChar w:fldCharType="begin"/>
            </w:r>
            <w:r>
              <w:rPr>
                <w:noProof/>
                <w:webHidden/>
              </w:rPr>
              <w:instrText xml:space="preserve"> PAGEREF _Toc55303841 \h </w:instrText>
            </w:r>
            <w:r>
              <w:rPr>
                <w:noProof/>
                <w:webHidden/>
              </w:rPr>
            </w:r>
            <w:r>
              <w:rPr>
                <w:noProof/>
                <w:webHidden/>
              </w:rPr>
              <w:fldChar w:fldCharType="separate"/>
            </w:r>
            <w:r>
              <w:rPr>
                <w:noProof/>
                <w:webHidden/>
              </w:rPr>
              <w:t>58</w:t>
            </w:r>
            <w:r>
              <w:rPr>
                <w:noProof/>
                <w:webHidden/>
              </w:rPr>
              <w:fldChar w:fldCharType="end"/>
            </w:r>
          </w:hyperlink>
        </w:p>
        <w:p>
          <w:pPr>
            <w:pStyle w:val="TOC2"/>
            <w:tabs>
              <w:tab w:val="left" w:pos="880"/>
              <w:tab w:val="right" w:leader="dot" w:pos="9350"/>
            </w:tabs>
            <w:rPr>
              <w:rFonts w:cstheme="minorBidi"/>
              <w:noProof/>
              <w:lang w:eastAsia="hu-HU"/>
            </w:rPr>
          </w:pPr>
          <w:hyperlink w:anchor="_Toc55303842" w:history="1">
            <w:r>
              <w:rPr>
                <w:rStyle w:val="Hyperlink"/>
                <w:noProof/>
              </w:rPr>
              <w:t>8.1.</w:t>
            </w:r>
            <w:r>
              <w:rPr>
                <w:rFonts w:cstheme="minorBidi"/>
                <w:noProof/>
                <w:lang w:eastAsia="hu-HU"/>
              </w:rPr>
              <w:tab/>
            </w:r>
            <w:r>
              <w:rPr>
                <w:rStyle w:val="Hyperlink"/>
                <w:noProof/>
              </w:rPr>
              <w:t>Vitarendezés Dél-Koreával a kereskedelem és a fenntartható fejlődés területén</w:t>
            </w:r>
            <w:r>
              <w:rPr>
                <w:noProof/>
                <w:webHidden/>
              </w:rPr>
              <w:tab/>
            </w:r>
            <w:r>
              <w:rPr>
                <w:noProof/>
                <w:webHidden/>
              </w:rPr>
              <w:fldChar w:fldCharType="begin"/>
            </w:r>
            <w:r>
              <w:rPr>
                <w:noProof/>
                <w:webHidden/>
              </w:rPr>
              <w:instrText xml:space="preserve"> PAGEREF _Toc55303842 \h </w:instrText>
            </w:r>
            <w:r>
              <w:rPr>
                <w:noProof/>
                <w:webHidden/>
              </w:rPr>
            </w:r>
            <w:r>
              <w:rPr>
                <w:noProof/>
                <w:webHidden/>
              </w:rPr>
              <w:fldChar w:fldCharType="separate"/>
            </w:r>
            <w:r>
              <w:rPr>
                <w:noProof/>
                <w:webHidden/>
              </w:rPr>
              <w:t>59</w:t>
            </w:r>
            <w:r>
              <w:rPr>
                <w:noProof/>
                <w:webHidden/>
              </w:rPr>
              <w:fldChar w:fldCharType="end"/>
            </w:r>
          </w:hyperlink>
        </w:p>
        <w:p>
          <w:pPr>
            <w:pStyle w:val="TOC2"/>
            <w:tabs>
              <w:tab w:val="left" w:pos="880"/>
              <w:tab w:val="right" w:leader="dot" w:pos="9350"/>
            </w:tabs>
            <w:rPr>
              <w:rFonts w:cstheme="minorBidi"/>
              <w:noProof/>
              <w:lang w:eastAsia="hu-HU"/>
            </w:rPr>
          </w:pPr>
          <w:hyperlink w:anchor="_Toc55303843" w:history="1">
            <w:r>
              <w:rPr>
                <w:rStyle w:val="Hyperlink"/>
                <w:noProof/>
              </w:rPr>
              <w:t>8.2.</w:t>
            </w:r>
            <w:r>
              <w:rPr>
                <w:rFonts w:cstheme="minorBidi"/>
                <w:noProof/>
                <w:lang w:eastAsia="hu-HU"/>
              </w:rPr>
              <w:tab/>
            </w:r>
            <w:r>
              <w:rPr>
                <w:rStyle w:val="Hyperlink"/>
                <w:noProof/>
              </w:rPr>
              <w:t>Vitarendezés Ukrajnával</w:t>
            </w:r>
            <w:r>
              <w:rPr>
                <w:noProof/>
                <w:webHidden/>
              </w:rPr>
              <w:tab/>
            </w:r>
            <w:r>
              <w:rPr>
                <w:noProof/>
                <w:webHidden/>
              </w:rPr>
              <w:fldChar w:fldCharType="begin"/>
            </w:r>
            <w:r>
              <w:rPr>
                <w:noProof/>
                <w:webHidden/>
              </w:rPr>
              <w:instrText xml:space="preserve"> PAGEREF _Toc55303843 \h </w:instrText>
            </w:r>
            <w:r>
              <w:rPr>
                <w:noProof/>
                <w:webHidden/>
              </w:rPr>
            </w:r>
            <w:r>
              <w:rPr>
                <w:noProof/>
                <w:webHidden/>
              </w:rPr>
              <w:fldChar w:fldCharType="separate"/>
            </w:r>
            <w:r>
              <w:rPr>
                <w:noProof/>
                <w:webHidden/>
              </w:rPr>
              <w:t>59</w:t>
            </w:r>
            <w:r>
              <w:rPr>
                <w:noProof/>
                <w:webHidden/>
              </w:rPr>
              <w:fldChar w:fldCharType="end"/>
            </w:r>
          </w:hyperlink>
        </w:p>
        <w:p>
          <w:pPr>
            <w:pStyle w:val="TOC2"/>
            <w:tabs>
              <w:tab w:val="left" w:pos="880"/>
              <w:tab w:val="right" w:leader="dot" w:pos="9350"/>
            </w:tabs>
            <w:rPr>
              <w:rFonts w:cstheme="minorBidi"/>
              <w:noProof/>
              <w:lang w:eastAsia="hu-HU"/>
            </w:rPr>
          </w:pPr>
          <w:hyperlink w:anchor="_Toc55303844" w:history="1">
            <w:r>
              <w:rPr>
                <w:rStyle w:val="Hyperlink"/>
                <w:noProof/>
              </w:rPr>
              <w:t>8.3.</w:t>
            </w:r>
            <w:r>
              <w:rPr>
                <w:rFonts w:cstheme="minorBidi"/>
                <w:noProof/>
                <w:lang w:eastAsia="hu-HU"/>
              </w:rPr>
              <w:tab/>
            </w:r>
            <w:r>
              <w:rPr>
                <w:rStyle w:val="Hyperlink"/>
                <w:noProof/>
              </w:rPr>
              <w:t>Vitarendezés a Dél-afrikai Vámunióval (SACU)</w:t>
            </w:r>
            <w:r>
              <w:rPr>
                <w:noProof/>
                <w:webHidden/>
              </w:rPr>
              <w:tab/>
            </w:r>
            <w:r>
              <w:rPr>
                <w:noProof/>
                <w:webHidden/>
              </w:rPr>
              <w:fldChar w:fldCharType="begin"/>
            </w:r>
            <w:r>
              <w:rPr>
                <w:noProof/>
                <w:webHidden/>
              </w:rPr>
              <w:instrText xml:space="preserve"> PAGEREF _Toc55303844 \h </w:instrText>
            </w:r>
            <w:r>
              <w:rPr>
                <w:noProof/>
                <w:webHidden/>
              </w:rPr>
            </w:r>
            <w:r>
              <w:rPr>
                <w:noProof/>
                <w:webHidden/>
              </w:rPr>
              <w:fldChar w:fldCharType="separate"/>
            </w:r>
            <w:r>
              <w:rPr>
                <w:noProof/>
                <w:webHidden/>
              </w:rPr>
              <w:t>60</w:t>
            </w:r>
            <w:r>
              <w:rPr>
                <w:noProof/>
                <w:webHidden/>
              </w:rPr>
              <w:fldChar w:fldCharType="end"/>
            </w:r>
          </w:hyperlink>
        </w:p>
        <w:p>
          <w:pPr>
            <w:pStyle w:val="TOC1"/>
            <w:tabs>
              <w:tab w:val="right" w:leader="dot" w:pos="9350"/>
            </w:tabs>
            <w:rPr>
              <w:rFonts w:cstheme="minorBidi"/>
              <w:noProof/>
              <w:lang w:eastAsia="hu-HU"/>
            </w:rPr>
          </w:pPr>
          <w:hyperlink w:anchor="_Toc55303845" w:history="1">
            <w:r>
              <w:rPr>
                <w:rStyle w:val="Hyperlink"/>
                <w:noProof/>
              </w:rPr>
              <w:t>9. KÖVETKEZTETÉSEK</w:t>
            </w:r>
            <w:r>
              <w:rPr>
                <w:noProof/>
                <w:webHidden/>
              </w:rPr>
              <w:tab/>
            </w:r>
            <w:r>
              <w:rPr>
                <w:noProof/>
                <w:webHidden/>
              </w:rPr>
              <w:fldChar w:fldCharType="begin"/>
            </w:r>
            <w:r>
              <w:rPr>
                <w:noProof/>
                <w:webHidden/>
              </w:rPr>
              <w:instrText xml:space="preserve"> PAGEREF _Toc55303845 \h </w:instrText>
            </w:r>
            <w:r>
              <w:rPr>
                <w:noProof/>
                <w:webHidden/>
              </w:rPr>
            </w:r>
            <w:r>
              <w:rPr>
                <w:noProof/>
                <w:webHidden/>
              </w:rPr>
              <w:fldChar w:fldCharType="separate"/>
            </w:r>
            <w:r>
              <w:rPr>
                <w:noProof/>
                <w:webHidden/>
              </w:rPr>
              <w:t>60</w:t>
            </w:r>
            <w:r>
              <w:rPr>
                <w:noProof/>
                <w:webHidden/>
              </w:rPr>
              <w:fldChar w:fldCharType="end"/>
            </w:r>
          </w:hyperlink>
        </w:p>
        <w:p>
          <w:pPr>
            <w:rPr>
              <w:rFonts w:ascii="Times New Roman" w:hAnsi="Times New Roman" w:cs="Times New Roman"/>
              <w:b/>
              <w:noProof/>
            </w:rPr>
          </w:pPr>
          <w:r>
            <w:rPr>
              <w:rFonts w:ascii="Times New Roman" w:hAnsi="Times New Roman" w:cs="Times New Roman"/>
              <w:b/>
              <w:bCs/>
              <w:noProof/>
            </w:rPr>
            <w:fldChar w:fldCharType="end"/>
          </w:r>
        </w:p>
      </w:sdtContent>
    </w:sdt>
    <w:p>
      <w:pPr>
        <w:jc w:val="left"/>
        <w:rPr>
          <w:rFonts w:ascii="Times New Roman" w:hAnsi="Times New Roman"/>
          <w:b/>
          <w:noProof/>
          <w:sz w:val="24"/>
          <w:szCs w:val="24"/>
        </w:rPr>
      </w:pPr>
      <w:r>
        <w:rPr>
          <w:rFonts w:ascii="Times New Roman" w:hAnsi="Times New Roman"/>
          <w:b/>
          <w:noProof/>
          <w:sz w:val="24"/>
          <w:szCs w:val="24"/>
        </w:rPr>
        <w:br w:type="page"/>
      </w:r>
    </w:p>
    <w:p>
      <w:pPr>
        <w:jc w:val="center"/>
        <w:rPr>
          <w:rFonts w:ascii="Times New Roman" w:hAnsi="Times New Roman" w:cs="Times New Roman"/>
          <w:b/>
          <w:noProof/>
          <w:sz w:val="24"/>
          <w:szCs w:val="24"/>
        </w:rPr>
      </w:pPr>
      <w:r>
        <w:rPr>
          <w:rFonts w:ascii="Times New Roman" w:hAnsi="Times New Roman"/>
          <w:b/>
          <w:noProof/>
          <w:sz w:val="24"/>
          <w:szCs w:val="24"/>
        </w:rPr>
        <w:t>AZ E JELENTÉSBEN TÁRGYALT KERESKEDELMI MEGÁLLAPODÁSOK</w:t>
      </w:r>
      <w:bookmarkEnd w:id="0"/>
    </w:p>
    <w:p>
      <w:pPr>
        <w:spacing w:after="0" w:line="240" w:lineRule="auto"/>
        <w:jc w:val="center"/>
        <w:rPr>
          <w:rFonts w:ascii="Times New Roman" w:eastAsia="Calibri" w:hAnsi="Times New Roman" w:cs="Times New Roman"/>
          <w:noProof/>
          <w:sz w:val="24"/>
          <w:szCs w:val="24"/>
        </w:rPr>
      </w:pPr>
      <w:r>
        <w:rPr>
          <w:rFonts w:ascii="Times New Roman" w:hAnsi="Times New Roman"/>
          <w:noProof/>
          <w:sz w:val="24"/>
          <w:szCs w:val="24"/>
        </w:rPr>
        <w:t>(Megállapodás/az alkalmazás kezdőnapja)</w:t>
      </w:r>
      <w:r>
        <w:rPr>
          <w:rStyle w:val="FootnoteReference"/>
          <w:rFonts w:ascii="Times New Roman" w:eastAsia="Calibri" w:hAnsi="Times New Roman" w:cs="Times New Roman"/>
          <w:noProof/>
          <w:sz w:val="24"/>
          <w:szCs w:val="24"/>
          <w:lang w:val="en-GB"/>
        </w:rPr>
        <w:footnoteReference w:id="2"/>
      </w:r>
    </w:p>
    <w:p>
      <w:pPr>
        <w:spacing w:after="0" w:line="240" w:lineRule="auto"/>
        <w:jc w:val="center"/>
        <w:rPr>
          <w:rFonts w:ascii="Times New Roman" w:eastAsia="Calibri" w:hAnsi="Times New Roman" w:cs="Times New Roman"/>
          <w:noProof/>
          <w:sz w:val="24"/>
          <w:szCs w:val="24"/>
          <w:lang w:val="en-GB"/>
        </w:rPr>
      </w:pPr>
    </w:p>
    <w:tbl>
      <w:tblPr>
        <w:tblStyle w:val="TableGrid"/>
        <w:tblW w:w="0" w:type="auto"/>
        <w:tblLook w:val="04A0" w:firstRow="1" w:lastRow="0" w:firstColumn="1" w:lastColumn="0" w:noHBand="0" w:noVBand="1"/>
      </w:tblPr>
      <w:tblGrid>
        <w:gridCol w:w="4355"/>
        <w:gridCol w:w="4337"/>
      </w:tblGrid>
      <w:tr>
        <w:tc>
          <w:tcPr>
            <w:tcW w:w="8692" w:type="dxa"/>
            <w:gridSpan w:val="2"/>
            <w:tcBorders>
              <w:top w:val="single" w:sz="4" w:space="0" w:color="auto"/>
              <w:left w:val="single" w:sz="4" w:space="0" w:color="auto"/>
              <w:bottom w:val="single" w:sz="4" w:space="0" w:color="auto"/>
              <w:right w:val="single" w:sz="4" w:space="0" w:color="auto"/>
            </w:tcBorders>
            <w:hideMark/>
          </w:tcPr>
          <w:p>
            <w:pPr>
              <w:jc w:val="center"/>
              <w:rPr>
                <w:rFonts w:ascii="Times New Roman" w:hAnsi="Times New Roman" w:cs="Times New Roman"/>
                <w:b/>
                <w:noProof/>
                <w:sz w:val="24"/>
                <w:szCs w:val="24"/>
              </w:rPr>
            </w:pPr>
            <w:r>
              <w:rPr>
                <w:rFonts w:ascii="Times New Roman" w:hAnsi="Times New Roman"/>
                <w:b/>
                <w:noProof/>
                <w:sz w:val="24"/>
                <w:szCs w:val="24"/>
              </w:rPr>
              <w:t>ÁZSIA</w:t>
            </w:r>
          </w:p>
        </w:tc>
      </w:tr>
      <w:tr>
        <w:tc>
          <w:tcPr>
            <w:tcW w:w="4355" w:type="dxa"/>
            <w:hideMark/>
          </w:tcPr>
          <w:p>
            <w:pPr>
              <w:rPr>
                <w:rFonts w:ascii="Times New Roman" w:hAnsi="Times New Roman" w:cs="Times New Roman"/>
                <w:noProof/>
                <w:sz w:val="24"/>
                <w:szCs w:val="24"/>
                <w:u w:val="single"/>
              </w:rPr>
            </w:pPr>
            <w:r>
              <w:rPr>
                <w:rFonts w:ascii="Times New Roman" w:hAnsi="Times New Roman"/>
                <w:noProof/>
                <w:sz w:val="24"/>
                <w:szCs w:val="24"/>
              </w:rPr>
              <w:t>EU–Japán gazdasági partnerségi megállapodás</w:t>
            </w:r>
          </w:p>
        </w:tc>
        <w:tc>
          <w:tcPr>
            <w:tcW w:w="4337" w:type="dxa"/>
            <w:hideMark/>
          </w:tcPr>
          <w:p>
            <w:pPr>
              <w:rPr>
                <w:rFonts w:ascii="Times New Roman" w:hAnsi="Times New Roman" w:cs="Times New Roman"/>
                <w:b/>
                <w:noProof/>
                <w:sz w:val="24"/>
                <w:szCs w:val="24"/>
                <w:u w:val="single"/>
              </w:rPr>
            </w:pPr>
            <w:r>
              <w:rPr>
                <w:rFonts w:ascii="Times New Roman" w:hAnsi="Times New Roman"/>
                <w:noProof/>
                <w:sz w:val="24"/>
                <w:szCs w:val="24"/>
              </w:rPr>
              <w:t>2019. február 1.</w:t>
            </w:r>
          </w:p>
        </w:tc>
      </w:tr>
      <w:tr>
        <w:tc>
          <w:tcPr>
            <w:tcW w:w="4355" w:type="dxa"/>
            <w:hideMark/>
          </w:tcPr>
          <w:p>
            <w:pPr>
              <w:rPr>
                <w:rFonts w:ascii="Times New Roman" w:hAnsi="Times New Roman" w:cs="Times New Roman"/>
                <w:noProof/>
                <w:sz w:val="24"/>
                <w:szCs w:val="24"/>
                <w:u w:val="single"/>
              </w:rPr>
            </w:pPr>
            <w:r>
              <w:rPr>
                <w:rFonts w:ascii="Times New Roman" w:hAnsi="Times New Roman"/>
                <w:noProof/>
                <w:sz w:val="24"/>
                <w:szCs w:val="24"/>
              </w:rPr>
              <w:t>EU–Dél-Korea szabadkereskedelmi megállapodás</w:t>
            </w:r>
          </w:p>
        </w:tc>
        <w:tc>
          <w:tcPr>
            <w:tcW w:w="4337" w:type="dxa"/>
            <w:hideMark/>
          </w:tcPr>
          <w:p>
            <w:pPr>
              <w:rPr>
                <w:rFonts w:ascii="Times New Roman" w:hAnsi="Times New Roman" w:cs="Times New Roman"/>
                <w:b/>
                <w:noProof/>
                <w:sz w:val="24"/>
                <w:szCs w:val="24"/>
                <w:u w:val="single"/>
              </w:rPr>
            </w:pPr>
            <w:r>
              <w:rPr>
                <w:rFonts w:ascii="Times New Roman" w:hAnsi="Times New Roman"/>
                <w:noProof/>
                <w:sz w:val="24"/>
                <w:szCs w:val="24"/>
              </w:rPr>
              <w:t>2011. július 1.</w:t>
            </w:r>
          </w:p>
        </w:tc>
      </w:tr>
      <w:tr>
        <w:tc>
          <w:tcPr>
            <w:tcW w:w="8692" w:type="dxa"/>
            <w:gridSpan w:val="2"/>
            <w:tcBorders>
              <w:top w:val="single" w:sz="4" w:space="0" w:color="auto"/>
              <w:left w:val="single" w:sz="4" w:space="0" w:color="auto"/>
              <w:bottom w:val="single" w:sz="4" w:space="0" w:color="auto"/>
              <w:right w:val="single" w:sz="4" w:space="0" w:color="auto"/>
            </w:tcBorders>
            <w:hideMark/>
          </w:tcPr>
          <w:p>
            <w:pPr>
              <w:jc w:val="center"/>
              <w:rPr>
                <w:rFonts w:ascii="Times New Roman" w:hAnsi="Times New Roman" w:cs="Times New Roman"/>
                <w:b/>
                <w:noProof/>
                <w:sz w:val="24"/>
                <w:szCs w:val="24"/>
              </w:rPr>
            </w:pPr>
            <w:r>
              <w:rPr>
                <w:rFonts w:ascii="Times New Roman" w:hAnsi="Times New Roman"/>
                <w:b/>
                <w:noProof/>
                <w:sz w:val="24"/>
                <w:szCs w:val="24"/>
              </w:rPr>
              <w:t>AZ AMERIKAI KONTINENS ORSZÁGAI</w:t>
            </w:r>
          </w:p>
        </w:tc>
      </w:tr>
      <w:tr>
        <w:tc>
          <w:tcPr>
            <w:tcW w:w="4355" w:type="dxa"/>
            <w:tcBorders>
              <w:top w:val="single" w:sz="4" w:space="0" w:color="auto"/>
              <w:left w:val="single" w:sz="4" w:space="0" w:color="auto"/>
              <w:bottom w:val="single" w:sz="4" w:space="0" w:color="auto"/>
              <w:right w:val="single" w:sz="4" w:space="0" w:color="auto"/>
            </w:tcBorders>
            <w:hideMark/>
          </w:tcPr>
          <w:p>
            <w:pPr>
              <w:rPr>
                <w:rFonts w:ascii="Times New Roman" w:hAnsi="Times New Roman" w:cs="Times New Roman"/>
                <w:noProof/>
                <w:sz w:val="24"/>
                <w:szCs w:val="24"/>
                <w:u w:val="single"/>
              </w:rPr>
            </w:pPr>
            <w:r>
              <w:rPr>
                <w:rFonts w:ascii="Times New Roman" w:hAnsi="Times New Roman"/>
                <w:noProof/>
                <w:sz w:val="24"/>
                <w:szCs w:val="24"/>
              </w:rPr>
              <w:t xml:space="preserve">EU–Kanada átfogó gazdasági és kereskedelmi megállapodás </w:t>
            </w:r>
          </w:p>
        </w:tc>
        <w:tc>
          <w:tcPr>
            <w:tcW w:w="4337" w:type="dxa"/>
            <w:tcBorders>
              <w:top w:val="single" w:sz="4" w:space="0" w:color="auto"/>
              <w:left w:val="single" w:sz="4" w:space="0" w:color="auto"/>
              <w:bottom w:val="single" w:sz="4" w:space="0" w:color="auto"/>
              <w:right w:val="single" w:sz="4" w:space="0" w:color="auto"/>
            </w:tcBorders>
          </w:tcPr>
          <w:p>
            <w:pPr>
              <w:contextualSpacing/>
              <w:rPr>
                <w:rFonts w:ascii="Times New Roman" w:eastAsia="Calibri" w:hAnsi="Times New Roman" w:cs="Times New Roman"/>
                <w:b/>
                <w:noProof/>
                <w:sz w:val="24"/>
                <w:szCs w:val="24"/>
              </w:rPr>
            </w:pPr>
            <w:r>
              <w:rPr>
                <w:rFonts w:ascii="Times New Roman" w:hAnsi="Times New Roman"/>
                <w:noProof/>
                <w:sz w:val="24"/>
                <w:szCs w:val="24"/>
              </w:rPr>
              <w:t>2017. szeptember 21.</w:t>
            </w:r>
          </w:p>
          <w:p>
            <w:pPr>
              <w:rPr>
                <w:rFonts w:ascii="Times New Roman" w:hAnsi="Times New Roman" w:cs="Times New Roman"/>
                <w:b/>
                <w:noProof/>
                <w:sz w:val="24"/>
                <w:szCs w:val="24"/>
                <w:u w:val="single"/>
              </w:rPr>
            </w:pPr>
          </w:p>
        </w:tc>
      </w:tr>
      <w:tr>
        <w:tc>
          <w:tcPr>
            <w:tcW w:w="4355" w:type="dxa"/>
            <w:hideMark/>
          </w:tcPr>
          <w:p>
            <w:pPr>
              <w:rPr>
                <w:rFonts w:ascii="Times New Roman" w:hAnsi="Times New Roman" w:cs="Times New Roman"/>
                <w:noProof/>
                <w:sz w:val="24"/>
                <w:szCs w:val="24"/>
                <w:u w:val="single"/>
              </w:rPr>
            </w:pPr>
            <w:r>
              <w:rPr>
                <w:rFonts w:ascii="Times New Roman" w:hAnsi="Times New Roman"/>
                <w:noProof/>
                <w:sz w:val="24"/>
                <w:szCs w:val="24"/>
              </w:rPr>
              <w:t>EU–Kolumbia–Peru–Ecuador kereskedelmi megállapodás</w:t>
            </w:r>
          </w:p>
        </w:tc>
        <w:tc>
          <w:tcPr>
            <w:tcW w:w="4337" w:type="dxa"/>
          </w:tcPr>
          <w:p>
            <w:pPr>
              <w:contextualSpacing/>
              <w:rPr>
                <w:rFonts w:ascii="Times New Roman" w:hAnsi="Times New Roman" w:cs="Times New Roman"/>
                <w:b/>
                <w:noProof/>
                <w:sz w:val="24"/>
                <w:szCs w:val="24"/>
                <w:u w:val="single"/>
              </w:rPr>
            </w:pPr>
            <w:r>
              <w:rPr>
                <w:rFonts w:ascii="Times New Roman" w:hAnsi="Times New Roman"/>
                <w:noProof/>
                <w:sz w:val="24"/>
                <w:szCs w:val="24"/>
              </w:rPr>
              <w:t>Peru esetében 2013. március 1.; Kolumbia esetében 2013. augusztus 1.; Ecuador esetében 2017. január 1.</w:t>
            </w:r>
          </w:p>
        </w:tc>
      </w:tr>
      <w:tr>
        <w:tc>
          <w:tcPr>
            <w:tcW w:w="4355" w:type="dxa"/>
            <w:hideMark/>
          </w:tcPr>
          <w:p>
            <w:pPr>
              <w:rPr>
                <w:rFonts w:ascii="Times New Roman" w:hAnsi="Times New Roman" w:cs="Times New Roman"/>
                <w:noProof/>
                <w:sz w:val="24"/>
                <w:szCs w:val="24"/>
                <w:u w:val="single"/>
              </w:rPr>
            </w:pPr>
            <w:r>
              <w:rPr>
                <w:rFonts w:ascii="Times New Roman" w:hAnsi="Times New Roman"/>
                <w:noProof/>
                <w:sz w:val="24"/>
                <w:szCs w:val="24"/>
              </w:rPr>
              <w:t xml:space="preserve">EU–Közép-Amerika társulási megállapodás </w:t>
            </w:r>
          </w:p>
        </w:tc>
        <w:tc>
          <w:tcPr>
            <w:tcW w:w="4337" w:type="dxa"/>
            <w:hideMark/>
          </w:tcPr>
          <w:p>
            <w:pPr>
              <w:rPr>
                <w:rFonts w:ascii="Times New Roman" w:hAnsi="Times New Roman" w:cs="Times New Roman"/>
                <w:b/>
                <w:noProof/>
                <w:sz w:val="24"/>
                <w:szCs w:val="24"/>
                <w:u w:val="single"/>
              </w:rPr>
            </w:pPr>
            <w:r>
              <w:rPr>
                <w:rFonts w:ascii="Times New Roman" w:hAnsi="Times New Roman"/>
                <w:noProof/>
                <w:sz w:val="24"/>
                <w:szCs w:val="24"/>
              </w:rPr>
              <w:t>2013. augusztus 1.: a kereskedelmi pillér alkalmazásának kezdete Honduras, Nicaragua és Panama vonatkozásában; 2013. október 1.: Costa Rica és Salvador vonatkozásában; 2013. december 1.: Guatemala vonatkozásában.</w:t>
            </w:r>
          </w:p>
        </w:tc>
      </w:tr>
      <w:tr>
        <w:tc>
          <w:tcPr>
            <w:tcW w:w="4355" w:type="dxa"/>
            <w:hideMark/>
          </w:tcPr>
          <w:p>
            <w:pPr>
              <w:contextualSpacing/>
              <w:rPr>
                <w:rFonts w:ascii="Times New Roman" w:eastAsia="Calibri" w:hAnsi="Times New Roman" w:cs="Times New Roman"/>
                <w:noProof/>
                <w:sz w:val="24"/>
                <w:szCs w:val="24"/>
              </w:rPr>
            </w:pPr>
            <w:r>
              <w:rPr>
                <w:rFonts w:ascii="Times New Roman" w:hAnsi="Times New Roman"/>
                <w:noProof/>
                <w:sz w:val="24"/>
                <w:szCs w:val="24"/>
              </w:rPr>
              <w:t>EU–Chile társulási megállapodás</w:t>
            </w:r>
          </w:p>
        </w:tc>
        <w:tc>
          <w:tcPr>
            <w:tcW w:w="4337" w:type="dxa"/>
            <w:hideMark/>
          </w:tcPr>
          <w:p>
            <w:pPr>
              <w:contextualSpacing/>
              <w:rPr>
                <w:rFonts w:ascii="Times New Roman" w:eastAsia="Calibri" w:hAnsi="Times New Roman" w:cs="Times New Roman"/>
                <w:noProof/>
                <w:sz w:val="24"/>
                <w:szCs w:val="24"/>
              </w:rPr>
            </w:pPr>
            <w:r>
              <w:rPr>
                <w:rFonts w:ascii="Times New Roman" w:hAnsi="Times New Roman"/>
                <w:noProof/>
                <w:sz w:val="24"/>
                <w:szCs w:val="24"/>
              </w:rPr>
              <w:t>2003. február 1.</w:t>
            </w:r>
          </w:p>
        </w:tc>
      </w:tr>
      <w:tr>
        <w:tc>
          <w:tcPr>
            <w:tcW w:w="4355" w:type="dxa"/>
            <w:hideMark/>
          </w:tcPr>
          <w:p>
            <w:pPr>
              <w:contextualSpacing/>
              <w:rPr>
                <w:rFonts w:ascii="Times New Roman" w:eastAsia="Calibri" w:hAnsi="Times New Roman" w:cs="Times New Roman"/>
                <w:noProof/>
                <w:sz w:val="24"/>
                <w:szCs w:val="24"/>
              </w:rPr>
            </w:pPr>
            <w:r>
              <w:rPr>
                <w:rFonts w:ascii="Times New Roman" w:hAnsi="Times New Roman"/>
                <w:noProof/>
                <w:sz w:val="24"/>
                <w:szCs w:val="24"/>
              </w:rPr>
              <w:t>EU–Mexikó globális megállapodás</w:t>
            </w:r>
          </w:p>
        </w:tc>
        <w:tc>
          <w:tcPr>
            <w:tcW w:w="4337" w:type="dxa"/>
            <w:hideMark/>
          </w:tcPr>
          <w:p>
            <w:pPr>
              <w:contextualSpacing/>
              <w:rPr>
                <w:rFonts w:ascii="Times New Roman" w:eastAsia="Calibri" w:hAnsi="Times New Roman" w:cs="Times New Roman"/>
                <w:noProof/>
                <w:sz w:val="24"/>
                <w:szCs w:val="24"/>
              </w:rPr>
            </w:pPr>
            <w:r>
              <w:rPr>
                <w:rFonts w:ascii="Times New Roman" w:hAnsi="Times New Roman"/>
                <w:noProof/>
                <w:sz w:val="24"/>
                <w:szCs w:val="24"/>
              </w:rPr>
              <w:t>az árukra vonatkozóan az alkalmazás kezdete 2000. július 1.; a szolgáltatásokra vonatkozóan az alkalmazás kezdete 2001. március 1.</w:t>
            </w:r>
          </w:p>
        </w:tc>
      </w:tr>
      <w:tr>
        <w:tc>
          <w:tcPr>
            <w:tcW w:w="8692" w:type="dxa"/>
            <w:gridSpan w:val="2"/>
            <w:hideMark/>
          </w:tcPr>
          <w:p>
            <w:pPr>
              <w:jc w:val="center"/>
              <w:rPr>
                <w:rFonts w:ascii="Times New Roman" w:hAnsi="Times New Roman" w:cs="Times New Roman"/>
                <w:b/>
                <w:noProof/>
                <w:sz w:val="24"/>
                <w:szCs w:val="24"/>
              </w:rPr>
            </w:pPr>
            <w:r>
              <w:rPr>
                <w:rFonts w:ascii="Times New Roman" w:hAnsi="Times New Roman"/>
                <w:b/>
                <w:noProof/>
                <w:sz w:val="24"/>
                <w:szCs w:val="24"/>
              </w:rPr>
              <w:t>AZ EURÓPAI UNIÓVAL SZOMSZÉDOS ORSZÁGOK</w:t>
            </w:r>
          </w:p>
        </w:tc>
      </w:tr>
      <w:tr>
        <w:tc>
          <w:tcPr>
            <w:tcW w:w="8692" w:type="dxa"/>
            <w:gridSpan w:val="2"/>
            <w:hideMark/>
          </w:tcPr>
          <w:p>
            <w:pPr>
              <w:jc w:val="center"/>
              <w:rPr>
                <w:rFonts w:ascii="Times New Roman" w:hAnsi="Times New Roman" w:cs="Times New Roman"/>
                <w:b/>
                <w:noProof/>
                <w:sz w:val="24"/>
                <w:szCs w:val="24"/>
                <w:u w:val="single"/>
              </w:rPr>
            </w:pPr>
            <w:r>
              <w:rPr>
                <w:rFonts w:ascii="Times New Roman" w:hAnsi="Times New Roman"/>
                <w:b/>
                <w:noProof/>
                <w:sz w:val="24"/>
                <w:szCs w:val="24"/>
              </w:rPr>
              <w:t>Földközi-tengeri és közel-keleti országok – szabadkereskedelmi térségek</w:t>
            </w:r>
          </w:p>
        </w:tc>
      </w:tr>
      <w:tr>
        <w:tc>
          <w:tcPr>
            <w:tcW w:w="4355" w:type="dxa"/>
            <w:hideMark/>
          </w:tcPr>
          <w:p>
            <w:pPr>
              <w:contextualSpacing/>
              <w:rPr>
                <w:rFonts w:ascii="Times New Roman" w:eastAsia="Calibri" w:hAnsi="Times New Roman" w:cs="Times New Roman"/>
                <w:noProof/>
                <w:sz w:val="24"/>
                <w:szCs w:val="24"/>
              </w:rPr>
            </w:pPr>
            <w:r>
              <w:rPr>
                <w:rFonts w:ascii="Times New Roman" w:hAnsi="Times New Roman"/>
                <w:noProof/>
                <w:sz w:val="24"/>
                <w:szCs w:val="24"/>
              </w:rPr>
              <w:t>EU–Algéria</w:t>
            </w:r>
          </w:p>
        </w:tc>
        <w:tc>
          <w:tcPr>
            <w:tcW w:w="4337" w:type="dxa"/>
            <w:hideMark/>
          </w:tcPr>
          <w:p>
            <w:pPr>
              <w:contextualSpacing/>
              <w:rPr>
                <w:rFonts w:ascii="Times New Roman" w:eastAsia="Calibri" w:hAnsi="Times New Roman" w:cs="Times New Roman"/>
                <w:noProof/>
                <w:sz w:val="24"/>
                <w:szCs w:val="24"/>
              </w:rPr>
            </w:pPr>
            <w:r>
              <w:rPr>
                <w:rFonts w:ascii="Times New Roman" w:hAnsi="Times New Roman"/>
                <w:noProof/>
                <w:sz w:val="24"/>
                <w:szCs w:val="24"/>
              </w:rPr>
              <w:t>2005. szeptember 1.</w:t>
            </w:r>
          </w:p>
        </w:tc>
      </w:tr>
      <w:tr>
        <w:tc>
          <w:tcPr>
            <w:tcW w:w="4355" w:type="dxa"/>
            <w:hideMark/>
          </w:tcPr>
          <w:p>
            <w:pPr>
              <w:contextualSpacing/>
              <w:rPr>
                <w:rFonts w:ascii="Times New Roman" w:eastAsia="Calibri" w:hAnsi="Times New Roman" w:cs="Times New Roman"/>
                <w:noProof/>
                <w:sz w:val="24"/>
                <w:szCs w:val="24"/>
              </w:rPr>
            </w:pPr>
            <w:r>
              <w:rPr>
                <w:rFonts w:ascii="Times New Roman" w:hAnsi="Times New Roman"/>
                <w:noProof/>
                <w:sz w:val="24"/>
                <w:szCs w:val="24"/>
              </w:rPr>
              <w:t>EU–Egyiptom</w:t>
            </w:r>
          </w:p>
        </w:tc>
        <w:tc>
          <w:tcPr>
            <w:tcW w:w="4337" w:type="dxa"/>
            <w:hideMark/>
          </w:tcPr>
          <w:p>
            <w:pPr>
              <w:contextualSpacing/>
              <w:rPr>
                <w:rFonts w:ascii="Times New Roman" w:eastAsia="Calibri" w:hAnsi="Times New Roman" w:cs="Times New Roman"/>
                <w:noProof/>
                <w:sz w:val="24"/>
                <w:szCs w:val="24"/>
              </w:rPr>
            </w:pPr>
            <w:r>
              <w:rPr>
                <w:rFonts w:ascii="Times New Roman" w:hAnsi="Times New Roman"/>
                <w:noProof/>
                <w:sz w:val="24"/>
                <w:szCs w:val="24"/>
              </w:rPr>
              <w:t>2003. december 21.</w:t>
            </w:r>
          </w:p>
        </w:tc>
      </w:tr>
      <w:tr>
        <w:tc>
          <w:tcPr>
            <w:tcW w:w="4355" w:type="dxa"/>
            <w:hideMark/>
          </w:tcPr>
          <w:p>
            <w:pPr>
              <w:contextualSpacing/>
              <w:rPr>
                <w:rFonts w:ascii="Times New Roman" w:eastAsia="Calibri" w:hAnsi="Times New Roman" w:cs="Times New Roman"/>
                <w:noProof/>
                <w:sz w:val="24"/>
                <w:szCs w:val="24"/>
              </w:rPr>
            </w:pPr>
            <w:r>
              <w:rPr>
                <w:rFonts w:ascii="Times New Roman" w:hAnsi="Times New Roman"/>
                <w:noProof/>
                <w:sz w:val="24"/>
                <w:szCs w:val="24"/>
              </w:rPr>
              <w:t>EU–Libanon</w:t>
            </w:r>
          </w:p>
        </w:tc>
        <w:tc>
          <w:tcPr>
            <w:tcW w:w="4337" w:type="dxa"/>
            <w:hideMark/>
          </w:tcPr>
          <w:p>
            <w:pPr>
              <w:contextualSpacing/>
              <w:rPr>
                <w:rFonts w:ascii="Times New Roman" w:eastAsia="Calibri" w:hAnsi="Times New Roman" w:cs="Times New Roman"/>
                <w:noProof/>
                <w:sz w:val="24"/>
                <w:szCs w:val="24"/>
              </w:rPr>
            </w:pPr>
            <w:r>
              <w:rPr>
                <w:rFonts w:ascii="Times New Roman" w:hAnsi="Times New Roman"/>
                <w:noProof/>
                <w:sz w:val="24"/>
                <w:szCs w:val="24"/>
              </w:rPr>
              <w:t>2003. március 1.</w:t>
            </w:r>
          </w:p>
        </w:tc>
      </w:tr>
      <w:tr>
        <w:tc>
          <w:tcPr>
            <w:tcW w:w="4355" w:type="dxa"/>
            <w:hideMark/>
          </w:tcPr>
          <w:p>
            <w:pPr>
              <w:contextualSpacing/>
              <w:rPr>
                <w:rFonts w:ascii="Times New Roman" w:eastAsia="Calibri" w:hAnsi="Times New Roman" w:cs="Times New Roman"/>
                <w:noProof/>
                <w:sz w:val="24"/>
                <w:szCs w:val="24"/>
              </w:rPr>
            </w:pPr>
            <w:r>
              <w:rPr>
                <w:rFonts w:ascii="Times New Roman" w:hAnsi="Times New Roman"/>
                <w:noProof/>
                <w:sz w:val="24"/>
                <w:szCs w:val="24"/>
              </w:rPr>
              <w:t>EU–Jordánia</w:t>
            </w:r>
          </w:p>
        </w:tc>
        <w:tc>
          <w:tcPr>
            <w:tcW w:w="4337" w:type="dxa"/>
            <w:hideMark/>
          </w:tcPr>
          <w:p>
            <w:pPr>
              <w:contextualSpacing/>
              <w:rPr>
                <w:rFonts w:ascii="Times New Roman" w:eastAsia="Calibri" w:hAnsi="Times New Roman" w:cs="Times New Roman"/>
                <w:noProof/>
                <w:sz w:val="24"/>
                <w:szCs w:val="24"/>
              </w:rPr>
            </w:pPr>
            <w:r>
              <w:rPr>
                <w:rFonts w:ascii="Times New Roman" w:hAnsi="Times New Roman"/>
                <w:noProof/>
                <w:sz w:val="24"/>
                <w:szCs w:val="24"/>
              </w:rPr>
              <w:t>2002. május 1.</w:t>
            </w:r>
          </w:p>
        </w:tc>
      </w:tr>
      <w:tr>
        <w:tc>
          <w:tcPr>
            <w:tcW w:w="4355" w:type="dxa"/>
            <w:hideMark/>
          </w:tcPr>
          <w:p>
            <w:pPr>
              <w:contextualSpacing/>
              <w:rPr>
                <w:rFonts w:ascii="Times New Roman" w:eastAsia="Calibri" w:hAnsi="Times New Roman" w:cs="Times New Roman"/>
                <w:noProof/>
                <w:sz w:val="24"/>
                <w:szCs w:val="24"/>
              </w:rPr>
            </w:pPr>
            <w:r>
              <w:rPr>
                <w:rFonts w:ascii="Times New Roman" w:hAnsi="Times New Roman"/>
                <w:noProof/>
                <w:sz w:val="24"/>
                <w:szCs w:val="24"/>
              </w:rPr>
              <w:t>EU–Marokkó</w:t>
            </w:r>
          </w:p>
        </w:tc>
        <w:tc>
          <w:tcPr>
            <w:tcW w:w="4337" w:type="dxa"/>
            <w:hideMark/>
          </w:tcPr>
          <w:p>
            <w:pPr>
              <w:contextualSpacing/>
              <w:rPr>
                <w:rFonts w:ascii="Times New Roman" w:eastAsia="Calibri" w:hAnsi="Times New Roman" w:cs="Times New Roman"/>
                <w:noProof/>
                <w:sz w:val="24"/>
                <w:szCs w:val="24"/>
              </w:rPr>
            </w:pPr>
            <w:r>
              <w:rPr>
                <w:rFonts w:ascii="Times New Roman" w:hAnsi="Times New Roman"/>
                <w:noProof/>
                <w:sz w:val="24"/>
                <w:szCs w:val="24"/>
              </w:rPr>
              <w:t>2000. március 18.</w:t>
            </w:r>
          </w:p>
        </w:tc>
      </w:tr>
      <w:tr>
        <w:tc>
          <w:tcPr>
            <w:tcW w:w="4355" w:type="dxa"/>
            <w:hideMark/>
          </w:tcPr>
          <w:p>
            <w:pPr>
              <w:contextualSpacing/>
              <w:rPr>
                <w:rFonts w:ascii="Times New Roman" w:eastAsia="Calibri" w:hAnsi="Times New Roman" w:cs="Times New Roman"/>
                <w:noProof/>
                <w:sz w:val="24"/>
                <w:szCs w:val="24"/>
              </w:rPr>
            </w:pPr>
            <w:r>
              <w:rPr>
                <w:rFonts w:ascii="Times New Roman" w:hAnsi="Times New Roman"/>
                <w:noProof/>
                <w:sz w:val="24"/>
                <w:szCs w:val="24"/>
              </w:rPr>
              <w:t>EU–Tunézia</w:t>
            </w:r>
          </w:p>
        </w:tc>
        <w:tc>
          <w:tcPr>
            <w:tcW w:w="4337" w:type="dxa"/>
            <w:hideMark/>
          </w:tcPr>
          <w:p>
            <w:pPr>
              <w:contextualSpacing/>
              <w:rPr>
                <w:rFonts w:ascii="Times New Roman" w:eastAsia="Calibri" w:hAnsi="Times New Roman" w:cs="Times New Roman"/>
                <w:noProof/>
                <w:sz w:val="24"/>
                <w:szCs w:val="24"/>
              </w:rPr>
            </w:pPr>
            <w:r>
              <w:rPr>
                <w:rFonts w:ascii="Times New Roman" w:hAnsi="Times New Roman"/>
                <w:noProof/>
                <w:sz w:val="24"/>
                <w:szCs w:val="24"/>
              </w:rPr>
              <w:t>1998. március 1.</w:t>
            </w:r>
          </w:p>
        </w:tc>
      </w:tr>
      <w:tr>
        <w:tc>
          <w:tcPr>
            <w:tcW w:w="4355" w:type="dxa"/>
            <w:hideMark/>
          </w:tcPr>
          <w:p>
            <w:pPr>
              <w:contextualSpacing/>
              <w:rPr>
                <w:rFonts w:ascii="Times New Roman" w:eastAsia="Calibri" w:hAnsi="Times New Roman" w:cs="Times New Roman"/>
                <w:noProof/>
                <w:sz w:val="24"/>
                <w:szCs w:val="24"/>
              </w:rPr>
            </w:pPr>
            <w:r>
              <w:rPr>
                <w:rFonts w:ascii="Times New Roman" w:hAnsi="Times New Roman"/>
                <w:noProof/>
                <w:sz w:val="24"/>
                <w:szCs w:val="24"/>
              </w:rPr>
              <w:t>EU–Palesztina</w:t>
            </w:r>
            <w:r>
              <w:rPr>
                <w:rFonts w:ascii="Times New Roman" w:eastAsia="Calibri" w:hAnsi="Times New Roman" w:cs="Times New Roman"/>
                <w:noProof/>
                <w:sz w:val="24"/>
                <w:szCs w:val="24"/>
                <w:vertAlign w:val="superscript"/>
              </w:rPr>
              <w:footnoteReference w:id="3"/>
            </w:r>
          </w:p>
        </w:tc>
        <w:tc>
          <w:tcPr>
            <w:tcW w:w="4337" w:type="dxa"/>
            <w:hideMark/>
          </w:tcPr>
          <w:p>
            <w:pPr>
              <w:contextualSpacing/>
              <w:rPr>
                <w:rFonts w:ascii="Times New Roman" w:eastAsia="Calibri" w:hAnsi="Times New Roman" w:cs="Times New Roman"/>
                <w:noProof/>
                <w:sz w:val="24"/>
                <w:szCs w:val="24"/>
              </w:rPr>
            </w:pPr>
            <w:r>
              <w:rPr>
                <w:rFonts w:ascii="Times New Roman" w:hAnsi="Times New Roman"/>
                <w:noProof/>
                <w:sz w:val="24"/>
                <w:szCs w:val="24"/>
              </w:rPr>
              <w:t>1997. július 1.</w:t>
            </w:r>
          </w:p>
        </w:tc>
      </w:tr>
      <w:tr>
        <w:tc>
          <w:tcPr>
            <w:tcW w:w="4355" w:type="dxa"/>
            <w:hideMark/>
          </w:tcPr>
          <w:p>
            <w:pPr>
              <w:contextualSpacing/>
              <w:rPr>
                <w:rFonts w:ascii="Times New Roman" w:eastAsia="Calibri" w:hAnsi="Times New Roman" w:cs="Times New Roman"/>
                <w:noProof/>
                <w:sz w:val="24"/>
                <w:szCs w:val="24"/>
              </w:rPr>
            </w:pPr>
            <w:r>
              <w:rPr>
                <w:rFonts w:ascii="Times New Roman" w:hAnsi="Times New Roman"/>
                <w:noProof/>
                <w:sz w:val="24"/>
                <w:szCs w:val="24"/>
              </w:rPr>
              <w:t xml:space="preserve">EU–Izrael </w:t>
            </w:r>
          </w:p>
        </w:tc>
        <w:tc>
          <w:tcPr>
            <w:tcW w:w="4337" w:type="dxa"/>
            <w:hideMark/>
          </w:tcPr>
          <w:p>
            <w:pPr>
              <w:contextualSpacing/>
              <w:rPr>
                <w:rFonts w:ascii="Times New Roman" w:eastAsia="Calibri" w:hAnsi="Times New Roman" w:cs="Times New Roman"/>
                <w:noProof/>
                <w:sz w:val="24"/>
                <w:szCs w:val="24"/>
              </w:rPr>
            </w:pPr>
            <w:r>
              <w:rPr>
                <w:rFonts w:ascii="Times New Roman" w:hAnsi="Times New Roman"/>
                <w:noProof/>
                <w:sz w:val="24"/>
                <w:szCs w:val="24"/>
              </w:rPr>
              <w:t>1996. január 1.</w:t>
            </w:r>
          </w:p>
        </w:tc>
      </w:tr>
      <w:tr>
        <w:tc>
          <w:tcPr>
            <w:tcW w:w="8692" w:type="dxa"/>
            <w:gridSpan w:val="2"/>
            <w:hideMark/>
          </w:tcPr>
          <w:p>
            <w:pPr>
              <w:jc w:val="center"/>
              <w:rPr>
                <w:rFonts w:ascii="Times New Roman" w:hAnsi="Times New Roman" w:cs="Times New Roman"/>
                <w:b/>
                <w:noProof/>
                <w:sz w:val="24"/>
                <w:szCs w:val="24"/>
                <w:u w:val="single"/>
              </w:rPr>
            </w:pPr>
            <w:r>
              <w:rPr>
                <w:rFonts w:ascii="Times New Roman" w:hAnsi="Times New Roman"/>
                <w:b/>
                <w:noProof/>
                <w:sz w:val="24"/>
                <w:szCs w:val="24"/>
              </w:rPr>
              <w:t>Keleti országok – Mélyreható és átfogó szabadkereskedelmi térségek</w:t>
            </w:r>
          </w:p>
        </w:tc>
      </w:tr>
      <w:tr>
        <w:tc>
          <w:tcPr>
            <w:tcW w:w="4355" w:type="dxa"/>
            <w:tcBorders>
              <w:top w:val="single" w:sz="4" w:space="0" w:color="auto"/>
              <w:left w:val="single" w:sz="4" w:space="0" w:color="auto"/>
              <w:bottom w:val="single" w:sz="4" w:space="0" w:color="auto"/>
              <w:right w:val="single" w:sz="4" w:space="0" w:color="auto"/>
            </w:tcBorders>
            <w:hideMark/>
          </w:tcPr>
          <w:p>
            <w:pPr>
              <w:rPr>
                <w:rFonts w:ascii="Times New Roman" w:hAnsi="Times New Roman" w:cs="Times New Roman"/>
                <w:noProof/>
                <w:sz w:val="24"/>
                <w:szCs w:val="24"/>
                <w:u w:val="single"/>
              </w:rPr>
            </w:pPr>
            <w:r>
              <w:rPr>
                <w:rFonts w:ascii="Times New Roman" w:hAnsi="Times New Roman"/>
                <w:noProof/>
                <w:sz w:val="24"/>
                <w:szCs w:val="24"/>
              </w:rPr>
              <w:t>EU–Ukrajna</w:t>
            </w:r>
          </w:p>
        </w:tc>
        <w:tc>
          <w:tcPr>
            <w:tcW w:w="4337" w:type="dxa"/>
            <w:tcBorders>
              <w:top w:val="single" w:sz="4" w:space="0" w:color="auto"/>
              <w:left w:val="single" w:sz="4" w:space="0" w:color="auto"/>
              <w:bottom w:val="single" w:sz="4" w:space="0" w:color="auto"/>
              <w:right w:val="single" w:sz="4" w:space="0" w:color="auto"/>
            </w:tcBorders>
            <w:hideMark/>
          </w:tcPr>
          <w:p>
            <w:pPr>
              <w:rPr>
                <w:rFonts w:ascii="Times New Roman" w:hAnsi="Times New Roman" w:cs="Times New Roman"/>
                <w:b/>
                <w:noProof/>
                <w:sz w:val="24"/>
                <w:szCs w:val="24"/>
                <w:u w:val="single"/>
              </w:rPr>
            </w:pPr>
            <w:r>
              <w:rPr>
                <w:rFonts w:ascii="Times New Roman" w:hAnsi="Times New Roman"/>
                <w:noProof/>
                <w:sz w:val="24"/>
                <w:szCs w:val="24"/>
              </w:rPr>
              <w:t>2016. január 1.; hatálybalépés: 2017. szeptember 1.</w:t>
            </w:r>
          </w:p>
        </w:tc>
      </w:tr>
      <w:tr>
        <w:tc>
          <w:tcPr>
            <w:tcW w:w="4355" w:type="dxa"/>
            <w:hideMark/>
          </w:tcPr>
          <w:p>
            <w:pPr>
              <w:rPr>
                <w:rFonts w:ascii="Times New Roman" w:hAnsi="Times New Roman" w:cs="Times New Roman"/>
                <w:noProof/>
                <w:sz w:val="24"/>
                <w:szCs w:val="24"/>
                <w:u w:val="single"/>
              </w:rPr>
            </w:pPr>
            <w:r>
              <w:rPr>
                <w:rFonts w:ascii="Times New Roman" w:hAnsi="Times New Roman"/>
                <w:noProof/>
                <w:sz w:val="24"/>
                <w:szCs w:val="24"/>
              </w:rPr>
              <w:t>EU–Grúzia</w:t>
            </w:r>
          </w:p>
        </w:tc>
        <w:tc>
          <w:tcPr>
            <w:tcW w:w="4337" w:type="dxa"/>
            <w:hideMark/>
          </w:tcPr>
          <w:p>
            <w:pPr>
              <w:rPr>
                <w:rFonts w:ascii="Times New Roman" w:hAnsi="Times New Roman" w:cs="Times New Roman"/>
                <w:b/>
                <w:noProof/>
                <w:sz w:val="24"/>
                <w:szCs w:val="24"/>
                <w:u w:val="single"/>
              </w:rPr>
            </w:pPr>
            <w:r>
              <w:rPr>
                <w:rFonts w:ascii="Times New Roman" w:hAnsi="Times New Roman"/>
                <w:noProof/>
                <w:sz w:val="24"/>
                <w:szCs w:val="24"/>
              </w:rPr>
              <w:t>2014. szeptember 1.; hatálybalépés: 2016. július 1.</w:t>
            </w:r>
          </w:p>
        </w:tc>
      </w:tr>
      <w:tr>
        <w:tc>
          <w:tcPr>
            <w:tcW w:w="4355" w:type="dxa"/>
            <w:hideMark/>
          </w:tcPr>
          <w:p>
            <w:pPr>
              <w:rPr>
                <w:rFonts w:ascii="Times New Roman" w:hAnsi="Times New Roman" w:cs="Times New Roman"/>
                <w:noProof/>
                <w:sz w:val="24"/>
                <w:szCs w:val="24"/>
                <w:u w:val="single"/>
              </w:rPr>
            </w:pPr>
            <w:r>
              <w:rPr>
                <w:rFonts w:ascii="Times New Roman" w:hAnsi="Times New Roman"/>
                <w:noProof/>
                <w:sz w:val="24"/>
                <w:szCs w:val="24"/>
              </w:rPr>
              <w:t>EU–Moldova</w:t>
            </w:r>
          </w:p>
        </w:tc>
        <w:tc>
          <w:tcPr>
            <w:tcW w:w="4337" w:type="dxa"/>
            <w:hideMark/>
          </w:tcPr>
          <w:p>
            <w:pPr>
              <w:rPr>
                <w:rFonts w:ascii="Times New Roman" w:hAnsi="Times New Roman" w:cs="Times New Roman"/>
                <w:b/>
                <w:noProof/>
                <w:sz w:val="24"/>
                <w:szCs w:val="24"/>
                <w:u w:val="single"/>
              </w:rPr>
            </w:pPr>
            <w:r>
              <w:rPr>
                <w:rFonts w:ascii="Times New Roman" w:hAnsi="Times New Roman"/>
                <w:noProof/>
                <w:sz w:val="24"/>
                <w:szCs w:val="24"/>
              </w:rPr>
              <w:t>2014. szeptember 1.; hatálybalépés: 2016. július 1.</w:t>
            </w:r>
          </w:p>
        </w:tc>
      </w:tr>
    </w:tbl>
    <w:p>
      <w:pPr>
        <w:rPr>
          <w:rFonts w:ascii="Times New Roman" w:hAnsi="Times New Roman" w:cs="Times New Roman"/>
          <w:noProof/>
          <w:sz w:val="24"/>
          <w:szCs w:val="24"/>
        </w:rPr>
      </w:pPr>
      <w:r>
        <w:rPr>
          <w:noProof/>
        </w:rPr>
        <w:br w:type="page"/>
      </w:r>
    </w:p>
    <w:p>
      <w:pPr>
        <w:jc w:val="center"/>
        <w:rPr>
          <w:rFonts w:ascii="Times New Roman" w:hAnsi="Times New Roman" w:cs="Times New Roman"/>
          <w:b/>
          <w:noProof/>
          <w:sz w:val="24"/>
          <w:szCs w:val="24"/>
        </w:rPr>
      </w:pPr>
      <w:r>
        <w:rPr>
          <w:rFonts w:ascii="Times New Roman" w:hAnsi="Times New Roman"/>
          <w:b/>
          <w:noProof/>
          <w:sz w:val="24"/>
          <w:szCs w:val="24"/>
        </w:rPr>
        <w:t>AZ E JELENTÉSBEN TÁRGYALT KERESKEDELMI MEGÁLLAPODÁSOK</w:t>
      </w:r>
    </w:p>
    <w:p>
      <w:pPr>
        <w:spacing w:after="0" w:line="240" w:lineRule="auto"/>
        <w:jc w:val="center"/>
        <w:rPr>
          <w:rFonts w:ascii="Times New Roman" w:eastAsia="Calibri" w:hAnsi="Times New Roman" w:cs="Times New Roman"/>
          <w:noProof/>
          <w:sz w:val="24"/>
          <w:szCs w:val="24"/>
        </w:rPr>
      </w:pPr>
      <w:r>
        <w:rPr>
          <w:rFonts w:ascii="Times New Roman" w:hAnsi="Times New Roman"/>
          <w:noProof/>
          <w:sz w:val="24"/>
          <w:szCs w:val="24"/>
        </w:rPr>
        <w:t>(Megállapodás/az alkalmazás kezdőnapja)</w:t>
      </w:r>
    </w:p>
    <w:p>
      <w:pPr>
        <w:spacing w:after="0" w:line="240" w:lineRule="auto"/>
        <w:jc w:val="center"/>
        <w:rPr>
          <w:rFonts w:ascii="Times New Roman" w:eastAsia="Calibri" w:hAnsi="Times New Roman" w:cs="Times New Roman"/>
          <w:noProof/>
          <w:sz w:val="24"/>
          <w:szCs w:val="24"/>
          <w:lang w:val="en-GB"/>
        </w:rPr>
      </w:pPr>
    </w:p>
    <w:tbl>
      <w:tblPr>
        <w:tblStyle w:val="TableGrid"/>
        <w:tblW w:w="0" w:type="auto"/>
        <w:tblLook w:val="04A0" w:firstRow="1" w:lastRow="0" w:firstColumn="1" w:lastColumn="0" w:noHBand="0" w:noVBand="1"/>
      </w:tblPr>
      <w:tblGrid>
        <w:gridCol w:w="4355"/>
        <w:gridCol w:w="4337"/>
      </w:tblGrid>
      <w:tr>
        <w:tc>
          <w:tcPr>
            <w:tcW w:w="8692" w:type="dxa"/>
            <w:gridSpan w:val="2"/>
            <w:hideMark/>
          </w:tcPr>
          <w:p>
            <w:pPr>
              <w:jc w:val="center"/>
              <w:rPr>
                <w:rFonts w:ascii="Times New Roman" w:hAnsi="Times New Roman" w:cs="Times New Roman"/>
                <w:b/>
                <w:noProof/>
                <w:sz w:val="24"/>
                <w:szCs w:val="24"/>
                <w:u w:val="single"/>
              </w:rPr>
            </w:pPr>
            <w:r>
              <w:rPr>
                <w:rFonts w:ascii="Times New Roman" w:hAnsi="Times New Roman"/>
                <w:b/>
                <w:noProof/>
                <w:sz w:val="24"/>
                <w:szCs w:val="24"/>
              </w:rPr>
              <w:t>Nyugat-Balkán – Stabilizációs és társulási megállapodások</w:t>
            </w:r>
          </w:p>
        </w:tc>
      </w:tr>
      <w:tr>
        <w:tc>
          <w:tcPr>
            <w:tcW w:w="4355" w:type="dxa"/>
            <w:hideMark/>
          </w:tcPr>
          <w:p>
            <w:pPr>
              <w:contextualSpacing/>
              <w:rPr>
                <w:rFonts w:ascii="Times New Roman" w:eastAsia="Calibri" w:hAnsi="Times New Roman" w:cs="Times New Roman"/>
                <w:noProof/>
                <w:sz w:val="24"/>
                <w:szCs w:val="24"/>
              </w:rPr>
            </w:pPr>
            <w:r>
              <w:rPr>
                <w:rFonts w:ascii="Times New Roman" w:hAnsi="Times New Roman"/>
                <w:noProof/>
                <w:sz w:val="24"/>
                <w:szCs w:val="24"/>
              </w:rPr>
              <w:t>EU–Koszovó*</w:t>
            </w:r>
            <w:r>
              <w:rPr>
                <w:rFonts w:ascii="Times New Roman" w:eastAsia="Calibri" w:hAnsi="Times New Roman" w:cs="Times New Roman"/>
                <w:noProof/>
                <w:sz w:val="24"/>
                <w:szCs w:val="24"/>
                <w:vertAlign w:val="superscript"/>
              </w:rPr>
              <w:footnoteReference w:id="4"/>
            </w:r>
          </w:p>
        </w:tc>
        <w:tc>
          <w:tcPr>
            <w:tcW w:w="4337" w:type="dxa"/>
            <w:hideMark/>
          </w:tcPr>
          <w:p>
            <w:pPr>
              <w:contextualSpacing/>
              <w:rPr>
                <w:rFonts w:ascii="Times New Roman" w:eastAsia="Calibri" w:hAnsi="Times New Roman" w:cs="Times New Roman"/>
                <w:noProof/>
                <w:sz w:val="24"/>
                <w:szCs w:val="24"/>
              </w:rPr>
            </w:pPr>
            <w:r>
              <w:rPr>
                <w:rFonts w:ascii="Times New Roman" w:hAnsi="Times New Roman"/>
                <w:noProof/>
                <w:sz w:val="24"/>
                <w:szCs w:val="24"/>
              </w:rPr>
              <w:t>2016. április 1.</w:t>
            </w:r>
          </w:p>
        </w:tc>
      </w:tr>
      <w:tr>
        <w:tc>
          <w:tcPr>
            <w:tcW w:w="4355" w:type="dxa"/>
            <w:hideMark/>
          </w:tcPr>
          <w:p>
            <w:pPr>
              <w:contextualSpacing/>
              <w:rPr>
                <w:rFonts w:ascii="Times New Roman" w:eastAsia="Calibri" w:hAnsi="Times New Roman" w:cs="Times New Roman"/>
                <w:noProof/>
                <w:sz w:val="24"/>
                <w:szCs w:val="24"/>
              </w:rPr>
            </w:pPr>
            <w:r>
              <w:rPr>
                <w:rFonts w:ascii="Times New Roman" w:hAnsi="Times New Roman"/>
                <w:noProof/>
                <w:sz w:val="24"/>
                <w:szCs w:val="24"/>
              </w:rPr>
              <w:t>EU–Szerbia</w:t>
            </w:r>
          </w:p>
        </w:tc>
        <w:tc>
          <w:tcPr>
            <w:tcW w:w="4337" w:type="dxa"/>
          </w:tcPr>
          <w:p>
            <w:pPr>
              <w:contextualSpacing/>
              <w:rPr>
                <w:rFonts w:ascii="Times New Roman" w:eastAsia="Calibri" w:hAnsi="Times New Roman" w:cs="Times New Roman"/>
                <w:noProof/>
                <w:sz w:val="24"/>
                <w:szCs w:val="24"/>
              </w:rPr>
            </w:pPr>
            <w:r>
              <w:rPr>
                <w:rFonts w:ascii="Times New Roman" w:hAnsi="Times New Roman"/>
                <w:noProof/>
                <w:sz w:val="24"/>
                <w:szCs w:val="24"/>
              </w:rPr>
              <w:t>Ideiglenes megállapodás a kereskedelemről Szerbia esetében: 2009. február 1.; az EU esetében: 2009. december 8.</w:t>
            </w:r>
          </w:p>
        </w:tc>
      </w:tr>
      <w:tr>
        <w:tc>
          <w:tcPr>
            <w:tcW w:w="4355" w:type="dxa"/>
            <w:hideMark/>
          </w:tcPr>
          <w:p>
            <w:pPr>
              <w:contextualSpacing/>
              <w:rPr>
                <w:rFonts w:ascii="Times New Roman" w:eastAsia="Calibri" w:hAnsi="Times New Roman" w:cs="Times New Roman"/>
                <w:noProof/>
                <w:sz w:val="24"/>
                <w:szCs w:val="24"/>
              </w:rPr>
            </w:pPr>
            <w:r>
              <w:rPr>
                <w:rFonts w:ascii="Times New Roman" w:hAnsi="Times New Roman"/>
                <w:noProof/>
                <w:sz w:val="24"/>
                <w:szCs w:val="24"/>
              </w:rPr>
              <w:t>EU–Bosznia-Hercegovina</w:t>
            </w:r>
          </w:p>
        </w:tc>
        <w:tc>
          <w:tcPr>
            <w:tcW w:w="4337" w:type="dxa"/>
          </w:tcPr>
          <w:p>
            <w:pPr>
              <w:contextualSpacing/>
              <w:rPr>
                <w:rFonts w:ascii="Times New Roman" w:eastAsia="Calibri" w:hAnsi="Times New Roman" w:cs="Times New Roman"/>
                <w:noProof/>
                <w:sz w:val="24"/>
                <w:szCs w:val="24"/>
              </w:rPr>
            </w:pPr>
            <w:r>
              <w:rPr>
                <w:rFonts w:ascii="Times New Roman" w:hAnsi="Times New Roman"/>
                <w:noProof/>
                <w:sz w:val="24"/>
                <w:szCs w:val="24"/>
              </w:rPr>
              <w:t xml:space="preserve">Ideiglenes megállapodás a kereskedelemről: 2008. július 1. </w:t>
            </w:r>
          </w:p>
        </w:tc>
      </w:tr>
      <w:tr>
        <w:tc>
          <w:tcPr>
            <w:tcW w:w="4355" w:type="dxa"/>
            <w:hideMark/>
          </w:tcPr>
          <w:p>
            <w:pPr>
              <w:contextualSpacing/>
              <w:rPr>
                <w:rFonts w:ascii="Times New Roman" w:eastAsia="Calibri" w:hAnsi="Times New Roman" w:cs="Times New Roman"/>
                <w:noProof/>
                <w:sz w:val="24"/>
                <w:szCs w:val="24"/>
              </w:rPr>
            </w:pPr>
            <w:r>
              <w:rPr>
                <w:rFonts w:ascii="Times New Roman" w:hAnsi="Times New Roman"/>
                <w:noProof/>
                <w:sz w:val="24"/>
                <w:szCs w:val="24"/>
              </w:rPr>
              <w:t>EU–Montenegró</w:t>
            </w:r>
          </w:p>
        </w:tc>
        <w:tc>
          <w:tcPr>
            <w:tcW w:w="4337" w:type="dxa"/>
            <w:hideMark/>
          </w:tcPr>
          <w:p>
            <w:pPr>
              <w:contextualSpacing/>
              <w:rPr>
                <w:rFonts w:ascii="Times New Roman" w:eastAsia="Calibri" w:hAnsi="Times New Roman" w:cs="Times New Roman"/>
                <w:noProof/>
                <w:sz w:val="24"/>
                <w:szCs w:val="24"/>
              </w:rPr>
            </w:pPr>
            <w:r>
              <w:rPr>
                <w:rFonts w:ascii="Times New Roman" w:hAnsi="Times New Roman"/>
                <w:noProof/>
                <w:sz w:val="24"/>
                <w:szCs w:val="24"/>
              </w:rPr>
              <w:t>Ideiglenes megállapodás a kereskedelemről: 2008. január 1.</w:t>
            </w:r>
          </w:p>
        </w:tc>
      </w:tr>
      <w:tr>
        <w:tc>
          <w:tcPr>
            <w:tcW w:w="4355" w:type="dxa"/>
            <w:hideMark/>
          </w:tcPr>
          <w:p>
            <w:pPr>
              <w:contextualSpacing/>
              <w:rPr>
                <w:rFonts w:ascii="Times New Roman" w:eastAsia="Calibri" w:hAnsi="Times New Roman" w:cs="Times New Roman"/>
                <w:noProof/>
                <w:sz w:val="24"/>
                <w:szCs w:val="24"/>
              </w:rPr>
            </w:pPr>
            <w:r>
              <w:rPr>
                <w:rFonts w:ascii="Times New Roman" w:hAnsi="Times New Roman"/>
                <w:noProof/>
                <w:sz w:val="24"/>
                <w:szCs w:val="24"/>
              </w:rPr>
              <w:t>EU–Albánia</w:t>
            </w:r>
          </w:p>
        </w:tc>
        <w:tc>
          <w:tcPr>
            <w:tcW w:w="4337" w:type="dxa"/>
            <w:hideMark/>
          </w:tcPr>
          <w:p>
            <w:pPr>
              <w:contextualSpacing/>
              <w:rPr>
                <w:rFonts w:ascii="Times New Roman" w:eastAsia="Calibri" w:hAnsi="Times New Roman" w:cs="Times New Roman"/>
                <w:noProof/>
                <w:sz w:val="24"/>
                <w:szCs w:val="24"/>
              </w:rPr>
            </w:pPr>
            <w:r>
              <w:rPr>
                <w:rFonts w:ascii="Times New Roman" w:hAnsi="Times New Roman"/>
                <w:noProof/>
                <w:sz w:val="24"/>
                <w:szCs w:val="24"/>
              </w:rPr>
              <w:t>Ideiglenes megállapodás a kereskedelemről: 2006. december 1.</w:t>
            </w:r>
          </w:p>
        </w:tc>
      </w:tr>
      <w:tr>
        <w:tc>
          <w:tcPr>
            <w:tcW w:w="4355" w:type="dxa"/>
            <w:hideMark/>
          </w:tcPr>
          <w:p>
            <w:pPr>
              <w:contextualSpacing/>
              <w:rPr>
                <w:rFonts w:ascii="Times New Roman" w:eastAsia="Calibri" w:hAnsi="Times New Roman" w:cs="Times New Roman"/>
                <w:noProof/>
                <w:sz w:val="24"/>
                <w:szCs w:val="24"/>
              </w:rPr>
            </w:pPr>
            <w:r>
              <w:rPr>
                <w:rFonts w:ascii="Times New Roman" w:hAnsi="Times New Roman"/>
                <w:noProof/>
                <w:sz w:val="24"/>
                <w:szCs w:val="24"/>
              </w:rPr>
              <w:t>EU–Észak-Macedónia</w:t>
            </w:r>
          </w:p>
        </w:tc>
        <w:tc>
          <w:tcPr>
            <w:tcW w:w="4337" w:type="dxa"/>
            <w:hideMark/>
          </w:tcPr>
          <w:p>
            <w:pPr>
              <w:contextualSpacing/>
              <w:rPr>
                <w:rFonts w:ascii="Times New Roman" w:eastAsia="Calibri" w:hAnsi="Times New Roman" w:cs="Times New Roman"/>
                <w:noProof/>
                <w:sz w:val="24"/>
                <w:szCs w:val="24"/>
              </w:rPr>
            </w:pPr>
            <w:r>
              <w:rPr>
                <w:rFonts w:ascii="Times New Roman" w:hAnsi="Times New Roman"/>
                <w:noProof/>
                <w:sz w:val="24"/>
                <w:szCs w:val="24"/>
              </w:rPr>
              <w:t>Ideiglenes megállapodás a kereskedelemről: 2001. június 1.</w:t>
            </w:r>
          </w:p>
        </w:tc>
      </w:tr>
      <w:tr>
        <w:tc>
          <w:tcPr>
            <w:tcW w:w="8692" w:type="dxa"/>
            <w:gridSpan w:val="2"/>
            <w:tcBorders>
              <w:top w:val="single" w:sz="4" w:space="0" w:color="auto"/>
              <w:left w:val="single" w:sz="4" w:space="0" w:color="auto"/>
              <w:bottom w:val="single" w:sz="4" w:space="0" w:color="auto"/>
              <w:right w:val="single" w:sz="4" w:space="0" w:color="auto"/>
            </w:tcBorders>
          </w:tcPr>
          <w:p>
            <w:pPr>
              <w:contextualSpacing/>
              <w:jc w:val="center"/>
              <w:rPr>
                <w:rFonts w:ascii="Times New Roman" w:eastAsia="Calibri" w:hAnsi="Times New Roman" w:cs="Times New Roman"/>
                <w:b/>
                <w:noProof/>
                <w:sz w:val="24"/>
                <w:szCs w:val="24"/>
              </w:rPr>
            </w:pPr>
            <w:r>
              <w:rPr>
                <w:rFonts w:ascii="Times New Roman" w:hAnsi="Times New Roman"/>
                <w:b/>
                <w:noProof/>
                <w:sz w:val="24"/>
                <w:szCs w:val="24"/>
              </w:rPr>
              <w:t>Svájc, Norvégia, Törökország</w:t>
            </w:r>
          </w:p>
        </w:tc>
      </w:tr>
      <w:tr>
        <w:tc>
          <w:tcPr>
            <w:tcW w:w="4355" w:type="dxa"/>
            <w:tcBorders>
              <w:top w:val="single" w:sz="4" w:space="0" w:color="auto"/>
              <w:left w:val="single" w:sz="4" w:space="0" w:color="auto"/>
              <w:bottom w:val="single" w:sz="4" w:space="0" w:color="auto"/>
              <w:right w:val="single" w:sz="4" w:space="0" w:color="auto"/>
            </w:tcBorders>
            <w:hideMark/>
          </w:tcPr>
          <w:p>
            <w:pPr>
              <w:contextualSpacing/>
              <w:rPr>
                <w:rFonts w:ascii="Times New Roman" w:eastAsia="Calibri" w:hAnsi="Times New Roman" w:cs="Times New Roman"/>
                <w:noProof/>
                <w:sz w:val="24"/>
                <w:szCs w:val="24"/>
              </w:rPr>
            </w:pPr>
            <w:r>
              <w:rPr>
                <w:rFonts w:ascii="Times New Roman" w:hAnsi="Times New Roman"/>
                <w:noProof/>
                <w:sz w:val="24"/>
                <w:szCs w:val="24"/>
              </w:rPr>
              <w:t>EU–Svájc szabadkereskedelmi megállapodás</w:t>
            </w:r>
          </w:p>
        </w:tc>
        <w:tc>
          <w:tcPr>
            <w:tcW w:w="4337" w:type="dxa"/>
            <w:tcBorders>
              <w:top w:val="single" w:sz="4" w:space="0" w:color="auto"/>
              <w:left w:val="single" w:sz="4" w:space="0" w:color="auto"/>
              <w:bottom w:val="single" w:sz="4" w:space="0" w:color="auto"/>
              <w:right w:val="single" w:sz="4" w:space="0" w:color="auto"/>
            </w:tcBorders>
            <w:hideMark/>
          </w:tcPr>
          <w:p>
            <w:pPr>
              <w:contextualSpacing/>
              <w:rPr>
                <w:rFonts w:ascii="Times New Roman" w:eastAsia="Calibri" w:hAnsi="Times New Roman" w:cs="Times New Roman"/>
                <w:noProof/>
                <w:sz w:val="24"/>
                <w:szCs w:val="24"/>
              </w:rPr>
            </w:pPr>
            <w:r>
              <w:rPr>
                <w:rFonts w:ascii="Times New Roman" w:hAnsi="Times New Roman"/>
                <w:noProof/>
                <w:sz w:val="24"/>
                <w:szCs w:val="24"/>
              </w:rPr>
              <w:t>1972</w:t>
            </w:r>
          </w:p>
        </w:tc>
      </w:tr>
      <w:tr>
        <w:tc>
          <w:tcPr>
            <w:tcW w:w="4355" w:type="dxa"/>
            <w:tcBorders>
              <w:top w:val="single" w:sz="4" w:space="0" w:color="auto"/>
              <w:left w:val="single" w:sz="4" w:space="0" w:color="auto"/>
              <w:bottom w:val="single" w:sz="4" w:space="0" w:color="auto"/>
              <w:right w:val="single" w:sz="4" w:space="0" w:color="auto"/>
            </w:tcBorders>
            <w:hideMark/>
          </w:tcPr>
          <w:p>
            <w:pPr>
              <w:contextualSpacing/>
              <w:rPr>
                <w:rFonts w:ascii="Times New Roman" w:eastAsia="Calibri" w:hAnsi="Times New Roman" w:cs="Times New Roman"/>
                <w:noProof/>
                <w:sz w:val="24"/>
                <w:szCs w:val="24"/>
              </w:rPr>
            </w:pPr>
            <w:r>
              <w:rPr>
                <w:rFonts w:ascii="Times New Roman" w:hAnsi="Times New Roman"/>
                <w:noProof/>
                <w:sz w:val="24"/>
                <w:szCs w:val="24"/>
              </w:rPr>
              <w:t>EU–Norvégia szabadkereskedelmi megállapodás</w:t>
            </w:r>
          </w:p>
        </w:tc>
        <w:tc>
          <w:tcPr>
            <w:tcW w:w="4337" w:type="dxa"/>
            <w:tcBorders>
              <w:top w:val="single" w:sz="4" w:space="0" w:color="auto"/>
              <w:left w:val="single" w:sz="4" w:space="0" w:color="auto"/>
              <w:bottom w:val="single" w:sz="4" w:space="0" w:color="auto"/>
              <w:right w:val="single" w:sz="4" w:space="0" w:color="auto"/>
            </w:tcBorders>
            <w:hideMark/>
          </w:tcPr>
          <w:p>
            <w:pPr>
              <w:contextualSpacing/>
              <w:rPr>
                <w:rFonts w:ascii="Times New Roman" w:eastAsia="Calibri" w:hAnsi="Times New Roman" w:cs="Times New Roman"/>
                <w:noProof/>
                <w:sz w:val="24"/>
                <w:szCs w:val="24"/>
              </w:rPr>
            </w:pPr>
            <w:r>
              <w:rPr>
                <w:rFonts w:ascii="Times New Roman" w:hAnsi="Times New Roman"/>
                <w:noProof/>
                <w:sz w:val="24"/>
                <w:szCs w:val="24"/>
              </w:rPr>
              <w:t>1973. július 1.</w:t>
            </w:r>
          </w:p>
        </w:tc>
      </w:tr>
      <w:tr>
        <w:tc>
          <w:tcPr>
            <w:tcW w:w="4355" w:type="dxa"/>
            <w:hideMark/>
          </w:tcPr>
          <w:p>
            <w:pPr>
              <w:contextualSpacing/>
              <w:rPr>
                <w:rFonts w:ascii="Times New Roman" w:eastAsia="Calibri" w:hAnsi="Times New Roman" w:cs="Times New Roman"/>
                <w:noProof/>
                <w:sz w:val="24"/>
                <w:szCs w:val="24"/>
              </w:rPr>
            </w:pPr>
            <w:r>
              <w:rPr>
                <w:rFonts w:ascii="Times New Roman" w:hAnsi="Times New Roman"/>
                <w:noProof/>
                <w:sz w:val="24"/>
                <w:szCs w:val="24"/>
              </w:rPr>
              <w:t>EU–Törökország vámunió</w:t>
            </w:r>
          </w:p>
        </w:tc>
        <w:tc>
          <w:tcPr>
            <w:tcW w:w="4337" w:type="dxa"/>
          </w:tcPr>
          <w:p>
            <w:pPr>
              <w:contextualSpacing/>
              <w:rPr>
                <w:rFonts w:ascii="Times New Roman" w:eastAsia="Calibri" w:hAnsi="Times New Roman" w:cs="Times New Roman"/>
                <w:noProof/>
                <w:sz w:val="24"/>
                <w:szCs w:val="24"/>
              </w:rPr>
            </w:pPr>
            <w:r>
              <w:rPr>
                <w:rFonts w:ascii="Times New Roman" w:hAnsi="Times New Roman"/>
                <w:noProof/>
                <w:sz w:val="24"/>
                <w:szCs w:val="24"/>
              </w:rPr>
              <w:t>A társulási megállapodás aláírására 1963-ban került sor; a vámunió kialakításának utolsó szakasza 1996. január 1-jén zárult le.</w:t>
            </w:r>
          </w:p>
        </w:tc>
      </w:tr>
      <w:tr>
        <w:tc>
          <w:tcPr>
            <w:tcW w:w="8692" w:type="dxa"/>
            <w:gridSpan w:val="2"/>
            <w:tcBorders>
              <w:top w:val="single" w:sz="4" w:space="0" w:color="auto"/>
              <w:left w:val="single" w:sz="4" w:space="0" w:color="auto"/>
              <w:bottom w:val="single" w:sz="4" w:space="0" w:color="auto"/>
              <w:right w:val="single" w:sz="4" w:space="0" w:color="auto"/>
            </w:tcBorders>
          </w:tcPr>
          <w:p>
            <w:pPr>
              <w:contextualSpacing/>
              <w:jc w:val="center"/>
              <w:rPr>
                <w:rFonts w:ascii="Times New Roman" w:eastAsia="Calibri" w:hAnsi="Times New Roman" w:cs="Times New Roman"/>
                <w:b/>
                <w:noProof/>
                <w:sz w:val="24"/>
                <w:szCs w:val="24"/>
              </w:rPr>
            </w:pPr>
            <w:r>
              <w:rPr>
                <w:rFonts w:ascii="Times New Roman" w:hAnsi="Times New Roman"/>
                <w:b/>
                <w:noProof/>
                <w:sz w:val="24"/>
                <w:szCs w:val="24"/>
              </w:rPr>
              <w:t>AFRIKAI, KARIBI ÉS CSENDES-ÓCEÁNI ORSZÁGOK – Gazdasági partnerségi megállapodások</w:t>
            </w:r>
          </w:p>
        </w:tc>
      </w:tr>
      <w:tr>
        <w:tc>
          <w:tcPr>
            <w:tcW w:w="4355" w:type="dxa"/>
            <w:tcBorders>
              <w:top w:val="single" w:sz="4" w:space="0" w:color="auto"/>
              <w:left w:val="single" w:sz="4" w:space="0" w:color="auto"/>
              <w:bottom w:val="single" w:sz="4" w:space="0" w:color="auto"/>
              <w:right w:val="single" w:sz="4" w:space="0" w:color="auto"/>
            </w:tcBorders>
          </w:tcPr>
          <w:p>
            <w:pPr>
              <w:contextualSpacing/>
              <w:rPr>
                <w:rFonts w:ascii="Times New Roman" w:eastAsia="Calibri" w:hAnsi="Times New Roman" w:cs="Times New Roman"/>
                <w:noProof/>
                <w:sz w:val="24"/>
                <w:szCs w:val="24"/>
              </w:rPr>
            </w:pPr>
            <w:r>
              <w:rPr>
                <w:rFonts w:ascii="Times New Roman" w:hAnsi="Times New Roman"/>
                <w:noProof/>
                <w:sz w:val="24"/>
                <w:szCs w:val="24"/>
              </w:rPr>
              <w:t>EU–Ghána (ideiglenes)</w:t>
            </w:r>
          </w:p>
        </w:tc>
        <w:tc>
          <w:tcPr>
            <w:tcW w:w="4337" w:type="dxa"/>
            <w:tcBorders>
              <w:top w:val="single" w:sz="4" w:space="0" w:color="auto"/>
              <w:left w:val="single" w:sz="4" w:space="0" w:color="auto"/>
              <w:bottom w:val="single" w:sz="4" w:space="0" w:color="auto"/>
              <w:right w:val="single" w:sz="4" w:space="0" w:color="auto"/>
            </w:tcBorders>
          </w:tcPr>
          <w:p>
            <w:pPr>
              <w:contextualSpacing/>
              <w:rPr>
                <w:rFonts w:ascii="Times New Roman" w:eastAsia="Calibri" w:hAnsi="Times New Roman" w:cs="Times New Roman"/>
                <w:noProof/>
                <w:sz w:val="24"/>
                <w:szCs w:val="24"/>
              </w:rPr>
            </w:pPr>
            <w:r>
              <w:rPr>
                <w:rFonts w:ascii="Times New Roman" w:hAnsi="Times New Roman"/>
                <w:noProof/>
                <w:sz w:val="24"/>
                <w:szCs w:val="24"/>
              </w:rPr>
              <w:t>2016. december 15.</w:t>
            </w:r>
          </w:p>
        </w:tc>
      </w:tr>
      <w:tr>
        <w:tc>
          <w:tcPr>
            <w:tcW w:w="4355" w:type="dxa"/>
          </w:tcPr>
          <w:p>
            <w:pPr>
              <w:contextualSpacing/>
              <w:rPr>
                <w:rFonts w:ascii="Times New Roman" w:eastAsia="Calibri" w:hAnsi="Times New Roman" w:cs="Times New Roman"/>
                <w:noProof/>
                <w:sz w:val="24"/>
                <w:szCs w:val="24"/>
              </w:rPr>
            </w:pPr>
            <w:r>
              <w:rPr>
                <w:rFonts w:ascii="Times New Roman" w:hAnsi="Times New Roman"/>
                <w:noProof/>
                <w:sz w:val="24"/>
                <w:szCs w:val="24"/>
              </w:rPr>
              <w:t>EU–Dél-afrikai Fejlesztési Közösség (SADC)</w:t>
            </w:r>
          </w:p>
        </w:tc>
        <w:tc>
          <w:tcPr>
            <w:tcW w:w="4337" w:type="dxa"/>
          </w:tcPr>
          <w:p>
            <w:pPr>
              <w:contextualSpacing/>
              <w:rPr>
                <w:rFonts w:ascii="Times New Roman" w:eastAsia="Calibri" w:hAnsi="Times New Roman" w:cs="Times New Roman"/>
                <w:noProof/>
                <w:sz w:val="24"/>
                <w:szCs w:val="24"/>
              </w:rPr>
            </w:pPr>
            <w:r>
              <w:rPr>
                <w:rFonts w:ascii="Times New Roman" w:hAnsi="Times New Roman"/>
                <w:noProof/>
                <w:sz w:val="24"/>
                <w:szCs w:val="24"/>
              </w:rPr>
              <w:t>Botswana, Dél-Afrika, Lesotho, Namíbia és Szváziföld esetében 2016. október 10.; Mozambik esetében 2018. február 4.</w:t>
            </w:r>
          </w:p>
        </w:tc>
      </w:tr>
      <w:tr>
        <w:tc>
          <w:tcPr>
            <w:tcW w:w="4355" w:type="dxa"/>
          </w:tcPr>
          <w:p>
            <w:pPr>
              <w:contextualSpacing/>
              <w:rPr>
                <w:rFonts w:ascii="Times New Roman" w:eastAsia="Calibri" w:hAnsi="Times New Roman" w:cs="Times New Roman"/>
                <w:noProof/>
                <w:sz w:val="24"/>
                <w:szCs w:val="24"/>
              </w:rPr>
            </w:pPr>
            <w:r>
              <w:rPr>
                <w:rFonts w:ascii="Times New Roman" w:hAnsi="Times New Roman"/>
                <w:noProof/>
                <w:sz w:val="24"/>
                <w:szCs w:val="24"/>
              </w:rPr>
              <w:t>EU–Elefántcsontpart (ideiglenes)</w:t>
            </w:r>
          </w:p>
        </w:tc>
        <w:tc>
          <w:tcPr>
            <w:tcW w:w="4337" w:type="dxa"/>
          </w:tcPr>
          <w:p>
            <w:pPr>
              <w:contextualSpacing/>
              <w:rPr>
                <w:rFonts w:ascii="Times New Roman" w:eastAsia="Calibri" w:hAnsi="Times New Roman" w:cs="Times New Roman"/>
                <w:noProof/>
                <w:sz w:val="24"/>
                <w:szCs w:val="24"/>
              </w:rPr>
            </w:pPr>
            <w:r>
              <w:rPr>
                <w:rFonts w:ascii="Times New Roman" w:hAnsi="Times New Roman"/>
                <w:noProof/>
                <w:sz w:val="24"/>
                <w:szCs w:val="24"/>
              </w:rPr>
              <w:t>2016. szeptember 3.</w:t>
            </w:r>
          </w:p>
        </w:tc>
      </w:tr>
      <w:tr>
        <w:tc>
          <w:tcPr>
            <w:tcW w:w="4355" w:type="dxa"/>
            <w:tcBorders>
              <w:top w:val="single" w:sz="4" w:space="0" w:color="auto"/>
              <w:left w:val="single" w:sz="4" w:space="0" w:color="auto"/>
              <w:bottom w:val="single" w:sz="4" w:space="0" w:color="auto"/>
              <w:right w:val="single" w:sz="4" w:space="0" w:color="auto"/>
            </w:tcBorders>
          </w:tcPr>
          <w:p>
            <w:pPr>
              <w:contextualSpacing/>
              <w:rPr>
                <w:rFonts w:ascii="Times New Roman" w:eastAsia="Calibri" w:hAnsi="Times New Roman" w:cs="Times New Roman"/>
                <w:noProof/>
                <w:sz w:val="24"/>
                <w:szCs w:val="24"/>
              </w:rPr>
            </w:pPr>
            <w:r>
              <w:rPr>
                <w:rFonts w:ascii="Times New Roman" w:hAnsi="Times New Roman"/>
                <w:noProof/>
                <w:sz w:val="24"/>
                <w:szCs w:val="24"/>
              </w:rPr>
              <w:t>EU–Közép-Afrika (Kamerun)</w:t>
            </w:r>
          </w:p>
        </w:tc>
        <w:tc>
          <w:tcPr>
            <w:tcW w:w="4337" w:type="dxa"/>
            <w:tcBorders>
              <w:top w:val="single" w:sz="4" w:space="0" w:color="auto"/>
              <w:left w:val="single" w:sz="4" w:space="0" w:color="auto"/>
              <w:bottom w:val="single" w:sz="4" w:space="0" w:color="auto"/>
              <w:right w:val="single" w:sz="4" w:space="0" w:color="auto"/>
            </w:tcBorders>
          </w:tcPr>
          <w:p>
            <w:pPr>
              <w:contextualSpacing/>
              <w:rPr>
                <w:rFonts w:ascii="Times New Roman" w:eastAsia="Calibri" w:hAnsi="Times New Roman" w:cs="Times New Roman"/>
                <w:noProof/>
                <w:sz w:val="24"/>
                <w:szCs w:val="24"/>
              </w:rPr>
            </w:pPr>
            <w:r>
              <w:rPr>
                <w:rFonts w:ascii="Times New Roman" w:hAnsi="Times New Roman"/>
                <w:noProof/>
                <w:sz w:val="24"/>
                <w:szCs w:val="24"/>
              </w:rPr>
              <w:t>Kamerun esetében 2014. augusztus 4.</w:t>
            </w:r>
          </w:p>
        </w:tc>
      </w:tr>
      <w:tr>
        <w:tc>
          <w:tcPr>
            <w:tcW w:w="4355" w:type="dxa"/>
          </w:tcPr>
          <w:p>
            <w:pPr>
              <w:contextualSpacing/>
              <w:rPr>
                <w:rFonts w:ascii="Times New Roman" w:eastAsia="Calibri" w:hAnsi="Times New Roman" w:cs="Times New Roman"/>
                <w:noProof/>
                <w:sz w:val="24"/>
                <w:szCs w:val="24"/>
              </w:rPr>
            </w:pPr>
            <w:r>
              <w:rPr>
                <w:rFonts w:ascii="Times New Roman" w:hAnsi="Times New Roman"/>
                <w:noProof/>
                <w:sz w:val="24"/>
                <w:szCs w:val="24"/>
              </w:rPr>
              <w:t>EU–kelet- és dél-afrikai államok (ideiglenes)</w:t>
            </w:r>
          </w:p>
        </w:tc>
        <w:tc>
          <w:tcPr>
            <w:tcW w:w="4337" w:type="dxa"/>
          </w:tcPr>
          <w:p>
            <w:pPr>
              <w:contextualSpacing/>
              <w:rPr>
                <w:rFonts w:ascii="Times New Roman" w:eastAsia="Calibri" w:hAnsi="Times New Roman" w:cs="Times New Roman"/>
                <w:noProof/>
                <w:sz w:val="24"/>
                <w:szCs w:val="24"/>
              </w:rPr>
            </w:pPr>
            <w:r>
              <w:rPr>
                <w:rFonts w:ascii="Times New Roman" w:hAnsi="Times New Roman"/>
                <w:noProof/>
                <w:sz w:val="24"/>
                <w:szCs w:val="24"/>
              </w:rPr>
              <w:t>Madagaszkár, Mauritius, a Seychelle-szigetek és Zimbabwe esetében 2012. május 14.</w:t>
            </w:r>
            <w:r>
              <w:rPr>
                <w:rFonts w:ascii="Times New Roman" w:eastAsia="Calibri" w:hAnsi="Times New Roman" w:cs="Times New Roman"/>
                <w:noProof/>
                <w:sz w:val="24"/>
                <w:szCs w:val="24"/>
                <w:vertAlign w:val="superscript"/>
              </w:rPr>
              <w:footnoteReference w:id="5"/>
            </w:r>
          </w:p>
        </w:tc>
      </w:tr>
      <w:tr>
        <w:tc>
          <w:tcPr>
            <w:tcW w:w="4355" w:type="dxa"/>
          </w:tcPr>
          <w:p>
            <w:pPr>
              <w:contextualSpacing/>
              <w:rPr>
                <w:rFonts w:ascii="Times New Roman" w:eastAsia="Calibri" w:hAnsi="Times New Roman" w:cs="Times New Roman"/>
                <w:noProof/>
                <w:sz w:val="24"/>
                <w:szCs w:val="24"/>
              </w:rPr>
            </w:pPr>
            <w:r>
              <w:rPr>
                <w:rFonts w:ascii="Times New Roman" w:hAnsi="Times New Roman"/>
                <w:noProof/>
                <w:sz w:val="24"/>
                <w:szCs w:val="24"/>
              </w:rPr>
              <w:t>EU–csendes-óceáni országok (ideiglenes)</w:t>
            </w:r>
          </w:p>
        </w:tc>
        <w:tc>
          <w:tcPr>
            <w:tcW w:w="4337" w:type="dxa"/>
          </w:tcPr>
          <w:p>
            <w:pPr>
              <w:contextualSpacing/>
              <w:rPr>
                <w:rFonts w:ascii="Times New Roman" w:eastAsia="Calibri" w:hAnsi="Times New Roman" w:cs="Times New Roman"/>
                <w:noProof/>
                <w:sz w:val="24"/>
                <w:szCs w:val="24"/>
              </w:rPr>
            </w:pPr>
            <w:r>
              <w:rPr>
                <w:rFonts w:ascii="Times New Roman" w:hAnsi="Times New Roman"/>
                <w:noProof/>
                <w:sz w:val="24"/>
                <w:szCs w:val="24"/>
              </w:rPr>
              <w:t>Pápua Új-Guinea esetében 2009. december 20.; Fidzsi esetében 2014. július 28.</w:t>
            </w:r>
            <w:r>
              <w:rPr>
                <w:rFonts w:ascii="Times New Roman" w:eastAsia="Calibri" w:hAnsi="Times New Roman" w:cs="Times New Roman"/>
                <w:noProof/>
                <w:sz w:val="24"/>
                <w:szCs w:val="24"/>
                <w:vertAlign w:val="superscript"/>
              </w:rPr>
              <w:footnoteReference w:id="6"/>
            </w:r>
          </w:p>
        </w:tc>
      </w:tr>
      <w:tr>
        <w:tc>
          <w:tcPr>
            <w:tcW w:w="4355" w:type="dxa"/>
          </w:tcPr>
          <w:p>
            <w:pPr>
              <w:contextualSpacing/>
              <w:rPr>
                <w:rFonts w:ascii="Times New Roman" w:eastAsia="Calibri" w:hAnsi="Times New Roman" w:cs="Times New Roman"/>
                <w:noProof/>
                <w:sz w:val="24"/>
                <w:szCs w:val="24"/>
              </w:rPr>
            </w:pPr>
            <w:r>
              <w:rPr>
                <w:rFonts w:ascii="Times New Roman" w:hAnsi="Times New Roman"/>
                <w:noProof/>
                <w:sz w:val="24"/>
                <w:szCs w:val="24"/>
              </w:rPr>
              <w:t>EU–CARIFORUM</w:t>
            </w:r>
          </w:p>
        </w:tc>
        <w:tc>
          <w:tcPr>
            <w:tcW w:w="4337" w:type="dxa"/>
          </w:tcPr>
          <w:p>
            <w:pPr>
              <w:contextualSpacing/>
              <w:rPr>
                <w:rFonts w:ascii="Times New Roman" w:eastAsia="Calibri" w:hAnsi="Times New Roman" w:cs="Times New Roman"/>
                <w:noProof/>
                <w:sz w:val="24"/>
                <w:szCs w:val="24"/>
              </w:rPr>
            </w:pPr>
            <w:r>
              <w:rPr>
                <w:rFonts w:ascii="Times New Roman" w:hAnsi="Times New Roman"/>
                <w:noProof/>
                <w:sz w:val="24"/>
                <w:szCs w:val="24"/>
              </w:rPr>
              <w:t>2008. december 29. Antigua és Barbuda; Belize; a Bahama-szigetek; Barbados; Dominika; a Dominikai Köztársaság; Grenada; Guyana; Jamaica; Saint Kitts és Nevis; Saint Lucia; a Saint Vincent és Grenadine-szigetek; Suriname; valamint Trinidad és Tobago esetében.</w:t>
            </w:r>
          </w:p>
        </w:tc>
      </w:tr>
    </w:tbl>
    <w:p>
      <w:pPr>
        <w:spacing w:after="0" w:line="240" w:lineRule="auto"/>
        <w:rPr>
          <w:rFonts w:ascii="Times New Roman" w:hAnsi="Times New Roman" w:cs="Times New Roman"/>
          <w:noProof/>
          <w:sz w:val="24"/>
          <w:szCs w:val="24"/>
        </w:rPr>
      </w:pPr>
    </w:p>
    <w:p>
      <w:pPr>
        <w:rPr>
          <w:rFonts w:ascii="Times New Roman" w:hAnsi="Times New Roman" w:cs="Times New Roman"/>
          <w:noProof/>
          <w:sz w:val="24"/>
          <w:szCs w:val="24"/>
        </w:rPr>
      </w:pPr>
      <w:r>
        <w:rPr>
          <w:noProof/>
        </w:rPr>
        <w:br w:type="page"/>
      </w:r>
    </w:p>
    <w:p>
      <w:pPr>
        <w:pStyle w:val="Heading1"/>
        <w:rPr>
          <w:noProof/>
        </w:rPr>
      </w:pPr>
      <w:bookmarkStart w:id="3" w:name="_Toc55303816"/>
      <w:r>
        <w:rPr>
          <w:noProof/>
        </w:rPr>
        <w:t>1. BEVEZETÉS</w:t>
      </w:r>
      <w:bookmarkEnd w:id="3"/>
    </w:p>
    <w:p>
      <w:pPr>
        <w:rPr>
          <w:rFonts w:ascii="Times New Roman" w:hAnsi="Times New Roman" w:cs="Times New Roman"/>
          <w:noProof/>
          <w:sz w:val="24"/>
          <w:szCs w:val="24"/>
        </w:rPr>
      </w:pPr>
      <w:r>
        <w:rPr>
          <w:rFonts w:ascii="Times New Roman" w:hAnsi="Times New Roman"/>
          <w:noProof/>
          <w:sz w:val="24"/>
          <w:szCs w:val="24"/>
        </w:rPr>
        <w:t>Az európai kereskedelempolitika jól haladt előre 2019-ben. Az Európai Unió a Szingapúrral és Vietnámmal kötött kereskedelmi megállapodásainak megerősítésével – amelyek 2019 novemberében, illetve 2020 augusztusában léptek hatályba – előrelépést tett kétoldalú kereskedelmi menetrendje tekintetében. Az Európai Unió 2019-ben 44 kereskedelmi megállapodást alkalmazott, melyek összesen 76 partnert érintettek</w:t>
      </w:r>
      <w:r>
        <w:rPr>
          <w:rStyle w:val="FootnoteReference"/>
          <w:rFonts w:ascii="Times New Roman" w:hAnsi="Times New Roman" w:cs="Times New Roman"/>
          <w:noProof/>
          <w:sz w:val="24"/>
          <w:szCs w:val="24"/>
          <w:lang w:val="en-GB"/>
        </w:rPr>
        <w:footnoteReference w:id="7"/>
      </w:r>
      <w:r>
        <w:rPr>
          <w:rFonts w:ascii="Times New Roman" w:hAnsi="Times New Roman"/>
          <w:noProof/>
          <w:sz w:val="24"/>
          <w:szCs w:val="24"/>
        </w:rPr>
        <w:t>; az e partnerekkel bonyolított kereskedelem 1 345 milliárd EUR összeget tett ki, amely az EU külkereskedelme 33 %-ának (az összes kivitel 34 %-ának és az összes behozatal 33 %-ának) felel meg.</w:t>
      </w:r>
    </w:p>
    <w:p>
      <w:pPr>
        <w:rPr>
          <w:rFonts w:ascii="Times New Roman" w:hAnsi="Times New Roman" w:cs="Times New Roman"/>
          <w:noProof/>
          <w:sz w:val="24"/>
          <w:szCs w:val="24"/>
        </w:rPr>
      </w:pPr>
      <w:r>
        <w:rPr>
          <w:rFonts w:ascii="Times New Roman" w:hAnsi="Times New Roman"/>
          <w:noProof/>
          <w:sz w:val="24"/>
          <w:szCs w:val="24"/>
        </w:rPr>
        <w:t xml:space="preserve">A 2020-as évet tekintve ugyanakkor a </w:t>
      </w:r>
      <w:r>
        <w:rPr>
          <w:rFonts w:ascii="Times New Roman" w:hAnsi="Times New Roman"/>
          <w:b/>
          <w:noProof/>
          <w:sz w:val="24"/>
          <w:szCs w:val="24"/>
        </w:rPr>
        <w:t>koronavírus-járvány</w:t>
      </w:r>
      <w:r>
        <w:rPr>
          <w:rFonts w:ascii="Times New Roman" w:hAnsi="Times New Roman"/>
          <w:noProof/>
          <w:sz w:val="24"/>
          <w:szCs w:val="24"/>
        </w:rPr>
        <w:t xml:space="preserve"> várhatóan komoly visszaszorító hatást fejt ki az Európai Unió és kereskedelmi partnerei –ezen belül preferenciális kereskedelmi partnerei – közötti kereskedelemre. Az Európai Bizottság becslése szerint az Európai Unió harmadik országokba irányuló kivitele 9–15 %-kal, onnan származó behozatala pedig 11–14 %-kal csökkenhet (áruk és szolgáltatások együtt). Az Európai Unió kereskedelmi megállapodásainak kiterjedt hálózata hozzájárulhat e kedvezőtlen hatások elhárításához és enyhítéséhez, a reziliencia kialakításához és az ellátási láncok diverzifikálásához. Az Európai Bizottság fokozza arra irányuló erőfeszítéseit, hogy tovább javítsa e megállapodások végrehajtásának és érvényre juttatásának színvonalát, biztosítva, hogy valamennyi vállalat, különösen a kisebbek, hasznára válhassanak. Az első </w:t>
      </w:r>
      <w:r>
        <w:rPr>
          <w:rFonts w:ascii="Times New Roman" w:hAnsi="Times New Roman"/>
          <w:b/>
          <w:noProof/>
          <w:sz w:val="24"/>
          <w:szCs w:val="24"/>
        </w:rPr>
        <w:t>kereskedelmi jogérvényesítési főtisztviselő</w:t>
      </w:r>
      <w:r>
        <w:rPr>
          <w:rFonts w:ascii="Times New Roman" w:hAnsi="Times New Roman"/>
          <w:noProof/>
          <w:sz w:val="24"/>
          <w:szCs w:val="24"/>
        </w:rPr>
        <w:t>, akit a testület július 24-én nevezett ki</w:t>
      </w:r>
      <w:r>
        <w:rPr>
          <w:rStyle w:val="FootnoteReference"/>
          <w:rFonts w:ascii="Times New Roman" w:hAnsi="Times New Roman" w:cs="Times New Roman"/>
          <w:noProof/>
          <w:sz w:val="24"/>
          <w:szCs w:val="24"/>
          <w:lang w:val="en-GB"/>
        </w:rPr>
        <w:footnoteReference w:id="8"/>
      </w:r>
      <w:r>
        <w:rPr>
          <w:rFonts w:ascii="Times New Roman" w:hAnsi="Times New Roman"/>
          <w:noProof/>
          <w:sz w:val="24"/>
          <w:szCs w:val="24"/>
        </w:rPr>
        <w:t>, iránymutatást nyújt majd ezekhez az erőfeszítésekhez valamennyi érintett érdekelt féllel, valamint a tagállamokkal és az uniós intézményekkel szoros együttműködésben.</w:t>
      </w:r>
    </w:p>
    <w:p>
      <w:pPr>
        <w:rPr>
          <w:rFonts w:ascii="Times New Roman" w:hAnsi="Times New Roman"/>
          <w:noProof/>
          <w:sz w:val="24"/>
          <w:szCs w:val="24"/>
        </w:rPr>
      </w:pPr>
      <w:r>
        <w:rPr>
          <w:rFonts w:ascii="Times New Roman" w:hAnsi="Times New Roman"/>
          <w:noProof/>
          <w:sz w:val="24"/>
          <w:szCs w:val="24"/>
        </w:rPr>
        <w:t>Ez a jelentés az Európai Unió 65 kereskedelmi partnerrel fennálló jelentős kereskedelmi megállapodásai közül 36-ról nyújt naprakész tájékoztatást</w:t>
      </w:r>
      <w:r>
        <w:rPr>
          <w:rStyle w:val="FootnoteReference"/>
          <w:rFonts w:ascii="Times New Roman" w:hAnsi="Times New Roman" w:cs="Times New Roman"/>
          <w:noProof/>
          <w:sz w:val="24"/>
          <w:szCs w:val="24"/>
          <w:lang w:val="en-GB"/>
        </w:rPr>
        <w:footnoteReference w:id="9"/>
      </w:r>
      <w:r>
        <w:rPr>
          <w:rFonts w:ascii="Times New Roman" w:hAnsi="Times New Roman"/>
          <w:noProof/>
          <w:sz w:val="24"/>
          <w:szCs w:val="24"/>
        </w:rPr>
        <w:t xml:space="preserve">. A megállapodások az EU preferenciális partnerekkel folytatott kereskedelmének 91 %-ára terjednek ki és az EU összes külkereskedelmének 30,4 %-át teszik ki. </w:t>
      </w:r>
    </w:p>
    <w:p>
      <w:pPr>
        <w:rPr>
          <w:rFonts w:ascii="Times New Roman" w:hAnsi="Times New Roman"/>
          <w:noProof/>
          <w:sz w:val="24"/>
          <w:szCs w:val="24"/>
        </w:rPr>
      </w:pPr>
      <w:r>
        <w:rPr>
          <w:noProof/>
          <w:lang w:val="en-GB" w:eastAsia="en-GB"/>
        </w:rPr>
        <w:drawing>
          <wp:inline distT="0" distB="0" distL="0" distR="0">
            <wp:extent cx="5943600" cy="2784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2784475"/>
                    </a:xfrm>
                    <a:prstGeom prst="rect">
                      <a:avLst/>
                    </a:prstGeom>
                    <a:noFill/>
                    <a:ln>
                      <a:noFill/>
                    </a:ln>
                  </pic:spPr>
                </pic:pic>
              </a:graphicData>
            </a:graphic>
          </wp:inline>
        </w:drawing>
      </w:r>
    </w:p>
    <w:p>
      <w:pPr>
        <w:rPr>
          <w:rFonts w:ascii="Times New Roman" w:hAnsi="Times New Roman" w:cs="Times New Roman"/>
          <w:noProof/>
          <w:sz w:val="24"/>
          <w:szCs w:val="24"/>
        </w:rPr>
      </w:pPr>
      <w:r>
        <w:rPr>
          <w:rFonts w:ascii="Times New Roman" w:hAnsi="Times New Roman"/>
          <w:noProof/>
          <w:sz w:val="24"/>
          <w:szCs w:val="24"/>
        </w:rPr>
        <w:t xml:space="preserve">A jelentés kiemeli az uniós megállapodások Ázsiában, az amerikai kontinens országaiban, az EU-val szomszédos országokban (a keleti és déli szomszédság országai és a Nyugat-Balkán) és az afrikai, karibi és csendes-óceáni országokban való végrehajtását. Az idei jelentés a kereskedelemről és fenntartható fejlődésről, az agrár-élelmiszeripari kereskedelemről és a kis- és középvállalkozásokról szóló szakaszokon kívül külön szakaszt tartalmaz a szolgáltatásokról, a befektetésekről, a közbeszerzésről és a szellemitulajdon-jogokról. A jelentést kísérő </w:t>
      </w:r>
      <w:r>
        <w:rPr>
          <w:rFonts w:ascii="Times New Roman" w:hAnsi="Times New Roman"/>
          <w:b/>
          <w:bCs/>
          <w:noProof/>
          <w:sz w:val="24"/>
          <w:szCs w:val="24"/>
        </w:rPr>
        <w:t>szolgálati munkadokumentum</w:t>
      </w:r>
      <w:r>
        <w:rPr>
          <w:rStyle w:val="FootnoteReference"/>
          <w:rFonts w:ascii="Times New Roman" w:hAnsi="Times New Roman" w:cs="Times New Roman"/>
          <w:noProof/>
          <w:sz w:val="24"/>
          <w:szCs w:val="24"/>
          <w:lang w:val="en-GB"/>
        </w:rPr>
        <w:footnoteReference w:id="10"/>
      </w:r>
      <w:r>
        <w:rPr>
          <w:rFonts w:ascii="Times New Roman" w:hAnsi="Times New Roman"/>
          <w:noProof/>
          <w:sz w:val="24"/>
          <w:szCs w:val="24"/>
        </w:rPr>
        <w:t xml:space="preserve"> 36 országismertetőt tartalmaz</w:t>
      </w:r>
      <w:r>
        <w:rPr>
          <w:rStyle w:val="FootnoteReference"/>
          <w:rFonts w:ascii="Times New Roman" w:hAnsi="Times New Roman" w:cs="Times New Roman"/>
          <w:noProof/>
          <w:sz w:val="24"/>
          <w:szCs w:val="24"/>
          <w:lang w:val="en-GB"/>
        </w:rPr>
        <w:footnoteReference w:id="11"/>
      </w:r>
      <w:r>
        <w:rPr>
          <w:rFonts w:ascii="Times New Roman" w:hAnsi="Times New Roman"/>
          <w:noProof/>
          <w:sz w:val="24"/>
          <w:szCs w:val="24"/>
        </w:rPr>
        <w:t>. Megvizsgálja, hogy mennyire eredményes a megállapodások végrehajtása, statisztikákkal szolgál és naprakész tájékoztatást nyújt az Európai Bizottság kereskedelemről és fenntartható fejlődésről szóló 15 pontos cselekvési tervének végrehajtásáról</w:t>
      </w:r>
      <w:r>
        <w:rPr>
          <w:rStyle w:val="FootnoteReference"/>
          <w:rFonts w:ascii="Times New Roman" w:hAnsi="Times New Roman" w:cs="Times New Roman"/>
          <w:noProof/>
          <w:sz w:val="24"/>
          <w:szCs w:val="24"/>
          <w:lang w:val="en-GB"/>
        </w:rPr>
        <w:footnoteReference w:id="12"/>
      </w:r>
      <w:r>
        <w:rPr>
          <w:rFonts w:ascii="Times New Roman" w:hAnsi="Times New Roman"/>
          <w:noProof/>
          <w:sz w:val="24"/>
          <w:szCs w:val="24"/>
        </w:rPr>
        <w:t>.</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b/>
          <w:i/>
          <w:noProof/>
          <w:sz w:val="24"/>
          <w:szCs w:val="24"/>
        </w:rPr>
      </w:pPr>
      <w:r>
        <w:rPr>
          <w:rFonts w:ascii="Times New Roman" w:hAnsi="Times New Roman"/>
          <w:b/>
          <w:i/>
          <w:noProof/>
          <w:sz w:val="24"/>
          <w:szCs w:val="24"/>
        </w:rPr>
        <w:t>Az árukereskedelemre vonatkozó statisztika</w:t>
      </w:r>
    </w:p>
    <w:p>
      <w:pPr>
        <w:keepNext/>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i/>
          <w:noProof/>
          <w:sz w:val="24"/>
          <w:szCs w:val="24"/>
        </w:rPr>
      </w:pPr>
    </w:p>
    <w:p>
      <w:pPr>
        <w:keepNext/>
        <w:pBdr>
          <w:top w:val="single" w:sz="4" w:space="1"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noProof/>
          <w:sz w:val="24"/>
          <w:szCs w:val="24"/>
        </w:rPr>
      </w:pPr>
      <w:r>
        <w:rPr>
          <w:rFonts w:ascii="Times New Roman" w:hAnsi="Times New Roman"/>
          <w:noProof/>
          <w:sz w:val="24"/>
          <w:szCs w:val="24"/>
        </w:rPr>
        <w:t xml:space="preserve">Az egyes partnerországok áru- és szolgáltatáskereskedelemre, valamint közvetlen külföldi tőkebefektetésre vonatkozó </w:t>
      </w:r>
      <w:r>
        <w:rPr>
          <w:rFonts w:ascii="Times New Roman" w:hAnsi="Times New Roman"/>
          <w:b/>
          <w:noProof/>
          <w:sz w:val="24"/>
          <w:szCs w:val="24"/>
        </w:rPr>
        <w:t>általános statisztikáit</w:t>
      </w:r>
      <w:r>
        <w:rPr>
          <w:rFonts w:ascii="Times New Roman" w:hAnsi="Times New Roman"/>
          <w:noProof/>
          <w:sz w:val="24"/>
          <w:szCs w:val="24"/>
        </w:rPr>
        <w:t xml:space="preserve"> a szolgálati munkadokumentum tartalmazza. A kereskedelmi és a befektetési forgalom alakulására vonatkozó statisztikák eltérő jelölés hiányában az Eurostat EU-27-re vonatkozó 2020. márciusi adatain alapulnak. Eltérő jelölés hiányában a legfrissebb éves adatok az árukereskedelemre vonatkozóan a 2019. évről állnak rendelkezésre.</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noProof/>
          <w:sz w:val="24"/>
          <w:szCs w:val="24"/>
        </w:rPr>
      </w:pPr>
      <w:r>
        <w:rPr>
          <w:rFonts w:ascii="Times New Roman" w:hAnsi="Times New Roman"/>
          <w:noProof/>
          <w:sz w:val="24"/>
          <w:szCs w:val="24"/>
        </w:rPr>
        <w:t xml:space="preserve">Az Európai Bizottság/DG TRADE e jelentés elfogadásának napján statisztikákat fog közzétenni </w:t>
      </w:r>
      <w:r>
        <w:rPr>
          <w:rFonts w:ascii="Times New Roman" w:hAnsi="Times New Roman"/>
          <w:b/>
          <w:noProof/>
          <w:sz w:val="24"/>
          <w:szCs w:val="24"/>
        </w:rPr>
        <w:t>a kedvezményeknek</w:t>
      </w:r>
      <w:r>
        <w:rPr>
          <w:rFonts w:ascii="Times New Roman" w:hAnsi="Times New Roman"/>
          <w:noProof/>
          <w:sz w:val="24"/>
          <w:szCs w:val="24"/>
        </w:rPr>
        <w:t xml:space="preserve"> az EU kivitelével és behozatalával kapcsolatos </w:t>
      </w:r>
      <w:r>
        <w:rPr>
          <w:rFonts w:ascii="Times New Roman" w:hAnsi="Times New Roman"/>
          <w:b/>
          <w:noProof/>
          <w:sz w:val="24"/>
          <w:szCs w:val="24"/>
        </w:rPr>
        <w:t>kihasználtságáról</w:t>
      </w:r>
      <w:r>
        <w:rPr>
          <w:rFonts w:ascii="Times New Roman" w:hAnsi="Times New Roman"/>
          <w:noProof/>
          <w:sz w:val="24"/>
          <w:szCs w:val="24"/>
        </w:rPr>
        <w:t xml:space="preserve"> az EU minden egyes kereskedelmi partnerére és minden egyes tagállamára vonatkozóan, a források és a módszer magyarázatával együtt.</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noProof/>
          <w:sz w:val="24"/>
          <w:szCs w:val="24"/>
        </w:rPr>
      </w:pPr>
      <w:r>
        <w:rPr>
          <w:rFonts w:ascii="Times New Roman" w:hAnsi="Times New Roman"/>
          <w:noProof/>
          <w:sz w:val="24"/>
          <w:szCs w:val="24"/>
          <w:u w:val="single"/>
        </w:rPr>
        <w:t>Megjegyzés</w:t>
      </w:r>
      <w:r>
        <w:rPr>
          <w:rFonts w:ascii="Times New Roman" w:hAnsi="Times New Roman"/>
          <w:noProof/>
          <w:sz w:val="24"/>
          <w:szCs w:val="24"/>
        </w:rPr>
        <w:t>: A kedvezményeknek az EU kiviteléhez és behozatalához kapcsolódó kihasználtságára vonatkozó adatok eltérő forrásokból származó különböző adatkészleteken alapulnak. A behozatalhoz kapcsolódó kedvezménykihasználtsági arányok Eurostat adatokon alapulnak és harmonizáltak. Az EU kiviteléhez kapcsolódó kedvezménykihasználtsági arányok az EU kereskedelmi partnereinek vámhatóságai által benyújtott adatokon alapulnak, amely hatóságok eltérő módszereket és gyakorlatokat alkalmaznak: az adatok ezért nem harmonizáltak és nem összehasonlíthatók.</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noProof/>
          <w:sz w:val="24"/>
          <w:szCs w:val="24"/>
        </w:rPr>
      </w:pPr>
    </w:p>
    <w:p>
      <w:pPr>
        <w:keepNext/>
        <w:pBdr>
          <w:top w:val="single" w:sz="4" w:space="1"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b/>
          <w:i/>
          <w:noProof/>
          <w:sz w:val="24"/>
          <w:szCs w:val="24"/>
        </w:rPr>
      </w:pPr>
      <w:r>
        <w:rPr>
          <w:rFonts w:ascii="Times New Roman" w:hAnsi="Times New Roman"/>
          <w:b/>
          <w:i/>
          <w:noProof/>
          <w:sz w:val="24"/>
          <w:szCs w:val="24"/>
        </w:rPr>
        <w:t>A szolgáltatáskereskedelemre vonatkozó statisztika</w:t>
      </w:r>
    </w:p>
    <w:p>
      <w:pPr>
        <w:keepNext/>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i/>
          <w:noProof/>
          <w:sz w:val="24"/>
          <w:szCs w:val="24"/>
        </w:rPr>
      </w:pPr>
    </w:p>
    <w:p>
      <w:pPr>
        <w:keepNext/>
        <w:pBdr>
          <w:top w:val="single" w:sz="4" w:space="1"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noProof/>
          <w:sz w:val="24"/>
          <w:szCs w:val="24"/>
        </w:rPr>
      </w:pPr>
      <w:r>
        <w:rPr>
          <w:rFonts w:ascii="Times New Roman" w:hAnsi="Times New Roman"/>
          <w:noProof/>
          <w:sz w:val="24"/>
          <w:szCs w:val="24"/>
        </w:rPr>
        <w:t xml:space="preserve">A szolgáltatáskereskedelmi adatok fő forrásait a </w:t>
      </w:r>
      <w:r>
        <w:rPr>
          <w:rFonts w:ascii="Times New Roman" w:hAnsi="Times New Roman"/>
          <w:b/>
          <w:noProof/>
          <w:sz w:val="24"/>
          <w:szCs w:val="24"/>
        </w:rPr>
        <w:t>fizetésimérleg-statisztikák</w:t>
      </w:r>
      <w:r>
        <w:rPr>
          <w:rFonts w:ascii="Times New Roman" w:hAnsi="Times New Roman"/>
          <w:noProof/>
          <w:sz w:val="24"/>
          <w:szCs w:val="24"/>
        </w:rPr>
        <w:t xml:space="preserve"> (BoP) és az Eurostat </w:t>
      </w:r>
      <w:r>
        <w:rPr>
          <w:rFonts w:ascii="Times New Roman" w:hAnsi="Times New Roman"/>
          <w:b/>
          <w:noProof/>
          <w:sz w:val="24"/>
          <w:szCs w:val="24"/>
        </w:rPr>
        <w:t>multinacionális vállalatok tevékenységéről vezetett adatbázisa</w:t>
      </w:r>
      <w:r>
        <w:rPr>
          <w:rFonts w:ascii="Times New Roman" w:hAnsi="Times New Roman"/>
          <w:noProof/>
          <w:sz w:val="24"/>
          <w:szCs w:val="24"/>
        </w:rPr>
        <w:t xml:space="preserve"> (FATS) képezik. Az első az 1. (határokon átnyúló), a 2. (külföldi fogyasztás) és 4. (természetes személyek általi szolgáltatás a másik országban) módot fedi le, míg a második a 3. (letelepedés) módot. Eltérő jelölés hiányában a legfrissebb éves adatok a szolgáltatáskereskedelemre vonatkozóan a 2018. évről állnak rendelkezésre.</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noProof/>
          <w:sz w:val="24"/>
          <w:szCs w:val="24"/>
        </w:rPr>
      </w:pPr>
      <w:r>
        <w:rPr>
          <w:rFonts w:ascii="Times New Roman" w:hAnsi="Times New Roman"/>
          <w:noProof/>
          <w:sz w:val="24"/>
          <w:szCs w:val="24"/>
          <w:u w:val="single"/>
        </w:rPr>
        <w:t>Megjegyzés</w:t>
      </w:r>
      <w:r>
        <w:rPr>
          <w:rFonts w:ascii="Times New Roman" w:hAnsi="Times New Roman"/>
          <w:noProof/>
          <w:sz w:val="24"/>
          <w:szCs w:val="24"/>
        </w:rPr>
        <w:t>: a fizetésimérleg-adatokban a kereskedelmi forgalom ágazatonkénti bontásban csak korlátozottan szerepel, és az adatok nem tartalmazzák a szolgáltatáskereskedelmi forgalomnak a szolgáltatásnyújtási mód szerinti bontását. A FATS adatai részletes bontásban szerepelnek, azonban a 3. mód szerinti szolgáltatás- (vagy áru)kereskedelem tényleges értékének a megállapításához a számadatokat korrigálni kell az újrakivitel figyelembevételével (például a FATS adatbázis az uniós multinacionális vállalatok Egyesült Államokban realizált forgalmát adja meg, a helyi értékesítések, a 3. mód szerinti kivitelek értékének megállapítása érdekében az adatokból ki kell zárni az Egyesült Államokban székhellyel rendelkező uniós vállalatok kivitelét).</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noProof/>
          <w:sz w:val="24"/>
          <w:szCs w:val="24"/>
        </w:rPr>
      </w:pPr>
    </w:p>
    <w:p>
      <w:pPr>
        <w:keepNext/>
        <w:pBdr>
          <w:top w:val="single" w:sz="4" w:space="1"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b/>
          <w:i/>
          <w:noProof/>
          <w:sz w:val="24"/>
          <w:szCs w:val="24"/>
        </w:rPr>
      </w:pPr>
      <w:r>
        <w:rPr>
          <w:rFonts w:ascii="Times New Roman" w:hAnsi="Times New Roman"/>
          <w:b/>
          <w:i/>
          <w:noProof/>
          <w:sz w:val="24"/>
          <w:szCs w:val="24"/>
        </w:rPr>
        <w:t>A közvetlen külföldi tőkebefektetésre (FDI) vonatkozó statisztika</w:t>
      </w:r>
    </w:p>
    <w:p>
      <w:pPr>
        <w:keepNext/>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i/>
          <w:noProof/>
          <w:sz w:val="24"/>
          <w:szCs w:val="24"/>
        </w:rPr>
      </w:pPr>
    </w:p>
    <w:p>
      <w:pPr>
        <w:keepNext/>
        <w:pBdr>
          <w:top w:val="single" w:sz="4" w:space="1" w:color="auto"/>
          <w:left w:val="single" w:sz="4" w:space="4" w:color="auto"/>
          <w:bottom w:val="single" w:sz="4" w:space="1" w:color="auto"/>
          <w:right w:val="single" w:sz="4" w:space="4" w:color="auto"/>
        </w:pBdr>
        <w:spacing w:after="120" w:line="240" w:lineRule="auto"/>
        <w:rPr>
          <w:rFonts w:ascii="Times New Roman" w:hAnsi="Times New Roman" w:cs="Times New Roman"/>
          <w:b/>
          <w:noProof/>
          <w:sz w:val="24"/>
          <w:szCs w:val="24"/>
        </w:rPr>
      </w:pPr>
      <w:r>
        <w:rPr>
          <w:rFonts w:ascii="Times New Roman" w:hAnsi="Times New Roman"/>
          <w:noProof/>
          <w:sz w:val="24"/>
          <w:szCs w:val="24"/>
        </w:rPr>
        <w:t xml:space="preserve">A közvetlen külföldi tőkebefektetés forgalmi és állományi adatainak fő forrásai az </w:t>
      </w:r>
      <w:r>
        <w:rPr>
          <w:rFonts w:ascii="Times New Roman" w:hAnsi="Times New Roman"/>
          <w:b/>
          <w:noProof/>
          <w:sz w:val="24"/>
          <w:szCs w:val="24"/>
        </w:rPr>
        <w:t>Eurostat és az UNCTAD.</w:t>
      </w:r>
      <w:r>
        <w:rPr>
          <w:rFonts w:ascii="Times New Roman" w:hAnsi="Times New Roman"/>
          <w:noProof/>
          <w:sz w:val="24"/>
          <w:szCs w:val="24"/>
        </w:rPr>
        <w:t xml:space="preserve"> Eltérő jelölés hiányában a legfrissebb éves adatok a szolgáltatáskereskedelemre vonatkozóan a 2018. évről állnak rendelkezésre.</w:t>
      </w:r>
    </w:p>
    <w:p>
      <w:pPr>
        <w:rPr>
          <w:rFonts w:ascii="Times New Roman" w:hAnsi="Times New Roman" w:cs="Times New Roman"/>
          <w:b/>
          <w:noProof/>
          <w:sz w:val="24"/>
          <w:szCs w:val="24"/>
        </w:rPr>
      </w:pPr>
    </w:p>
    <w:p>
      <w:pPr>
        <w:pStyle w:val="Heading1"/>
        <w:rPr>
          <w:noProof/>
        </w:rPr>
      </w:pPr>
      <w:bookmarkStart w:id="4" w:name="_Toc55303817"/>
      <w:r>
        <w:rPr>
          <w:noProof/>
        </w:rPr>
        <w:t>2. A FŐBB MEGÁLLAPÍTÁSOK ÁTTEKINTÉSE: KERESKEDELMI FORGALOM</w:t>
      </w:r>
      <w:bookmarkEnd w:id="4"/>
    </w:p>
    <w:p>
      <w:pPr>
        <w:rPr>
          <w:rFonts w:ascii="Times New Roman" w:hAnsi="Times New Roman" w:cs="Times New Roman"/>
          <w:noProof/>
          <w:sz w:val="24"/>
          <w:szCs w:val="24"/>
        </w:rPr>
      </w:pPr>
      <w:r>
        <w:rPr>
          <w:rFonts w:ascii="Times New Roman" w:hAnsi="Times New Roman"/>
          <w:noProof/>
          <w:sz w:val="24"/>
          <w:szCs w:val="24"/>
        </w:rPr>
        <w:t>Ez a szakasz az EU és 65 fő preferenciális kereskedelmi partnere közötti kereskedelem 2019. évi alakulásával foglalkozik, amely kereskedelem az EU összes behozatalának 29 %-át és az EU összes kivitelének 32 %-át adja, és az EU-nak 113 milliárd EUR kereskedelmi többletet, az előző évhez képest pedig 12 %-os növekedést jelent.</w:t>
      </w:r>
    </w:p>
    <w:p>
      <w:pPr>
        <w:jc w:val="center"/>
        <w:rPr>
          <w:rFonts w:ascii="Times New Roman" w:hAnsi="Times New Roman" w:cs="Times New Roman"/>
          <w:noProof/>
          <w:sz w:val="24"/>
          <w:szCs w:val="24"/>
        </w:rPr>
      </w:pPr>
      <w:r>
        <w:rPr>
          <w:noProof/>
          <w:lang w:val="en-GB" w:eastAsia="en-GB"/>
        </w:rPr>
        <w:drawing>
          <wp:inline distT="0" distB="0" distL="0" distR="0">
            <wp:extent cx="5943600" cy="286775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2867751"/>
                    </a:xfrm>
                    <a:prstGeom prst="rect">
                      <a:avLst/>
                    </a:prstGeom>
                    <a:noFill/>
                    <a:ln>
                      <a:noFill/>
                    </a:ln>
                  </pic:spPr>
                </pic:pic>
              </a:graphicData>
            </a:graphic>
          </wp:inline>
        </w:drawing>
      </w:r>
    </w:p>
    <w:p>
      <w:pPr>
        <w:rPr>
          <w:rFonts w:ascii="Times New Roman" w:hAnsi="Times New Roman" w:cs="Times New Roman"/>
          <w:noProof/>
          <w:sz w:val="24"/>
          <w:szCs w:val="24"/>
        </w:rPr>
      </w:pPr>
      <w:r>
        <w:rPr>
          <w:rFonts w:ascii="Times New Roman" w:hAnsi="Times New Roman"/>
          <w:noProof/>
          <w:sz w:val="24"/>
          <w:szCs w:val="24"/>
        </w:rPr>
        <w:t>Svájc maradt az EU legnagyobb preferenciális partnere, a kereskedelem 21 %-a bonyolódik vele, amelyet Törökország követ 11 %-kal, majd Japán 10 %-kal és Norvégia 8,5 %-kal. Ezekkel a partnerekkel együttesen az EU preferenciális kereskedelmének a fele bonyolódott.</w:t>
      </w:r>
    </w:p>
    <w:p>
      <w:pPr>
        <w:jc w:val="center"/>
        <w:rPr>
          <w:rFonts w:ascii="Times New Roman" w:hAnsi="Times New Roman" w:cs="Times New Roman"/>
          <w:noProof/>
          <w:sz w:val="24"/>
          <w:szCs w:val="24"/>
        </w:rPr>
      </w:pPr>
      <w:r>
        <w:rPr>
          <w:noProof/>
          <w:lang w:val="en-GB" w:eastAsia="en-GB"/>
        </w:rPr>
        <w:drawing>
          <wp:inline distT="0" distB="0" distL="0" distR="0">
            <wp:extent cx="5943600" cy="249509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2495099"/>
                    </a:xfrm>
                    <a:prstGeom prst="rect">
                      <a:avLst/>
                    </a:prstGeom>
                    <a:noFill/>
                    <a:ln>
                      <a:noFill/>
                    </a:ln>
                  </pic:spPr>
                </pic:pic>
              </a:graphicData>
            </a:graphic>
          </wp:inline>
        </w:drawing>
      </w:r>
    </w:p>
    <w:p>
      <w:pPr>
        <w:rPr>
          <w:rFonts w:ascii="Times New Roman" w:hAnsi="Times New Roman" w:cs="Times New Roman"/>
          <w:noProof/>
          <w:sz w:val="24"/>
          <w:szCs w:val="24"/>
        </w:rPr>
      </w:pPr>
      <w:r>
        <w:rPr>
          <w:rFonts w:ascii="Times New Roman" w:hAnsi="Times New Roman"/>
          <w:noProof/>
          <w:sz w:val="24"/>
          <w:szCs w:val="24"/>
        </w:rPr>
        <w:t>2019-ben az Európai Uniónak a 65 partnerrel bonyolított árukereskedelme 3,4 %-kal nőtt. Ez a növekedés nagyobb, mint az EU-nak a világ többi részével bonyolított kereskedelmének a növekedése (azaz az EU összes kereskedelmi partnerrel bonyolított kereskedelmének növekedése, amely +2,5 % volt), és nagyobb, mint az EU-nak a nem preferenciális partnerekkel bonyolított kereskedelmének a növekedése különvéve (a 65 preferenciális partner nélkül a világ többi részével bonyolított kereskedelem növekedése, amely +2,1 % volt). A preferenciális árukivitel növekedése (+4,1 %) és a preferenciális árubehozatal növekedése (+2,6 %) intenzívebb volt a világ többi részével bonyolított kivitel és behozatal növekedésénél, amelyek külön-külön 3,5 % és 1,4 % százalékos növekedést értek el.</w:t>
      </w:r>
    </w:p>
    <w:p>
      <w:pPr>
        <w:jc w:val="center"/>
        <w:rPr>
          <w:rFonts w:ascii="Times New Roman" w:hAnsi="Times New Roman" w:cs="Times New Roman"/>
          <w:noProof/>
          <w:sz w:val="24"/>
          <w:szCs w:val="24"/>
        </w:rPr>
      </w:pPr>
      <w:r>
        <w:rPr>
          <w:noProof/>
          <w:lang w:val="en-GB" w:eastAsia="en-GB"/>
        </w:rPr>
        <w:drawing>
          <wp:inline distT="0" distB="0" distL="0" distR="0">
            <wp:extent cx="5943600" cy="227178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2271784"/>
                    </a:xfrm>
                    <a:prstGeom prst="rect">
                      <a:avLst/>
                    </a:prstGeom>
                    <a:noFill/>
                    <a:ln>
                      <a:noFill/>
                    </a:ln>
                  </pic:spPr>
                </pic:pic>
              </a:graphicData>
            </a:graphic>
          </wp:inline>
        </w:drawing>
      </w:r>
    </w:p>
    <w:p>
      <w:pPr>
        <w:spacing w:after="0"/>
        <w:rPr>
          <w:rFonts w:ascii="Times New Roman" w:hAnsi="Times New Roman" w:cs="Times New Roman"/>
          <w:b/>
          <w:i/>
          <w:noProof/>
          <w:sz w:val="24"/>
          <w:szCs w:val="24"/>
          <w:lang w:val="en-GB"/>
        </w:rPr>
      </w:pPr>
    </w:p>
    <w:p>
      <w:pPr>
        <w:rPr>
          <w:noProof/>
        </w:rPr>
      </w:pPr>
      <w:r>
        <w:rPr>
          <w:rFonts w:ascii="Times New Roman" w:hAnsi="Times New Roman"/>
          <w:b/>
          <w:i/>
          <w:noProof/>
          <w:sz w:val="24"/>
          <w:szCs w:val="24"/>
        </w:rPr>
        <w:t>Tendenciák az áruk kivitelében</w:t>
      </w:r>
    </w:p>
    <w:p>
      <w:pPr>
        <w:rPr>
          <w:rFonts w:ascii="Times New Roman" w:hAnsi="Times New Roman" w:cs="Times New Roman"/>
          <w:noProof/>
          <w:sz w:val="24"/>
          <w:szCs w:val="24"/>
        </w:rPr>
      </w:pPr>
      <w:r>
        <w:rPr>
          <w:rFonts w:ascii="Times New Roman" w:hAnsi="Times New Roman"/>
          <w:noProof/>
          <w:sz w:val="24"/>
          <w:szCs w:val="24"/>
        </w:rPr>
        <w:t xml:space="preserve">2019-ben az EU preferenciális partnerországokba irányuló összes kivitelének 92 %-át </w:t>
      </w:r>
      <w:r>
        <w:rPr>
          <w:rFonts w:ascii="Times New Roman" w:hAnsi="Times New Roman"/>
          <w:b/>
          <w:noProof/>
          <w:sz w:val="24"/>
          <w:szCs w:val="24"/>
        </w:rPr>
        <w:t>ipari termékek</w:t>
      </w:r>
      <w:r>
        <w:rPr>
          <w:rFonts w:ascii="Times New Roman" w:hAnsi="Times New Roman"/>
          <w:noProof/>
          <w:sz w:val="24"/>
          <w:szCs w:val="24"/>
        </w:rPr>
        <w:t xml:space="preserve"> tették ki. A gépek, a vegyipari termékek és a közlekedési eszközök maradtak az EU kivitelének vezető termékei, és külön-külön 1,5 %-kal, 6,3 %-kal és 5,7 %-kal növekedtek. A gépek és a készülékek maradtak továbbra is az egyetlen legfőbb kategóriát jelentő termékek, amelyek a preferenciális megállapodások keretében bonyolított kivitelnek közel 25 %-át tették ki. Érték alapján a gépek, a mechanikus háztartási készülékek és a gépjárművek maradtak a legfontosabbak, amelyek a nem mezőgazdasági termékeknek a 65 preferenciális partnerországba irányuló összes kivitelének körülbelül 30 %-át tették ki. Az elektromos gépek és elektromos felszerelések, valamint a gyógyszerek külön-külön közel 9 %-ot tettek ki. A légi járművek (+50 %), a bőr (+43 %), valamint a gyöngyök és drágakövek (+35 %) kivitelében következett be a legnagyobb éves növekedés.</w:t>
      </w:r>
    </w:p>
    <w:p>
      <w:pPr>
        <w:rPr>
          <w:rFonts w:ascii="Times New Roman" w:hAnsi="Times New Roman" w:cs="Times New Roman"/>
          <w:noProof/>
          <w:sz w:val="24"/>
          <w:szCs w:val="24"/>
        </w:rPr>
      </w:pPr>
      <w:r>
        <w:rPr>
          <w:rFonts w:ascii="Times New Roman" w:hAnsi="Times New Roman"/>
          <w:noProof/>
          <w:sz w:val="24"/>
          <w:szCs w:val="24"/>
        </w:rPr>
        <w:t xml:space="preserve">Az </w:t>
      </w:r>
      <w:r>
        <w:rPr>
          <w:rFonts w:ascii="Times New Roman" w:hAnsi="Times New Roman"/>
          <w:b/>
          <w:noProof/>
          <w:sz w:val="24"/>
          <w:szCs w:val="24"/>
        </w:rPr>
        <w:t>agrár-élelmiszeripari termékek</w:t>
      </w:r>
      <w:r>
        <w:rPr>
          <w:rFonts w:ascii="Times New Roman" w:hAnsi="Times New Roman"/>
          <w:noProof/>
          <w:sz w:val="24"/>
          <w:szCs w:val="24"/>
        </w:rPr>
        <w:t xml:space="preserve"> uniós kivitele 8,7 %-kal nőtt 2019-ben. Érték alapján az italok voltak a vezető termékek, amelyek a preferenciális agrár-élelmiszeripari kivitelek 15 %-át tették ki (+8,6 %). A gabonafélék, a tejtermékek és a hús külön-külön körülbelül 8 %-ot tett ki, és ugyanebben a sorrendben 39 %-kal, 13,2 %-kal és 0,7 %-kal növekedett a kivitelük.</w:t>
      </w:r>
    </w:p>
    <w:p>
      <w:pPr>
        <w:spacing w:after="0"/>
        <w:rPr>
          <w:rFonts w:ascii="Times New Roman" w:hAnsi="Times New Roman" w:cs="Times New Roman"/>
          <w:noProof/>
          <w:sz w:val="24"/>
          <w:szCs w:val="24"/>
        </w:rPr>
      </w:pPr>
    </w:p>
    <w:p>
      <w:pPr>
        <w:keepNext/>
        <w:pBdr>
          <w:top w:val="single" w:sz="4" w:space="1"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noProof/>
          <w:sz w:val="24"/>
          <w:szCs w:val="24"/>
        </w:rPr>
      </w:pPr>
      <w:r>
        <w:rPr>
          <w:rFonts w:ascii="Times New Roman" w:hAnsi="Times New Roman"/>
          <w:noProof/>
          <w:sz w:val="24"/>
          <w:szCs w:val="24"/>
        </w:rPr>
        <w:t xml:space="preserve">Ebben a jelentésben nem lehet vizsgálni </w:t>
      </w:r>
      <w:r>
        <w:rPr>
          <w:rFonts w:ascii="Times New Roman" w:hAnsi="Times New Roman"/>
          <w:b/>
          <w:noProof/>
          <w:sz w:val="24"/>
          <w:szCs w:val="24"/>
        </w:rPr>
        <w:t>a kedvezményeknek az EU kiviteléhez kapcsolódó kihasználtságát</w:t>
      </w:r>
      <w:r>
        <w:rPr>
          <w:rFonts w:ascii="Times New Roman" w:hAnsi="Times New Roman"/>
          <w:noProof/>
          <w:sz w:val="24"/>
          <w:szCs w:val="24"/>
        </w:rPr>
        <w:t>, mert az adatok csak későn álltak rendelkezésre és a jelentés nagy számú megállapodással foglalkozik. Az Európai Bizottság utólagos értékelési vizsgálatokat</w:t>
      </w:r>
      <w:r>
        <w:rPr>
          <w:rStyle w:val="FootnoteReference"/>
          <w:rFonts w:ascii="Times New Roman" w:hAnsi="Times New Roman" w:cs="Times New Roman"/>
          <w:noProof/>
          <w:sz w:val="24"/>
          <w:szCs w:val="24"/>
          <w:lang w:val="en-GB"/>
        </w:rPr>
        <w:footnoteReference w:id="13"/>
      </w:r>
      <w:r>
        <w:rPr>
          <w:rFonts w:ascii="Times New Roman" w:hAnsi="Times New Roman"/>
          <w:noProof/>
          <w:sz w:val="24"/>
          <w:szCs w:val="24"/>
        </w:rPr>
        <w:t xml:space="preserve"> vagy végrehajtási vizsgálatokat használ a kedvezmények kihasználtságának vizsgálata céljára és fokozni fogja erőfeszítéseit ezen a területen. Az Európai Bizottság partnerországaitól gyűjti a kedvezmények kihasználtságára vonatkozó adatokat. A jobb átláthatóság, valamint a vállalkozói szövetségek és a tagállamok saját kutatásaik elvégzésre való ösztönzése érdekében az Európai Bizottság közzé fogja tenni azokat a honlapján. Az Európai Bizottság folytatja az arra irányuló együttműködést kereskedelmi partnereivel, hogy megbízható adatokat kapjon a preferenciális kivitelekről, továbbá folytatja a párbeszédet a tagállamokkal, a vállalkozói szövetségekkel és az ágazatokkal, hogy jobban megértse, hogy a vámkedvezményeket miért nem használják ki teljes mértékben.</w:t>
      </w:r>
    </w:p>
    <w:p>
      <w:pPr>
        <w:spacing w:after="0"/>
        <w:rPr>
          <w:rFonts w:ascii="Times New Roman" w:hAnsi="Times New Roman" w:cs="Times New Roman"/>
          <w:b/>
          <w:i/>
          <w:noProof/>
          <w:sz w:val="24"/>
          <w:szCs w:val="24"/>
        </w:rPr>
      </w:pPr>
    </w:p>
    <w:p>
      <w:pPr>
        <w:spacing w:after="0"/>
        <w:rPr>
          <w:rFonts w:ascii="Times New Roman" w:hAnsi="Times New Roman" w:cs="Times New Roman"/>
          <w:b/>
          <w:i/>
          <w:noProof/>
          <w:sz w:val="24"/>
          <w:szCs w:val="24"/>
        </w:rPr>
      </w:pPr>
    </w:p>
    <w:p>
      <w:pPr>
        <w:rPr>
          <w:rFonts w:ascii="Times New Roman" w:hAnsi="Times New Roman" w:cs="Times New Roman"/>
          <w:b/>
          <w:i/>
          <w:noProof/>
          <w:sz w:val="24"/>
          <w:szCs w:val="24"/>
        </w:rPr>
      </w:pPr>
      <w:r>
        <w:rPr>
          <w:rFonts w:ascii="Times New Roman" w:hAnsi="Times New Roman"/>
          <w:b/>
          <w:i/>
          <w:noProof/>
          <w:sz w:val="24"/>
          <w:szCs w:val="24"/>
        </w:rPr>
        <w:t>Tendenciák az áruk behozatalában</w:t>
      </w:r>
    </w:p>
    <w:p>
      <w:pPr>
        <w:rPr>
          <w:rFonts w:ascii="Times New Roman" w:hAnsi="Times New Roman" w:cs="Times New Roman"/>
          <w:noProof/>
          <w:sz w:val="24"/>
          <w:szCs w:val="24"/>
        </w:rPr>
      </w:pPr>
      <w:r>
        <w:rPr>
          <w:rFonts w:ascii="Times New Roman" w:hAnsi="Times New Roman"/>
          <w:noProof/>
          <w:sz w:val="24"/>
          <w:szCs w:val="24"/>
        </w:rPr>
        <w:t>A 65 preferenciális partnerországból származó összes behozatal 91 %-át ipari termékek tették ki; 2019-ben ezek behozatala 2 %-kal nőtt. E termékek vezető három kategóriáját a gépek és készülékek (+3 %), a vegyipari termékek (+16 %) és az ásványi termékek (–7 %) alkották. Az agrár-élelmiszeripari behozatal 8,3 %-kal nőtt. A vezető importtermékek az élelmezési célra alkalmas gyümölcs- és diófélék (+3,9 %), a kakaókészítmények (+6,5 %), a kávé és tea (–0,2 %), valamint a gabonafélék (+22,9 %) voltak.</w:t>
      </w:r>
      <w:r>
        <w:rPr>
          <w:rStyle w:val="FootnoteReference"/>
          <w:rFonts w:ascii="Times New Roman" w:hAnsi="Times New Roman" w:cs="Times New Roman"/>
          <w:noProof/>
          <w:sz w:val="24"/>
          <w:szCs w:val="24"/>
          <w:lang w:val="en-GB"/>
        </w:rPr>
        <w:footnoteReference w:id="14"/>
      </w:r>
    </w:p>
    <w:p>
      <w:pPr>
        <w:rPr>
          <w:rFonts w:ascii="Times New Roman" w:hAnsi="Times New Roman" w:cs="Times New Roman"/>
          <w:b/>
          <w:i/>
          <w:noProof/>
          <w:sz w:val="24"/>
          <w:szCs w:val="24"/>
        </w:rPr>
      </w:pPr>
      <w:r>
        <w:rPr>
          <w:rFonts w:ascii="Times New Roman" w:hAnsi="Times New Roman"/>
          <w:b/>
          <w:i/>
          <w:noProof/>
          <w:sz w:val="24"/>
          <w:szCs w:val="24"/>
        </w:rPr>
        <w:t>Ipari termékek és agrár-élelmiszeripar</w:t>
      </w:r>
    </w:p>
    <w:p>
      <w:pPr>
        <w:rPr>
          <w:rFonts w:ascii="Times New Roman" w:hAnsi="Times New Roman" w:cs="Times New Roman"/>
          <w:noProof/>
          <w:sz w:val="24"/>
          <w:szCs w:val="24"/>
        </w:rPr>
      </w:pPr>
      <w:r>
        <w:rPr>
          <w:rFonts w:ascii="Times New Roman" w:hAnsi="Times New Roman"/>
          <w:noProof/>
          <w:sz w:val="24"/>
          <w:szCs w:val="24"/>
        </w:rPr>
        <w:t>A 65 partnerrel ipari termékekben bonyolított kereskedelem 3 %-kal nőtt, míg az agrár-élelmiszeripari kereskedelem 8,5 %-kal nőtt. Az EU ipari termékekben bonyolított kereskedelme 106,6 milliárd EUR többletet ért el, amely a 2018-as évhez képest 11,8 milliárd EUR növekedést jelent. Az EU agrár-élelmiszeripari kereskedelme 6,4 milliárd EUR többletet ért el, amely a 2018-as évhez képest 651 millió EUR növekedést jelent.</w:t>
      </w:r>
    </w:p>
    <w:p>
      <w:pPr>
        <w:jc w:val="center"/>
        <w:rPr>
          <w:rFonts w:ascii="Times New Roman" w:hAnsi="Times New Roman" w:cs="Times New Roman"/>
          <w:b/>
          <w:noProof/>
          <w:sz w:val="24"/>
          <w:szCs w:val="24"/>
        </w:rPr>
      </w:pPr>
    </w:p>
    <w:p>
      <w:pPr>
        <w:jc w:val="center"/>
        <w:rPr>
          <w:rFonts w:ascii="Times New Roman" w:hAnsi="Times New Roman" w:cs="Times New Roman"/>
          <w:b/>
          <w:noProof/>
          <w:sz w:val="24"/>
          <w:szCs w:val="24"/>
        </w:rPr>
      </w:pPr>
    </w:p>
    <w:p>
      <w:pPr>
        <w:jc w:val="center"/>
        <w:rPr>
          <w:rFonts w:ascii="Times New Roman" w:hAnsi="Times New Roman" w:cs="Times New Roman"/>
          <w:b/>
          <w:noProof/>
          <w:sz w:val="24"/>
          <w:szCs w:val="24"/>
          <w:lang w:val="en-GB"/>
        </w:rPr>
      </w:pPr>
      <w:r>
        <w:rPr>
          <w:noProof/>
          <w:lang w:val="en-GB" w:eastAsia="en-GB"/>
        </w:rPr>
        <w:drawing>
          <wp:inline distT="0" distB="0" distL="0" distR="0">
            <wp:extent cx="5943600" cy="244069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2440696"/>
                    </a:xfrm>
                    <a:prstGeom prst="rect">
                      <a:avLst/>
                    </a:prstGeom>
                    <a:noFill/>
                    <a:ln>
                      <a:noFill/>
                    </a:ln>
                  </pic:spPr>
                </pic:pic>
              </a:graphicData>
            </a:graphic>
          </wp:inline>
        </w:drawing>
      </w:r>
    </w:p>
    <w:p>
      <w:pPr>
        <w:jc w:val="center"/>
        <w:rPr>
          <w:rFonts w:ascii="Times New Roman" w:hAnsi="Times New Roman" w:cs="Times New Roman"/>
          <w:b/>
          <w:noProof/>
          <w:sz w:val="24"/>
          <w:szCs w:val="24"/>
          <w:lang w:val="en-GB"/>
        </w:rPr>
      </w:pPr>
    </w:p>
    <w:p>
      <w:pPr>
        <w:jc w:val="center"/>
        <w:rPr>
          <w:rFonts w:ascii="Times New Roman" w:hAnsi="Times New Roman" w:cs="Times New Roman"/>
          <w:b/>
          <w:noProof/>
          <w:sz w:val="24"/>
          <w:szCs w:val="24"/>
          <w:lang w:val="en-GB"/>
        </w:rPr>
      </w:pPr>
    </w:p>
    <w:p>
      <w:pPr>
        <w:rPr>
          <w:rFonts w:ascii="Times New Roman" w:hAnsi="Times New Roman" w:cs="Times New Roman"/>
          <w:b/>
          <w:i/>
          <w:noProof/>
          <w:sz w:val="24"/>
          <w:szCs w:val="24"/>
        </w:rPr>
      </w:pPr>
      <w:r>
        <w:rPr>
          <w:rFonts w:ascii="Times New Roman" w:hAnsi="Times New Roman"/>
          <w:b/>
          <w:i/>
          <w:noProof/>
          <w:sz w:val="24"/>
          <w:szCs w:val="24"/>
        </w:rPr>
        <w:t>Tendenciák a szolgáltatáskereskedelemben</w:t>
      </w:r>
    </w:p>
    <w:p>
      <w:pPr>
        <w:rPr>
          <w:rFonts w:ascii="Times New Roman" w:hAnsi="Times New Roman" w:cs="Times New Roman"/>
          <w:noProof/>
          <w:sz w:val="24"/>
          <w:szCs w:val="24"/>
        </w:rPr>
      </w:pPr>
      <w:r>
        <w:rPr>
          <w:rFonts w:ascii="Times New Roman" w:hAnsi="Times New Roman"/>
          <w:noProof/>
          <w:sz w:val="24"/>
          <w:szCs w:val="24"/>
        </w:rPr>
        <w:t xml:space="preserve">A </w:t>
      </w:r>
      <w:r>
        <w:rPr>
          <w:rFonts w:ascii="Times New Roman" w:hAnsi="Times New Roman"/>
          <w:b/>
          <w:noProof/>
          <w:sz w:val="24"/>
          <w:szCs w:val="24"/>
        </w:rPr>
        <w:t>szolgáltatáskereskedelemre</w:t>
      </w:r>
      <w:r>
        <w:rPr>
          <w:rFonts w:ascii="Times New Roman" w:hAnsi="Times New Roman"/>
          <w:noProof/>
          <w:sz w:val="24"/>
          <w:szCs w:val="24"/>
        </w:rPr>
        <w:t xml:space="preserve"> vonatkozóan a legfrissebb adatok a 2018. évről állnak rendelkezésre. Az e jelentésben tárgyalt, a 65 partnerrel bonyolított szolgáltatáskereskedelem 1,7 %-kal nőtt 2018-ban, azaz lassabb ütemben mint az EU által bonyolított összes szolgáltatáskereskedelem (+2,3 %), miközben 80 milliárd EUR kereskedelmi többletet generált, amely a 2017-es évhez képest 11,5 % növekedést jelent. A 2007. évi Globális Európa közlemény</w:t>
      </w:r>
      <w:r>
        <w:rPr>
          <w:rStyle w:val="FootnoteReference"/>
          <w:rFonts w:ascii="Times New Roman" w:hAnsi="Times New Roman" w:cs="Times New Roman"/>
          <w:noProof/>
          <w:sz w:val="24"/>
          <w:szCs w:val="24"/>
          <w:lang w:val="en-GB"/>
        </w:rPr>
        <w:footnoteReference w:id="15"/>
      </w:r>
      <w:r>
        <w:rPr>
          <w:rFonts w:ascii="Times New Roman" w:hAnsi="Times New Roman"/>
          <w:noProof/>
          <w:sz w:val="24"/>
          <w:szCs w:val="24"/>
        </w:rPr>
        <w:t xml:space="preserve"> közzététele előtt megkötött megállapodások közül sok nem tartalmaz a szolgáltatásokra vonatkozó nagyratörő szabályozási elemeket, például ilyen az EU Svájccal, azaz a szolgáltatások tekintetében második legfontosabb kereskedelmi partnerével kötött kereskedelmi megállapodása. Az e jelentésben tárgyalt, azon preferenciális partnerekkel bonyolított szolgáltatáskereskedelem, amelyek a szolgáltatások tekintetében kötelezettségeket vállaltak</w:t>
      </w:r>
      <w:r>
        <w:rPr>
          <w:rStyle w:val="FootnoteReference"/>
          <w:rFonts w:ascii="Times New Roman" w:hAnsi="Times New Roman" w:cs="Times New Roman"/>
          <w:noProof/>
          <w:sz w:val="24"/>
          <w:szCs w:val="24"/>
          <w:lang w:val="en-GB"/>
        </w:rPr>
        <w:footnoteReference w:id="16"/>
      </w:r>
      <w:r>
        <w:rPr>
          <w:rFonts w:ascii="Times New Roman" w:hAnsi="Times New Roman"/>
          <w:noProof/>
          <w:sz w:val="24"/>
          <w:szCs w:val="24"/>
        </w:rPr>
        <w:t>, 2018-ban 3,3 %-kal nőtt, azaz intenzívebben mint az EU összes szolgáltatáskereskedelme. A korábbi partnerekkel bonyolított szolgáltatáskereskedelem növekedéséhez képest (+0,8 %) észrevehetően nagyobb mértékben nőtt az újabb kereskedelmi megállapodások szerinti preferenciális partnerekkel bonyolított szolgáltatáskereskedelem (+7,6 %).</w:t>
      </w:r>
    </w:p>
    <w:p>
      <w:pPr>
        <w:jc w:val="center"/>
        <w:rPr>
          <w:rFonts w:ascii="Times New Roman" w:hAnsi="Times New Roman" w:cs="Times New Roman"/>
          <w:b/>
          <w:noProof/>
          <w:sz w:val="24"/>
          <w:szCs w:val="24"/>
        </w:rPr>
      </w:pPr>
      <w:r>
        <w:rPr>
          <w:noProof/>
          <w:lang w:val="en-GB" w:eastAsia="en-GB"/>
        </w:rPr>
        <w:drawing>
          <wp:inline distT="0" distB="0" distL="0" distR="0">
            <wp:extent cx="5943600" cy="231325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2313253"/>
                    </a:xfrm>
                    <a:prstGeom prst="rect">
                      <a:avLst/>
                    </a:prstGeom>
                    <a:noFill/>
                    <a:ln>
                      <a:noFill/>
                    </a:ln>
                  </pic:spPr>
                </pic:pic>
              </a:graphicData>
            </a:graphic>
          </wp:inline>
        </w:drawing>
      </w:r>
    </w:p>
    <w:p>
      <w:pPr>
        <w:pStyle w:val="Heading1"/>
        <w:rPr>
          <w:noProof/>
        </w:rPr>
      </w:pPr>
      <w:bookmarkStart w:id="5" w:name="_Toc55303818"/>
      <w:r>
        <w:rPr>
          <w:noProof/>
        </w:rPr>
        <w:t>3. A FŐBB MEGÁLLAPÍTÁSOK ÁTTEKINTÉSE TÉRSÉGENKÉNT</w:t>
      </w:r>
      <w:bookmarkEnd w:id="5"/>
    </w:p>
    <w:p>
      <w:pPr>
        <w:pStyle w:val="Heading2"/>
        <w:rPr>
          <w:b w:val="0"/>
          <w:noProof/>
        </w:rPr>
      </w:pPr>
      <w:bookmarkStart w:id="6" w:name="_Toc55303819"/>
      <w:r>
        <w:rPr>
          <w:noProof/>
        </w:rPr>
        <w:t>3.1. ÁZSIA</w:t>
      </w:r>
      <w:bookmarkEnd w:id="6"/>
    </w:p>
    <w:p>
      <w:pPr>
        <w:rPr>
          <w:rFonts w:ascii="Times New Roman" w:eastAsia="Times New Roman" w:hAnsi="Times New Roman" w:cs="Times New Roman"/>
          <w:noProof/>
          <w:sz w:val="24"/>
          <w:szCs w:val="24"/>
        </w:rPr>
      </w:pPr>
      <w:r>
        <w:rPr>
          <w:rFonts w:ascii="Times New Roman" w:hAnsi="Times New Roman"/>
          <w:noProof/>
          <w:sz w:val="24"/>
          <w:szCs w:val="24"/>
        </w:rPr>
        <w:t>2019-ben az EU a következő három ázsiai gazdaság vonatkozásában alkalmazott preferenciális kereskedelmi megállapodásokat: Dél-Korea, Japán és Szingapúr.</w:t>
      </w:r>
      <w:r>
        <w:rPr>
          <w:rStyle w:val="FootnoteReference"/>
          <w:rFonts w:ascii="Times New Roman" w:hAnsi="Times New Roman" w:cs="Times New Roman"/>
          <w:noProof/>
          <w:sz w:val="24"/>
          <w:szCs w:val="24"/>
          <w:lang w:val="en-GB"/>
        </w:rPr>
        <w:footnoteReference w:id="17"/>
      </w:r>
      <w:r>
        <w:rPr>
          <w:rFonts w:ascii="Times New Roman" w:hAnsi="Times New Roman"/>
          <w:noProof/>
          <w:sz w:val="24"/>
          <w:szCs w:val="24"/>
        </w:rPr>
        <w:t xml:space="preserve"> Ezek a megállapodások segítenek az uniós vállalatoknak abban, hogy versenyképesek maradjanak a harmadik országokkal a közelmúltban kötött kereskedelmi megállapodások tekintetében, mint például az </w:t>
      </w:r>
      <w:r>
        <w:rPr>
          <w:rFonts w:ascii="Times New Roman" w:hAnsi="Times New Roman"/>
          <w:i/>
          <w:noProof/>
          <w:sz w:val="24"/>
          <w:szCs w:val="24"/>
        </w:rPr>
        <w:t>Átfogó és Előremutató Csendes-óceáni Partnerségi Megállapodás</w:t>
      </w:r>
      <w:r>
        <w:rPr>
          <w:rStyle w:val="FootnoteReference"/>
          <w:rFonts w:ascii="Times New Roman" w:hAnsi="Times New Roman" w:cs="Times New Roman"/>
          <w:noProof/>
          <w:sz w:val="24"/>
          <w:szCs w:val="24"/>
          <w:lang w:val="en-GB"/>
        </w:rPr>
        <w:footnoteReference w:id="18"/>
      </w:r>
      <w:r>
        <w:rPr>
          <w:rStyle w:val="FootnoteReference"/>
          <w:noProof/>
        </w:rPr>
        <w:t xml:space="preserve"> </w:t>
      </w:r>
      <w:r>
        <w:rPr>
          <w:rFonts w:ascii="Times New Roman" w:hAnsi="Times New Roman"/>
          <w:noProof/>
          <w:sz w:val="24"/>
          <w:szCs w:val="24"/>
        </w:rPr>
        <w:t>, amelynek Japán és Szingapúr egyaránt részes fele. A megállapodások továbbá hozzájárulnak a nemzetközi normák megerősítéséhez, amelyek a három megállapodásban a nem tarifális kötelezettségvállalások gerincét képezik. Különösen a Szingapúrral, a Délkelet-ázsiai Nemzetek Szövetségének (ASEAN) egyik tagjával, és a Japánnal kötött legújabb megállapodások képviselnek jelentős tengelyeket az egész térségben, ahonnan az Európai Unió ki tudja terjeszteni a kereskedelmi tevékenységének keretében folytatott műveleteket a szomszédos országokra. Az EU és Dél-Korea közötti szabadkereskedelmi megállapodást (FTA) nyolc évig alkalmazták, és a 2019 márciusában közzétett utólagos értékelése</w:t>
      </w:r>
      <w:r>
        <w:rPr>
          <w:rFonts w:ascii="Times New Roman" w:eastAsia="Times New Roman" w:hAnsi="Times New Roman" w:cs="Times New Roman"/>
          <w:noProof/>
          <w:sz w:val="24"/>
          <w:szCs w:val="24"/>
          <w:vertAlign w:val="superscript"/>
          <w:lang w:val="en-GB" w:eastAsia="en-GB"/>
        </w:rPr>
        <w:footnoteReference w:id="19"/>
      </w:r>
      <w:r>
        <w:rPr>
          <w:rFonts w:ascii="Times New Roman" w:hAnsi="Times New Roman"/>
          <w:noProof/>
          <w:sz w:val="24"/>
          <w:szCs w:val="24"/>
        </w:rPr>
        <w:t xml:space="preserve"> szerint a megállapodás nyereséggel járt mind az EU gazdasága (+4,4 milliárd EUR), mind pedig a dél-koreai gazdaság (+4,9 milliárd EUR) számára, annak ellenére, hogy ez a pénzügyi válság utáni nehéz időszakban történt, amelyet csökkenő kereslet és nemzetközi kereskedelem jellemzett.</w:t>
      </w:r>
    </w:p>
    <w:p>
      <w:pPr>
        <w:pStyle w:val="Heading3"/>
        <w:rPr>
          <w:rFonts w:eastAsia="Times New Roman"/>
          <w:noProof/>
        </w:rPr>
      </w:pPr>
      <w:bookmarkStart w:id="7" w:name="_Toc55303820"/>
      <w:r>
        <w:rPr>
          <w:noProof/>
        </w:rPr>
        <w:t>3.1.1. Dél-Korea</w:t>
      </w:r>
      <w:bookmarkEnd w:id="7"/>
    </w:p>
    <w:p>
      <w:pPr>
        <w:rPr>
          <w:rFonts w:ascii="Times New Roman" w:eastAsia="Times New Roman" w:hAnsi="Times New Roman" w:cs="Times New Roman"/>
          <w:noProof/>
          <w:sz w:val="24"/>
          <w:szCs w:val="24"/>
        </w:rPr>
      </w:pPr>
      <w:r>
        <w:rPr>
          <w:rFonts w:ascii="Times New Roman" w:hAnsi="Times New Roman"/>
          <w:b/>
          <w:noProof/>
          <w:sz w:val="24"/>
          <w:szCs w:val="24"/>
        </w:rPr>
        <w:t>Dél-Koreában</w:t>
      </w:r>
      <w:r>
        <w:rPr>
          <w:rFonts w:ascii="Times New Roman" w:hAnsi="Times New Roman"/>
          <w:noProof/>
          <w:sz w:val="24"/>
          <w:szCs w:val="24"/>
        </w:rPr>
        <w:t xml:space="preserve"> 2019-ben </w:t>
      </w:r>
      <w:r>
        <w:rPr>
          <w:rFonts w:ascii="Times New Roman" w:hAnsi="Times New Roman"/>
          <w:b/>
          <w:noProof/>
          <w:sz w:val="24"/>
          <w:szCs w:val="24"/>
        </w:rPr>
        <w:t>a gazdasági növekedés visszafogott maradt</w:t>
      </w:r>
      <w:r>
        <w:rPr>
          <w:rFonts w:ascii="Times New Roman" w:hAnsi="Times New Roman"/>
          <w:noProof/>
          <w:sz w:val="24"/>
          <w:szCs w:val="24"/>
        </w:rPr>
        <w:t xml:space="preserve">, mivel a globális lassulás és a kereskedelmi feszültségek visszafogták a kivitelt, miközben a befektetéseket nagy fokú bizonytalanság nehezítette. Az </w:t>
      </w:r>
      <w:r>
        <w:rPr>
          <w:rFonts w:ascii="Times New Roman" w:hAnsi="Times New Roman"/>
          <w:b/>
          <w:noProof/>
          <w:sz w:val="24"/>
          <w:szCs w:val="24"/>
        </w:rPr>
        <w:t xml:space="preserve">EU </w:t>
      </w:r>
      <w:r>
        <w:rPr>
          <w:rFonts w:ascii="Times New Roman" w:hAnsi="Times New Roman"/>
          <w:noProof/>
          <w:sz w:val="24"/>
          <w:szCs w:val="24"/>
        </w:rPr>
        <w:t>Dél-Koreába irányuló</w:t>
      </w:r>
      <w:r>
        <w:rPr>
          <w:rFonts w:ascii="Times New Roman" w:hAnsi="Times New Roman"/>
          <w:b/>
          <w:noProof/>
          <w:sz w:val="24"/>
          <w:szCs w:val="24"/>
        </w:rPr>
        <w:t xml:space="preserve"> ipari kivitelének</w:t>
      </w:r>
      <w:r>
        <w:rPr>
          <w:rFonts w:ascii="Times New Roman" w:hAnsi="Times New Roman"/>
          <w:noProof/>
          <w:sz w:val="24"/>
          <w:szCs w:val="24"/>
        </w:rPr>
        <w:t xml:space="preserve"> 1,3 %-os </w:t>
      </w:r>
      <w:r>
        <w:rPr>
          <w:rFonts w:ascii="Times New Roman" w:hAnsi="Times New Roman"/>
          <w:b/>
          <w:noProof/>
          <w:sz w:val="24"/>
          <w:szCs w:val="24"/>
        </w:rPr>
        <w:t>csökkenése</w:t>
      </w:r>
      <w:r>
        <w:rPr>
          <w:rFonts w:ascii="Times New Roman" w:hAnsi="Times New Roman"/>
          <w:noProof/>
          <w:sz w:val="24"/>
          <w:szCs w:val="24"/>
        </w:rPr>
        <w:t xml:space="preserve"> bizonyos mértékben a félvezetők ciklusában bekövetkezett visszaesés miatti gyenge hazai kereslettel és többek között az EU és Kína közötti kereskedelmi vitával magyarázható.</w:t>
      </w:r>
      <w:r>
        <w:rPr>
          <w:rFonts w:ascii="Times New Roman" w:hAnsi="Times New Roman"/>
          <w:b/>
          <w:noProof/>
          <w:sz w:val="24"/>
          <w:szCs w:val="24"/>
        </w:rPr>
        <w:t xml:space="preserve"> A szolgáltatáskereskedelem</w:t>
      </w:r>
      <w:r>
        <w:rPr>
          <w:rFonts w:ascii="Times New Roman" w:hAnsi="Times New Roman"/>
          <w:noProof/>
          <w:sz w:val="24"/>
          <w:szCs w:val="24"/>
        </w:rPr>
        <w:t xml:space="preserve"> 2018-ban </w:t>
      </w:r>
      <w:r>
        <w:rPr>
          <w:rFonts w:ascii="Times New Roman" w:hAnsi="Times New Roman"/>
          <w:b/>
          <w:noProof/>
          <w:sz w:val="24"/>
          <w:szCs w:val="24"/>
        </w:rPr>
        <w:t>továbbra is bővült</w:t>
      </w:r>
      <w:r>
        <w:rPr>
          <w:rFonts w:ascii="Times New Roman" w:hAnsi="Times New Roman"/>
          <w:noProof/>
          <w:sz w:val="24"/>
          <w:szCs w:val="24"/>
        </w:rPr>
        <w:t xml:space="preserve"> 3,6 %-kal 2017-hez képest, azaz intenzívebben, mint az EU-nak a világ többi részével folytatott kereskedelme. Az EU–Dél-Korea szabadkereskedelmi megállapodás a két partner közötti közvetlen külföldi tőkebefektetések növekedését is ösztönözte. A rendelkezésre álló legfrissebb adatok szerint 2018-ban az EU közvetlen külföldi tőkebefektetési állománya Dél-Koreában 4 %-kal növekedett és ezzel elérte a 46 milliárd EUR-t, míg Dél-Korea közvetlen külföldi tőkebefektetési állománya az EU-ban 1 %-kal nőtt 25 milliárd EUR-ra.</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b/>
          <w:noProof/>
          <w:sz w:val="24"/>
          <w:szCs w:val="24"/>
        </w:rPr>
      </w:pPr>
      <w:r>
        <w:rPr>
          <w:rFonts w:ascii="Times New Roman" w:hAnsi="Times New Roman"/>
          <w:b/>
          <w:noProof/>
          <w:sz w:val="24"/>
          <w:szCs w:val="24"/>
        </w:rPr>
        <w:t>A végrehajtásban elért haladás 2019-ben</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b/>
          <w:noProof/>
          <w:sz w:val="24"/>
          <w:szCs w:val="24"/>
        </w:rPr>
      </w:pPr>
    </w:p>
    <w:p>
      <w:pPr>
        <w:keepNext/>
        <w:pBdr>
          <w:top w:val="single" w:sz="4" w:space="1"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noProof/>
          <w:sz w:val="24"/>
          <w:szCs w:val="24"/>
        </w:rPr>
      </w:pPr>
      <w:r>
        <w:rPr>
          <w:rFonts w:ascii="Times New Roman" w:hAnsi="Times New Roman"/>
          <w:noProof/>
          <w:sz w:val="24"/>
          <w:szCs w:val="24"/>
        </w:rPr>
        <w:t xml:space="preserve">– </w:t>
      </w:r>
      <w:r>
        <w:rPr>
          <w:rFonts w:ascii="Times New Roman" w:hAnsi="Times New Roman"/>
          <w:b/>
          <w:noProof/>
          <w:sz w:val="24"/>
          <w:szCs w:val="24"/>
        </w:rPr>
        <w:t>Dél-Korea engedélyezte a marhahúsnak</w:t>
      </w:r>
      <w:r>
        <w:rPr>
          <w:rFonts w:ascii="Times New Roman" w:hAnsi="Times New Roman"/>
          <w:noProof/>
          <w:sz w:val="24"/>
          <w:szCs w:val="24"/>
        </w:rPr>
        <w:t xml:space="preserve"> az országba irányuló </w:t>
      </w:r>
      <w:r>
        <w:rPr>
          <w:rFonts w:ascii="Times New Roman" w:hAnsi="Times New Roman"/>
          <w:b/>
          <w:noProof/>
          <w:sz w:val="24"/>
          <w:szCs w:val="24"/>
        </w:rPr>
        <w:t>kivitelét</w:t>
      </w:r>
      <w:r>
        <w:rPr>
          <w:rFonts w:ascii="Times New Roman" w:hAnsi="Times New Roman"/>
          <w:noProof/>
          <w:sz w:val="24"/>
          <w:szCs w:val="24"/>
        </w:rPr>
        <w:t xml:space="preserve"> Dániából és Hollandiából;</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noProof/>
          <w:sz w:val="24"/>
          <w:szCs w:val="24"/>
        </w:rPr>
      </w:pPr>
      <w:r>
        <w:rPr>
          <w:rFonts w:ascii="Times New Roman" w:hAnsi="Times New Roman"/>
          <w:noProof/>
          <w:sz w:val="24"/>
          <w:szCs w:val="24"/>
        </w:rPr>
        <w:t xml:space="preserve"> – az EU–Dél-Korea földrajzi árujelzőkkel foglalkozó munkacsoport megkönnyítette a megállapodás által védett </w:t>
      </w:r>
      <w:r>
        <w:rPr>
          <w:rFonts w:ascii="Times New Roman" w:hAnsi="Times New Roman"/>
          <w:b/>
          <w:noProof/>
          <w:sz w:val="24"/>
          <w:szCs w:val="24"/>
        </w:rPr>
        <w:t>földrajzi árujelzők jegyzékének a bővítéséhez</w:t>
      </w:r>
      <w:r>
        <w:rPr>
          <w:rFonts w:ascii="Times New Roman" w:hAnsi="Times New Roman"/>
          <w:noProof/>
          <w:sz w:val="24"/>
          <w:szCs w:val="24"/>
        </w:rPr>
        <w:t xml:space="preserve"> vezető utat.</w:t>
      </w:r>
    </w:p>
    <w:p>
      <w:pPr>
        <w:keepNext/>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noProof/>
          <w:sz w:val="24"/>
          <w:szCs w:val="24"/>
        </w:rPr>
      </w:pPr>
    </w:p>
    <w:p>
      <w:pPr>
        <w:keepNext/>
        <w:pBdr>
          <w:top w:val="single" w:sz="4" w:space="1"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b/>
          <w:noProof/>
          <w:sz w:val="24"/>
          <w:szCs w:val="24"/>
        </w:rPr>
      </w:pPr>
      <w:r>
        <w:rPr>
          <w:rFonts w:ascii="Times New Roman" w:hAnsi="Times New Roman"/>
          <w:b/>
          <w:noProof/>
          <w:sz w:val="24"/>
          <w:szCs w:val="24"/>
        </w:rPr>
        <w:t>Lezáratlan kérdések</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noProof/>
          <w:sz w:val="24"/>
          <w:szCs w:val="24"/>
        </w:rPr>
      </w:pPr>
      <w:r>
        <w:rPr>
          <w:rFonts w:ascii="Times New Roman" w:hAnsi="Times New Roman"/>
          <w:noProof/>
          <w:sz w:val="24"/>
          <w:szCs w:val="24"/>
        </w:rPr>
        <w:t>– 10 tagállam még mindig arra vár, hogy engedélyezett legyen számára a marhahús kivitele Dél-Koreába; Dél-Korea nem fogadja el az állatbetegségek kapcsán alkalmazott régiókba sorolás elvét, amely a hús- és baromfitermékek kiszámítható és stabil kereskedelmi feltételeinek megteremtéséhez fontos.</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noProof/>
          <w:sz w:val="24"/>
          <w:szCs w:val="24"/>
        </w:rPr>
      </w:pPr>
      <w:r>
        <w:rPr>
          <w:rFonts w:ascii="Times New Roman" w:hAnsi="Times New Roman"/>
          <w:noProof/>
          <w:sz w:val="24"/>
          <w:szCs w:val="24"/>
        </w:rPr>
        <w:t>– Dél-Koreának még mindig nem alakított ki eredményes térítési rendszert a nyilvános előadásokhoz fűződő jogokra vonatkozóan.</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noProof/>
          <w:sz w:val="24"/>
          <w:szCs w:val="24"/>
        </w:rPr>
      </w:pPr>
      <w:r>
        <w:rPr>
          <w:rFonts w:ascii="Times New Roman" w:hAnsi="Times New Roman"/>
          <w:noProof/>
          <w:sz w:val="24"/>
          <w:szCs w:val="24"/>
        </w:rPr>
        <w:t>– Az EU jogérvényesítési lépéseket tett Dél-Koreával szemben a megállapodás kereskedelemre és a fenntartható fejlődésre vonatkozó fejezete alapján, mivel Korea nem tett eleget az alapvető ILO-egyezmények megerősítésére és a munkavállalói jogok védelmére vonatkozó kötelezettségeinek. Az EU júliusban szakértői testület létrehozását kérelmezte, amely decemberben jött létre</w:t>
      </w:r>
      <w:r>
        <w:rPr>
          <w:rStyle w:val="FootnoteReference"/>
          <w:rFonts w:ascii="Times New Roman" w:eastAsia="Calibri" w:hAnsi="Times New Roman" w:cs="Times New Roman"/>
          <w:noProof/>
          <w:sz w:val="24"/>
          <w:szCs w:val="24"/>
          <w:lang w:val="en-GB"/>
        </w:rPr>
        <w:footnoteReference w:id="20"/>
      </w:r>
      <w:r>
        <w:rPr>
          <w:rFonts w:ascii="Times New Roman" w:hAnsi="Times New Roman"/>
          <w:noProof/>
          <w:sz w:val="24"/>
          <w:szCs w:val="24"/>
        </w:rPr>
        <w:t>.</w:t>
      </w:r>
    </w:p>
    <w:p>
      <w:pPr>
        <w:spacing w:after="0"/>
        <w:rPr>
          <w:rFonts w:ascii="Times New Roman" w:hAnsi="Times New Roman" w:cs="Times New Roman"/>
          <w:b/>
          <w:i/>
          <w:noProof/>
          <w:sz w:val="24"/>
          <w:szCs w:val="24"/>
        </w:rPr>
      </w:pPr>
    </w:p>
    <w:p>
      <w:pPr>
        <w:pStyle w:val="Heading3"/>
        <w:rPr>
          <w:rFonts w:eastAsia="Times New Roman"/>
          <w:noProof/>
        </w:rPr>
      </w:pPr>
      <w:bookmarkStart w:id="8" w:name="_Toc55303821"/>
      <w:r>
        <w:rPr>
          <w:noProof/>
        </w:rPr>
        <w:t>3.1.2. Japán</w:t>
      </w:r>
      <w:bookmarkEnd w:id="8"/>
    </w:p>
    <w:p>
      <w:pPr>
        <w:spacing w:after="0" w:line="240" w:lineRule="auto"/>
        <w:rPr>
          <w:rFonts w:ascii="Times New Roman" w:hAnsi="Times New Roman" w:cs="Times New Roman"/>
          <w:noProof/>
          <w:sz w:val="24"/>
          <w:szCs w:val="24"/>
        </w:rPr>
      </w:pPr>
      <w:r>
        <w:rPr>
          <w:rFonts w:ascii="Times New Roman" w:hAnsi="Times New Roman"/>
          <w:noProof/>
          <w:sz w:val="24"/>
          <w:szCs w:val="24"/>
        </w:rPr>
        <w:t>2019 volt az első olyan teljes naptári év, amelyben az EU–Japán gazdasági partnerségi megállapodást alkalmazták.</w:t>
      </w:r>
      <w:r>
        <w:rPr>
          <w:rFonts w:ascii="Times New Roman" w:hAnsi="Times New Roman" w:cs="Times New Roman"/>
          <w:noProof/>
          <w:sz w:val="24"/>
          <w:szCs w:val="24"/>
          <w:vertAlign w:val="superscript"/>
          <w:lang w:val="en-GB"/>
        </w:rPr>
        <w:footnoteReference w:id="21"/>
      </w:r>
      <w:r>
        <w:rPr>
          <w:rFonts w:ascii="Times New Roman" w:hAnsi="Times New Roman"/>
          <w:noProof/>
          <w:sz w:val="24"/>
          <w:szCs w:val="24"/>
        </w:rPr>
        <w:t xml:space="preserve"> Japán az EU </w:t>
      </w:r>
      <w:r>
        <w:rPr>
          <w:rFonts w:ascii="Times New Roman" w:hAnsi="Times New Roman"/>
          <w:b/>
          <w:noProof/>
          <w:sz w:val="24"/>
          <w:szCs w:val="24"/>
        </w:rPr>
        <w:t>hetedik legnagyobb kereskedelmi partnere</w:t>
      </w:r>
      <w:r>
        <w:rPr>
          <w:rFonts w:ascii="Times New Roman" w:hAnsi="Times New Roman"/>
          <w:noProof/>
          <w:sz w:val="24"/>
          <w:szCs w:val="24"/>
        </w:rPr>
        <w:t>, ahová a külkereskedelem 3 %-a irányul.</w:t>
      </w:r>
    </w:p>
    <w:p>
      <w:pPr>
        <w:spacing w:after="0" w:line="240" w:lineRule="auto"/>
        <w:rPr>
          <w:rFonts w:ascii="Times New Roman" w:hAnsi="Times New Roman" w:cs="Times New Roman"/>
          <w:b/>
          <w:noProof/>
          <w:sz w:val="24"/>
          <w:szCs w:val="24"/>
        </w:rPr>
      </w:pPr>
    </w:p>
    <w:p>
      <w:pPr>
        <w:spacing w:after="0" w:line="240" w:lineRule="auto"/>
        <w:rPr>
          <w:rFonts w:ascii="Times New Roman" w:hAnsi="Times New Roman" w:cs="Times New Roman"/>
          <w:noProof/>
          <w:sz w:val="24"/>
          <w:szCs w:val="24"/>
        </w:rPr>
      </w:pPr>
      <w:r>
        <w:rPr>
          <w:rFonts w:ascii="Times New Roman" w:hAnsi="Times New Roman"/>
          <w:noProof/>
          <w:sz w:val="24"/>
          <w:szCs w:val="24"/>
        </w:rPr>
        <w:t xml:space="preserve">2019-ben a felek közötti </w:t>
      </w:r>
      <w:r>
        <w:rPr>
          <w:rFonts w:ascii="Times New Roman" w:hAnsi="Times New Roman"/>
          <w:b/>
          <w:noProof/>
          <w:sz w:val="24"/>
          <w:szCs w:val="24"/>
        </w:rPr>
        <w:t>árukereskedelem 5,8 %-kal</w:t>
      </w:r>
      <w:r>
        <w:rPr>
          <w:rFonts w:ascii="Times New Roman" w:hAnsi="Times New Roman"/>
          <w:noProof/>
          <w:sz w:val="24"/>
          <w:szCs w:val="24"/>
        </w:rPr>
        <w:t xml:space="preserve"> nőtt. Az EU Japánba irányuló hagyományos kivitele, így például a gyógyszeripari termékek, közlekedési eszközök és gépek kivitele tartósan növekedett. A vámcsökkentéssel érintett termékkategóriák esetében nagyobb növekedés volt tapasztalható, ideértve többek között a textilipari termékeket, a ruházati termékeket és lábbeliket, amelyek esetében átlagosan megközelítőleg 10 % növekedés következett be.</w:t>
      </w:r>
    </w:p>
    <w:p>
      <w:pPr>
        <w:spacing w:after="0" w:line="240" w:lineRule="auto"/>
        <w:rPr>
          <w:rFonts w:ascii="Times New Roman" w:hAnsi="Times New Roman" w:cs="Times New Roman"/>
          <w:noProof/>
          <w:sz w:val="24"/>
          <w:szCs w:val="24"/>
        </w:rPr>
      </w:pPr>
    </w:p>
    <w:p>
      <w:pPr>
        <w:spacing w:after="0" w:line="240" w:lineRule="auto"/>
        <w:rPr>
          <w:rFonts w:ascii="Times New Roman" w:hAnsi="Times New Roman" w:cs="Times New Roman"/>
          <w:noProof/>
          <w:sz w:val="24"/>
          <w:szCs w:val="24"/>
        </w:rPr>
      </w:pPr>
      <w:r>
        <w:rPr>
          <w:rFonts w:ascii="Times New Roman" w:hAnsi="Times New Roman"/>
          <w:iCs/>
          <w:noProof/>
          <w:sz w:val="24"/>
          <w:szCs w:val="24"/>
        </w:rPr>
        <w:t xml:space="preserve">A jelentés által tárgyalt </w:t>
      </w:r>
      <w:r>
        <w:rPr>
          <w:rFonts w:ascii="Times New Roman" w:hAnsi="Times New Roman"/>
          <w:b/>
          <w:iCs/>
          <w:noProof/>
          <w:sz w:val="24"/>
          <w:szCs w:val="24"/>
        </w:rPr>
        <w:t>uniós agrár-élelmiszeripari kivitel</w:t>
      </w:r>
      <w:r>
        <w:rPr>
          <w:rFonts w:ascii="Times New Roman" w:hAnsi="Times New Roman"/>
          <w:iCs/>
          <w:noProof/>
          <w:sz w:val="24"/>
          <w:szCs w:val="24"/>
        </w:rPr>
        <w:t xml:space="preserve"> tekintetében a preferenciális partnerek közül Japán volt a 2. legnagyobb piac: 2019-ben </w:t>
      </w:r>
      <w:r>
        <w:rPr>
          <w:rFonts w:ascii="Times New Roman" w:hAnsi="Times New Roman"/>
          <w:b/>
          <w:iCs/>
          <w:noProof/>
          <w:sz w:val="24"/>
          <w:szCs w:val="24"/>
        </w:rPr>
        <w:t>16 %-kal nőtt</w:t>
      </w:r>
      <w:r>
        <w:rPr>
          <w:rFonts w:ascii="Times New Roman" w:hAnsi="Times New Roman"/>
          <w:iCs/>
          <w:noProof/>
          <w:sz w:val="24"/>
          <w:szCs w:val="24"/>
        </w:rPr>
        <w:t xml:space="preserve"> a kivitel. </w:t>
      </w:r>
      <w:r>
        <w:rPr>
          <w:rFonts w:ascii="Times New Roman" w:hAnsi="Times New Roman"/>
          <w:noProof/>
          <w:sz w:val="24"/>
          <w:szCs w:val="24"/>
        </w:rPr>
        <w:t>A megállapodás tehát kezdi valóra váltani a benne rejlő óriási potenciált arra, hogy számos termék, például a sertés, a marha, a sajtok, a feldolgozott mezőgazdasági termékek és a bor uniós kivitelében növekedést eredményezzen. Az egyik figyelemre méltó eredmény, hogy Japán fokozatosan jóváhagyja és elismeri az EU borászati eljárásait.</w:t>
      </w:r>
    </w:p>
    <w:p>
      <w:pPr>
        <w:spacing w:after="0" w:line="240" w:lineRule="auto"/>
        <w:rPr>
          <w:rFonts w:ascii="Times New Roman" w:hAnsi="Times New Roman" w:cs="Times New Roman"/>
          <w:noProof/>
          <w:sz w:val="24"/>
          <w:szCs w:val="24"/>
        </w:rPr>
      </w:pPr>
    </w:p>
    <w:p>
      <w:pPr>
        <w:keepNext/>
        <w:pBdr>
          <w:top w:val="single" w:sz="4" w:space="1"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b/>
          <w:noProof/>
          <w:sz w:val="24"/>
          <w:szCs w:val="24"/>
        </w:rPr>
      </w:pPr>
      <w:r>
        <w:rPr>
          <w:rFonts w:ascii="Times New Roman" w:hAnsi="Times New Roman"/>
          <w:b/>
          <w:noProof/>
          <w:sz w:val="24"/>
          <w:szCs w:val="24"/>
        </w:rPr>
        <w:t>A német gyümölcsborok a nyerők a felkelő nap országában</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noProof/>
          <w:sz w:val="24"/>
          <w:szCs w:val="24"/>
        </w:rPr>
      </w:pPr>
      <w:r>
        <w:rPr>
          <w:rFonts w:ascii="Times New Roman" w:hAnsi="Times New Roman"/>
          <w:noProof/>
          <w:sz w:val="24"/>
          <w:szCs w:val="24"/>
        </w:rPr>
        <w:t>Az 1925-ben alapított, 90 alkalmazottat foglalkoztató német gyümölcsbortermelő Katlenburger bortermelő vállalkozás üdvözli az EU–Japán kereskedelmi megállapodást. A megállapodás eltörölte a Katlenburger termékeire alkalmazandó vámot, amely literenként 33 eurócent volt, és ezzel segítette a vállalatot abban, hogy egy egyre inkább árérzékeny piacon versenyezzen.</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b/>
          <w:noProof/>
          <w:sz w:val="24"/>
          <w:szCs w:val="24"/>
        </w:rPr>
      </w:pPr>
      <w:r>
        <w:rPr>
          <w:rFonts w:ascii="Times New Roman" w:hAnsi="Times New Roman"/>
          <w:b/>
          <w:noProof/>
          <w:sz w:val="24"/>
          <w:szCs w:val="24"/>
        </w:rPr>
        <w:t>„A kisvállalkozások különösen függnek az exporttól, mivel a belföldi piac egyre nagyobb kihívásokat támaszt, hiszen ott a nagyobb, a hirdetésekre jelentős összegeket áldozó cégek dominálnak.”</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b/>
          <w:i/>
          <w:noProof/>
          <w:sz w:val="24"/>
          <w:szCs w:val="24"/>
        </w:rPr>
      </w:pPr>
      <w:r>
        <w:rPr>
          <w:rFonts w:ascii="Times New Roman" w:hAnsi="Times New Roman"/>
          <w:b/>
          <w:i/>
          <w:noProof/>
          <w:sz w:val="24"/>
          <w:szCs w:val="24"/>
        </w:rPr>
        <w:t>Klaus Demuth, vezérigazgató, Katlenburger Kellerei GmbH &amp; co. KG</w:t>
      </w:r>
    </w:p>
    <w:p>
      <w:pPr>
        <w:spacing w:after="0" w:line="240" w:lineRule="auto"/>
        <w:rPr>
          <w:rFonts w:ascii="Times New Roman" w:eastAsia="Times New Roman" w:hAnsi="Times New Roman" w:cs="Times New Roman"/>
          <w:noProof/>
          <w:sz w:val="24"/>
          <w:szCs w:val="24"/>
          <w:lang w:val="en-GB" w:eastAsia="en-GB"/>
        </w:rPr>
      </w:pPr>
    </w:p>
    <w:p>
      <w:pPr>
        <w:spacing w:after="0" w:line="240" w:lineRule="auto"/>
        <w:rPr>
          <w:noProof/>
        </w:rPr>
      </w:pPr>
    </w:p>
    <w:p>
      <w:pPr>
        <w:spacing w:after="0" w:line="240" w:lineRule="auto"/>
        <w:jc w:val="center"/>
        <w:rPr>
          <w:rFonts w:ascii="Times New Roman" w:eastAsia="Times New Roman" w:hAnsi="Times New Roman" w:cs="Times New Roman"/>
          <w:noProof/>
          <w:sz w:val="24"/>
          <w:szCs w:val="24"/>
          <w:lang w:eastAsia="en-GB"/>
        </w:rPr>
      </w:pPr>
      <w:r>
        <w:rPr>
          <w:noProof/>
          <w:lang w:val="en-GB" w:eastAsia="en-GB"/>
        </w:rPr>
        <w:drawing>
          <wp:inline distT="0" distB="0" distL="0" distR="0">
            <wp:extent cx="5943600" cy="334695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3346954"/>
                    </a:xfrm>
                    <a:prstGeom prst="rect">
                      <a:avLst/>
                    </a:prstGeom>
                    <a:noFill/>
                    <a:ln>
                      <a:noFill/>
                    </a:ln>
                  </pic:spPr>
                </pic:pic>
              </a:graphicData>
            </a:graphic>
          </wp:inline>
        </w:drawing>
      </w:r>
    </w:p>
    <w:p>
      <w:pPr>
        <w:spacing w:after="0" w:line="240" w:lineRule="auto"/>
        <w:rPr>
          <w:rFonts w:ascii="Times New Roman" w:hAnsi="Times New Roman" w:cs="Times New Roman"/>
          <w:noProof/>
          <w:sz w:val="24"/>
          <w:szCs w:val="24"/>
          <w:lang w:val="en-GB"/>
        </w:rPr>
      </w:pPr>
    </w:p>
    <w:p>
      <w:pPr>
        <w:spacing w:after="0" w:line="240" w:lineRule="auto"/>
        <w:rPr>
          <w:rFonts w:ascii="Times New Roman" w:hAnsi="Times New Roman" w:cs="Times New Roman"/>
          <w:noProof/>
          <w:sz w:val="24"/>
          <w:szCs w:val="24"/>
          <w:lang w:val="en-GB"/>
        </w:rPr>
      </w:pPr>
    </w:p>
    <w:p>
      <w:pPr>
        <w:spacing w:after="0" w:line="240" w:lineRule="auto"/>
        <w:rPr>
          <w:rFonts w:ascii="Times New Roman" w:hAnsi="Times New Roman" w:cs="Times New Roman"/>
          <w:noProof/>
          <w:sz w:val="24"/>
          <w:szCs w:val="24"/>
        </w:rPr>
      </w:pPr>
      <w:r>
        <w:rPr>
          <w:rFonts w:ascii="Times New Roman" w:hAnsi="Times New Roman"/>
          <w:noProof/>
          <w:sz w:val="24"/>
          <w:szCs w:val="24"/>
        </w:rPr>
        <w:t xml:space="preserve">2019-ben az EU–Japán gazdasági partnerségi megállapodás értelmében vámkedvezményekre </w:t>
      </w:r>
      <w:r>
        <w:rPr>
          <w:rFonts w:ascii="Times New Roman" w:hAnsi="Times New Roman"/>
          <w:b/>
          <w:noProof/>
          <w:sz w:val="24"/>
          <w:szCs w:val="24"/>
        </w:rPr>
        <w:t>jogosult</w:t>
      </w:r>
      <w:r>
        <w:rPr>
          <w:rFonts w:ascii="Times New Roman" w:hAnsi="Times New Roman"/>
          <w:noProof/>
          <w:sz w:val="24"/>
          <w:szCs w:val="24"/>
        </w:rPr>
        <w:t xml:space="preserve"> </w:t>
      </w:r>
      <w:r>
        <w:rPr>
          <w:rFonts w:ascii="Times New Roman" w:hAnsi="Times New Roman"/>
          <w:b/>
          <w:noProof/>
          <w:sz w:val="24"/>
          <w:szCs w:val="24"/>
        </w:rPr>
        <w:t xml:space="preserve">összes uniós áru </w:t>
      </w:r>
      <w:r>
        <w:rPr>
          <w:rFonts w:ascii="Times New Roman" w:hAnsi="Times New Roman"/>
          <w:noProof/>
          <w:sz w:val="24"/>
          <w:szCs w:val="24"/>
        </w:rPr>
        <w:t>több mint</w:t>
      </w:r>
      <w:r>
        <w:rPr>
          <w:rFonts w:ascii="Times New Roman" w:hAnsi="Times New Roman"/>
          <w:b/>
          <w:noProof/>
          <w:sz w:val="24"/>
          <w:szCs w:val="24"/>
        </w:rPr>
        <w:t xml:space="preserve"> fele </w:t>
      </w:r>
      <w:r>
        <w:rPr>
          <w:rFonts w:ascii="Times New Roman" w:hAnsi="Times New Roman"/>
          <w:noProof/>
          <w:sz w:val="24"/>
          <w:szCs w:val="24"/>
        </w:rPr>
        <w:t>(53 %)</w:t>
      </w:r>
      <w:r>
        <w:rPr>
          <w:rFonts w:ascii="Times New Roman" w:hAnsi="Times New Roman"/>
          <w:b/>
          <w:noProof/>
          <w:sz w:val="24"/>
          <w:szCs w:val="24"/>
        </w:rPr>
        <w:t xml:space="preserve"> részesült </w:t>
      </w:r>
      <w:r>
        <w:rPr>
          <w:rFonts w:ascii="Times New Roman" w:hAnsi="Times New Roman"/>
          <w:noProof/>
          <w:sz w:val="24"/>
          <w:szCs w:val="24"/>
        </w:rPr>
        <w:t xml:space="preserve">ténylegesen </w:t>
      </w:r>
      <w:r>
        <w:rPr>
          <w:rFonts w:ascii="Times New Roman" w:hAnsi="Times New Roman"/>
          <w:b/>
          <w:noProof/>
          <w:sz w:val="24"/>
          <w:szCs w:val="24"/>
        </w:rPr>
        <w:t>vámkedvezményekből</w:t>
      </w:r>
      <w:r>
        <w:rPr>
          <w:rFonts w:ascii="Times New Roman" w:hAnsi="Times New Roman"/>
          <w:noProof/>
          <w:sz w:val="24"/>
          <w:szCs w:val="24"/>
        </w:rPr>
        <w:t>. Az EU mezőgazdasági kivitelének a többsége részesült vámkedvezményekben (átlagosan 86 %); különösen magas arányok voltak jellemzőek a hús (99 %) és a bor (93 %) esetében. Az ipari termékek esetében a százalékos arányok, az összetett ellátási láncok és a viszonylag kisebb preferencia-árrések miatt jelentősen kisebbek voltak mind Japán, mind az EU esetében, azaz átlagosan 35 %-os nagyságrendűek voltak. Például az EU vegyipari- és textiliparitermék-kiviteléhez kapcsolódóan külön-külön további 115 millió EUR és 92 millió EUR összeget lehetett volna megtakarítani. A kedvezmények kihasználása jellemzően növekszik az évek során, mivel a vállalatoknak gyakran szüksége van bizonyos időre ahhoz, hogy alkalmazkodjanak az új kereskedelmi feltételekhez – például az ellátási láncok és a belső elszámolási mechanizmusok felülvizsgálatával. A tájékozottság növelése érdekében az Európai Bizottság fokozta a tagállamokkal és a vállalkozásokkal folytatott együttműködést, és közös vállalkozásokban, nevezetesen az EU–Japán Ipari Együttműködési Központ tájékoztatási tevékenységeiben, vett részt Japánnal</w:t>
      </w:r>
      <w:r>
        <w:rPr>
          <w:rStyle w:val="FootnoteReference"/>
          <w:rFonts w:ascii="Times New Roman" w:hAnsi="Times New Roman" w:cs="Times New Roman"/>
          <w:noProof/>
          <w:sz w:val="24"/>
          <w:szCs w:val="24"/>
          <w:lang w:val="en-GB"/>
        </w:rPr>
        <w:footnoteReference w:id="22"/>
      </w:r>
      <w:r>
        <w:rPr>
          <w:rFonts w:ascii="Times New Roman" w:hAnsi="Times New Roman"/>
          <w:noProof/>
          <w:sz w:val="24"/>
          <w:szCs w:val="24"/>
        </w:rPr>
        <w:t>.</w:t>
      </w:r>
    </w:p>
    <w:p>
      <w:pPr>
        <w:spacing w:after="0" w:line="240" w:lineRule="auto"/>
        <w:rPr>
          <w:rFonts w:ascii="Times New Roman" w:hAnsi="Times New Roman" w:cs="Times New Roman"/>
          <w:noProof/>
          <w:sz w:val="24"/>
          <w:szCs w:val="24"/>
        </w:rPr>
      </w:pPr>
    </w:p>
    <w:p>
      <w:pPr>
        <w:keepNext/>
        <w:pBdr>
          <w:top w:val="single" w:sz="4" w:space="1"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b/>
          <w:noProof/>
          <w:sz w:val="24"/>
          <w:szCs w:val="24"/>
        </w:rPr>
      </w:pPr>
      <w:r>
        <w:rPr>
          <w:rFonts w:ascii="Times New Roman" w:hAnsi="Times New Roman"/>
          <w:b/>
          <w:noProof/>
          <w:sz w:val="24"/>
          <w:szCs w:val="24"/>
        </w:rPr>
        <w:t>A végrehajtásban elért haladás 2019-ben</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noProof/>
          <w:sz w:val="24"/>
          <w:szCs w:val="24"/>
        </w:rPr>
      </w:pPr>
      <w:r>
        <w:rPr>
          <w:rFonts w:ascii="Times New Roman" w:hAnsi="Times New Roman"/>
          <w:noProof/>
          <w:sz w:val="24"/>
          <w:szCs w:val="24"/>
        </w:rPr>
        <w:t xml:space="preserve">– Japán beleegyezett abba, hogy </w:t>
      </w:r>
      <w:r>
        <w:rPr>
          <w:rFonts w:ascii="Times New Roman" w:hAnsi="Times New Roman"/>
          <w:b/>
          <w:bCs/>
          <w:noProof/>
          <w:sz w:val="24"/>
          <w:szCs w:val="24"/>
        </w:rPr>
        <w:t>egyszerűsített vámeljárást</w:t>
      </w:r>
      <w:r>
        <w:rPr>
          <w:rFonts w:ascii="Times New Roman" w:hAnsi="Times New Roman"/>
          <w:noProof/>
          <w:sz w:val="24"/>
          <w:szCs w:val="24"/>
        </w:rPr>
        <w:t xml:space="preserve"> alkalmazzon a vámkedvezmények igénylése és megszerzése tekintetében, orvosolva a vállalkozások által tapasztalt kezdeti nehézségeket</w:t>
      </w:r>
      <w:r>
        <w:rPr>
          <w:rStyle w:val="FootnoteReference"/>
          <w:noProof/>
          <w:lang w:val="en-GB"/>
        </w:rPr>
        <w:footnoteReference w:id="23"/>
      </w:r>
      <w:r>
        <w:rPr>
          <w:noProof/>
        </w:rPr>
        <w:t>.</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noProof/>
          <w:sz w:val="24"/>
          <w:szCs w:val="24"/>
        </w:rPr>
      </w:pPr>
      <w:r>
        <w:rPr>
          <w:rFonts w:ascii="Times New Roman" w:hAnsi="Times New Roman"/>
          <w:noProof/>
          <w:sz w:val="24"/>
          <w:szCs w:val="24"/>
        </w:rPr>
        <w:t xml:space="preserve">– Japán a kvóták használatának megkönnyítése érdekében </w:t>
      </w:r>
      <w:r>
        <w:rPr>
          <w:rFonts w:ascii="Times New Roman" w:hAnsi="Times New Roman"/>
          <w:b/>
          <w:noProof/>
          <w:sz w:val="24"/>
          <w:szCs w:val="24"/>
        </w:rPr>
        <w:t>tökéletesítette</w:t>
      </w:r>
      <w:r>
        <w:rPr>
          <w:rFonts w:ascii="Times New Roman" w:hAnsi="Times New Roman"/>
          <w:noProof/>
          <w:sz w:val="24"/>
          <w:szCs w:val="24"/>
        </w:rPr>
        <w:t xml:space="preserve"> a bizonyos mezőgazdasági árucikkek és feldolgozott mezőgazdasági termékek behozatalához kapcsolódó </w:t>
      </w:r>
      <w:r>
        <w:rPr>
          <w:rFonts w:ascii="Times New Roman" w:hAnsi="Times New Roman"/>
          <w:b/>
          <w:noProof/>
          <w:sz w:val="24"/>
          <w:szCs w:val="24"/>
        </w:rPr>
        <w:t>kvótakezelési eljárásokat</w:t>
      </w:r>
      <w:r>
        <w:rPr>
          <w:rFonts w:ascii="Times New Roman" w:hAnsi="Times New Roman"/>
          <w:noProof/>
          <w:sz w:val="24"/>
          <w:szCs w:val="24"/>
        </w:rPr>
        <w:t>.</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noProof/>
          <w:sz w:val="24"/>
          <w:szCs w:val="24"/>
        </w:rPr>
      </w:pPr>
      <w:r>
        <w:rPr>
          <w:rFonts w:ascii="Times New Roman" w:hAnsi="Times New Roman"/>
          <w:noProof/>
          <w:sz w:val="24"/>
          <w:szCs w:val="24"/>
        </w:rPr>
        <w:t xml:space="preserve">– Japán </w:t>
      </w:r>
      <w:r>
        <w:rPr>
          <w:rFonts w:ascii="Times New Roman" w:hAnsi="Times New Roman"/>
          <w:b/>
          <w:noProof/>
          <w:sz w:val="24"/>
          <w:szCs w:val="24"/>
        </w:rPr>
        <w:t>konkrét lépéseket tett a kereskedelemre és fenntartható fejlődésre vonatkozó rendelkezések végrehajtásának előkészítésére</w:t>
      </w:r>
      <w:r>
        <w:rPr>
          <w:rFonts w:ascii="Times New Roman" w:hAnsi="Times New Roman"/>
          <w:noProof/>
          <w:sz w:val="24"/>
          <w:szCs w:val="24"/>
        </w:rPr>
        <w:t>, többek között egy belső tanácsadó csoport létrehozásával. Japánnak még két alapvető ILO-egyezményt kell megerősítenie, nevezetesen a megkülönböztetésmentességről és a kényszer- vagy kötelező munkáról szóló egyezményeket.</w:t>
      </w:r>
    </w:p>
    <w:p>
      <w:pPr>
        <w:spacing w:after="0"/>
        <w:rPr>
          <w:rFonts w:ascii="Times New Roman" w:hAnsi="Times New Roman" w:cs="Times New Roman"/>
          <w:b/>
          <w:noProof/>
          <w:sz w:val="24"/>
          <w:szCs w:val="24"/>
        </w:rPr>
      </w:pPr>
    </w:p>
    <w:p>
      <w:pPr>
        <w:pStyle w:val="Heading3"/>
        <w:rPr>
          <w:noProof/>
        </w:rPr>
      </w:pPr>
      <w:bookmarkStart w:id="9" w:name="_Toc55303822"/>
      <w:r>
        <w:rPr>
          <w:noProof/>
        </w:rPr>
        <w:t>3.1.3. Szingapúr (előkészületek a hatálybalépésre)</w:t>
      </w:r>
      <w:bookmarkEnd w:id="9"/>
    </w:p>
    <w:p>
      <w:pPr>
        <w:rPr>
          <w:rFonts w:ascii="Times New Roman" w:hAnsi="Times New Roman" w:cs="Times New Roman"/>
          <w:noProof/>
          <w:sz w:val="24"/>
          <w:szCs w:val="24"/>
        </w:rPr>
      </w:pPr>
      <w:r>
        <w:rPr>
          <w:rFonts w:ascii="Times New Roman" w:hAnsi="Times New Roman"/>
          <w:noProof/>
          <w:sz w:val="24"/>
          <w:szCs w:val="24"/>
        </w:rPr>
        <w:t xml:space="preserve">Az </w:t>
      </w:r>
      <w:r>
        <w:rPr>
          <w:rFonts w:ascii="Times New Roman" w:hAnsi="Times New Roman"/>
          <w:b/>
          <w:noProof/>
          <w:sz w:val="24"/>
          <w:szCs w:val="24"/>
        </w:rPr>
        <w:t>EU–Szingapúr szabadkereskedelmi megállapodás</w:t>
      </w:r>
      <w:r>
        <w:rPr>
          <w:rFonts w:ascii="Times New Roman" w:hAnsi="Times New Roman"/>
          <w:noProof/>
          <w:sz w:val="24"/>
          <w:szCs w:val="24"/>
        </w:rPr>
        <w:t xml:space="preserve"> 2019. november 21-e óta van hatályban. A megállapodás várhatóan hasznokkal fog járni az uniós kivitel és befektetők számára, ideértve több mint 10 000, szingapúri székhellyel rendelkező uniós vállalkozást. Szingapúr az EU legnagyobb kereskedelmi partnere Délkelet-Ázsiában, a vele folytatott kereskedelem az EU-nak a térséggel bonyolított kereskedelmének egyharmadát teszi ki, és az EU-nak a térségben eszközölt közvetlen külföldi tőkebefektetései állományának több mint kétharmadát tudhatja magáénak.</w:t>
      </w:r>
    </w:p>
    <w:p>
      <w:pPr>
        <w:rPr>
          <w:rFonts w:ascii="Times New Roman" w:hAnsi="Times New Roman" w:cs="Times New Roman"/>
          <w:noProof/>
          <w:sz w:val="24"/>
          <w:szCs w:val="24"/>
        </w:rPr>
      </w:pPr>
      <w:r>
        <w:rPr>
          <w:rFonts w:ascii="Times New Roman" w:hAnsi="Times New Roman"/>
          <w:noProof/>
          <w:sz w:val="24"/>
          <w:szCs w:val="24"/>
        </w:rPr>
        <w:t xml:space="preserve">2019-ben az </w:t>
      </w:r>
      <w:r>
        <w:rPr>
          <w:rFonts w:ascii="Times New Roman" w:hAnsi="Times New Roman"/>
          <w:b/>
          <w:noProof/>
          <w:sz w:val="24"/>
          <w:szCs w:val="24"/>
        </w:rPr>
        <w:t>Európai Bizottság fokozta a megállapodás hatálybalépéséhez szükséges előkészületeket</w:t>
      </w:r>
      <w:r>
        <w:rPr>
          <w:rFonts w:ascii="Times New Roman" w:hAnsi="Times New Roman"/>
          <w:noProof/>
          <w:sz w:val="24"/>
          <w:szCs w:val="24"/>
        </w:rPr>
        <w:t xml:space="preserve"> mindkét oldal érdekelt feleinek tájékoztatásával és azzal, hogy már most, a végrehajtást megelőző időszakban fokozza a szingapúri hatóságok felé gyakorolt felügyeleti szerepét. Az első eredmények között Szingapúrban 138 uniós földrajzi árujelző neve került bejegyzésre és oltalom alá a szingapúri jog szerint.</w:t>
      </w:r>
    </w:p>
    <w:p>
      <w:pPr>
        <w:spacing w:after="0"/>
        <w:rPr>
          <w:rFonts w:ascii="Times New Roman" w:hAnsi="Times New Roman" w:cs="Times New Roman"/>
          <w:b/>
          <w:noProof/>
          <w:sz w:val="24"/>
          <w:szCs w:val="24"/>
        </w:rPr>
      </w:pPr>
    </w:p>
    <w:p>
      <w:pPr>
        <w:pStyle w:val="Heading2"/>
        <w:rPr>
          <w:noProof/>
        </w:rPr>
      </w:pPr>
      <w:bookmarkStart w:id="10" w:name="_Toc55303823"/>
      <w:r>
        <w:rPr>
          <w:noProof/>
        </w:rPr>
        <w:t>3.2. AZ AMERIKAI KONTINENS ORSZÁGAI</w:t>
      </w:r>
      <w:bookmarkEnd w:id="10"/>
    </w:p>
    <w:p>
      <w:pPr>
        <w:pStyle w:val="Heading3"/>
        <w:rPr>
          <w:noProof/>
        </w:rPr>
      </w:pPr>
      <w:bookmarkStart w:id="11" w:name="_Toc55303824"/>
      <w:r>
        <w:rPr>
          <w:noProof/>
        </w:rPr>
        <w:t>3.2.1. Kanada</w:t>
      </w:r>
      <w:bookmarkEnd w:id="11"/>
    </w:p>
    <w:p>
      <w:pPr>
        <w:rPr>
          <w:rFonts w:ascii="Times New Roman" w:eastAsia="Times New Roman" w:hAnsi="Times New Roman" w:cs="Times New Roman"/>
          <w:noProof/>
          <w:sz w:val="24"/>
          <w:szCs w:val="24"/>
        </w:rPr>
      </w:pPr>
      <w:r>
        <w:rPr>
          <w:rFonts w:ascii="Times New Roman" w:hAnsi="Times New Roman"/>
          <w:noProof/>
          <w:sz w:val="24"/>
          <w:szCs w:val="24"/>
        </w:rPr>
        <w:t>Az EU–Kanada átfogó gazdasági és kereskedelmi megállapodás (</w:t>
      </w:r>
      <w:r>
        <w:rPr>
          <w:rFonts w:ascii="Times New Roman" w:hAnsi="Times New Roman"/>
          <w:b/>
          <w:noProof/>
          <w:sz w:val="24"/>
          <w:szCs w:val="24"/>
        </w:rPr>
        <w:t>CETA</w:t>
      </w:r>
      <w:r>
        <w:rPr>
          <w:rFonts w:ascii="Times New Roman" w:hAnsi="Times New Roman"/>
          <w:noProof/>
          <w:sz w:val="24"/>
          <w:szCs w:val="24"/>
        </w:rPr>
        <w:t xml:space="preserve">) ideiglenes alkalmazása 2017. szeptember 21-én kezdődött meg, néhány rendelkezés, nevezetesen a beruházási vitákkal foglalkozó bírósági rendszerrel kapcsolatos rendelkezések kivételével. 2019-ben fontos előrelépést tettek </w:t>
      </w:r>
      <w:r>
        <w:rPr>
          <w:rFonts w:ascii="Times New Roman" w:hAnsi="Times New Roman"/>
          <w:b/>
          <w:noProof/>
          <w:sz w:val="24"/>
          <w:szCs w:val="24"/>
        </w:rPr>
        <w:t>a beruházási vitákkal foglalkozó bírósági rendszer</w:t>
      </w:r>
      <w:r>
        <w:rPr>
          <w:rStyle w:val="FootnoteReference"/>
          <w:rFonts w:ascii="Times New Roman" w:eastAsia="Times New Roman" w:hAnsi="Times New Roman" w:cs="Times New Roman"/>
          <w:noProof/>
          <w:sz w:val="24"/>
          <w:szCs w:val="24"/>
          <w:lang w:val="en-GB" w:eastAsia="en-GB"/>
        </w:rPr>
        <w:footnoteReference w:id="24"/>
      </w:r>
      <w:r>
        <w:rPr>
          <w:rFonts w:ascii="Times New Roman" w:hAnsi="Times New Roman"/>
          <w:noProof/>
          <w:sz w:val="24"/>
          <w:szCs w:val="24"/>
        </w:rPr>
        <w:t xml:space="preserve"> jövőbeni végrehajtásával kapcsolatban: az Európai Bizottság októberben elfogadott négy olyan javaslatot</w:t>
      </w:r>
      <w:r>
        <w:rPr>
          <w:rStyle w:val="FootnoteReference"/>
          <w:rFonts w:ascii="Times New Roman" w:eastAsia="Times New Roman" w:hAnsi="Times New Roman" w:cs="Times New Roman"/>
          <w:noProof/>
          <w:sz w:val="24"/>
          <w:szCs w:val="24"/>
          <w:lang w:val="en-GB" w:eastAsia="en-GB"/>
        </w:rPr>
        <w:footnoteReference w:id="25"/>
      </w:r>
      <w:r>
        <w:rPr>
          <w:rFonts w:ascii="Times New Roman" w:hAnsi="Times New Roman"/>
          <w:noProof/>
          <w:sz w:val="24"/>
          <w:szCs w:val="24"/>
        </w:rPr>
        <w:t>, amelyek segítenek majd biztosítani a döntőbírókkal szembeni etikai és feddhetetlenségi elvárásokat, valamint a rendszer eredményes fellebbviteli funkcióját. A nemzetközi beruházási megállapodások körében ez lesz az első ilyen fellebbviteli funkció, amely működőképessé válik.</w:t>
      </w:r>
    </w:p>
    <w:p>
      <w:pPr>
        <w:rPr>
          <w:rFonts w:ascii="Times New Roman" w:eastAsia="Times New Roman" w:hAnsi="Times New Roman" w:cs="Times New Roman"/>
          <w:noProof/>
          <w:sz w:val="24"/>
          <w:szCs w:val="24"/>
        </w:rPr>
      </w:pPr>
      <w:r>
        <w:rPr>
          <w:rFonts w:ascii="Times New Roman" w:hAnsi="Times New Roman"/>
          <w:noProof/>
          <w:sz w:val="24"/>
          <w:szCs w:val="24"/>
        </w:rPr>
        <w:t xml:space="preserve">Az </w:t>
      </w:r>
      <w:r>
        <w:rPr>
          <w:rFonts w:ascii="Times New Roman" w:hAnsi="Times New Roman"/>
          <w:b/>
          <w:noProof/>
          <w:sz w:val="24"/>
          <w:szCs w:val="24"/>
        </w:rPr>
        <w:t>Európai Bizottság</w:t>
      </w:r>
      <w:r>
        <w:rPr>
          <w:rFonts w:ascii="Times New Roman" w:hAnsi="Times New Roman"/>
          <w:noProof/>
          <w:sz w:val="24"/>
          <w:szCs w:val="24"/>
        </w:rPr>
        <w:t xml:space="preserve"> a CETA ideiglenes alkalmazásának második évében </w:t>
      </w:r>
      <w:r>
        <w:rPr>
          <w:rFonts w:ascii="Times New Roman" w:hAnsi="Times New Roman"/>
          <w:b/>
          <w:noProof/>
          <w:sz w:val="24"/>
          <w:szCs w:val="24"/>
        </w:rPr>
        <w:t>további előrehaladást ért el a megállapodás eredményes végrehajtása terén</w:t>
      </w:r>
      <w:r>
        <w:rPr>
          <w:rFonts w:ascii="Times New Roman" w:hAnsi="Times New Roman"/>
          <w:noProof/>
          <w:sz w:val="24"/>
          <w:szCs w:val="24"/>
        </w:rPr>
        <w:t>, a 20 bizottságra és a 2018-ban elindított párbeszédekre építve. Az Európai Bizottság felvetett néhány kereskedelmi akadályt, főként a mezőgazdasági kivitelt érintően. Ezzel párhuzamosan az Európai Bizottság folytatta a közös érdekű kérdésekben (mint például a kkv-k, a társadalmi nem és az éghajlatváltozás kérdése) Kanadával fennálló együttműködési menetrendjének intenzívebbé és gazdagabbá tételét kétoldalú és többoldalú szinten.</w:t>
      </w:r>
    </w:p>
    <w:p>
      <w:pPr>
        <w:spacing w:after="0"/>
        <w:rPr>
          <w:rFonts w:ascii="Times New Roman" w:eastAsia="Times New Roman" w:hAnsi="Times New Roman" w:cs="Times New Roman"/>
          <w:noProof/>
          <w:sz w:val="24"/>
          <w:szCs w:val="24"/>
          <w:lang w:eastAsia="en-GB"/>
        </w:rPr>
      </w:pPr>
    </w:p>
    <w:p>
      <w:pPr>
        <w:keepNext/>
        <w:pBdr>
          <w:top w:val="single" w:sz="4" w:space="1"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b/>
          <w:noProof/>
          <w:sz w:val="24"/>
          <w:szCs w:val="24"/>
        </w:rPr>
      </w:pPr>
      <w:r>
        <w:rPr>
          <w:rFonts w:ascii="Times New Roman" w:hAnsi="Times New Roman"/>
          <w:b/>
          <w:noProof/>
          <w:sz w:val="24"/>
          <w:szCs w:val="24"/>
        </w:rPr>
        <w:t>A végrehajtásban elért haladás 2019-ben</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noProof/>
          <w:sz w:val="24"/>
          <w:szCs w:val="24"/>
        </w:rPr>
      </w:pPr>
      <w:r>
        <w:rPr>
          <w:rFonts w:ascii="Times New Roman" w:hAnsi="Times New Roman"/>
          <w:noProof/>
          <w:sz w:val="24"/>
          <w:szCs w:val="24"/>
        </w:rPr>
        <w:t xml:space="preserve">– </w:t>
      </w:r>
      <w:r>
        <w:rPr>
          <w:rFonts w:ascii="Times New Roman" w:hAnsi="Times New Roman"/>
          <w:i/>
          <w:noProof/>
          <w:sz w:val="24"/>
          <w:szCs w:val="24"/>
        </w:rPr>
        <w:t>Sajt-vámkontingensek</w:t>
      </w:r>
      <w:r>
        <w:rPr>
          <w:rFonts w:ascii="Times New Roman" w:hAnsi="Times New Roman"/>
          <w:noProof/>
          <w:sz w:val="24"/>
          <w:szCs w:val="24"/>
        </w:rPr>
        <w:t>: Kanadával folytatódott a CETA-vámkontingens felülvizsgálatára irányuló munka, a vámkontingens működésének javítása érdekében. Kanada jelenleg érték alapján a sajtok kivitele tekintetében az EU negyedik legnagyobb exportpiaca.</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noProof/>
          <w:sz w:val="24"/>
          <w:szCs w:val="24"/>
        </w:rPr>
      </w:pPr>
      <w:r>
        <w:rPr>
          <w:rFonts w:ascii="Times New Roman" w:hAnsi="Times New Roman"/>
          <w:noProof/>
          <w:sz w:val="24"/>
          <w:szCs w:val="24"/>
        </w:rPr>
        <w:t xml:space="preserve">– </w:t>
      </w:r>
      <w:r>
        <w:rPr>
          <w:rFonts w:ascii="Times New Roman" w:hAnsi="Times New Roman"/>
          <w:i/>
          <w:noProof/>
          <w:sz w:val="24"/>
          <w:szCs w:val="24"/>
        </w:rPr>
        <w:t>Diszkriminatív gyakorlatok a borok és szeszes italok ágazatában</w:t>
      </w:r>
      <w:r>
        <w:rPr>
          <w:rStyle w:val="FootnoteReference"/>
          <w:rFonts w:ascii="Times New Roman" w:eastAsia="Times New Roman" w:hAnsi="Times New Roman" w:cs="Times New Roman"/>
          <w:noProof/>
          <w:sz w:val="24"/>
          <w:szCs w:val="24"/>
          <w:lang w:val="en-GB" w:eastAsia="en-GB"/>
        </w:rPr>
        <w:footnoteReference w:id="26"/>
      </w:r>
      <w:r>
        <w:rPr>
          <w:rFonts w:ascii="Times New Roman" w:hAnsi="Times New Roman"/>
          <w:noProof/>
          <w:sz w:val="24"/>
          <w:szCs w:val="24"/>
        </w:rPr>
        <w:t>: ezeket a borokkal és szeszes italokkal foglalkozó bizottság megvitatta. Némi előrehaladást elértek, mivel Brit Columbia eltörölte azokat a szabályozásokat, amelyek csak a Brit Columbia-i bor értékesítését engedélyezték élelmiszerüzletekben. Más tartományokban azonban továbbra is fennállnak akadályok.</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noProof/>
          <w:sz w:val="24"/>
          <w:szCs w:val="24"/>
        </w:rPr>
      </w:pPr>
      <w:r>
        <w:rPr>
          <w:rFonts w:ascii="Times New Roman" w:hAnsi="Times New Roman"/>
          <w:noProof/>
          <w:sz w:val="24"/>
          <w:szCs w:val="24"/>
        </w:rPr>
        <w:t xml:space="preserve">– </w:t>
      </w:r>
      <w:r>
        <w:rPr>
          <w:rFonts w:ascii="Times New Roman" w:hAnsi="Times New Roman"/>
          <w:i/>
          <w:noProof/>
          <w:sz w:val="24"/>
          <w:szCs w:val="24"/>
        </w:rPr>
        <w:t>Szolgáltatásiköltség-díjak</w:t>
      </w:r>
      <w:r>
        <w:rPr>
          <w:rFonts w:ascii="Times New Roman" w:hAnsi="Times New Roman"/>
          <w:noProof/>
          <w:sz w:val="24"/>
          <w:szCs w:val="24"/>
        </w:rPr>
        <w:t>:</w:t>
      </w:r>
      <w:r>
        <w:rPr>
          <w:rFonts w:ascii="Times New Roman" w:hAnsi="Times New Roman"/>
          <w:i/>
          <w:noProof/>
          <w:sz w:val="24"/>
          <w:szCs w:val="24"/>
        </w:rPr>
        <w:t xml:space="preserve"> </w:t>
      </w:r>
      <w:r>
        <w:rPr>
          <w:rFonts w:ascii="Times New Roman" w:hAnsi="Times New Roman"/>
          <w:noProof/>
          <w:sz w:val="24"/>
          <w:szCs w:val="24"/>
        </w:rPr>
        <w:t>az EU kérésére Ontarióban és Quebecben végzett ellenőrzések eredményeként az e tartományokban az EU-ból származó borokra és szeszesitaltermékekre alkalmazott szolgáltatásiköltség-díjaknak csökkenniük kellene. Ezek a díjak az egyes tartományokban a behozott és hazai termékek kezelése során felmerülő költségkülönbségekkel kapcsolatosak.</w:t>
      </w:r>
    </w:p>
    <w:p>
      <w:pPr>
        <w:rPr>
          <w:rFonts w:ascii="Times New Roman" w:eastAsia="Times New Roman" w:hAnsi="Times New Roman" w:cs="Times New Roman"/>
          <w:b/>
          <w:noProof/>
          <w:sz w:val="24"/>
          <w:szCs w:val="24"/>
          <w:lang w:eastAsia="en-GB"/>
        </w:rPr>
      </w:pPr>
    </w:p>
    <w:p>
      <w:pPr>
        <w:keepNext/>
        <w:pBdr>
          <w:top w:val="single" w:sz="4" w:space="1"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b/>
          <w:noProof/>
          <w:sz w:val="24"/>
          <w:szCs w:val="24"/>
        </w:rPr>
      </w:pPr>
      <w:r>
        <w:rPr>
          <w:rFonts w:ascii="Times New Roman" w:hAnsi="Times New Roman"/>
          <w:b/>
          <w:noProof/>
          <w:sz w:val="24"/>
          <w:szCs w:val="24"/>
        </w:rPr>
        <w:t>Az EU és Kanada közötti együttműködés a közös érdekű területeken</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noProof/>
          <w:sz w:val="24"/>
          <w:szCs w:val="24"/>
        </w:rPr>
      </w:pPr>
      <w:r>
        <w:rPr>
          <w:rFonts w:ascii="Times New Roman" w:hAnsi="Times New Roman"/>
          <w:i/>
          <w:noProof/>
          <w:sz w:val="24"/>
          <w:szCs w:val="24"/>
        </w:rPr>
        <w:t>– Éghajlatváltozás</w:t>
      </w:r>
      <w:r>
        <w:rPr>
          <w:rFonts w:ascii="Times New Roman" w:hAnsi="Times New Roman"/>
          <w:noProof/>
          <w:sz w:val="24"/>
          <w:szCs w:val="24"/>
        </w:rPr>
        <w:t>: a januárban tartott konferenciát követően, amely annak megvitatására irányult, hogy a CETA-t hogyan lehet a legjobban kiaknázni az EU és Kanada Párizsi Megállapodás szerinti kötelezettségvállalásainak teljesítésére, novemberben sor került egy munkaértekezletre a tiszta technológiákkal foglalkozó uniós és kanadai vállalkozások részvételével, amely olyan szektorokban tevékenykedő kkv-ket hozott össze, mint például a napenergia, a hulladék, az energiahatékonyság, valamint a szén-dioxid-leválasztás és -tárolás.</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noProof/>
          <w:sz w:val="24"/>
          <w:szCs w:val="24"/>
        </w:rPr>
      </w:pPr>
      <w:r>
        <w:rPr>
          <w:rFonts w:ascii="Times New Roman" w:hAnsi="Times New Roman"/>
          <w:noProof/>
          <w:sz w:val="24"/>
          <w:szCs w:val="24"/>
        </w:rPr>
        <w:t xml:space="preserve">– </w:t>
      </w:r>
      <w:r>
        <w:rPr>
          <w:rFonts w:ascii="Times New Roman" w:hAnsi="Times New Roman"/>
          <w:i/>
          <w:noProof/>
          <w:sz w:val="24"/>
          <w:szCs w:val="24"/>
        </w:rPr>
        <w:t>Szabályozási együttműködés</w:t>
      </w:r>
      <w:r>
        <w:rPr>
          <w:rFonts w:ascii="Times New Roman" w:hAnsi="Times New Roman"/>
          <w:noProof/>
          <w:sz w:val="24"/>
          <w:szCs w:val="24"/>
        </w:rPr>
        <w:t>: az EU és Kanada megkezdte az információcserét a fogyasztási cikkekkel kapcsolatos biztonsági figyelmeztetésekről és Kanada élő állatok szállítására vonatkozó felülvizsgált szabályozási keretrendszeréről, amely 2020 februárjában lépett hatályba. Kanada beleegyezett abba, hogy abbahagyja a Kanadába behozott uniós fényvédő termékeken végzett újabb, második vizsgálatokat.</w:t>
      </w:r>
    </w:p>
    <w:p>
      <w:pPr>
        <w:spacing w:after="120" w:line="264" w:lineRule="auto"/>
        <w:rPr>
          <w:rFonts w:ascii="Times New Roman" w:eastAsia="Times New Roman" w:hAnsi="Times New Roman" w:cs="Times New Roman"/>
          <w:b/>
          <w:noProof/>
          <w:sz w:val="24"/>
          <w:szCs w:val="24"/>
          <w:lang w:eastAsia="en-GB"/>
        </w:rPr>
      </w:pPr>
    </w:p>
    <w:p>
      <w:pPr>
        <w:keepNext/>
        <w:pBdr>
          <w:top w:val="single" w:sz="4" w:space="1" w:color="auto"/>
          <w:left w:val="single" w:sz="4" w:space="4" w:color="auto"/>
          <w:bottom w:val="single" w:sz="4" w:space="1" w:color="auto"/>
          <w:right w:val="single" w:sz="4" w:space="4" w:color="auto"/>
        </w:pBdr>
        <w:spacing w:after="120" w:line="240" w:lineRule="auto"/>
        <w:rPr>
          <w:rFonts w:ascii="Times New Roman" w:hAnsi="Times New Roman" w:cs="Times New Roman"/>
          <w:b/>
          <w:noProof/>
          <w:sz w:val="24"/>
          <w:szCs w:val="24"/>
        </w:rPr>
      </w:pPr>
      <w:r>
        <w:rPr>
          <w:rFonts w:ascii="Times New Roman" w:hAnsi="Times New Roman"/>
          <w:b/>
          <w:noProof/>
          <w:sz w:val="24"/>
          <w:szCs w:val="24"/>
        </w:rPr>
        <w:t>Francia paprika teszi ízesebbé a kanadai konyhát</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hAnsi="Times New Roman" w:cs="Times New Roman"/>
          <w:noProof/>
          <w:sz w:val="24"/>
          <w:szCs w:val="24"/>
        </w:rPr>
      </w:pPr>
      <w:r>
        <w:rPr>
          <w:rFonts w:ascii="Times New Roman" w:hAnsi="Times New Roman"/>
          <w:noProof/>
          <w:sz w:val="24"/>
          <w:szCs w:val="24"/>
        </w:rPr>
        <w:t>Maritxu és Eric Amestoy 10 éve termesztenek csilipaprikát francia baszkföldi kis méretű gazdaságukban, és 2016 óta rendszeresen exportálják az általuk termelt „piment d’Espelette” csilipaprikát Kanadába. Termelési tevékenységüket zöldség- és tojástermeléssel diverzifikálták. A gazdaság nem használ semmilyen vegyipari terméket.</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hAnsi="Times New Roman" w:cs="Times New Roman"/>
          <w:noProof/>
          <w:sz w:val="24"/>
          <w:szCs w:val="24"/>
        </w:rPr>
      </w:pPr>
      <w:r>
        <w:rPr>
          <w:rFonts w:ascii="Times New Roman" w:hAnsi="Times New Roman"/>
          <w:noProof/>
          <w:sz w:val="24"/>
          <w:szCs w:val="24"/>
        </w:rPr>
        <w:t>A CETA értelmében csökkentek a vámok, egyszerűsödtek az adminisztratív eljárások és a „piment d’Espelette” földrajzi árujelző oltalma is megerősödött. Ennek eredményeként a kereslet megnőtt, és az Amestoy család termelése 30 kg-ról 200 kg-ra nőtt.</w:t>
      </w:r>
    </w:p>
    <w:p>
      <w:pPr>
        <w:spacing w:after="120" w:line="264" w:lineRule="auto"/>
        <w:rPr>
          <w:rFonts w:ascii="Times New Roman" w:eastAsia="Times New Roman" w:hAnsi="Times New Roman" w:cs="Times New Roman"/>
          <w:b/>
          <w:noProof/>
          <w:sz w:val="24"/>
          <w:szCs w:val="24"/>
          <w:lang w:eastAsia="en-GB"/>
        </w:rPr>
      </w:pPr>
    </w:p>
    <w:p>
      <w:pPr>
        <w:spacing w:after="120" w:line="264" w:lineRule="auto"/>
        <w:rPr>
          <w:rFonts w:ascii="Times New Roman" w:eastAsia="Times New Roman" w:hAnsi="Times New Roman" w:cs="Times New Roman"/>
          <w:noProof/>
          <w:sz w:val="24"/>
          <w:szCs w:val="24"/>
        </w:rPr>
      </w:pPr>
      <w:r>
        <w:rPr>
          <w:rFonts w:ascii="Times New Roman" w:hAnsi="Times New Roman"/>
          <w:b/>
          <w:noProof/>
          <w:sz w:val="24"/>
          <w:szCs w:val="24"/>
        </w:rPr>
        <w:t>Kétoldalú kereskedelem – tendenciák 2019-ben</w:t>
      </w:r>
    </w:p>
    <w:p>
      <w:pPr>
        <w:spacing w:after="120" w:line="264" w:lineRule="auto"/>
        <w:rPr>
          <w:rFonts w:ascii="Times New Roman" w:eastAsia="Times New Roman" w:hAnsi="Times New Roman" w:cs="Times New Roman"/>
          <w:noProof/>
          <w:sz w:val="24"/>
          <w:szCs w:val="24"/>
        </w:rPr>
      </w:pPr>
      <w:r>
        <w:rPr>
          <w:rFonts w:ascii="Times New Roman" w:hAnsi="Times New Roman"/>
          <w:noProof/>
          <w:sz w:val="24"/>
          <w:szCs w:val="24"/>
        </w:rPr>
        <w:t xml:space="preserve">Mivel a CETA megkönnyítette azt, </w:t>
      </w:r>
      <w:r>
        <w:rPr>
          <w:rFonts w:ascii="Times New Roman" w:hAnsi="Times New Roman"/>
          <w:b/>
          <w:noProof/>
          <w:sz w:val="24"/>
          <w:szCs w:val="24"/>
        </w:rPr>
        <w:t>az áruk és szolgáltatások kétoldalú kereskedelme tovább nőtt</w:t>
      </w:r>
      <w:r>
        <w:rPr>
          <w:rFonts w:ascii="Times New Roman" w:hAnsi="Times New Roman"/>
          <w:noProof/>
          <w:sz w:val="24"/>
          <w:szCs w:val="24"/>
        </w:rPr>
        <w:t>, és elérte a 92 milliárd EUR-t, amely 24,5 %-os növekedést jelent a CETA előtti kereskedelemmel összevetve, amely 2015–2017-ben átlagosan 73,9 milliárd EUR volt. Az ipari termékek körében a gépek és a gyógyszeripari termékek uniós kivitele nőtt a legnagyobb mértékben 2018-hoz képest, külön-külön 15 %-kal és 18 %-kal.</w:t>
      </w:r>
    </w:p>
    <w:p>
      <w:pPr>
        <w:rPr>
          <w:noProof/>
        </w:rPr>
      </w:pPr>
    </w:p>
    <w:p>
      <w:pPr>
        <w:rPr>
          <w:noProof/>
        </w:rPr>
      </w:pPr>
      <w:r>
        <w:rPr>
          <w:noProof/>
          <w:lang w:val="en-GB" w:eastAsia="en-GB"/>
        </w:rPr>
        <w:drawing>
          <wp:inline distT="0" distB="0" distL="0" distR="0">
            <wp:extent cx="5943600" cy="246064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2460644"/>
                    </a:xfrm>
                    <a:prstGeom prst="rect">
                      <a:avLst/>
                    </a:prstGeom>
                    <a:noFill/>
                    <a:ln>
                      <a:noFill/>
                    </a:ln>
                  </pic:spPr>
                </pic:pic>
              </a:graphicData>
            </a:graphic>
          </wp:inline>
        </w:drawing>
      </w:r>
    </w:p>
    <w:p>
      <w:pPr>
        <w:spacing w:after="0"/>
        <w:rPr>
          <w:rFonts w:ascii="Times New Roman" w:eastAsia="Times New Roman" w:hAnsi="Times New Roman" w:cs="Times New Roman"/>
          <w:noProof/>
          <w:sz w:val="24"/>
          <w:szCs w:val="24"/>
          <w:lang w:val="en-GB" w:eastAsia="en-GB"/>
        </w:rPr>
      </w:pPr>
    </w:p>
    <w:p>
      <w:pPr>
        <w:rPr>
          <w:rFonts w:ascii="Times New Roman" w:eastAsia="Times New Roman" w:hAnsi="Times New Roman" w:cs="Times New Roman"/>
          <w:noProof/>
          <w:sz w:val="24"/>
          <w:szCs w:val="24"/>
        </w:rPr>
      </w:pPr>
      <w:r>
        <w:rPr>
          <w:rFonts w:ascii="Times New Roman" w:hAnsi="Times New Roman"/>
          <w:b/>
          <w:noProof/>
          <w:sz w:val="24"/>
          <w:szCs w:val="24"/>
        </w:rPr>
        <w:t>A kedvezményeknek az uniós áruk Kanadába irányuló exportjához kapcsolódó kihasználtságának aránya</w:t>
      </w:r>
      <w:r>
        <w:rPr>
          <w:rFonts w:ascii="Times New Roman" w:hAnsi="Times New Roman"/>
          <w:noProof/>
          <w:sz w:val="24"/>
          <w:szCs w:val="24"/>
        </w:rPr>
        <w:t xml:space="preserve"> az EU-27 esetében a 2018. évi 38 %-ról 48 %-ra nőtt. A teljes kedvezménykihasználtsági arányt vagy PUR-t továbbra is befolyásolja a személygépjárművek és személygépjármű-alkatrészek uniós kivitelére jellemző alacsony kedvezménykihasználtság (26 %), amely kivitel egyébként az EU-27 Kanadába irányuló kedvezményre jogosult kivitelének 39 %-át teszi ki. Az Európai Bizottság proaktív módon egyeztetett az ágazati ipari szövetségekkel, érdekelt vállalatokkal és szakértőkkel az okok jobb megértése érdekében. Az ipar, különösen az autóipar képviselői kifejtették, hogy a megállapodás még viszonylag újdonságnak számít és a vállalkozásoknak több időre van szüksége ahhoz, hogy bevezessék a beszállítóktól szükséges adatok megszerzésére szolgáló eljárásokat és informatikai rendszereket. Az autóipar továbbá megerősítette, hogy visszamenőlegesen szándékozza igényelni a vámkedvezményeket, mivel a CETA legfeljebb három év időtartamra engedélyezte ezt. Az ipar összességében kiemelte, hogy szükséges tovább fokozni az uniós vállalkozásoknak szóló tájékoztatást a CETA előnyeiről és arról, hogy hogyan használják azokat. A kedvezmények használatának megkönnyítése érdekében az Európai Bizottság 2019-ben folytatta specializált útmutatásnyújtási tevékenységét, és 2019 szeptemberében közzétett egy útmutatót a CETA szerinti származási szabályokról</w:t>
      </w:r>
      <w:r>
        <w:rPr>
          <w:rStyle w:val="FootnoteReference"/>
          <w:rFonts w:ascii="Times New Roman" w:eastAsia="Times New Roman" w:hAnsi="Times New Roman" w:cs="Times New Roman"/>
          <w:noProof/>
          <w:sz w:val="24"/>
          <w:szCs w:val="24"/>
          <w:lang w:val="en-GB" w:eastAsia="en-GB"/>
        </w:rPr>
        <w:footnoteReference w:id="27"/>
      </w:r>
      <w:r>
        <w:rPr>
          <w:rFonts w:ascii="Times New Roman" w:hAnsi="Times New Roman"/>
          <w:noProof/>
          <w:sz w:val="24"/>
          <w:szCs w:val="24"/>
        </w:rPr>
        <w:t>, valamint egy tájékoztatót a textilipari és ruházati termékekről, amely több uniós nyelven elérhető</w:t>
      </w:r>
      <w:r>
        <w:rPr>
          <w:rStyle w:val="FootnoteReference"/>
          <w:rFonts w:ascii="Times New Roman" w:eastAsia="Times New Roman" w:hAnsi="Times New Roman" w:cs="Times New Roman"/>
          <w:noProof/>
          <w:sz w:val="24"/>
          <w:szCs w:val="24"/>
          <w:lang w:val="en-GB" w:eastAsia="en-GB"/>
        </w:rPr>
        <w:footnoteReference w:id="28"/>
      </w:r>
      <w:r>
        <w:rPr>
          <w:rFonts w:ascii="Times New Roman" w:hAnsi="Times New Roman"/>
          <w:noProof/>
          <w:sz w:val="24"/>
          <w:szCs w:val="24"/>
        </w:rPr>
        <w:t>.</w:t>
      </w:r>
    </w:p>
    <w:p>
      <w:pPr>
        <w:rPr>
          <w:rFonts w:ascii="Times New Roman" w:eastAsia="Times New Roman" w:hAnsi="Times New Roman" w:cs="Times New Roman"/>
          <w:noProof/>
          <w:sz w:val="24"/>
          <w:szCs w:val="24"/>
          <w:lang w:eastAsia="en-GB"/>
        </w:rPr>
      </w:pPr>
    </w:p>
    <w:p>
      <w:pPr>
        <w:pStyle w:val="Heading3"/>
        <w:rPr>
          <w:noProof/>
        </w:rPr>
      </w:pPr>
      <w:bookmarkStart w:id="12" w:name="_Toc55303825"/>
      <w:r>
        <w:rPr>
          <w:noProof/>
        </w:rPr>
        <w:t>3. 2.2. Latin-amerikai partnerországok</w:t>
      </w:r>
      <w:bookmarkEnd w:id="12"/>
    </w:p>
    <w:p>
      <w:pPr>
        <w:spacing w:after="120" w:line="264" w:lineRule="auto"/>
        <w:rPr>
          <w:rFonts w:ascii="Times New Roman" w:hAnsi="Times New Roman" w:cs="Times New Roman"/>
          <w:noProof/>
          <w:sz w:val="24"/>
          <w:szCs w:val="24"/>
        </w:rPr>
      </w:pPr>
      <w:r>
        <w:rPr>
          <w:rFonts w:ascii="Times New Roman" w:hAnsi="Times New Roman"/>
          <w:noProof/>
          <w:sz w:val="24"/>
          <w:szCs w:val="24"/>
        </w:rPr>
        <w:t xml:space="preserve">Az EU </w:t>
      </w:r>
      <w:r>
        <w:rPr>
          <w:rFonts w:ascii="Times New Roman" w:hAnsi="Times New Roman"/>
          <w:b/>
          <w:noProof/>
          <w:sz w:val="24"/>
          <w:szCs w:val="24"/>
        </w:rPr>
        <w:t>négy kereskedelmi megállapodással rendelkezik 11 latin-amerikai országgal</w:t>
      </w:r>
      <w:r>
        <w:rPr>
          <w:rFonts w:ascii="Times New Roman" w:hAnsi="Times New Roman"/>
          <w:noProof/>
          <w:sz w:val="24"/>
          <w:szCs w:val="24"/>
        </w:rPr>
        <w:t>: Chile, Mexikó; Ecuador, Kolumbia és Peru, azaz az andoki partnerek; és a 6 közép-amerikai partner (Costa Rica, Guatemala, Honduras, Nicaragua, Panama, Salvador). Ha a Mercosur-megállapodás működésbe lép, az EU preferenciális kereskedelmi kapcsolatokat ápol majd gyakorlatilag az összes latin-amerikai országgal, Bolívia és Venezuela kivételével – bármely más térségnél inkább, és az Európai Szabadkereskedelmi Társulással egyenrangúan. A Mexikóval kötött megállapodás például a 2000-es évek elejére nyúlik vissza és korszerűsítésre került a kereskedelem bővítése, a kkv-k részvételének előmozdítása és többek között a (digitális, tengeri, pénzügyi stb.) szolgáltatásokra, az energiaágazatra és a befektetésekre vonatkozó olyan új szabályozási elemek bevezetése érdekében, amelyek növelik majd az uniós vállalkozások lehetőségeit és a fogyasztók előnyére válnak, míg a kereskedelemről és a fenntartható fejlődésről szóló fejezetek munkaügyi és környezetvédelmi kötelezettségeket állapítanak meg, többek között a Párizsi Megállapodás és az alapvető ILO-egyezmények alapján. Hasonló korszerűsítés van folyamatban Chilével.</w:t>
      </w:r>
    </w:p>
    <w:p>
      <w:pPr>
        <w:spacing w:after="120" w:line="264" w:lineRule="auto"/>
        <w:rPr>
          <w:rFonts w:ascii="Times New Roman" w:hAnsi="Times New Roman" w:cs="Times New Roman"/>
          <w:noProof/>
          <w:sz w:val="24"/>
          <w:szCs w:val="24"/>
        </w:rPr>
      </w:pPr>
      <w:r>
        <w:rPr>
          <w:rFonts w:ascii="Times New Roman" w:hAnsi="Times New Roman"/>
          <w:noProof/>
          <w:sz w:val="24"/>
          <w:szCs w:val="24"/>
        </w:rPr>
        <w:t>Az EU a legtöbb termék esetében eltörölte a vámokat, ami a latin-amerikai partnereket segíti kivitelük diverzifikálásában, valamint az értékláncokba és a világgazdaságba való jobb integrálódásban. Az uniós vállalatok számára pedig a megállapodások új lehetőségeket nyitnak a nagy növekedési potenciálú feltörekvő piacokon, valamint hozzáférést biztosítanak kritikus jelentőségű ipari és mezőgazdasági nyersanyagokhoz és ráfordításokhoz.</w:t>
      </w:r>
    </w:p>
    <w:p>
      <w:pPr>
        <w:spacing w:after="120" w:line="264" w:lineRule="auto"/>
        <w:rPr>
          <w:rFonts w:ascii="Times New Roman" w:hAnsi="Times New Roman" w:cs="Times New Roman"/>
          <w:noProof/>
          <w:sz w:val="24"/>
          <w:szCs w:val="24"/>
        </w:rPr>
      </w:pPr>
      <w:r>
        <w:rPr>
          <w:rFonts w:ascii="Times New Roman" w:hAnsi="Times New Roman"/>
          <w:b/>
          <w:noProof/>
          <w:sz w:val="24"/>
          <w:szCs w:val="24"/>
        </w:rPr>
        <w:t xml:space="preserve">Az EU szerepe Latin-Amerikában továbbra is erős marad: </w:t>
      </w:r>
      <w:r>
        <w:rPr>
          <w:rFonts w:ascii="Times New Roman" w:hAnsi="Times New Roman"/>
          <w:noProof/>
          <w:sz w:val="24"/>
          <w:szCs w:val="24"/>
        </w:rPr>
        <w:t>Az Európai Unió a legnagyobb forrása a fejlesztési együttműködésnek és a közvetlen külföldi tőkebefektetésnek Latin-Amerikában és a harmadik legnagyobb kereskedelmi partner az Amerikai Egyesült Államok és Kína után. Míg az utóbbi években az Amerikai Egyesült Államok megőrizte a hosszú ideje fennálló pozícióját Latin-Amerika legnagyobb kereskedelmi partnereként, Kína megelőzte az EU-t a második legnagyobb partnerként. A kapcsolatok mintázata változó, Mexikó és Közép-Amerika kötődik legszorosabban az USA gazdaságához, az ásványi anyagokban gazdag andoki országok erősítik a kereskedelmet Kínával, miközben Kína és az EU a legfontosabb partnerei a Mercosur-országoknak.</w:t>
      </w:r>
    </w:p>
    <w:p>
      <w:pPr>
        <w:spacing w:after="0" w:line="264" w:lineRule="auto"/>
        <w:rPr>
          <w:rFonts w:ascii="Times New Roman" w:eastAsia="Times New Roman" w:hAnsi="Times New Roman" w:cs="Times New Roman"/>
          <w:b/>
          <w:noProof/>
          <w:sz w:val="24"/>
          <w:szCs w:val="24"/>
          <w:lang w:eastAsia="en-GB"/>
        </w:rPr>
      </w:pPr>
    </w:p>
    <w:p>
      <w:pPr>
        <w:spacing w:after="0" w:line="264" w:lineRule="auto"/>
        <w:rPr>
          <w:rFonts w:ascii="Times New Roman" w:eastAsia="Times New Roman" w:hAnsi="Times New Roman" w:cs="Times New Roman"/>
          <w:b/>
          <w:noProof/>
          <w:sz w:val="24"/>
          <w:szCs w:val="24"/>
        </w:rPr>
      </w:pPr>
      <w:r>
        <w:rPr>
          <w:rFonts w:ascii="Times New Roman" w:hAnsi="Times New Roman"/>
          <w:b/>
          <w:noProof/>
          <w:sz w:val="24"/>
          <w:szCs w:val="24"/>
        </w:rPr>
        <w:t>Kétoldalú kereskedelem: 2019. évi tendenciák</w:t>
      </w:r>
    </w:p>
    <w:p>
      <w:pPr>
        <w:spacing w:after="0" w:line="264" w:lineRule="auto"/>
        <w:rPr>
          <w:rFonts w:ascii="Times New Roman" w:hAnsi="Times New Roman" w:cs="Times New Roman"/>
          <w:b/>
          <w:noProof/>
          <w:sz w:val="24"/>
          <w:szCs w:val="24"/>
        </w:rPr>
      </w:pPr>
    </w:p>
    <w:p>
      <w:pPr>
        <w:spacing w:after="120" w:line="264" w:lineRule="auto"/>
        <w:rPr>
          <w:rFonts w:ascii="Times New Roman" w:hAnsi="Times New Roman" w:cs="Times New Roman"/>
          <w:noProof/>
          <w:sz w:val="24"/>
          <w:szCs w:val="24"/>
        </w:rPr>
      </w:pPr>
      <w:r>
        <w:rPr>
          <w:rFonts w:ascii="Times New Roman" w:hAnsi="Times New Roman"/>
          <w:noProof/>
          <w:sz w:val="24"/>
          <w:szCs w:val="24"/>
        </w:rPr>
        <w:t xml:space="preserve">Az EU kereskedelmi megállapodásai az idők folyamán </w:t>
      </w:r>
      <w:r>
        <w:rPr>
          <w:rFonts w:ascii="Times New Roman" w:hAnsi="Times New Roman"/>
          <w:b/>
          <w:noProof/>
          <w:sz w:val="24"/>
          <w:szCs w:val="24"/>
        </w:rPr>
        <w:t>segítettek megerősíteni az EU befektetőként és kereskedelmi partnerként betöltött szerepét</w:t>
      </w:r>
      <w:r>
        <w:rPr>
          <w:rFonts w:ascii="Times New Roman" w:hAnsi="Times New Roman"/>
          <w:noProof/>
          <w:sz w:val="24"/>
          <w:szCs w:val="24"/>
        </w:rPr>
        <w:t xml:space="preserve"> a térségben. A megállapodások továbbá segítettek felszámolni a vámkedvezmények erózióját, amelyek azokból a kereskedelmi megállapodásokból fakadtak, amelyeket a latin-amerikai partnerek kötöttek olyan országokkal, mint például az USA vagy Kína.</w:t>
      </w:r>
    </w:p>
    <w:p>
      <w:pPr>
        <w:spacing w:after="120" w:line="264" w:lineRule="auto"/>
        <w:rPr>
          <w:rFonts w:ascii="Times New Roman" w:hAnsi="Times New Roman" w:cs="Times New Roman"/>
          <w:noProof/>
          <w:sz w:val="24"/>
          <w:szCs w:val="24"/>
        </w:rPr>
      </w:pPr>
      <w:r>
        <w:rPr>
          <w:rFonts w:ascii="Times New Roman" w:hAnsi="Times New Roman"/>
          <w:noProof/>
          <w:sz w:val="24"/>
          <w:szCs w:val="24"/>
        </w:rPr>
        <w:t xml:space="preserve">Az EU és jelenlegi latin-amerikai kereskedelmi partnerei (plusz a Mercosur-országok) közötti kereskedelem 192 milliárd EUR-t tett ki, és az EU 22 milliárd EUR többlettel rendelkezett. </w:t>
      </w:r>
      <w:r>
        <w:rPr>
          <w:rFonts w:ascii="Times New Roman" w:hAnsi="Times New Roman"/>
          <w:b/>
          <w:noProof/>
          <w:sz w:val="24"/>
          <w:szCs w:val="24"/>
        </w:rPr>
        <w:t>Az EU árukivitele</w:t>
      </w:r>
      <w:r>
        <w:rPr>
          <w:rFonts w:ascii="Times New Roman" w:hAnsi="Times New Roman"/>
          <w:noProof/>
          <w:sz w:val="24"/>
          <w:szCs w:val="24"/>
        </w:rPr>
        <w:t xml:space="preserve"> abba a 11 latin-amerikai országba, amelyekkel kereskedelmi megállapodásokat kötött, </w:t>
      </w:r>
      <w:r>
        <w:rPr>
          <w:rFonts w:ascii="Times New Roman" w:hAnsi="Times New Roman"/>
          <w:b/>
          <w:noProof/>
          <w:sz w:val="24"/>
          <w:szCs w:val="24"/>
        </w:rPr>
        <w:t>12 %-kal növekedett</w:t>
      </w:r>
      <w:r>
        <w:rPr>
          <w:rFonts w:ascii="Times New Roman" w:hAnsi="Times New Roman"/>
          <w:noProof/>
          <w:sz w:val="24"/>
          <w:szCs w:val="24"/>
        </w:rPr>
        <w:t>, a 2015-ben éppen csak megközelített 59 milliárd EUR összegről 66 milliárd EUR-ra. Az EU körülbelül 12 %-os piaci részesedést őrzött meg ezen országok behozatalából, míg az USA piaci részesedése kismértékben csökkent 42,5 %-ról 40,3 %-ra, Kína részesedése pedig szintén körülbelül 19 %-on stagnált</w:t>
      </w:r>
      <w:r>
        <w:rPr>
          <w:rStyle w:val="FootnoteReference"/>
          <w:rFonts w:ascii="Times New Roman" w:hAnsi="Times New Roman" w:cs="Times New Roman"/>
          <w:noProof/>
          <w:sz w:val="24"/>
          <w:szCs w:val="24"/>
          <w:lang w:val="en-GB"/>
        </w:rPr>
        <w:footnoteReference w:id="29"/>
      </w:r>
      <w:r>
        <w:rPr>
          <w:rFonts w:ascii="Times New Roman" w:hAnsi="Times New Roman"/>
          <w:noProof/>
          <w:sz w:val="24"/>
          <w:szCs w:val="24"/>
        </w:rPr>
        <w:t>.</w:t>
      </w:r>
    </w:p>
    <w:p>
      <w:pPr>
        <w:spacing w:after="120" w:line="264" w:lineRule="auto"/>
        <w:rPr>
          <w:rFonts w:ascii="Times New Roman" w:hAnsi="Times New Roman" w:cs="Times New Roman"/>
          <w:b/>
          <w:noProof/>
          <w:sz w:val="24"/>
          <w:szCs w:val="24"/>
        </w:rPr>
      </w:pPr>
    </w:p>
    <w:p>
      <w:pPr>
        <w:spacing w:after="120" w:line="264" w:lineRule="auto"/>
        <w:rPr>
          <w:rFonts w:ascii="Times New Roman" w:hAnsi="Times New Roman" w:cs="Times New Roman"/>
          <w:b/>
          <w:noProof/>
          <w:sz w:val="24"/>
          <w:szCs w:val="24"/>
        </w:rPr>
      </w:pPr>
      <w:r>
        <w:rPr>
          <w:noProof/>
          <w:lang w:val="en-GB" w:eastAsia="en-GB"/>
        </w:rPr>
        <w:drawing>
          <wp:inline distT="0" distB="0" distL="0" distR="0">
            <wp:extent cx="5943600" cy="32787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3278760"/>
                    </a:xfrm>
                    <a:prstGeom prst="rect">
                      <a:avLst/>
                    </a:prstGeom>
                    <a:noFill/>
                    <a:ln>
                      <a:noFill/>
                    </a:ln>
                  </pic:spPr>
                </pic:pic>
              </a:graphicData>
            </a:graphic>
          </wp:inline>
        </w:drawing>
      </w:r>
    </w:p>
    <w:p>
      <w:pPr>
        <w:spacing w:after="120" w:line="264" w:lineRule="auto"/>
        <w:rPr>
          <w:rFonts w:ascii="Times New Roman" w:hAnsi="Times New Roman" w:cs="Times New Roman"/>
          <w:noProof/>
          <w:sz w:val="24"/>
          <w:szCs w:val="24"/>
          <w:lang w:val="en-GB"/>
        </w:rPr>
      </w:pPr>
    </w:p>
    <w:p>
      <w:pPr>
        <w:spacing w:after="120" w:line="264" w:lineRule="auto"/>
        <w:rPr>
          <w:rFonts w:ascii="Times New Roman" w:hAnsi="Times New Roman" w:cs="Times New Roman"/>
          <w:noProof/>
          <w:sz w:val="24"/>
          <w:szCs w:val="24"/>
        </w:rPr>
      </w:pPr>
      <w:r>
        <w:rPr>
          <w:rFonts w:ascii="Times New Roman" w:hAnsi="Times New Roman"/>
          <w:noProof/>
          <w:sz w:val="24"/>
          <w:szCs w:val="24"/>
        </w:rPr>
        <w:t xml:space="preserve">A kereskedelmi megállapodások </w:t>
      </w:r>
      <w:r>
        <w:rPr>
          <w:rFonts w:ascii="Times New Roman" w:hAnsi="Times New Roman"/>
          <w:b/>
          <w:noProof/>
          <w:sz w:val="24"/>
          <w:szCs w:val="24"/>
        </w:rPr>
        <w:t>új piacokat nyithatnak az uniós agár-élelmiszeripari termékek számára</w:t>
      </w:r>
      <w:r>
        <w:rPr>
          <w:rFonts w:ascii="Times New Roman" w:hAnsi="Times New Roman"/>
          <w:noProof/>
          <w:sz w:val="24"/>
          <w:szCs w:val="24"/>
        </w:rPr>
        <w:t xml:space="preserve">. Az utóbbi évtizedben </w:t>
      </w:r>
      <w:r>
        <w:rPr>
          <w:rFonts w:ascii="Times New Roman" w:hAnsi="Times New Roman"/>
          <w:b/>
          <w:noProof/>
          <w:sz w:val="24"/>
          <w:szCs w:val="24"/>
        </w:rPr>
        <w:t>az EU-nak a</w:t>
      </w:r>
      <w:r>
        <w:rPr>
          <w:rFonts w:ascii="Times New Roman" w:hAnsi="Times New Roman"/>
          <w:noProof/>
          <w:sz w:val="24"/>
          <w:szCs w:val="24"/>
        </w:rPr>
        <w:t xml:space="preserve"> vele kereskedelmi megállapodást kötött </w:t>
      </w:r>
      <w:r>
        <w:rPr>
          <w:rFonts w:ascii="Times New Roman" w:hAnsi="Times New Roman"/>
          <w:b/>
          <w:noProof/>
          <w:sz w:val="24"/>
          <w:szCs w:val="24"/>
        </w:rPr>
        <w:t>latin-amerikai országokba irányuló mezőgazdaságitermék-kivitele</w:t>
      </w:r>
      <w:r>
        <w:rPr>
          <w:rFonts w:ascii="Times New Roman" w:hAnsi="Times New Roman"/>
          <w:noProof/>
          <w:sz w:val="24"/>
          <w:szCs w:val="24"/>
        </w:rPr>
        <w:t xml:space="preserve"> több mint </w:t>
      </w:r>
      <w:r>
        <w:rPr>
          <w:rFonts w:ascii="Times New Roman" w:hAnsi="Times New Roman"/>
          <w:b/>
          <w:noProof/>
          <w:sz w:val="24"/>
          <w:szCs w:val="24"/>
        </w:rPr>
        <w:t>kétszeresére nőtt</w:t>
      </w:r>
      <w:r>
        <w:rPr>
          <w:rFonts w:ascii="Times New Roman" w:hAnsi="Times New Roman"/>
          <w:noProof/>
          <w:sz w:val="24"/>
          <w:szCs w:val="24"/>
        </w:rPr>
        <w:t>. Ez főként a vámok kereskedelmi megállapodások értelmében történt eltörlésének vagy csökkentésének tudható be, amelyek a mezőgazdasági termékek esetében viszonylag magasak voltak.</w:t>
      </w:r>
    </w:p>
    <w:p>
      <w:pPr>
        <w:spacing w:after="120" w:line="264" w:lineRule="auto"/>
        <w:rPr>
          <w:rFonts w:ascii="Times New Roman" w:hAnsi="Times New Roman" w:cs="Times New Roman"/>
          <w:noProof/>
          <w:sz w:val="24"/>
          <w:szCs w:val="24"/>
        </w:rPr>
      </w:pPr>
      <w:r>
        <w:rPr>
          <w:rFonts w:ascii="Times New Roman" w:hAnsi="Times New Roman"/>
          <w:noProof/>
          <w:sz w:val="24"/>
          <w:szCs w:val="24"/>
        </w:rPr>
        <w:t xml:space="preserve">A </w:t>
      </w:r>
      <w:r>
        <w:rPr>
          <w:rFonts w:ascii="Times New Roman" w:hAnsi="Times New Roman"/>
          <w:b/>
          <w:noProof/>
          <w:sz w:val="24"/>
          <w:szCs w:val="24"/>
        </w:rPr>
        <w:t>banán</w:t>
      </w:r>
      <w:r>
        <w:rPr>
          <w:rFonts w:ascii="Times New Roman" w:hAnsi="Times New Roman"/>
          <w:noProof/>
          <w:sz w:val="24"/>
          <w:szCs w:val="24"/>
        </w:rPr>
        <w:t xml:space="preserve"> változatlanul a Közép-Amerika és az Andok Közösség által az Európai Unióba exportált fő árucikk, amelynek kivitelére </w:t>
      </w:r>
      <w:r>
        <w:rPr>
          <w:rFonts w:ascii="Times New Roman" w:hAnsi="Times New Roman"/>
          <w:b/>
          <w:noProof/>
          <w:sz w:val="24"/>
          <w:szCs w:val="24"/>
        </w:rPr>
        <w:t>stabilizációs mechanizmus</w:t>
      </w:r>
      <w:r>
        <w:rPr>
          <w:rFonts w:ascii="Times New Roman" w:hAnsi="Times New Roman"/>
          <w:noProof/>
          <w:sz w:val="24"/>
          <w:szCs w:val="24"/>
        </w:rPr>
        <w:t xml:space="preserve"> volt érvényben 2019 decemberének végéig. E mechanizmus szerint, amennyiben a megállapodásban rögzített országonkénti éves behozatali küszöbmennyiséget elérik, az Európai Bizottság megvizsgálja, hogy ezek a behozatalok hogyan hatottak az uniós banán piac helyzetére és döntést hoz a preferenciális vám ideiglenes felfüggesztéséről vagy pedig úgy határoz, hogy az ilyen felfüggesztés nem megfelelő. 2019-ben a banánra vonatkozó stabilizációs mechanizmus hatálya alá tartozó latin- és közép-amerikai országokból származó friss banán összes éves behozatala a halmozott küszöbszint 72,9 %-át tette ki. Az érintett partnerországok közül csak Guatemala, Nicaragua és Peru lépte túl a rájuk vonatkozó küszöbmennyiségeket. Az Európai Bizottság megállapította, hogy az ideiglenes felfüggesztés nem volt megfelelő, mivel az ezekből az országokból származó behozatalnak a banán összes behozatalához viszonyított hányada nagyon kicsi volt a vonatkozó küszöbértékek túllépésének időpontjában.</w:t>
      </w:r>
    </w:p>
    <w:p>
      <w:pPr>
        <w:spacing w:after="120" w:line="264" w:lineRule="auto"/>
        <w:rPr>
          <w:rFonts w:ascii="Times New Roman" w:hAnsi="Times New Roman" w:cs="Times New Roman"/>
          <w:noProof/>
          <w:sz w:val="24"/>
          <w:szCs w:val="24"/>
        </w:rPr>
      </w:pPr>
      <w:r>
        <w:rPr>
          <w:rFonts w:ascii="Times New Roman" w:hAnsi="Times New Roman"/>
          <w:noProof/>
          <w:sz w:val="24"/>
          <w:szCs w:val="24"/>
        </w:rPr>
        <w:t xml:space="preserve">2019-ben az </w:t>
      </w:r>
      <w:r>
        <w:rPr>
          <w:rFonts w:ascii="Times New Roman" w:hAnsi="Times New Roman"/>
          <w:b/>
          <w:noProof/>
          <w:sz w:val="24"/>
          <w:szCs w:val="24"/>
        </w:rPr>
        <w:t>andoki és közép-amerikai partnerek</w:t>
      </w:r>
      <w:r>
        <w:rPr>
          <w:rFonts w:ascii="Times New Roman" w:hAnsi="Times New Roman"/>
          <w:noProof/>
          <w:sz w:val="24"/>
          <w:szCs w:val="24"/>
        </w:rPr>
        <w:t xml:space="preserve"> kérésére tanácskozásokra került sor a vonatkozó megállapodások rendelkezései alapján azzal a céllal, hogy a </w:t>
      </w:r>
      <w:r>
        <w:rPr>
          <w:rFonts w:ascii="Times New Roman" w:hAnsi="Times New Roman"/>
          <w:b/>
          <w:noProof/>
          <w:sz w:val="24"/>
          <w:szCs w:val="24"/>
        </w:rPr>
        <w:t>banán</w:t>
      </w:r>
      <w:r>
        <w:rPr>
          <w:rFonts w:ascii="Times New Roman" w:hAnsi="Times New Roman"/>
          <w:noProof/>
          <w:sz w:val="24"/>
          <w:szCs w:val="24"/>
        </w:rPr>
        <w:t xml:space="preserve"> esetében megvizsgálják a további </w:t>
      </w:r>
      <w:r>
        <w:rPr>
          <w:rFonts w:ascii="Times New Roman" w:hAnsi="Times New Roman"/>
          <w:b/>
          <w:noProof/>
          <w:sz w:val="24"/>
          <w:szCs w:val="24"/>
        </w:rPr>
        <w:t>vámliberalizáció</w:t>
      </w:r>
      <w:r>
        <w:rPr>
          <w:rFonts w:ascii="Times New Roman" w:hAnsi="Times New Roman"/>
          <w:noProof/>
          <w:sz w:val="24"/>
          <w:szCs w:val="24"/>
        </w:rPr>
        <w:t xml:space="preserve"> lehetőségét. Az összes fontos tényező, többek között az uniós piac stabilitásának mérlegelése után azt a következtetést vonták le, hogy a közép-amerikai országokból és Ecuadorból/Kolumbiából/Peruból származó friss banánra kivetett vámot </w:t>
      </w:r>
      <w:r>
        <w:rPr>
          <w:rFonts w:ascii="Times New Roman" w:hAnsi="Times New Roman"/>
          <w:b/>
          <w:noProof/>
          <w:sz w:val="24"/>
          <w:szCs w:val="24"/>
        </w:rPr>
        <w:t>továbbra is a jelenlegi</w:t>
      </w:r>
      <w:r>
        <w:rPr>
          <w:rFonts w:ascii="Times New Roman" w:hAnsi="Times New Roman"/>
          <w:noProof/>
          <w:sz w:val="24"/>
          <w:szCs w:val="24"/>
        </w:rPr>
        <w:t xml:space="preserve"> 75 EUR/tonna </w:t>
      </w:r>
      <w:r>
        <w:rPr>
          <w:rFonts w:ascii="Times New Roman" w:hAnsi="Times New Roman"/>
          <w:b/>
          <w:noProof/>
          <w:sz w:val="24"/>
          <w:szCs w:val="24"/>
        </w:rPr>
        <w:t>szinten kell tartani</w:t>
      </w:r>
      <w:r>
        <w:rPr>
          <w:rFonts w:ascii="Times New Roman" w:hAnsi="Times New Roman"/>
          <w:noProof/>
          <w:sz w:val="24"/>
          <w:szCs w:val="24"/>
        </w:rPr>
        <w:t>.</w:t>
      </w:r>
    </w:p>
    <w:p>
      <w:pPr>
        <w:spacing w:after="120" w:line="264" w:lineRule="auto"/>
        <w:rPr>
          <w:rFonts w:ascii="Times New Roman" w:hAnsi="Times New Roman" w:cs="Times New Roman"/>
          <w:noProof/>
          <w:sz w:val="24"/>
          <w:szCs w:val="24"/>
        </w:rPr>
      </w:pPr>
    </w:p>
    <w:p>
      <w:pPr>
        <w:spacing w:after="120" w:line="264" w:lineRule="auto"/>
        <w:rPr>
          <w:rFonts w:ascii="Times New Roman" w:hAnsi="Times New Roman" w:cs="Times New Roman"/>
          <w:b/>
          <w:noProof/>
          <w:sz w:val="24"/>
          <w:szCs w:val="24"/>
        </w:rPr>
      </w:pPr>
      <w:r>
        <w:rPr>
          <w:rFonts w:ascii="Times New Roman" w:hAnsi="Times New Roman"/>
          <w:b/>
          <w:noProof/>
          <w:sz w:val="24"/>
          <w:szCs w:val="24"/>
        </w:rPr>
        <w:t>A végrehajtásban elért haladás 2019-ben</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b/>
          <w:noProof/>
          <w:sz w:val="24"/>
          <w:szCs w:val="24"/>
        </w:rPr>
      </w:pPr>
      <w:r>
        <w:rPr>
          <w:rFonts w:ascii="Times New Roman" w:hAnsi="Times New Roman"/>
          <w:b/>
          <w:noProof/>
          <w:sz w:val="24"/>
          <w:szCs w:val="24"/>
        </w:rPr>
        <w:t>Példák a kereskedelem és fenntartható fejlődés területén elért fejlődésre</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noProof/>
          <w:sz w:val="24"/>
          <w:szCs w:val="24"/>
        </w:rPr>
      </w:pPr>
      <w:r>
        <w:rPr>
          <w:rFonts w:ascii="Times New Roman" w:hAnsi="Times New Roman"/>
          <w:noProof/>
          <w:sz w:val="24"/>
          <w:szCs w:val="24"/>
        </w:rPr>
        <w:t xml:space="preserve">– Egy </w:t>
      </w:r>
      <w:r>
        <w:rPr>
          <w:rFonts w:ascii="Times New Roman" w:hAnsi="Times New Roman"/>
          <w:b/>
          <w:noProof/>
          <w:sz w:val="24"/>
          <w:szCs w:val="24"/>
        </w:rPr>
        <w:t>új, az EU által finanszírozott támogatási programnak</w:t>
      </w:r>
      <w:r>
        <w:rPr>
          <w:rFonts w:ascii="Times New Roman" w:hAnsi="Times New Roman"/>
          <w:noProof/>
          <w:sz w:val="24"/>
          <w:szCs w:val="24"/>
        </w:rPr>
        <w:t xml:space="preserve"> köszönhetően az EU és Ecuador, Kolumbia és Peru civil társadalmi képviselői Bogotában (Kolumbia) találkoztak, az EU és a hat közép-amerikai ország képviselői pedig Antigua-ban (Guatemala).</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noProof/>
          <w:sz w:val="24"/>
          <w:szCs w:val="24"/>
        </w:rPr>
      </w:pPr>
      <w:r>
        <w:rPr>
          <w:rFonts w:ascii="Times New Roman" w:hAnsi="Times New Roman"/>
          <w:noProof/>
          <w:sz w:val="24"/>
          <w:szCs w:val="24"/>
        </w:rPr>
        <w:t xml:space="preserve">– Elindult egy </w:t>
      </w:r>
      <w:r>
        <w:rPr>
          <w:rFonts w:ascii="Times New Roman" w:hAnsi="Times New Roman"/>
          <w:b/>
          <w:noProof/>
          <w:sz w:val="24"/>
          <w:szCs w:val="24"/>
        </w:rPr>
        <w:t>az EU által finanszírozott program, amely a latin-amerikai felelős üzleti magatartásra irányul</w:t>
      </w:r>
      <w:r>
        <w:rPr>
          <w:rFonts w:ascii="Times New Roman" w:hAnsi="Times New Roman"/>
          <w:noProof/>
          <w:sz w:val="24"/>
          <w:szCs w:val="24"/>
        </w:rPr>
        <w:t>, és amely a Gazdasági Együttműködési és Fejlesztési Szervezettel (OECD)</w:t>
      </w:r>
      <w:r>
        <w:rPr>
          <w:rStyle w:val="FootnoteReference"/>
          <w:rFonts w:ascii="Times New Roman" w:hAnsi="Times New Roman" w:cs="Times New Roman"/>
          <w:noProof/>
          <w:sz w:val="24"/>
          <w:szCs w:val="24"/>
        </w:rPr>
        <w:footnoteReference w:id="30"/>
      </w:r>
      <w:r>
        <w:rPr>
          <w:rFonts w:ascii="Times New Roman" w:hAnsi="Times New Roman"/>
          <w:noProof/>
          <w:sz w:val="24"/>
          <w:szCs w:val="24"/>
        </w:rPr>
        <w:t>, a Nemzetközi Munkaügyi Szervezettel</w:t>
      </w:r>
      <w:r>
        <w:rPr>
          <w:rStyle w:val="FootnoteReference"/>
          <w:rFonts w:ascii="Times New Roman" w:hAnsi="Times New Roman" w:cs="Times New Roman"/>
          <w:noProof/>
          <w:sz w:val="24"/>
          <w:szCs w:val="24"/>
        </w:rPr>
        <w:footnoteReference w:id="31"/>
      </w:r>
      <w:r>
        <w:rPr>
          <w:rFonts w:ascii="Times New Roman" w:hAnsi="Times New Roman"/>
          <w:noProof/>
          <w:sz w:val="24"/>
          <w:szCs w:val="24"/>
        </w:rPr>
        <w:t xml:space="preserve"> és az ENSZ Emberi Jogi Főbiztosának Hivatalával</w:t>
      </w:r>
      <w:r>
        <w:rPr>
          <w:rStyle w:val="FootnoteReference"/>
          <w:rFonts w:ascii="Times New Roman" w:hAnsi="Times New Roman" w:cs="Times New Roman"/>
          <w:noProof/>
          <w:color w:val="000000" w:themeColor="text1"/>
          <w:sz w:val="24"/>
          <w:szCs w:val="24"/>
          <w:lang w:val="en-GB"/>
        </w:rPr>
        <w:footnoteReference w:id="32"/>
      </w:r>
      <w:r>
        <w:rPr>
          <w:rFonts w:ascii="Times New Roman" w:hAnsi="Times New Roman"/>
          <w:noProof/>
          <w:sz w:val="24"/>
          <w:szCs w:val="24"/>
        </w:rPr>
        <w:t xml:space="preserve"> partnerségben került végrehajtásra.</w:t>
      </w:r>
    </w:p>
    <w:p>
      <w:pPr>
        <w:spacing w:after="0"/>
        <w:rPr>
          <w:rFonts w:ascii="Times New Roman" w:hAnsi="Times New Roman" w:cs="Times New Roman"/>
          <w:b/>
          <w:noProof/>
          <w:sz w:val="24"/>
          <w:szCs w:val="24"/>
        </w:rPr>
      </w:pPr>
    </w:p>
    <w:p>
      <w:pPr>
        <w:keepNext/>
        <w:pBdr>
          <w:top w:val="single" w:sz="4" w:space="1"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b/>
          <w:noProof/>
          <w:sz w:val="24"/>
          <w:szCs w:val="24"/>
        </w:rPr>
      </w:pPr>
      <w:r>
        <w:rPr>
          <w:rFonts w:ascii="Times New Roman" w:hAnsi="Times New Roman"/>
          <w:b/>
          <w:noProof/>
          <w:sz w:val="24"/>
          <w:szCs w:val="24"/>
        </w:rPr>
        <w:t>Előrehaladás a piacra jutási kérdésekben 2019-ben</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noProof/>
          <w:sz w:val="24"/>
          <w:szCs w:val="24"/>
        </w:rPr>
      </w:pPr>
      <w:r>
        <w:rPr>
          <w:rFonts w:ascii="Times New Roman" w:hAnsi="Times New Roman"/>
          <w:noProof/>
          <w:sz w:val="24"/>
          <w:szCs w:val="24"/>
        </w:rPr>
        <w:t xml:space="preserve">– </w:t>
      </w:r>
      <w:r>
        <w:rPr>
          <w:rFonts w:ascii="Times New Roman" w:hAnsi="Times New Roman"/>
          <w:b/>
          <w:noProof/>
          <w:sz w:val="24"/>
          <w:szCs w:val="24"/>
        </w:rPr>
        <w:t>Ecuador</w:t>
      </w:r>
      <w:r>
        <w:rPr>
          <w:rFonts w:ascii="Times New Roman" w:hAnsi="Times New Roman"/>
          <w:noProof/>
          <w:sz w:val="24"/>
          <w:szCs w:val="24"/>
        </w:rPr>
        <w:t xml:space="preserve"> eltörölte a behozott alkoholtartalmú italokra kivetett kiegészítő vámokat („illetékbélyegek”), ezáltal pedig lehetővé tette, hogy az EU-ból származó alkoholtartalmú italok egyenlő feltételekkel versenyezzenek a helyi italokkal.</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noProof/>
          <w:sz w:val="24"/>
          <w:szCs w:val="24"/>
        </w:rPr>
      </w:pPr>
      <w:r>
        <w:rPr>
          <w:rFonts w:ascii="Times New Roman" w:hAnsi="Times New Roman"/>
          <w:noProof/>
          <w:sz w:val="24"/>
          <w:szCs w:val="24"/>
        </w:rPr>
        <w:t xml:space="preserve">– </w:t>
      </w:r>
      <w:r>
        <w:rPr>
          <w:rFonts w:ascii="Times New Roman" w:hAnsi="Times New Roman"/>
          <w:b/>
          <w:noProof/>
          <w:sz w:val="24"/>
          <w:szCs w:val="24"/>
        </w:rPr>
        <w:t>Mexikó</w:t>
      </w:r>
      <w:r>
        <w:rPr>
          <w:rFonts w:ascii="Times New Roman" w:hAnsi="Times New Roman"/>
          <w:noProof/>
          <w:sz w:val="24"/>
          <w:szCs w:val="24"/>
        </w:rPr>
        <w:t xml:space="preserve"> enyhített a körte Belgiumból való behozatalára és a kivi Olaszországból való behozatalára kivetett korlátozásokon és engedélyezte a sertéshús behozatalát Hollandiából.</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noProof/>
          <w:sz w:val="24"/>
          <w:szCs w:val="24"/>
        </w:rPr>
      </w:pPr>
      <w:r>
        <w:rPr>
          <w:rFonts w:ascii="Times New Roman" w:hAnsi="Times New Roman"/>
          <w:noProof/>
          <w:sz w:val="24"/>
          <w:szCs w:val="24"/>
        </w:rPr>
        <w:t xml:space="preserve">– Az EU </w:t>
      </w:r>
      <w:r>
        <w:rPr>
          <w:rFonts w:ascii="Times New Roman" w:hAnsi="Times New Roman"/>
          <w:b/>
          <w:bCs/>
          <w:noProof/>
          <w:sz w:val="24"/>
          <w:szCs w:val="24"/>
        </w:rPr>
        <w:t>WTO keretében vitarendezést kezdeményezett Kolumbia dömpingellenes intézkedéseiről</w:t>
      </w:r>
      <w:r>
        <w:rPr>
          <w:rFonts w:ascii="Times New Roman" w:hAnsi="Times New Roman"/>
          <w:noProof/>
          <w:sz w:val="24"/>
          <w:szCs w:val="24"/>
        </w:rPr>
        <w:t>, amelyek a Belgiumból, Hollandiából és Németországból származó fagyasztott burgonyát érintették</w:t>
      </w:r>
      <w:r>
        <w:rPr>
          <w:rStyle w:val="FootnoteReference"/>
          <w:rFonts w:ascii="Times New Roman" w:hAnsi="Times New Roman" w:cs="Times New Roman"/>
          <w:noProof/>
          <w:color w:val="000000" w:themeColor="text1"/>
          <w:sz w:val="24"/>
          <w:szCs w:val="24"/>
          <w:lang w:val="en-GB"/>
        </w:rPr>
        <w:footnoteReference w:id="33"/>
      </w:r>
      <w:r>
        <w:rPr>
          <w:rFonts w:ascii="Times New Roman" w:hAnsi="Times New Roman"/>
          <w:noProof/>
          <w:sz w:val="24"/>
          <w:szCs w:val="24"/>
        </w:rPr>
        <w:t>.</w:t>
      </w:r>
    </w:p>
    <w:p>
      <w:pPr>
        <w:spacing w:after="0"/>
        <w:rPr>
          <w:rFonts w:ascii="Times New Roman" w:hAnsi="Times New Roman" w:cs="Times New Roman"/>
          <w:b/>
          <w:noProof/>
          <w:sz w:val="24"/>
          <w:szCs w:val="24"/>
        </w:rPr>
      </w:pPr>
    </w:p>
    <w:p>
      <w:pPr>
        <w:rPr>
          <w:rFonts w:ascii="Times New Roman" w:hAnsi="Times New Roman" w:cs="Times New Roman"/>
          <w:noProof/>
          <w:sz w:val="24"/>
          <w:szCs w:val="24"/>
        </w:rPr>
      </w:pPr>
      <w:r>
        <w:rPr>
          <w:rFonts w:ascii="Times New Roman" w:hAnsi="Times New Roman"/>
          <w:b/>
          <w:noProof/>
          <w:sz w:val="24"/>
          <w:szCs w:val="24"/>
        </w:rPr>
        <w:t>Az uniós kereskedelmi megállapodások segítenek partnerségeket kialakítani az EU és Latin-Amerika között, legyen szó akár multilateralizmusról vagy fenntarthatósági célkitűzésekről</w:t>
      </w:r>
      <w:r>
        <w:rPr>
          <w:rFonts w:ascii="Times New Roman" w:hAnsi="Times New Roman"/>
          <w:noProof/>
          <w:sz w:val="24"/>
          <w:szCs w:val="24"/>
        </w:rPr>
        <w:t>, ahogyan az EU által a latin-amerikai országokkal kötött tágabban értelmezett társulási megállapodások is. A latin-amerikai országok fontos szerepet játszottak és továbbra is fontos szerepet játszanak a WTO-nál: az EU fellebbezés esetén választottbírósági eljárás alkalmazásáról rendelkező, többoldalú átmeneti WTO-megállapodásra irányuló javaslatát támogató országok több mint harmada a térségben található. Az EU, az andok országok és Közép-Amerika a Párizsi Megállapodás szerinti nemzetileg meghatározott hozzájárulásokat is megvitatta, még ha a kereskedelmi megállapodások az előtt jöttek is létre.</w:t>
      </w:r>
    </w:p>
    <w:p>
      <w:pPr>
        <w:pStyle w:val="Heading2"/>
        <w:rPr>
          <w:noProof/>
        </w:rPr>
      </w:pPr>
      <w:bookmarkStart w:id="13" w:name="_Toc55303826"/>
      <w:r>
        <w:rPr>
          <w:noProof/>
        </w:rPr>
        <w:t>3.3. AZ EU-VAL SZOMSZÉDOS ORSZÁGOK</w:t>
      </w:r>
      <w:bookmarkEnd w:id="13"/>
    </w:p>
    <w:p>
      <w:pPr>
        <w:pStyle w:val="Heading3"/>
        <w:rPr>
          <w:noProof/>
        </w:rPr>
      </w:pPr>
      <w:bookmarkStart w:id="14" w:name="_Toc55303827"/>
      <w:r>
        <w:rPr>
          <w:noProof/>
        </w:rPr>
        <w:t>3.3.1. A földközi-tengeri és közel-keleti partnerek</w:t>
      </w:r>
      <w:bookmarkEnd w:id="14"/>
    </w:p>
    <w:p>
      <w:pPr>
        <w:autoSpaceDE w:val="0"/>
        <w:autoSpaceDN w:val="0"/>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A dél-mediterrán és közel-keleti országokkal kötött tágabban értelmezett társulási megállapodások alapján kötött </w:t>
      </w:r>
      <w:r>
        <w:rPr>
          <w:rFonts w:ascii="Times New Roman" w:hAnsi="Times New Roman"/>
          <w:b/>
          <w:noProof/>
          <w:color w:val="000000" w:themeColor="text1"/>
          <w:sz w:val="24"/>
          <w:szCs w:val="24"/>
        </w:rPr>
        <w:t>szabadkereskedelmi térségekről</w:t>
      </w:r>
      <w:r>
        <w:rPr>
          <w:rFonts w:ascii="Times New Roman" w:hAnsi="Times New Roman"/>
          <w:noProof/>
          <w:color w:val="000000" w:themeColor="text1"/>
          <w:sz w:val="24"/>
          <w:szCs w:val="24"/>
        </w:rPr>
        <w:t xml:space="preserve"> szóló megállapodások (a „kereskedelmi megállapodások”) 2000 elején léptek hatályba. Az EU és a nyolc dél-mediterrán és közel-keleti ország, azaz </w:t>
      </w:r>
      <w:r>
        <w:rPr>
          <w:rFonts w:ascii="Times New Roman" w:hAnsi="Times New Roman"/>
          <w:b/>
          <w:noProof/>
          <w:color w:val="000000" w:themeColor="text1"/>
          <w:sz w:val="24"/>
          <w:szCs w:val="24"/>
        </w:rPr>
        <w:t>Algéria, Egyiptom, Izrael, Jordánia, Libanon, Marokkó, Palesztina</w:t>
      </w:r>
      <w:r>
        <w:rPr>
          <w:rStyle w:val="FootnoteReference"/>
          <w:rFonts w:ascii="Times New Roman" w:hAnsi="Times New Roman" w:cs="Times New Roman"/>
          <w:noProof/>
          <w:color w:val="000000" w:themeColor="text1"/>
          <w:sz w:val="24"/>
          <w:szCs w:val="24"/>
          <w:lang w:val="en-GB"/>
        </w:rPr>
        <w:footnoteReference w:id="34"/>
      </w:r>
      <w:r>
        <w:rPr>
          <w:rFonts w:ascii="Times New Roman" w:hAnsi="Times New Roman"/>
          <w:b/>
          <w:noProof/>
          <w:color w:val="000000" w:themeColor="text1"/>
          <w:sz w:val="24"/>
          <w:szCs w:val="24"/>
        </w:rPr>
        <w:t xml:space="preserve"> és Tunézia</w:t>
      </w:r>
      <w:r>
        <w:rPr>
          <w:rFonts w:ascii="Times New Roman" w:hAnsi="Times New Roman"/>
          <w:noProof/>
          <w:color w:val="000000" w:themeColor="text1"/>
          <w:sz w:val="24"/>
          <w:szCs w:val="24"/>
        </w:rPr>
        <w:t xml:space="preserve"> hagyományosan nagyon szoros partnerek, amelyeket történelmi és kulturális kötelékek, valamint a földrajzi közelség kötik az EU-hoz. Az EU Jordánia és Palesztina kivételével valamennyi országnak és a térség egészének az első kereskedelmi partnere. Az </w:t>
      </w:r>
      <w:r>
        <w:rPr>
          <w:rFonts w:ascii="Times New Roman" w:hAnsi="Times New Roman"/>
          <w:b/>
          <w:noProof/>
          <w:color w:val="000000" w:themeColor="text1"/>
          <w:sz w:val="24"/>
          <w:szCs w:val="24"/>
        </w:rPr>
        <w:t>európai szomszédságpolitika</w:t>
      </w:r>
      <w:r>
        <w:rPr>
          <w:rFonts w:ascii="Times New Roman" w:hAnsi="Times New Roman"/>
          <w:noProof/>
          <w:color w:val="000000" w:themeColor="text1"/>
          <w:sz w:val="24"/>
          <w:szCs w:val="24"/>
        </w:rPr>
        <w:t xml:space="preserve"> keretében az EU kiemelt kapcsolatot kínál ezeknek az országoknak, amely közös értékek – például a demokrácia és az emberi jogok, a jogállamiság, a jó kormányzás, a piacgazdaság elvei és a fenntartható fejlődés melletti kölcsönös elkötelezettségre épül.</w:t>
      </w:r>
    </w:p>
    <w:p>
      <w:pPr>
        <w:autoSpaceDE w:val="0"/>
        <w:autoSpaceDN w:val="0"/>
        <w:rPr>
          <w:rFonts w:ascii="Times New Roman" w:hAnsi="Times New Roman" w:cs="Times New Roman"/>
          <w:iCs/>
          <w:noProof/>
          <w:sz w:val="24"/>
          <w:szCs w:val="24"/>
        </w:rPr>
      </w:pPr>
      <w:r>
        <w:rPr>
          <w:rFonts w:ascii="Times New Roman" w:hAnsi="Times New Roman"/>
          <w:noProof/>
          <w:color w:val="000000" w:themeColor="text1"/>
          <w:sz w:val="24"/>
          <w:szCs w:val="24"/>
        </w:rPr>
        <w:t xml:space="preserve">Az EU és e partnerek között a legtöbb ipari termékkel most már </w:t>
      </w:r>
      <w:r>
        <w:rPr>
          <w:rFonts w:ascii="Times New Roman" w:hAnsi="Times New Roman"/>
          <w:b/>
          <w:bCs/>
          <w:noProof/>
          <w:color w:val="000000" w:themeColor="text1"/>
          <w:sz w:val="24"/>
          <w:szCs w:val="24"/>
        </w:rPr>
        <w:t>vámmentesen kereskednek</w:t>
      </w:r>
      <w:r>
        <w:rPr>
          <w:rStyle w:val="FootnoteReference"/>
          <w:rFonts w:ascii="Times New Roman" w:hAnsi="Times New Roman" w:cs="Times New Roman"/>
          <w:noProof/>
          <w:color w:val="000000" w:themeColor="text1"/>
          <w:sz w:val="24"/>
          <w:szCs w:val="24"/>
          <w:lang w:val="en-GB"/>
        </w:rPr>
        <w:footnoteReference w:id="35"/>
      </w:r>
      <w:r>
        <w:rPr>
          <w:rFonts w:ascii="Times New Roman" w:hAnsi="Times New Roman"/>
          <w:noProof/>
          <w:color w:val="000000" w:themeColor="text1"/>
          <w:sz w:val="24"/>
          <w:szCs w:val="24"/>
        </w:rPr>
        <w:t xml:space="preserve">. Egyiptom 2019. január 1-jén befejezte az ipari termékekre alkalmazott vámtarifák teljes körű lebontását, az uniós személygépjármű-kivitelre kivetett vámok eltörlésével. Az Európai Bizottság januárban elindította hat kereskedelmi megállapodás </w:t>
      </w:r>
      <w:r>
        <w:rPr>
          <w:rFonts w:ascii="Times New Roman" w:hAnsi="Times New Roman"/>
          <w:b/>
          <w:noProof/>
          <w:color w:val="000000" w:themeColor="text1"/>
          <w:sz w:val="24"/>
          <w:szCs w:val="24"/>
        </w:rPr>
        <w:t>utólagos értékelését</w:t>
      </w:r>
      <w:r>
        <w:rPr>
          <w:rFonts w:ascii="Times New Roman" w:hAnsi="Times New Roman"/>
          <w:noProof/>
          <w:color w:val="000000" w:themeColor="text1"/>
          <w:sz w:val="24"/>
          <w:szCs w:val="24"/>
        </w:rPr>
        <w:t xml:space="preserve">. </w:t>
      </w:r>
      <w:r>
        <w:rPr>
          <w:rFonts w:ascii="Times New Roman" w:hAnsi="Times New Roman"/>
          <w:noProof/>
          <w:sz w:val="24"/>
          <w:szCs w:val="24"/>
        </w:rPr>
        <w:t xml:space="preserve">Az </w:t>
      </w:r>
      <w:r>
        <w:rPr>
          <w:rFonts w:ascii="Times New Roman" w:hAnsi="Times New Roman"/>
          <w:b/>
          <w:noProof/>
          <w:sz w:val="24"/>
          <w:szCs w:val="24"/>
        </w:rPr>
        <w:t>időközi jelentést</w:t>
      </w:r>
      <w:r>
        <w:rPr>
          <w:rStyle w:val="FootnoteReference"/>
          <w:rFonts w:ascii="Times New Roman" w:hAnsi="Times New Roman" w:cs="Times New Roman"/>
          <w:noProof/>
          <w:color w:val="000000" w:themeColor="text1"/>
          <w:sz w:val="24"/>
          <w:szCs w:val="24"/>
          <w:lang w:val="en-GB"/>
        </w:rPr>
        <w:footnoteReference w:id="36"/>
      </w:r>
      <w:r>
        <w:rPr>
          <w:rFonts w:ascii="Times New Roman" w:hAnsi="Times New Roman"/>
          <w:noProof/>
          <w:sz w:val="24"/>
          <w:szCs w:val="24"/>
        </w:rPr>
        <w:t xml:space="preserve"> 2020 áprilisában tették közzé. Az előzetes megállapítások alapján a vámok eltörlése </w:t>
      </w:r>
      <w:r>
        <w:rPr>
          <w:rFonts w:ascii="Times New Roman" w:hAnsi="Times New Roman"/>
          <w:b/>
          <w:noProof/>
          <w:sz w:val="24"/>
          <w:szCs w:val="24"/>
        </w:rPr>
        <w:t>gazdasági hasznokkal járt a dél-mediterrán és közel-keleti országok számára</w:t>
      </w:r>
      <w:r>
        <w:rPr>
          <w:rFonts w:ascii="Times New Roman" w:hAnsi="Times New Roman"/>
          <w:noProof/>
          <w:sz w:val="24"/>
          <w:szCs w:val="24"/>
        </w:rPr>
        <w:t>.</w:t>
      </w:r>
      <w:r>
        <w:rPr>
          <w:rFonts w:ascii="Times New Roman" w:hAnsi="Times New Roman"/>
          <w:b/>
          <w:bCs/>
          <w:noProof/>
          <w:sz w:val="24"/>
          <w:szCs w:val="24"/>
        </w:rPr>
        <w:t xml:space="preserve"> </w:t>
      </w:r>
      <w:r>
        <w:rPr>
          <w:rFonts w:ascii="Times New Roman" w:hAnsi="Times New Roman"/>
          <w:bCs/>
          <w:noProof/>
          <w:sz w:val="24"/>
          <w:szCs w:val="24"/>
        </w:rPr>
        <w:t>A végleges jelentés előreláthatóan 2020 decemberére készül el.</w:t>
      </w:r>
    </w:p>
    <w:p>
      <w:pPr>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Mivel a jelenleg érvényes kereskedelmi megállapodások az áruk kereskedelmére összpontosítanak, több </w:t>
      </w:r>
      <w:r>
        <w:rPr>
          <w:rFonts w:ascii="Times New Roman" w:hAnsi="Times New Roman"/>
          <w:b/>
          <w:noProof/>
          <w:color w:val="000000" w:themeColor="text1"/>
          <w:sz w:val="24"/>
          <w:szCs w:val="24"/>
        </w:rPr>
        <w:t>kétoldalú tárgyalás van folyamatban</w:t>
      </w:r>
      <w:r>
        <w:rPr>
          <w:rFonts w:ascii="Times New Roman" w:hAnsi="Times New Roman"/>
          <w:noProof/>
          <w:color w:val="000000" w:themeColor="text1"/>
          <w:sz w:val="24"/>
          <w:szCs w:val="24"/>
        </w:rPr>
        <w:t>, illetve áll kezdeményezés alatt a térségben, nevezetesen Marokkóval és Tunéziával, a kötelezettségvállalások elmélyítése és a hatály egyéb területekre – pl. mezőgazdaság, szolgáltatások, befektetés, kereskedelmi szabályok, szabályozási konvergencia, továbbá kereskedelem és fenntartható fejlődés – való kiterjesztése érdekében.</w:t>
      </w:r>
    </w:p>
    <w:p>
      <w:pPr>
        <w:spacing w:after="0" w:line="264" w:lineRule="auto"/>
        <w:rPr>
          <w:rFonts w:ascii="Times New Roman" w:eastAsia="Times New Roman" w:hAnsi="Times New Roman" w:cs="Times New Roman"/>
          <w:b/>
          <w:noProof/>
          <w:sz w:val="24"/>
          <w:szCs w:val="24"/>
          <w:lang w:eastAsia="en-GB"/>
        </w:rPr>
      </w:pPr>
    </w:p>
    <w:p>
      <w:pPr>
        <w:spacing w:after="0" w:line="264" w:lineRule="auto"/>
        <w:rPr>
          <w:rFonts w:ascii="Times New Roman" w:eastAsia="Times New Roman" w:hAnsi="Times New Roman" w:cs="Times New Roman"/>
          <w:b/>
          <w:noProof/>
          <w:sz w:val="24"/>
          <w:szCs w:val="24"/>
        </w:rPr>
      </w:pPr>
      <w:r>
        <w:rPr>
          <w:rFonts w:ascii="Times New Roman" w:hAnsi="Times New Roman"/>
          <w:b/>
          <w:noProof/>
          <w:sz w:val="24"/>
          <w:szCs w:val="24"/>
        </w:rPr>
        <w:t>Kétoldalú kereskedelem: 2019. évi tendenciák</w:t>
      </w:r>
    </w:p>
    <w:p>
      <w:pPr>
        <w:tabs>
          <w:tab w:val="left" w:pos="5258"/>
        </w:tabs>
        <w:spacing w:after="0"/>
        <w:rPr>
          <w:rFonts w:ascii="Times New Roman" w:hAnsi="Times New Roman" w:cs="Times New Roman"/>
          <w:b/>
          <w:noProof/>
          <w:color w:val="000000" w:themeColor="text1"/>
          <w:sz w:val="24"/>
          <w:szCs w:val="24"/>
        </w:rPr>
      </w:pPr>
    </w:p>
    <w:p>
      <w:pPr>
        <w:tabs>
          <w:tab w:val="left" w:pos="5258"/>
        </w:tabs>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Noha a térség az EU külkereskedelmének csupán 4 %-át képviseli, nagyon fontos piac az uniós kivitel számára, amely piac </w:t>
      </w:r>
      <w:r>
        <w:rPr>
          <w:rFonts w:ascii="Times New Roman" w:hAnsi="Times New Roman"/>
          <w:b/>
          <w:noProof/>
          <w:color w:val="000000" w:themeColor="text1"/>
          <w:sz w:val="24"/>
          <w:szCs w:val="24"/>
        </w:rPr>
        <w:t>különösen a kkv-k számára néhány hagyományos ágazatban</w:t>
      </w:r>
      <w:r>
        <w:rPr>
          <w:rFonts w:ascii="Times New Roman" w:hAnsi="Times New Roman"/>
          <w:noProof/>
          <w:color w:val="000000" w:themeColor="text1"/>
          <w:sz w:val="24"/>
          <w:szCs w:val="24"/>
        </w:rPr>
        <w:t xml:space="preserve">, így például a textil- és kerámiaágazatban </w:t>
      </w:r>
      <w:r>
        <w:rPr>
          <w:rFonts w:ascii="Times New Roman" w:hAnsi="Times New Roman"/>
          <w:b/>
          <w:noProof/>
          <w:color w:val="000000" w:themeColor="text1"/>
          <w:sz w:val="24"/>
          <w:szCs w:val="24"/>
        </w:rPr>
        <w:t>tartogat lehetőségeket</w:t>
      </w:r>
      <w:r>
        <w:rPr>
          <w:rFonts w:ascii="Times New Roman" w:hAnsi="Times New Roman"/>
          <w:noProof/>
          <w:color w:val="000000" w:themeColor="text1"/>
          <w:sz w:val="24"/>
          <w:szCs w:val="24"/>
        </w:rPr>
        <w:t xml:space="preserve">. </w:t>
      </w:r>
      <w:r>
        <w:rPr>
          <w:rFonts w:ascii="Times New Roman" w:hAnsi="Times New Roman"/>
          <w:noProof/>
          <w:sz w:val="24"/>
          <w:szCs w:val="24"/>
        </w:rPr>
        <w:t>A térség továbbá a behozatal jelentős forrása marad, különösen az energia- és az agrár-élelmiszeripari ágazatban.</w:t>
      </w:r>
    </w:p>
    <w:p>
      <w:pPr>
        <w:tabs>
          <w:tab w:val="left" w:pos="5258"/>
        </w:tabs>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2019-ben az EU és a térség közötti kereskedelem az ipari termékek esetében közel 150 milliárd EUR-ra, a mezőgazdasági termékek esetében pedig 15 milliárd EUR-ra rúgott. </w:t>
      </w:r>
      <w:r>
        <w:rPr>
          <w:rFonts w:ascii="Times New Roman" w:hAnsi="Times New Roman"/>
          <w:b/>
          <w:noProof/>
          <w:color w:val="000000" w:themeColor="text1"/>
          <w:sz w:val="24"/>
          <w:szCs w:val="24"/>
        </w:rPr>
        <w:t>A kereskedelem csekély mértékben</w:t>
      </w:r>
      <w:r>
        <w:rPr>
          <w:rFonts w:ascii="Times New Roman" w:hAnsi="Times New Roman"/>
          <w:noProof/>
          <w:color w:val="000000" w:themeColor="text1"/>
          <w:sz w:val="24"/>
          <w:szCs w:val="24"/>
        </w:rPr>
        <w:t xml:space="preserve">, 0,17 %-kal vagy 248 millió EUR-val </w:t>
      </w:r>
      <w:r>
        <w:rPr>
          <w:rFonts w:ascii="Times New Roman" w:hAnsi="Times New Roman"/>
          <w:b/>
          <w:noProof/>
          <w:color w:val="000000" w:themeColor="text1"/>
          <w:sz w:val="24"/>
          <w:szCs w:val="24"/>
        </w:rPr>
        <w:t>csökkent évente</w:t>
      </w:r>
      <w:r>
        <w:rPr>
          <w:rFonts w:ascii="Times New Roman" w:hAnsi="Times New Roman"/>
          <w:noProof/>
          <w:color w:val="000000" w:themeColor="text1"/>
          <w:sz w:val="24"/>
          <w:szCs w:val="24"/>
        </w:rPr>
        <w:t>. 2018 és 2019 között az EU-nak a térségbe irányuló kivitele 0,38 %-kal csökkent 100 milliárd EUR-ról 99 milliárd EUR-ra, főként az egyes országok által bevezetett kereskedelemkorlátozó intézkedések miatt. Algéria, Izrael és Marokkó maradtak az EU legnagyobb kereskedelmi partnerei a térségben.</w:t>
      </w:r>
    </w:p>
    <w:p>
      <w:pPr>
        <w:tabs>
          <w:tab w:val="left" w:pos="5258"/>
        </w:tabs>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2019-ben Marokkó volt </w:t>
      </w:r>
      <w:r>
        <w:rPr>
          <w:rFonts w:ascii="Times New Roman" w:hAnsi="Times New Roman"/>
          <w:b/>
          <w:noProof/>
          <w:color w:val="000000" w:themeColor="text1"/>
          <w:sz w:val="24"/>
          <w:szCs w:val="24"/>
        </w:rPr>
        <w:t>az uniós kivitel</w:t>
      </w:r>
      <w:r>
        <w:rPr>
          <w:rFonts w:ascii="Times New Roman" w:hAnsi="Times New Roman"/>
          <w:noProof/>
          <w:color w:val="000000" w:themeColor="text1"/>
          <w:sz w:val="24"/>
          <w:szCs w:val="24"/>
        </w:rPr>
        <w:t xml:space="preserve"> fő </w:t>
      </w:r>
      <w:r>
        <w:rPr>
          <w:rFonts w:ascii="Times New Roman" w:hAnsi="Times New Roman"/>
          <w:b/>
          <w:noProof/>
          <w:color w:val="000000" w:themeColor="text1"/>
          <w:sz w:val="24"/>
          <w:szCs w:val="24"/>
        </w:rPr>
        <w:t>piaca</w:t>
      </w:r>
      <w:r>
        <w:rPr>
          <w:rFonts w:ascii="Times New Roman" w:hAnsi="Times New Roman"/>
          <w:noProof/>
          <w:color w:val="000000" w:themeColor="text1"/>
          <w:sz w:val="24"/>
          <w:szCs w:val="24"/>
        </w:rPr>
        <w:t xml:space="preserve"> a térségben, amelyet Izrael és Egyiptom követett a sorban.</w:t>
      </w:r>
    </w:p>
    <w:p>
      <w:pPr>
        <w:tabs>
          <w:tab w:val="left" w:pos="5258"/>
        </w:tabs>
        <w:spacing w:after="0"/>
        <w:rPr>
          <w:rFonts w:ascii="Times New Roman" w:hAnsi="Times New Roman" w:cs="Times New Roman"/>
          <w:noProof/>
          <w:color w:val="000000" w:themeColor="text1"/>
        </w:rPr>
      </w:pPr>
      <w:r>
        <w:rPr>
          <w:rFonts w:ascii="Times New Roman" w:hAnsi="Times New Roman" w:cs="Times New Roman"/>
          <w:noProof/>
          <w:color w:val="000000" w:themeColor="text1"/>
          <w:lang w:val="en-GB" w:eastAsia="en-GB"/>
        </w:rPr>
        <w:drawing>
          <wp:inline distT="0" distB="0" distL="0" distR="0">
            <wp:extent cx="5943600" cy="34156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0. ábra2.PNG"/>
                    <pic:cNvPicPr/>
                  </pic:nvPicPr>
                  <pic:blipFill>
                    <a:blip r:embed="rId28">
                      <a:extLst>
                        <a:ext uri="{28A0092B-C50C-407E-A947-70E740481C1C}">
                          <a14:useLocalDpi xmlns:a14="http://schemas.microsoft.com/office/drawing/2010/main" val="0"/>
                        </a:ext>
                      </a:extLst>
                    </a:blip>
                    <a:stretch>
                      <a:fillRect/>
                    </a:stretch>
                  </pic:blipFill>
                  <pic:spPr>
                    <a:xfrm>
                      <a:off x="0" y="0"/>
                      <a:ext cx="5943600" cy="3415665"/>
                    </a:xfrm>
                    <a:prstGeom prst="rect">
                      <a:avLst/>
                    </a:prstGeom>
                  </pic:spPr>
                </pic:pic>
              </a:graphicData>
            </a:graphic>
          </wp:inline>
        </w:drawing>
      </w:r>
    </w:p>
    <w:p>
      <w:pPr>
        <w:tabs>
          <w:tab w:val="left" w:pos="9360"/>
        </w:tabs>
        <w:rPr>
          <w:rFonts w:ascii="Times New Roman" w:hAnsi="Times New Roman"/>
          <w:noProof/>
          <w:color w:val="000000" w:themeColor="text1"/>
          <w:sz w:val="24"/>
          <w:szCs w:val="24"/>
        </w:rPr>
      </w:pPr>
    </w:p>
    <w:p>
      <w:pPr>
        <w:tabs>
          <w:tab w:val="left" w:pos="9360"/>
        </w:tabs>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A </w:t>
      </w:r>
      <w:r>
        <w:rPr>
          <w:rFonts w:ascii="Times New Roman" w:hAnsi="Times New Roman"/>
          <w:b/>
          <w:noProof/>
          <w:color w:val="000000" w:themeColor="text1"/>
          <w:sz w:val="24"/>
          <w:szCs w:val="24"/>
        </w:rPr>
        <w:t>kereskedelem ágazatonkénti alakulását</w:t>
      </w:r>
      <w:r>
        <w:rPr>
          <w:rFonts w:ascii="Times New Roman" w:hAnsi="Times New Roman"/>
          <w:noProof/>
          <w:color w:val="000000" w:themeColor="text1"/>
          <w:sz w:val="24"/>
          <w:szCs w:val="24"/>
        </w:rPr>
        <w:t xml:space="preserve"> vizsgálva megállapítható, hogy az EU-nak a térséggel folytatott kereskedelmének 90 %-a ipari termékekben bonyolódott (energiaágazat és gyártott termékek), és a kivitel 0,5 %-kal csökkent, a behozatal pedig stagnált. Ezzel ellentétben az </w:t>
      </w:r>
      <w:r>
        <w:rPr>
          <w:rFonts w:ascii="Times New Roman" w:hAnsi="Times New Roman"/>
          <w:b/>
          <w:noProof/>
          <w:color w:val="000000" w:themeColor="text1"/>
          <w:sz w:val="24"/>
          <w:szCs w:val="24"/>
        </w:rPr>
        <w:t>agrár-élelmiszeripari kereskedelem 6,2 %-kal nőtt</w:t>
      </w:r>
      <w:r>
        <w:rPr>
          <w:rFonts w:ascii="Times New Roman" w:hAnsi="Times New Roman"/>
          <w:noProof/>
          <w:color w:val="000000" w:themeColor="text1"/>
          <w:sz w:val="24"/>
          <w:szCs w:val="24"/>
        </w:rPr>
        <w:t xml:space="preserve">, az uniós kivitel 6,4 %-kal vagy 623 millió EUR-val, a behozatal pedig 6 %-kal. Ez azt mutatja, hogy különösen Algéria és Tunézia esetében még </w:t>
      </w:r>
      <w:r>
        <w:rPr>
          <w:rFonts w:ascii="Times New Roman" w:hAnsi="Times New Roman"/>
          <w:b/>
          <w:bCs/>
          <w:noProof/>
          <w:color w:val="000000" w:themeColor="text1"/>
          <w:sz w:val="24"/>
          <w:szCs w:val="24"/>
        </w:rPr>
        <w:t>kihasználatlan lehetőségek rejlenek a mezőgazdasági kereskedelem további liberalizálásában</w:t>
      </w:r>
      <w:r>
        <w:rPr>
          <w:rStyle w:val="FootnoteReference"/>
          <w:rFonts w:ascii="Times New Roman" w:hAnsi="Times New Roman" w:cs="Times New Roman"/>
          <w:noProof/>
          <w:color w:val="000000" w:themeColor="text1"/>
          <w:sz w:val="24"/>
          <w:szCs w:val="24"/>
          <w:lang w:val="en-GB"/>
        </w:rPr>
        <w:footnoteReference w:id="37"/>
      </w:r>
      <w:r>
        <w:rPr>
          <w:rFonts w:ascii="Times New Roman" w:hAnsi="Times New Roman"/>
          <w:noProof/>
          <w:color w:val="000000" w:themeColor="text1"/>
          <w:sz w:val="24"/>
          <w:szCs w:val="24"/>
        </w:rPr>
        <w:t>. A térségben Algéria és Izrael volt az EU agrár-élelmiszeripari kivitelének legnagyobb célterülete. A fő uniós kiviteli termékek a búza és egyéb gabonafélék, a csecsemőknek szánt élelmiszer és az élő állatok voltak.</w:t>
      </w:r>
    </w:p>
    <w:p>
      <w:pPr>
        <w:spacing w:after="160"/>
        <w:rPr>
          <w:rFonts w:ascii="Times New Roman" w:hAnsi="Times New Roman" w:cs="Times New Roman"/>
          <w:noProof/>
          <w:sz w:val="24"/>
          <w:szCs w:val="24"/>
        </w:rPr>
      </w:pPr>
      <w:r>
        <w:rPr>
          <w:rFonts w:ascii="Times New Roman" w:hAnsi="Times New Roman"/>
          <w:noProof/>
          <w:sz w:val="24"/>
          <w:szCs w:val="24"/>
        </w:rPr>
        <w:t xml:space="preserve">A </w:t>
      </w:r>
      <w:r>
        <w:rPr>
          <w:rFonts w:ascii="Times New Roman" w:hAnsi="Times New Roman"/>
          <w:i/>
          <w:iCs/>
          <w:noProof/>
          <w:sz w:val="24"/>
          <w:szCs w:val="24"/>
        </w:rPr>
        <w:t>Világbank 2020. évi Doing Business mutatója</w:t>
      </w:r>
      <w:r>
        <w:rPr>
          <w:rFonts w:ascii="Times New Roman" w:hAnsi="Times New Roman"/>
          <w:noProof/>
          <w:sz w:val="24"/>
          <w:szCs w:val="24"/>
        </w:rPr>
        <w:t xml:space="preserve"> szerint (amely a vállalkozásindítás egyszerűségét jellemzi), </w:t>
      </w:r>
      <w:r>
        <w:rPr>
          <w:rFonts w:ascii="Times New Roman" w:hAnsi="Times New Roman"/>
          <w:b/>
          <w:bCs/>
          <w:noProof/>
          <w:sz w:val="24"/>
          <w:szCs w:val="24"/>
        </w:rPr>
        <w:t>2019-ben a dél-mediterrán országok többségében javult az üzleti klíma</w:t>
      </w:r>
      <w:r>
        <w:rPr>
          <w:rFonts w:ascii="Times New Roman" w:hAnsi="Times New Roman"/>
          <w:noProof/>
          <w:sz w:val="24"/>
          <w:szCs w:val="24"/>
        </w:rPr>
        <w:t>, különösen Jordániában, amely a 10 legnagyobb javulást elért ország között volt</w:t>
      </w:r>
      <w:r>
        <w:rPr>
          <w:rStyle w:val="FootnoteReference"/>
          <w:rFonts w:ascii="Times New Roman" w:hAnsi="Times New Roman" w:cs="Times New Roman"/>
          <w:noProof/>
          <w:sz w:val="24"/>
          <w:szCs w:val="24"/>
          <w:lang w:val="en-GB" w:eastAsia="nl-NL"/>
        </w:rPr>
        <w:footnoteReference w:id="38"/>
      </w:r>
      <w:r>
        <w:rPr>
          <w:rFonts w:ascii="Times New Roman" w:hAnsi="Times New Roman"/>
          <w:noProof/>
          <w:sz w:val="24"/>
          <w:szCs w:val="24"/>
        </w:rPr>
        <w:t xml:space="preserve">. 2018-ban </w:t>
      </w:r>
      <w:r>
        <w:rPr>
          <w:rFonts w:ascii="Times New Roman" w:hAnsi="Times New Roman"/>
          <w:b/>
          <w:bCs/>
          <w:noProof/>
          <w:sz w:val="24"/>
          <w:szCs w:val="24"/>
        </w:rPr>
        <w:t>továbbra is az EU volt a legnagyobb befektető ezek közül az országok közül sokban</w:t>
      </w:r>
      <w:r>
        <w:rPr>
          <w:rFonts w:ascii="Times New Roman" w:hAnsi="Times New Roman"/>
          <w:noProof/>
          <w:sz w:val="24"/>
          <w:szCs w:val="24"/>
        </w:rPr>
        <w:t>: a Marokkóba irányuló közvetlen tőkebefektetések több mint fele</w:t>
      </w:r>
      <w:r>
        <w:rPr>
          <w:rStyle w:val="FootnoteReference"/>
          <w:rFonts w:ascii="Times New Roman" w:hAnsi="Times New Roman" w:cs="Times New Roman"/>
          <w:noProof/>
          <w:sz w:val="24"/>
          <w:szCs w:val="24"/>
          <w:lang w:val="en-GB" w:eastAsia="nl-NL"/>
        </w:rPr>
        <w:footnoteReference w:id="39"/>
      </w:r>
      <w:r>
        <w:rPr>
          <w:rFonts w:ascii="Times New Roman" w:hAnsi="Times New Roman"/>
          <w:noProof/>
          <w:sz w:val="24"/>
          <w:szCs w:val="24"/>
        </w:rPr>
        <w:t>, a Tunéziába irányulóknak pedig 85 %-a származott az EU-ból.</w:t>
      </w:r>
      <w:r>
        <w:rPr>
          <w:rStyle w:val="FootnoteReference"/>
          <w:rFonts w:ascii="Times New Roman" w:hAnsi="Times New Roman" w:cs="Times New Roman"/>
          <w:noProof/>
          <w:sz w:val="24"/>
          <w:szCs w:val="24"/>
          <w:lang w:val="en-GB" w:eastAsia="nl-NL"/>
        </w:rPr>
        <w:footnoteReference w:id="40"/>
      </w:r>
      <w:r>
        <w:rPr>
          <w:rFonts w:ascii="Times New Roman" w:hAnsi="Times New Roman"/>
          <w:noProof/>
          <w:sz w:val="24"/>
          <w:szCs w:val="24"/>
        </w:rPr>
        <w:t xml:space="preserve"> Egyiptomban az EU a második legnagyobb külföldi befektető: oda irányuló közvetlen külföldi tőkebefektetések 21 %-ával az Egyesült Királyság (39 %) után, amely meghaladja a 15 milliárd USD-t (körülbelül 12,7 milliárd EUR-t), és az ott működő 6 339 vállalkozás több mint 192 000 munkahelyet biztosít.</w:t>
      </w:r>
      <w:r>
        <w:rPr>
          <w:rStyle w:val="FootnoteReference"/>
          <w:rFonts w:ascii="Times New Roman" w:hAnsi="Times New Roman" w:cs="Times New Roman"/>
          <w:noProof/>
          <w:sz w:val="24"/>
          <w:szCs w:val="24"/>
          <w:lang w:val="en-GB" w:eastAsia="nl-NL"/>
        </w:rPr>
        <w:footnoteReference w:id="41"/>
      </w:r>
      <w:r>
        <w:rPr>
          <w:rFonts w:ascii="Times New Roman" w:hAnsi="Times New Roman"/>
          <w:noProof/>
          <w:sz w:val="24"/>
          <w:szCs w:val="24"/>
        </w:rPr>
        <w:t xml:space="preserve"> Marokkóban a gépjárműipar több mint 85 000 közvetlen állást teremtett a 2014 és 2018 közötti időszakban, ezáltal az ágazatban betöltött összes állás száma 2018-ra elérte a 163 000-et.</w:t>
      </w:r>
      <w:r>
        <w:rPr>
          <w:rFonts w:ascii="Times New Roman" w:hAnsi="Times New Roman"/>
          <w:noProof/>
          <w:color w:val="000000" w:themeColor="text1"/>
          <w:sz w:val="24"/>
          <w:szCs w:val="24"/>
        </w:rPr>
        <w:t xml:space="preserve"> </w:t>
      </w:r>
      <w:r>
        <w:rPr>
          <w:rFonts w:ascii="Times New Roman" w:hAnsi="Times New Roman"/>
          <w:noProof/>
          <w:sz w:val="24"/>
          <w:szCs w:val="24"/>
        </w:rPr>
        <w:t>Bizonyos országok, különösen Izrael, fontos forrásai a közvetlen külföldi tőkebefektetésnek az EU-ban.</w:t>
      </w:r>
    </w:p>
    <w:p>
      <w:pPr>
        <w:spacing w:after="0"/>
        <w:rPr>
          <w:rFonts w:ascii="Times New Roman" w:hAnsi="Times New Roman" w:cs="Times New Roman"/>
          <w:noProof/>
          <w:sz w:val="24"/>
          <w:szCs w:val="24"/>
          <w:lang w:eastAsia="nl-NL"/>
        </w:rPr>
      </w:pPr>
    </w:p>
    <w:p>
      <w:pPr>
        <w:keepNext/>
        <w:pBdr>
          <w:top w:val="single" w:sz="4" w:space="1"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b/>
          <w:noProof/>
          <w:sz w:val="24"/>
          <w:szCs w:val="24"/>
        </w:rPr>
      </w:pPr>
      <w:r>
        <w:rPr>
          <w:rFonts w:ascii="Times New Roman" w:hAnsi="Times New Roman"/>
          <w:b/>
          <w:noProof/>
          <w:sz w:val="24"/>
          <w:szCs w:val="24"/>
        </w:rPr>
        <w:t xml:space="preserve">A végrehajtásban elért haladás 2019-ben: </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noProof/>
          <w:sz w:val="24"/>
          <w:szCs w:val="24"/>
        </w:rPr>
      </w:pPr>
      <w:r>
        <w:rPr>
          <w:rFonts w:ascii="Times New Roman" w:hAnsi="Times New Roman"/>
          <w:noProof/>
          <w:sz w:val="24"/>
          <w:szCs w:val="24"/>
        </w:rPr>
        <w:t xml:space="preserve">– </w:t>
      </w:r>
      <w:r>
        <w:rPr>
          <w:rFonts w:ascii="Times New Roman" w:hAnsi="Times New Roman"/>
          <w:b/>
          <w:noProof/>
          <w:sz w:val="24"/>
          <w:szCs w:val="24"/>
        </w:rPr>
        <w:t>Egyiptom</w:t>
      </w:r>
      <w:r>
        <w:rPr>
          <w:rFonts w:ascii="Times New Roman" w:hAnsi="Times New Roman"/>
          <w:noProof/>
          <w:sz w:val="24"/>
          <w:szCs w:val="24"/>
        </w:rPr>
        <w:t xml:space="preserve">, a politikai és technikai szinten folytatott párbeszéd megerősítésének eredményeként eltörölte az országba irányuló kivitelre szánt </w:t>
      </w:r>
      <w:r>
        <w:rPr>
          <w:rFonts w:ascii="Times New Roman" w:hAnsi="Times New Roman"/>
          <w:b/>
          <w:noProof/>
          <w:sz w:val="24"/>
          <w:szCs w:val="24"/>
        </w:rPr>
        <w:t>élő állatok EU-ban elvégzendő állategészségügyi ellenőrzéseinek</w:t>
      </w:r>
      <w:r>
        <w:rPr>
          <w:rFonts w:ascii="Times New Roman" w:hAnsi="Times New Roman"/>
          <w:noProof/>
          <w:sz w:val="24"/>
          <w:szCs w:val="24"/>
        </w:rPr>
        <w:t xml:space="preserve"> követelményét; Egyiptom továbbá a vetőburgonyára vonatkozó követelmények többségére uniós normákat fogadott el, és megkönnyítette az anyatej-helyettesítő tápszer behozatalát.</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noProof/>
          <w:sz w:val="24"/>
          <w:szCs w:val="24"/>
        </w:rPr>
      </w:pPr>
      <w:r>
        <w:rPr>
          <w:rFonts w:ascii="Times New Roman" w:hAnsi="Times New Roman"/>
          <w:noProof/>
          <w:sz w:val="24"/>
          <w:szCs w:val="24"/>
        </w:rPr>
        <w:t xml:space="preserve">– </w:t>
      </w:r>
      <w:r>
        <w:rPr>
          <w:rFonts w:ascii="Times New Roman" w:hAnsi="Times New Roman"/>
          <w:b/>
          <w:noProof/>
          <w:sz w:val="24"/>
          <w:szCs w:val="24"/>
        </w:rPr>
        <w:t>Tunézia</w:t>
      </w:r>
      <w:r>
        <w:rPr>
          <w:rFonts w:ascii="Times New Roman" w:hAnsi="Times New Roman"/>
          <w:noProof/>
          <w:sz w:val="24"/>
          <w:szCs w:val="24"/>
        </w:rPr>
        <w:t xml:space="preserve">, az EU-nak a WTO-nál és kétoldalúan végzett beavatkozásait követően </w:t>
      </w:r>
      <w:r>
        <w:rPr>
          <w:rFonts w:ascii="Times New Roman" w:hAnsi="Times New Roman"/>
          <w:b/>
          <w:noProof/>
          <w:sz w:val="24"/>
          <w:szCs w:val="24"/>
        </w:rPr>
        <w:t>eltörölte a nem automatikus importengedélyeket</w:t>
      </w:r>
      <w:r>
        <w:rPr>
          <w:rFonts w:ascii="Times New Roman" w:hAnsi="Times New Roman"/>
          <w:noProof/>
          <w:sz w:val="24"/>
          <w:szCs w:val="24"/>
        </w:rPr>
        <w:t xml:space="preserve"> számos termék esetében, ami az EU-val folytatott kétoldalú kereskedelem jelentős részét érintette; ezek az intézkedések a kétoldalú megállapodással és a WTO-szabályokkal egyaránt összeegyeztethetetlenek voltak.</w:t>
      </w:r>
    </w:p>
    <w:p>
      <w:pPr>
        <w:spacing w:after="0"/>
        <w:rPr>
          <w:rFonts w:ascii="Times New Roman" w:eastAsia="Calibri" w:hAnsi="Times New Roman" w:cs="Times New Roman"/>
          <w:b/>
          <w:noProof/>
          <w:sz w:val="24"/>
          <w:szCs w:val="24"/>
        </w:rPr>
      </w:pPr>
    </w:p>
    <w:p>
      <w:pPr>
        <w:keepNext/>
        <w:pBdr>
          <w:top w:val="single" w:sz="4" w:space="1"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b/>
          <w:noProof/>
          <w:sz w:val="24"/>
          <w:szCs w:val="24"/>
        </w:rPr>
      </w:pPr>
      <w:r>
        <w:rPr>
          <w:rFonts w:ascii="Times New Roman" w:hAnsi="Times New Roman"/>
          <w:b/>
          <w:noProof/>
          <w:sz w:val="24"/>
          <w:szCs w:val="24"/>
        </w:rPr>
        <w:t>A fő megoldatlan kérdések – példák</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noProof/>
          <w:sz w:val="24"/>
          <w:szCs w:val="24"/>
        </w:rPr>
      </w:pPr>
      <w:r>
        <w:rPr>
          <w:rFonts w:ascii="Times New Roman" w:hAnsi="Times New Roman"/>
          <w:noProof/>
          <w:sz w:val="24"/>
          <w:szCs w:val="24"/>
        </w:rPr>
        <w:t xml:space="preserve">– </w:t>
      </w:r>
      <w:r>
        <w:rPr>
          <w:rFonts w:ascii="Times New Roman" w:hAnsi="Times New Roman"/>
          <w:b/>
          <w:noProof/>
          <w:sz w:val="24"/>
          <w:szCs w:val="24"/>
        </w:rPr>
        <w:t>Algéria</w:t>
      </w:r>
      <w:r>
        <w:rPr>
          <w:rFonts w:ascii="Times New Roman" w:hAnsi="Times New Roman"/>
          <w:noProof/>
          <w:sz w:val="24"/>
          <w:szCs w:val="24"/>
        </w:rPr>
        <w:t xml:space="preserve"> fenntartotta a </w:t>
      </w:r>
      <w:r>
        <w:rPr>
          <w:rFonts w:ascii="Times New Roman" w:hAnsi="Times New Roman"/>
          <w:b/>
          <w:noProof/>
          <w:sz w:val="24"/>
          <w:szCs w:val="24"/>
        </w:rPr>
        <w:t>behozatali tilalmat a járművek esetében</w:t>
      </w:r>
      <w:r>
        <w:rPr>
          <w:rFonts w:ascii="Times New Roman" w:hAnsi="Times New Roman"/>
          <w:noProof/>
          <w:sz w:val="24"/>
          <w:szCs w:val="24"/>
        </w:rPr>
        <w:t xml:space="preserve"> (2015 óta) és az olyan gyógyszerek esetében, amelyeknek létezik helyben előállított egyenértékese. A vámokkal azonos hatású díjak több mint 900 termék esetében továbbra is érvényben maradnak, míg további 129 vámtétel esetében a szabadkereskedelmi megállapodás értelmében engedélyezetteknél magasabb vámokat vet ki az ország.</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noProof/>
          <w:sz w:val="24"/>
          <w:szCs w:val="24"/>
        </w:rPr>
      </w:pPr>
      <w:r>
        <w:rPr>
          <w:rFonts w:ascii="Times New Roman" w:hAnsi="Times New Roman"/>
          <w:noProof/>
          <w:sz w:val="24"/>
          <w:szCs w:val="24"/>
        </w:rPr>
        <w:t xml:space="preserve">– </w:t>
      </w:r>
      <w:r>
        <w:rPr>
          <w:rFonts w:ascii="Times New Roman" w:hAnsi="Times New Roman"/>
          <w:b/>
          <w:noProof/>
          <w:sz w:val="24"/>
          <w:szCs w:val="24"/>
        </w:rPr>
        <w:t>Egyiptom</w:t>
      </w:r>
      <w:r>
        <w:rPr>
          <w:rFonts w:ascii="Times New Roman" w:hAnsi="Times New Roman"/>
          <w:noProof/>
          <w:sz w:val="24"/>
          <w:szCs w:val="24"/>
        </w:rPr>
        <w:t xml:space="preserve"> a gyártott termékek 25 kategóriája esetében tartotta fenn, illetve terjesztette ki azokra, </w:t>
      </w:r>
      <w:r>
        <w:rPr>
          <w:rFonts w:ascii="Times New Roman" w:hAnsi="Times New Roman"/>
          <w:b/>
          <w:noProof/>
          <w:sz w:val="24"/>
          <w:szCs w:val="24"/>
        </w:rPr>
        <w:t>nyilvántartási rendszerét és szállítás előtti ellenőrzéseit</w:t>
      </w:r>
      <w:r>
        <w:rPr>
          <w:rFonts w:ascii="Times New Roman" w:hAnsi="Times New Roman"/>
          <w:noProof/>
          <w:sz w:val="24"/>
          <w:szCs w:val="24"/>
        </w:rPr>
        <w:t xml:space="preserve"> (amelyek 2016 óta működnek). A különleges Nyilvántartási Bizottságnak az egyiptomi Kereskedelmi és Ipari Minisztériumnál 2019 áprilisában történt létrehozása azonban előrelépést jelentett és lehetővé tette, hogy néhány uniós exportőr nyilvántartásba vétele haladjon.</w:t>
      </w:r>
    </w:p>
    <w:p>
      <w:pPr>
        <w:spacing w:after="0"/>
        <w:rPr>
          <w:noProof/>
        </w:rPr>
      </w:pPr>
    </w:p>
    <w:p>
      <w:pPr>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Az elmúlt egy és fél évtizedben a technikai, de </w:t>
      </w:r>
      <w:r>
        <w:rPr>
          <w:rFonts w:ascii="Times New Roman" w:hAnsi="Times New Roman"/>
          <w:b/>
          <w:noProof/>
          <w:color w:val="000000" w:themeColor="text1"/>
          <w:sz w:val="24"/>
          <w:szCs w:val="24"/>
        </w:rPr>
        <w:t>miniszteri szinten</w:t>
      </w:r>
      <w:r>
        <w:rPr>
          <w:rFonts w:ascii="Times New Roman" w:hAnsi="Times New Roman"/>
          <w:noProof/>
          <w:color w:val="000000" w:themeColor="text1"/>
          <w:sz w:val="24"/>
          <w:szCs w:val="24"/>
        </w:rPr>
        <w:t xml:space="preserve"> is folytatott gyakori kapcsolattartás segített szorosabb partnerséget kialakítani az EU és mediterrán és közel-keleti partnerei között </w:t>
      </w:r>
      <w:r>
        <w:rPr>
          <w:rFonts w:ascii="Times New Roman" w:hAnsi="Times New Roman"/>
          <w:b/>
          <w:noProof/>
          <w:color w:val="000000" w:themeColor="text1"/>
          <w:sz w:val="24"/>
          <w:szCs w:val="24"/>
        </w:rPr>
        <w:t>multilaterális szinten</w:t>
      </w:r>
      <w:r>
        <w:rPr>
          <w:rFonts w:ascii="Times New Roman" w:hAnsi="Times New Roman"/>
          <w:noProof/>
          <w:color w:val="000000" w:themeColor="text1"/>
          <w:sz w:val="24"/>
          <w:szCs w:val="24"/>
        </w:rPr>
        <w:t>. Az EU például segítséget nyújt Algériának és Libanonnak a WTO-hoz való csatlakozás iránti kérelmükkel kapcsolatban, és támogatja Palesztina arra irányuló kérelmét, hogy megfigyelői státuszt kapjon a WTO Általános Tanácsában és kisegítő szerveiben.</w:t>
      </w:r>
    </w:p>
    <w:p>
      <w:pPr>
        <w:pStyle w:val="Heading3"/>
        <w:rPr>
          <w:noProof/>
        </w:rPr>
      </w:pPr>
      <w:bookmarkStart w:id="15" w:name="_Toc55303828"/>
      <w:r>
        <w:rPr>
          <w:noProof/>
        </w:rPr>
        <w:t>3.3.2. Grúzia, Moldova, Ukrajna</w:t>
      </w:r>
      <w:bookmarkEnd w:id="15"/>
    </w:p>
    <w:p>
      <w:pPr>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Az EU és Grúzia és Moldova között 2016 óta, valamint az EU és Ukrajna között 2017 óta alkalmazott </w:t>
      </w:r>
      <w:r>
        <w:rPr>
          <w:rFonts w:ascii="Times New Roman" w:hAnsi="Times New Roman"/>
          <w:b/>
          <w:bCs/>
          <w:noProof/>
          <w:color w:val="000000" w:themeColor="text1"/>
          <w:sz w:val="24"/>
          <w:szCs w:val="24"/>
        </w:rPr>
        <w:t>mélyreható és átfogó szabadkereskedelmi térségek</w:t>
      </w:r>
      <w:r>
        <w:rPr>
          <w:rFonts w:ascii="Times New Roman" w:hAnsi="Times New Roman"/>
          <w:noProof/>
          <w:color w:val="000000" w:themeColor="text1"/>
          <w:sz w:val="24"/>
          <w:szCs w:val="24"/>
        </w:rPr>
        <w:t xml:space="preserve"> a szélesebb </w:t>
      </w:r>
      <w:r>
        <w:rPr>
          <w:rFonts w:ascii="Times New Roman" w:hAnsi="Times New Roman"/>
          <w:b/>
          <w:bCs/>
          <w:noProof/>
          <w:color w:val="000000" w:themeColor="text1"/>
          <w:sz w:val="24"/>
          <w:szCs w:val="24"/>
        </w:rPr>
        <w:t>keleti partnerségi keret</w:t>
      </w:r>
      <w:r>
        <w:rPr>
          <w:rFonts w:ascii="Times New Roman" w:hAnsi="Times New Roman"/>
          <w:noProof/>
          <w:color w:val="000000" w:themeColor="text1"/>
          <w:sz w:val="24"/>
          <w:szCs w:val="24"/>
        </w:rPr>
        <w:t xml:space="preserve"> részét képezik. A keleti partnerség egy 2009-ben indított olyan közös szakpolitikai kezdeményezés, amely az EU és tagállamai és hat keleti szomszéduk közötti kapcsolatok elmélyítésére és megerősítésére irányul</w:t>
      </w:r>
      <w:r>
        <w:rPr>
          <w:rStyle w:val="FootnoteReference"/>
          <w:rFonts w:ascii="Times New Roman" w:hAnsi="Times New Roman" w:cs="Times New Roman"/>
          <w:noProof/>
          <w:color w:val="000000" w:themeColor="text1"/>
          <w:sz w:val="24"/>
          <w:szCs w:val="24"/>
        </w:rPr>
        <w:footnoteReference w:id="42"/>
      </w:r>
      <w:r>
        <w:rPr>
          <w:rFonts w:ascii="Times New Roman" w:hAnsi="Times New Roman"/>
          <w:noProof/>
          <w:color w:val="000000" w:themeColor="text1"/>
          <w:sz w:val="24"/>
          <w:szCs w:val="24"/>
        </w:rPr>
        <w:t xml:space="preserve">. A mélyreható és átfogó szabadkereskedelmi térségek nem csupán a kölcsönös piacra jutáshoz elengedhetetlen eszközök, hanem egy értékalapú menetrend követéséhez, a demokrácia és az átlátható és független intézményi struktúrák előmozdításához, továbbá ahhoz is, hogy a partnerországok segítséget kapjanak gazdaságaik átalakításához és a nemzetközi kereskedelemben való nagyobb részvételhez. A mélyreható és átfogó szabadkereskedelmi térségeknek két fő eleme van: a </w:t>
      </w:r>
      <w:r>
        <w:rPr>
          <w:rFonts w:ascii="Times New Roman" w:hAnsi="Times New Roman"/>
          <w:b/>
          <w:noProof/>
          <w:color w:val="000000" w:themeColor="text1"/>
          <w:sz w:val="24"/>
          <w:szCs w:val="24"/>
        </w:rPr>
        <w:t>kereskedelmi liberalizáció</w:t>
      </w:r>
      <w:r>
        <w:rPr>
          <w:rFonts w:ascii="Times New Roman" w:hAnsi="Times New Roman"/>
          <w:noProof/>
          <w:color w:val="000000" w:themeColor="text1"/>
          <w:sz w:val="24"/>
          <w:szCs w:val="24"/>
        </w:rPr>
        <w:t xml:space="preserve"> és a </w:t>
      </w:r>
      <w:r>
        <w:rPr>
          <w:rFonts w:ascii="Times New Roman" w:hAnsi="Times New Roman"/>
          <w:b/>
          <w:noProof/>
          <w:color w:val="000000" w:themeColor="text1"/>
          <w:sz w:val="24"/>
          <w:szCs w:val="24"/>
        </w:rPr>
        <w:t>szabályozásközelítés</w:t>
      </w:r>
      <w:r>
        <w:rPr>
          <w:rFonts w:ascii="Times New Roman" w:hAnsi="Times New Roman"/>
          <w:noProof/>
          <w:color w:val="000000" w:themeColor="text1"/>
          <w:sz w:val="24"/>
          <w:szCs w:val="24"/>
        </w:rPr>
        <w:t>.</w:t>
      </w:r>
    </w:p>
    <w:p>
      <w:pPr>
        <w:rPr>
          <w:rFonts w:ascii="Times New Roman" w:hAnsi="Times New Roman" w:cs="Times New Roman"/>
          <w:noProof/>
          <w:sz w:val="24"/>
          <w:szCs w:val="24"/>
        </w:rPr>
      </w:pPr>
      <w:r>
        <w:rPr>
          <w:rFonts w:ascii="Times New Roman" w:hAnsi="Times New Roman"/>
          <w:noProof/>
          <w:color w:val="000000" w:themeColor="text1"/>
          <w:sz w:val="24"/>
          <w:szCs w:val="24"/>
        </w:rPr>
        <w:t xml:space="preserve">A </w:t>
      </w:r>
      <w:r>
        <w:rPr>
          <w:rFonts w:ascii="Times New Roman" w:hAnsi="Times New Roman"/>
          <w:b/>
          <w:noProof/>
          <w:color w:val="000000" w:themeColor="text1"/>
          <w:sz w:val="24"/>
          <w:szCs w:val="24"/>
        </w:rPr>
        <w:t>kereskedelmi liberalizáció</w:t>
      </w:r>
      <w:r>
        <w:rPr>
          <w:rFonts w:ascii="Times New Roman" w:hAnsi="Times New Roman"/>
          <w:noProof/>
          <w:color w:val="000000" w:themeColor="text1"/>
          <w:sz w:val="24"/>
          <w:szCs w:val="24"/>
        </w:rPr>
        <w:t xml:space="preserve"> (a mélyreható és átfogó szabadkereskedelmi térségek „szabadkereskedelem” összetevője) a vámok eltörlését, továbbá a kereskedelem nem vámjellegű akadályainak csökkentését jelenti az áruk, szolgáltatások és befektetések kereskedelme terén, ezáltal mindkét oldal számára javítva az áruk és szolgáltatások piacra jutását. Az egyes megállapodások részes felei rendszeresen információt cserélnek és figyelemmel kísérik a kereskedelem terén bekövetkező fejleményeket. </w:t>
      </w:r>
      <w:r>
        <w:rPr>
          <w:rFonts w:ascii="Times New Roman" w:hAnsi="Times New Roman"/>
          <w:noProof/>
          <w:sz w:val="24"/>
          <w:szCs w:val="24"/>
        </w:rPr>
        <w:t>Mindhárom, mélyreható és átfogó szabadkereskedelmi térséget kialakított országnak az EU a legnagyobb kereskedelmi partnere. A mélyreható és átfogó szabadkereskedelmi térséget kialakított országokkal bonyolított teljes kereskedelem összességében évről-évre csekély mértékben növekedett és 2019-ben 50,6 milliárd EUR-t ért el. Az EU és Ukrajna közötti kétoldalú kereskedelem folyamatosan nőtt mindkét irányban, és 2019-ben 43,3 milliárd EUR-t tett ki. Ukrajna továbbá a negyedik legnagyobb az EU-ba mezőgazdasági termékeket exportáló exportőrök között. Az EU és Grúzia közötti összes kereskedelem 2019-ben az előző évhez képest 3 %-kal csökkent és 2,6 milliárd EUR-t tett ki, az EU és Moldova közötti összes kereskedelem pedig 3,9 %-kal nőtt 2018-hoz képest, és így éppen meghaladta a 4,7 milliárd EUR-t.</w:t>
      </w:r>
    </w:p>
    <w:p>
      <w:pPr>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A </w:t>
      </w:r>
      <w:r>
        <w:rPr>
          <w:rFonts w:ascii="Times New Roman" w:hAnsi="Times New Roman"/>
          <w:b/>
          <w:noProof/>
          <w:color w:val="000000" w:themeColor="text1"/>
          <w:sz w:val="24"/>
          <w:szCs w:val="24"/>
        </w:rPr>
        <w:t>szabályozásközelítés</w:t>
      </w:r>
      <w:r>
        <w:rPr>
          <w:rFonts w:ascii="Times New Roman" w:hAnsi="Times New Roman"/>
          <w:noProof/>
          <w:color w:val="000000" w:themeColor="text1"/>
          <w:sz w:val="24"/>
          <w:szCs w:val="24"/>
        </w:rPr>
        <w:t xml:space="preserve"> jelenti a mélyreható és átfogó szabadkereskedelmi térségek </w:t>
      </w:r>
      <w:r>
        <w:rPr>
          <w:rFonts w:ascii="Times New Roman" w:hAnsi="Times New Roman"/>
          <w:b/>
          <w:noProof/>
          <w:color w:val="000000" w:themeColor="text1"/>
          <w:sz w:val="24"/>
          <w:szCs w:val="24"/>
        </w:rPr>
        <w:t>„mélyreható és átfogó”</w:t>
      </w:r>
      <w:r>
        <w:rPr>
          <w:rFonts w:ascii="Times New Roman" w:hAnsi="Times New Roman"/>
          <w:noProof/>
          <w:color w:val="000000" w:themeColor="text1"/>
          <w:sz w:val="24"/>
          <w:szCs w:val="24"/>
        </w:rPr>
        <w:t xml:space="preserve"> </w:t>
      </w:r>
      <w:r>
        <w:rPr>
          <w:rFonts w:ascii="Times New Roman" w:hAnsi="Times New Roman"/>
          <w:b/>
          <w:noProof/>
          <w:color w:val="000000" w:themeColor="text1"/>
          <w:sz w:val="24"/>
          <w:szCs w:val="24"/>
        </w:rPr>
        <w:t>összetevőjét</w:t>
      </w:r>
      <w:r>
        <w:rPr>
          <w:rFonts w:ascii="Times New Roman" w:hAnsi="Times New Roman"/>
          <w:noProof/>
          <w:color w:val="000000" w:themeColor="text1"/>
          <w:sz w:val="24"/>
          <w:szCs w:val="24"/>
        </w:rPr>
        <w:t>. Az EU partnerországai kötelezettséget vállalnak arra, hogy közelítik jogszabályaikat az uniós jogszabályokhoz (az uniós vívmányokhoz) számos kereskedelemmel összefüggő szakpolitikai területen, így például állat- és növényegészségügyi kérdésekben, a műszaki előírások és szabványok terén (a kereskedelem technikai akadályainak csökkentése), a közbeszerzés, a szolgáltatások és a vámeljárások tekintetében. A vonatkozó uniós jogszabályok felsorolását a társulási megállapodás/mélyreható és átfogó szabadkereskedelmi megállapodások mellékletei tartalmazzák, amelyeket rendszeresen frissítenek. Az Európai Bizottság nyomon követi a folyamatot, figyelembe véve az uniós vívmányoknak a társulási megállapodás/mélyreható és átfogó szabadkereskedelmi megállapodás hatálya alá tartozó területeken bekövetkező fejlődését.</w:t>
      </w:r>
    </w:p>
    <w:p>
      <w:pPr>
        <w:spacing w:after="0"/>
        <w:rPr>
          <w:rFonts w:ascii="Times New Roman" w:hAnsi="Times New Roman" w:cs="Times New Roman"/>
          <w:noProof/>
          <w:color w:val="000000" w:themeColor="text1"/>
          <w:sz w:val="24"/>
          <w:szCs w:val="24"/>
        </w:rPr>
      </w:pPr>
    </w:p>
    <w:p>
      <w:pPr>
        <w:rPr>
          <w:rFonts w:ascii="Times New Roman" w:hAnsi="Times New Roman" w:cs="Times New Roman"/>
          <w:b/>
          <w:noProof/>
          <w:color w:val="000000" w:themeColor="text1"/>
          <w:sz w:val="24"/>
          <w:szCs w:val="24"/>
        </w:rPr>
      </w:pPr>
      <w:r>
        <w:rPr>
          <w:rFonts w:ascii="Times New Roman" w:hAnsi="Times New Roman"/>
          <w:b/>
          <w:noProof/>
          <w:color w:val="000000" w:themeColor="text1"/>
          <w:sz w:val="24"/>
          <w:szCs w:val="24"/>
        </w:rPr>
        <w:t>Előrelépés a szabályozásközelítés terén 2019-ben – példák</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noProof/>
          <w:sz w:val="24"/>
          <w:szCs w:val="24"/>
        </w:rPr>
      </w:pPr>
      <w:r>
        <w:rPr>
          <w:rFonts w:ascii="Times New Roman" w:hAnsi="Times New Roman"/>
          <w:noProof/>
          <w:sz w:val="24"/>
          <w:szCs w:val="24"/>
        </w:rPr>
        <w:t xml:space="preserve">– </w:t>
      </w:r>
      <w:r>
        <w:rPr>
          <w:rFonts w:ascii="Times New Roman" w:hAnsi="Times New Roman"/>
          <w:b/>
          <w:noProof/>
          <w:sz w:val="24"/>
          <w:szCs w:val="24"/>
        </w:rPr>
        <w:t>Ukrajna</w:t>
      </w:r>
      <w:r>
        <w:rPr>
          <w:rFonts w:ascii="Times New Roman" w:hAnsi="Times New Roman"/>
          <w:noProof/>
          <w:sz w:val="24"/>
          <w:szCs w:val="24"/>
        </w:rPr>
        <w:t xml:space="preserve"> </w:t>
      </w:r>
      <w:r>
        <w:rPr>
          <w:rFonts w:ascii="Times New Roman" w:hAnsi="Times New Roman"/>
          <w:b/>
          <w:noProof/>
          <w:sz w:val="24"/>
          <w:szCs w:val="24"/>
        </w:rPr>
        <w:t>állat- és növényegészségügyi stratégiát</w:t>
      </w:r>
      <w:r>
        <w:rPr>
          <w:rFonts w:ascii="Times New Roman" w:hAnsi="Times New Roman"/>
          <w:noProof/>
          <w:sz w:val="24"/>
          <w:szCs w:val="24"/>
        </w:rPr>
        <w:t xml:space="preserve"> fogadott el, amely több mint 240, Ukrajnában jelenleg végrehajtás alatt álló uniós jogszabályt tartalmaz, és amelybe első alkalommal állatjólléti előírásokat is belefoglalt. Az EU ezzel összefüggésben emberi és pénzügyi támogatást is biztosít Ukrajna számára. Grúzia és Moldova szintén kötelezettséget vállalt arra, hogy összehangolja nemzeti jogszabályait az EU jogszabályaival.</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noProof/>
          <w:sz w:val="24"/>
          <w:szCs w:val="24"/>
        </w:rPr>
      </w:pPr>
      <w:r>
        <w:rPr>
          <w:rFonts w:ascii="Times New Roman" w:hAnsi="Times New Roman"/>
          <w:noProof/>
          <w:sz w:val="24"/>
          <w:szCs w:val="24"/>
        </w:rPr>
        <w:t xml:space="preserve">– Az EU és </w:t>
      </w:r>
      <w:r>
        <w:rPr>
          <w:rFonts w:ascii="Times New Roman" w:hAnsi="Times New Roman"/>
          <w:b/>
          <w:noProof/>
          <w:sz w:val="24"/>
          <w:szCs w:val="24"/>
        </w:rPr>
        <w:t>Moldova</w:t>
      </w:r>
      <w:r>
        <w:rPr>
          <w:rFonts w:ascii="Times New Roman" w:hAnsi="Times New Roman"/>
          <w:noProof/>
          <w:sz w:val="24"/>
          <w:szCs w:val="24"/>
        </w:rPr>
        <w:t xml:space="preserve"> megállapodott abban, hogy </w:t>
      </w:r>
      <w:r>
        <w:rPr>
          <w:rFonts w:ascii="Times New Roman" w:hAnsi="Times New Roman"/>
          <w:b/>
          <w:noProof/>
          <w:sz w:val="24"/>
          <w:szCs w:val="24"/>
        </w:rPr>
        <w:t>bizonyos vámengedményeiknek a körét kiszélesítik</w:t>
      </w:r>
      <w:r>
        <w:rPr>
          <w:rFonts w:ascii="Times New Roman" w:hAnsi="Times New Roman"/>
          <w:noProof/>
          <w:sz w:val="24"/>
          <w:szCs w:val="24"/>
        </w:rPr>
        <w:t>, Moldova pedig növelte a mélyreható és átfogó szabadkereskedelmi megállapodásban előirányzott felülvizsgálati mechanizmus keretében eredetileg megállapodott vámkontingenseket. Ez további kiviteli lehetőségeket biztosít majd a helyi gazdálkodók és termelők számára.</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noProof/>
          <w:sz w:val="24"/>
          <w:szCs w:val="24"/>
        </w:rPr>
      </w:pPr>
      <w:r>
        <w:rPr>
          <w:rFonts w:ascii="Times New Roman" w:hAnsi="Times New Roman"/>
          <w:noProof/>
          <w:sz w:val="24"/>
          <w:szCs w:val="24"/>
        </w:rPr>
        <w:t xml:space="preserve">– </w:t>
      </w:r>
      <w:r>
        <w:rPr>
          <w:rFonts w:ascii="Times New Roman" w:hAnsi="Times New Roman"/>
          <w:b/>
          <w:noProof/>
          <w:sz w:val="24"/>
          <w:szCs w:val="24"/>
        </w:rPr>
        <w:t>Grúzia</w:t>
      </w:r>
      <w:r>
        <w:rPr>
          <w:rFonts w:ascii="Times New Roman" w:hAnsi="Times New Roman"/>
          <w:noProof/>
          <w:sz w:val="24"/>
          <w:szCs w:val="24"/>
        </w:rPr>
        <w:t xml:space="preserve"> jó haladást ért el a </w:t>
      </w:r>
      <w:r>
        <w:rPr>
          <w:rFonts w:ascii="Times New Roman" w:hAnsi="Times New Roman"/>
          <w:b/>
          <w:noProof/>
          <w:sz w:val="24"/>
          <w:szCs w:val="24"/>
        </w:rPr>
        <w:t>munkaerőpiaci reformok</w:t>
      </w:r>
      <w:r>
        <w:rPr>
          <w:rFonts w:ascii="Times New Roman" w:hAnsi="Times New Roman"/>
          <w:noProof/>
          <w:sz w:val="24"/>
          <w:szCs w:val="24"/>
        </w:rPr>
        <w:t xml:space="preserve"> terén: 2019-ben módosításokat fogadtak el a nemzeti munkajog terén (a Munka Törvénykönyvében és a munkahelyi egészségvédelemről és biztonságról szóló törvényben), amelynek köszönhetően közelebb hozták azt az alapvető ILO-egyezményekhez és az uniós előírásokhoz, többek között a munkaügyi ellenőrzések tekintetében is.</w:t>
      </w:r>
    </w:p>
    <w:p>
      <w:pPr>
        <w:rPr>
          <w:rFonts w:ascii="Times New Roman" w:hAnsi="Times New Roman" w:cs="Times New Roman"/>
          <w:b/>
          <w:noProof/>
          <w:sz w:val="24"/>
          <w:szCs w:val="24"/>
        </w:rPr>
      </w:pPr>
    </w:p>
    <w:p>
      <w:pPr>
        <w:pStyle w:val="Heading3"/>
        <w:rPr>
          <w:noProof/>
        </w:rPr>
      </w:pPr>
      <w:bookmarkStart w:id="16" w:name="_Toc55303829"/>
      <w:r>
        <w:rPr>
          <w:noProof/>
        </w:rPr>
        <w:t>3.3.3. Nyugat-Balkán</w:t>
      </w:r>
      <w:bookmarkEnd w:id="16"/>
    </w:p>
    <w:p>
      <w:pPr>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Az EU </w:t>
      </w:r>
      <w:r>
        <w:rPr>
          <w:rFonts w:ascii="Times New Roman" w:hAnsi="Times New Roman"/>
          <w:b/>
          <w:noProof/>
          <w:color w:val="000000" w:themeColor="text1"/>
          <w:sz w:val="24"/>
          <w:szCs w:val="24"/>
        </w:rPr>
        <w:t>stabilizációs és társulási megállapodásokat</w:t>
      </w:r>
      <w:r>
        <w:rPr>
          <w:rFonts w:ascii="Times New Roman" w:hAnsi="Times New Roman"/>
          <w:noProof/>
          <w:color w:val="000000" w:themeColor="text1"/>
          <w:sz w:val="24"/>
          <w:szCs w:val="24"/>
        </w:rPr>
        <w:t xml:space="preserve"> (SSA-k) kötött a Nyugat-Balkán mind a hat országával: Albániával, Bosznia-Hercegovinával, Észak-Macedóniával, Koszovóval, Montenegróval és Szerbiával. Minden nyugat-balkáni ország egyértelmű uniós perspektívával rendelkezik, amely legutóbb a 2020. május 6-án tartott nyugat-balkáni csúcstalálkozón újólag megerősítésre került. Ez tükröződik a stabilizációs és társulási megállapodások tartalmában és hatályában is, amelyek </w:t>
      </w:r>
      <w:r>
        <w:rPr>
          <w:rFonts w:ascii="Times New Roman" w:hAnsi="Times New Roman"/>
          <w:b/>
          <w:noProof/>
          <w:color w:val="000000" w:themeColor="text1"/>
          <w:sz w:val="24"/>
          <w:szCs w:val="24"/>
        </w:rPr>
        <w:t>a jogszabályok</w:t>
      </w:r>
      <w:r>
        <w:rPr>
          <w:rFonts w:ascii="Times New Roman" w:hAnsi="Times New Roman"/>
          <w:noProof/>
          <w:color w:val="000000" w:themeColor="text1"/>
          <w:sz w:val="24"/>
          <w:szCs w:val="24"/>
        </w:rPr>
        <w:t xml:space="preserve"> uniós vívmányokkal való </w:t>
      </w:r>
      <w:r>
        <w:rPr>
          <w:rFonts w:ascii="Times New Roman" w:hAnsi="Times New Roman"/>
          <w:b/>
          <w:noProof/>
          <w:color w:val="000000" w:themeColor="text1"/>
          <w:sz w:val="24"/>
          <w:szCs w:val="24"/>
        </w:rPr>
        <w:t>összehangolásának</w:t>
      </w:r>
      <w:r>
        <w:rPr>
          <w:rFonts w:ascii="Times New Roman" w:hAnsi="Times New Roman"/>
          <w:noProof/>
          <w:color w:val="000000" w:themeColor="text1"/>
          <w:sz w:val="24"/>
          <w:szCs w:val="24"/>
        </w:rPr>
        <w:t xml:space="preserve"> előirányzásával </w:t>
      </w:r>
      <w:r>
        <w:rPr>
          <w:rFonts w:ascii="Times New Roman" w:hAnsi="Times New Roman"/>
          <w:b/>
          <w:noProof/>
          <w:color w:val="000000" w:themeColor="text1"/>
          <w:sz w:val="24"/>
          <w:szCs w:val="24"/>
        </w:rPr>
        <w:t>más preferenciális kereskedelmi megállapodásokon túlmutató elemeket</w:t>
      </w:r>
      <w:r>
        <w:rPr>
          <w:rFonts w:ascii="Times New Roman" w:hAnsi="Times New Roman"/>
          <w:noProof/>
          <w:color w:val="000000" w:themeColor="text1"/>
          <w:sz w:val="24"/>
          <w:szCs w:val="24"/>
        </w:rPr>
        <w:t xml:space="preserve"> tartalmaznak. A stabilizációs és társulási megállapodások az összes mennyiségi korlátozás eltörléséről is rendelkeznek. Ugyanakkor nem tartalmaznak bizonyos egyéb olyan elemeket, amelyek fellelhetők az EU újabb keletű preferenciális kereskedelmi megállapodásaiban, mint például a kereskedelemre és a fenntartható fejlődésre vonatkozó rendelkezések.</w:t>
      </w:r>
    </w:p>
    <w:p>
      <w:pPr>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Az utóbbi 10 évben a stabilizációs és társulási megállapodások megkönnyítették a kereskedelmet az EU és a térség között, közel 130 %-os növekedést eredményezve, amelynek értéke így 2019-ben elérte az 55 milliárd EUR-t, ami 2018-hoz képest 3,8 %-os növekedést jelent. A kereskedelem legnagyobb részét a gépek, a nem nemesfémek, az ásványi és vegyipari termékek tették ki. 2019-ben az EU Nyugat-Balkánba irányuló kivitele 4,4 %-kal nőtt, ami 8,9 milliárd EUR kereskedelmi többletet eredményezett az EU számára. A Nyugat-Balkánból származó behozatal 3 %-kal nőtt.</w:t>
      </w:r>
    </w:p>
    <w:p>
      <w:pPr>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Noha a hat nyugat-balkáni ország együttesen az EU összes kereskedelmének csupán 1,4 %-át képviseli, a stabilizációs és társulási megállapodások eredményes végrehajtása nagyon fontos eszköze e szomszédos országok uniós piacba való további integrációja megvalósításának, az üzleti és befektetési klíma javításának és az uniós előírások előmozdításának. Mindegyik nyugat-balkáni országnak az EU a vezető kereskedelmi partnere, amellyel a térség összes kereskedelmének közel 70 %-a bonyolódik.</w:t>
      </w:r>
    </w:p>
    <w:p>
      <w:pPr>
        <w:pStyle w:val="Heading3"/>
        <w:rPr>
          <w:noProof/>
        </w:rPr>
      </w:pPr>
      <w:bookmarkStart w:id="17" w:name="_Toc55303830"/>
      <w:r>
        <w:rPr>
          <w:noProof/>
        </w:rPr>
        <w:t>3.3.4. Svájc</w:t>
      </w:r>
      <w:bookmarkEnd w:id="17"/>
    </w:p>
    <w:p>
      <w:pPr>
        <w:rPr>
          <w:rFonts w:ascii="Times New Roman" w:eastAsia="Calibri" w:hAnsi="Times New Roman" w:cs="Times New Roman"/>
          <w:noProof/>
          <w:sz w:val="24"/>
          <w:szCs w:val="24"/>
        </w:rPr>
      </w:pPr>
      <w:r>
        <w:rPr>
          <w:rFonts w:ascii="Times New Roman" w:hAnsi="Times New Roman"/>
          <w:noProof/>
          <w:sz w:val="24"/>
          <w:szCs w:val="24"/>
        </w:rPr>
        <w:t xml:space="preserve">2019-ben a Svájccal bonyolított összes kétoldalú </w:t>
      </w:r>
      <w:r>
        <w:rPr>
          <w:rFonts w:ascii="Times New Roman" w:hAnsi="Times New Roman"/>
          <w:b/>
          <w:noProof/>
          <w:sz w:val="24"/>
          <w:szCs w:val="24"/>
        </w:rPr>
        <w:t>áru</w:t>
      </w:r>
      <w:r>
        <w:rPr>
          <w:rFonts w:ascii="Times New Roman" w:hAnsi="Times New Roman"/>
          <w:noProof/>
          <w:sz w:val="24"/>
          <w:szCs w:val="24"/>
        </w:rPr>
        <w:t xml:space="preserve">kereskedelem meghaladta a 257 milliárd EUR-t, aminek köszönhetően </w:t>
      </w:r>
      <w:r>
        <w:rPr>
          <w:rFonts w:ascii="Times New Roman" w:hAnsi="Times New Roman"/>
          <w:b/>
          <w:noProof/>
          <w:sz w:val="24"/>
          <w:szCs w:val="24"/>
        </w:rPr>
        <w:t>Svájc összességében az EU negyedik legnagyobb kereskedelmi partnerévé vált</w:t>
      </w:r>
      <w:r>
        <w:rPr>
          <w:rFonts w:ascii="Times New Roman" w:hAnsi="Times New Roman"/>
          <w:noProof/>
          <w:sz w:val="24"/>
          <w:szCs w:val="24"/>
        </w:rPr>
        <w:t xml:space="preserve">, illetve az EU preferenciális kereskedelmi megállapodások hatálya alá tartozó legfőbb kereskedelmi partnerországává. 2018-hoz képest a </w:t>
      </w:r>
      <w:r>
        <w:rPr>
          <w:rFonts w:ascii="Times New Roman" w:hAnsi="Times New Roman"/>
          <w:b/>
          <w:noProof/>
          <w:sz w:val="24"/>
          <w:szCs w:val="24"/>
        </w:rPr>
        <w:t>kétoldalú kereskedelmi forgalom</w:t>
      </w:r>
      <w:r>
        <w:rPr>
          <w:rFonts w:ascii="Times New Roman" w:hAnsi="Times New Roman"/>
          <w:noProof/>
          <w:sz w:val="24"/>
          <w:szCs w:val="24"/>
        </w:rPr>
        <w:t xml:space="preserve"> 9 %-kal nőtt és az </w:t>
      </w:r>
      <w:r>
        <w:rPr>
          <w:rFonts w:ascii="Times New Roman" w:hAnsi="Times New Roman"/>
          <w:b/>
          <w:noProof/>
          <w:sz w:val="24"/>
          <w:szCs w:val="24"/>
        </w:rPr>
        <w:t>EU</w:t>
      </w:r>
      <w:r>
        <w:rPr>
          <w:rFonts w:ascii="Times New Roman" w:hAnsi="Times New Roman"/>
          <w:noProof/>
          <w:sz w:val="24"/>
          <w:szCs w:val="24"/>
        </w:rPr>
        <w:t xml:space="preserve"> 36 milliárd EUR nagyságrendű kereskedelmi </w:t>
      </w:r>
      <w:r>
        <w:rPr>
          <w:rFonts w:ascii="Times New Roman" w:hAnsi="Times New Roman"/>
          <w:b/>
          <w:noProof/>
          <w:sz w:val="24"/>
          <w:szCs w:val="24"/>
        </w:rPr>
        <w:t>többletet</w:t>
      </w:r>
      <w:r>
        <w:rPr>
          <w:rFonts w:ascii="Times New Roman" w:hAnsi="Times New Roman"/>
          <w:noProof/>
          <w:sz w:val="24"/>
          <w:szCs w:val="24"/>
        </w:rPr>
        <w:t xml:space="preserve"> tartott fenn.</w:t>
      </w:r>
    </w:p>
    <w:p>
      <w:pPr>
        <w:jc w:val="left"/>
        <w:rPr>
          <w:noProof/>
        </w:rPr>
      </w:pPr>
    </w:p>
    <w:p>
      <w:pPr>
        <w:jc w:val="left"/>
        <w:rPr>
          <w:noProof/>
        </w:rPr>
      </w:pPr>
      <w:r>
        <w:rPr>
          <w:noProof/>
          <w:lang w:val="en-GB" w:eastAsia="en-GB"/>
        </w:rPr>
        <w:drawing>
          <wp:inline distT="0" distB="0" distL="0" distR="0">
            <wp:extent cx="3173095" cy="226568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73095" cy="2265680"/>
                    </a:xfrm>
                    <a:prstGeom prst="rect">
                      <a:avLst/>
                    </a:prstGeom>
                    <a:noFill/>
                    <a:ln>
                      <a:noFill/>
                    </a:ln>
                  </pic:spPr>
                </pic:pic>
              </a:graphicData>
            </a:graphic>
          </wp:inline>
        </w:drawing>
      </w:r>
    </w:p>
    <w:p>
      <w:pPr>
        <w:spacing w:after="120" w:line="240" w:lineRule="auto"/>
        <w:rPr>
          <w:rFonts w:ascii="Times New Roman" w:eastAsia="Calibri" w:hAnsi="Times New Roman" w:cs="Times New Roman"/>
          <w:noProof/>
          <w:sz w:val="24"/>
          <w:szCs w:val="24"/>
        </w:rPr>
      </w:pPr>
      <w:r>
        <w:rPr>
          <w:rFonts w:ascii="Times New Roman" w:hAnsi="Times New Roman"/>
          <w:noProof/>
          <w:sz w:val="24"/>
          <w:szCs w:val="24"/>
        </w:rPr>
        <w:t xml:space="preserve"> </w:t>
      </w:r>
    </w:p>
    <w:p>
      <w:pPr>
        <w:spacing w:after="120" w:line="240" w:lineRule="auto"/>
        <w:rPr>
          <w:rFonts w:ascii="Times New Roman" w:eastAsia="Calibri" w:hAnsi="Times New Roman" w:cs="Times New Roman"/>
          <w:noProof/>
          <w:sz w:val="24"/>
          <w:szCs w:val="24"/>
        </w:rPr>
      </w:pPr>
      <w:r>
        <w:rPr>
          <w:rFonts w:ascii="Times New Roman" w:hAnsi="Times New Roman"/>
          <w:b/>
          <w:noProof/>
          <w:sz w:val="24"/>
          <w:szCs w:val="24"/>
        </w:rPr>
        <w:t>Svájc</w:t>
      </w:r>
      <w:r>
        <w:rPr>
          <w:rFonts w:ascii="Times New Roman" w:hAnsi="Times New Roman"/>
          <w:noProof/>
          <w:sz w:val="24"/>
          <w:szCs w:val="24"/>
        </w:rPr>
        <w:t xml:space="preserve"> a 2018-ban több mint 170 milliárd EUR-ra értékelt szolgáltatáskereskedelmével </w:t>
      </w:r>
      <w:r>
        <w:rPr>
          <w:rFonts w:ascii="Times New Roman" w:hAnsi="Times New Roman"/>
          <w:b/>
          <w:noProof/>
          <w:sz w:val="24"/>
          <w:szCs w:val="24"/>
        </w:rPr>
        <w:t>az EU harmadik legfontosabb kereskedelmi partnere a szolgáltatások terén</w:t>
      </w:r>
      <w:r>
        <w:rPr>
          <w:rFonts w:ascii="Times New Roman" w:hAnsi="Times New Roman"/>
          <w:noProof/>
          <w:sz w:val="24"/>
          <w:szCs w:val="24"/>
        </w:rPr>
        <w:t>. Az EU 39,5 milliárd EUR többlettel rendelkezik.</w:t>
      </w:r>
    </w:p>
    <w:p>
      <w:pPr>
        <w:spacing w:after="120" w:line="240" w:lineRule="auto"/>
        <w:rPr>
          <w:rFonts w:ascii="Times New Roman" w:eastAsia="Calibri" w:hAnsi="Times New Roman" w:cs="Times New Roman"/>
          <w:noProof/>
          <w:sz w:val="24"/>
          <w:szCs w:val="24"/>
        </w:rPr>
      </w:pPr>
      <w:r>
        <w:rPr>
          <w:rFonts w:ascii="Times New Roman" w:hAnsi="Times New Roman"/>
          <w:noProof/>
          <w:sz w:val="24"/>
          <w:szCs w:val="24"/>
        </w:rPr>
        <w:t xml:space="preserve">Tekintettel az EU és Svájc közötti nagyon magas szintű integrációra, Svájc a </w:t>
      </w:r>
      <w:r>
        <w:rPr>
          <w:rFonts w:ascii="Times New Roman" w:hAnsi="Times New Roman"/>
          <w:b/>
          <w:noProof/>
          <w:sz w:val="24"/>
          <w:szCs w:val="24"/>
        </w:rPr>
        <w:t>befektetések</w:t>
      </w:r>
      <w:r>
        <w:rPr>
          <w:rFonts w:ascii="Times New Roman" w:hAnsi="Times New Roman"/>
          <w:noProof/>
          <w:sz w:val="24"/>
          <w:szCs w:val="24"/>
        </w:rPr>
        <w:t xml:space="preserve"> tekintetében is nagyon fontos partner. 2018-ban az EU-ban a </w:t>
      </w:r>
      <w:r>
        <w:rPr>
          <w:rFonts w:ascii="Times New Roman" w:hAnsi="Times New Roman"/>
          <w:b/>
          <w:noProof/>
          <w:sz w:val="24"/>
          <w:szCs w:val="24"/>
        </w:rPr>
        <w:t>közvetlen külföldi tőkebefektetések</w:t>
      </w:r>
      <w:r>
        <w:rPr>
          <w:rFonts w:ascii="Times New Roman" w:hAnsi="Times New Roman"/>
          <w:noProof/>
          <w:sz w:val="24"/>
          <w:szCs w:val="24"/>
        </w:rPr>
        <w:t xml:space="preserve"> svájci állománya 750 milliárd EUR-t tett ki, amely 2014 óta </w:t>
      </w:r>
      <w:r>
        <w:rPr>
          <w:rFonts w:ascii="Times New Roman" w:hAnsi="Times New Roman"/>
          <w:b/>
          <w:noProof/>
          <w:sz w:val="24"/>
          <w:szCs w:val="24"/>
        </w:rPr>
        <w:t>58 %-os növekedést</w:t>
      </w:r>
      <w:r>
        <w:rPr>
          <w:rFonts w:ascii="Times New Roman" w:hAnsi="Times New Roman"/>
          <w:noProof/>
          <w:sz w:val="24"/>
          <w:szCs w:val="24"/>
        </w:rPr>
        <w:t xml:space="preserve"> jelent, míg az EU közvetlen külföldi tőkebefektetési állománya Svájcban több mint egy billió euró volt, ami 2014 óta 40 %-os növekedést jelent. </w:t>
      </w:r>
      <w:r>
        <w:rPr>
          <w:rFonts w:ascii="Times New Roman" w:hAnsi="Times New Roman"/>
          <w:b/>
          <w:noProof/>
          <w:sz w:val="24"/>
          <w:szCs w:val="24"/>
        </w:rPr>
        <w:t>Svájcba az EU-27 összes közvetlen külföldi tőkebefektetésének körülbelül 12 %-a jut.</w:t>
      </w:r>
    </w:p>
    <w:p>
      <w:pPr>
        <w:spacing w:after="120" w:line="240" w:lineRule="auto"/>
        <w:rPr>
          <w:rFonts w:ascii="Times New Roman" w:eastAsia="Calibri" w:hAnsi="Times New Roman" w:cs="Times New Roman"/>
          <w:noProof/>
          <w:sz w:val="24"/>
          <w:szCs w:val="24"/>
        </w:rPr>
      </w:pPr>
    </w:p>
    <w:p>
      <w:pPr>
        <w:spacing w:after="120" w:line="240" w:lineRule="auto"/>
        <w:rPr>
          <w:rFonts w:ascii="Times New Roman" w:eastAsia="Calibri" w:hAnsi="Times New Roman" w:cs="Times New Roman"/>
          <w:noProof/>
          <w:sz w:val="24"/>
          <w:szCs w:val="24"/>
        </w:rPr>
      </w:pPr>
      <w:r>
        <w:rPr>
          <w:rFonts w:ascii="Times New Roman" w:hAnsi="Times New Roman"/>
          <w:b/>
          <w:noProof/>
          <w:sz w:val="24"/>
          <w:szCs w:val="24"/>
        </w:rPr>
        <w:t>Svájc</w:t>
      </w:r>
      <w:r>
        <w:rPr>
          <w:rFonts w:ascii="Times New Roman" w:hAnsi="Times New Roman"/>
          <w:noProof/>
          <w:sz w:val="24"/>
          <w:szCs w:val="24"/>
        </w:rPr>
        <w:t xml:space="preserve"> a 2018-ban több mint 170 milliárd EUR-ra értékelt szolgáltatáskereskedelmével </w:t>
      </w:r>
      <w:r>
        <w:rPr>
          <w:rFonts w:ascii="Times New Roman" w:hAnsi="Times New Roman"/>
          <w:b/>
          <w:noProof/>
          <w:sz w:val="24"/>
          <w:szCs w:val="24"/>
        </w:rPr>
        <w:t>az EU harmadik legfontosabb kereskedelmi partnere a szolgáltatások terén</w:t>
      </w:r>
      <w:r>
        <w:rPr>
          <w:rFonts w:ascii="Times New Roman" w:hAnsi="Times New Roman"/>
          <w:noProof/>
          <w:sz w:val="24"/>
          <w:szCs w:val="24"/>
        </w:rPr>
        <w:t>. Az EU 39,5 milliárd EUR többlettel rendelkezik.</w:t>
      </w:r>
    </w:p>
    <w:p>
      <w:pPr>
        <w:spacing w:after="120" w:line="240" w:lineRule="auto"/>
        <w:rPr>
          <w:rFonts w:ascii="Times New Roman" w:eastAsia="Calibri" w:hAnsi="Times New Roman" w:cs="Times New Roman"/>
          <w:noProof/>
          <w:sz w:val="24"/>
          <w:szCs w:val="24"/>
        </w:rPr>
      </w:pPr>
      <w:r>
        <w:rPr>
          <w:rFonts w:ascii="Times New Roman" w:hAnsi="Times New Roman"/>
          <w:noProof/>
          <w:sz w:val="24"/>
          <w:szCs w:val="24"/>
        </w:rPr>
        <w:t xml:space="preserve">Tekintettel az EU és Svájc közötti nagyon magas szintű integrációra, Svájc a </w:t>
      </w:r>
      <w:r>
        <w:rPr>
          <w:rFonts w:ascii="Times New Roman" w:hAnsi="Times New Roman"/>
          <w:b/>
          <w:noProof/>
          <w:sz w:val="24"/>
          <w:szCs w:val="24"/>
        </w:rPr>
        <w:t>befektetések</w:t>
      </w:r>
      <w:r>
        <w:rPr>
          <w:rFonts w:ascii="Times New Roman" w:hAnsi="Times New Roman"/>
          <w:noProof/>
          <w:sz w:val="24"/>
          <w:szCs w:val="24"/>
        </w:rPr>
        <w:t xml:space="preserve"> tekintetében is nagyon fontos partner. 2018-ban az EU-ban a </w:t>
      </w:r>
      <w:r>
        <w:rPr>
          <w:rFonts w:ascii="Times New Roman" w:hAnsi="Times New Roman"/>
          <w:b/>
          <w:noProof/>
          <w:sz w:val="24"/>
          <w:szCs w:val="24"/>
        </w:rPr>
        <w:t>közvetlen külföldi tőkebefektetések</w:t>
      </w:r>
      <w:r>
        <w:rPr>
          <w:rFonts w:ascii="Times New Roman" w:hAnsi="Times New Roman"/>
          <w:noProof/>
          <w:sz w:val="24"/>
          <w:szCs w:val="24"/>
        </w:rPr>
        <w:t xml:space="preserve"> svájci állománya 750 milliárd EUR-t tett ki, amely 2014 óta </w:t>
      </w:r>
      <w:r>
        <w:rPr>
          <w:rFonts w:ascii="Times New Roman" w:hAnsi="Times New Roman"/>
          <w:b/>
          <w:noProof/>
          <w:sz w:val="24"/>
          <w:szCs w:val="24"/>
        </w:rPr>
        <w:t>58 %-os növekedést</w:t>
      </w:r>
      <w:r>
        <w:rPr>
          <w:rFonts w:ascii="Times New Roman" w:hAnsi="Times New Roman"/>
          <w:noProof/>
          <w:sz w:val="24"/>
          <w:szCs w:val="24"/>
        </w:rPr>
        <w:t xml:space="preserve"> jelent, míg az EU közvetlen külföldi tőkebefektetési állománya Svájcban több mint egy billió euró volt, ami 2014 óta 40 %-os növekedést jelent. </w:t>
      </w:r>
      <w:r>
        <w:rPr>
          <w:rFonts w:ascii="Times New Roman" w:hAnsi="Times New Roman"/>
          <w:b/>
          <w:noProof/>
          <w:sz w:val="24"/>
          <w:szCs w:val="24"/>
        </w:rPr>
        <w:t>Svájcba az EU-27 összes közvetlen külföldi tőkebefektetésének körülbelül 12 %-a jut.</w:t>
      </w:r>
    </w:p>
    <w:p>
      <w:pPr>
        <w:spacing w:after="120" w:line="240" w:lineRule="auto"/>
        <w:rPr>
          <w:rFonts w:ascii="Times New Roman" w:eastAsia="Calibri" w:hAnsi="Times New Roman" w:cs="Times New Roman"/>
          <w:noProof/>
          <w:sz w:val="24"/>
          <w:szCs w:val="24"/>
        </w:rPr>
      </w:pPr>
    </w:p>
    <w:p>
      <w:pPr>
        <w:spacing w:after="120" w:line="240" w:lineRule="auto"/>
        <w:rPr>
          <w:rFonts w:ascii="Times New Roman" w:eastAsia="Calibri" w:hAnsi="Times New Roman" w:cs="Times New Roman"/>
          <w:noProof/>
          <w:sz w:val="24"/>
          <w:szCs w:val="24"/>
        </w:rPr>
      </w:pPr>
      <w:r>
        <w:rPr>
          <w:rFonts w:ascii="Times New Roman" w:hAnsi="Times New Roman"/>
          <w:noProof/>
          <w:sz w:val="24"/>
          <w:szCs w:val="24"/>
        </w:rPr>
        <w:t>Az EU Svájccal kötött szabadkereskedelmi megállapodása a leghosszabb ideje fennálló megállapodása, amelynek korlátozott a hatálya</w:t>
      </w:r>
      <w:r>
        <w:rPr>
          <w:rFonts w:ascii="Times New Roman" w:eastAsia="Calibri" w:hAnsi="Times New Roman" w:cs="Times New Roman"/>
          <w:noProof/>
          <w:sz w:val="24"/>
          <w:szCs w:val="24"/>
          <w:vertAlign w:val="superscript"/>
          <w:lang w:val="en-GB"/>
        </w:rPr>
        <w:footnoteReference w:id="43"/>
      </w:r>
      <w:r>
        <w:rPr>
          <w:rFonts w:ascii="Times New Roman" w:hAnsi="Times New Roman"/>
          <w:noProof/>
          <w:sz w:val="24"/>
          <w:szCs w:val="24"/>
        </w:rPr>
        <w:t xml:space="preserve">, felületesebb szabályozási elemeket tartalmaz és hiányzik belőle az eredményes vitarendezési mechanizmus az EU korszerű kereskedelmi megállapodásaival összevetve, amelyek közül néhányat gazdaságilag kisebb jelentőségű távolabbi partnerekkel kötöttek. A virágzó kereskedelem ellenére azonban 2019-ben Svájc nem tudott további előrehaladást elérni a megtárgyalt intézményi keretmegállapodás elfogadásával kapcsolatban. Az intézményi keretmegállapodás megnyitná az utat az EU és Svájc közötti kereskedelmi kapcsolatok további korszerűsítéséhez, mivel az független vitarendezést, jogbiztonságot és egyenlő versenyfeltételeket vezetne be, amelyek az uniós és svájci belső piaci szereplők előnyére válnak majd. Az intézményi keretmegállapodás ezenkívül további piacra jutást jelentene új területeken (pl. villamos energia) és állami támogatási szabályokat állapítana meg, valamint </w:t>
      </w:r>
      <w:r>
        <w:rPr>
          <w:rFonts w:ascii="Times New Roman" w:hAnsi="Times New Roman"/>
          <w:b/>
          <w:bCs/>
          <w:noProof/>
          <w:sz w:val="24"/>
          <w:szCs w:val="24"/>
        </w:rPr>
        <w:t>a felek arra irányuló kötelezettségvállalásával járna, hogy korszerűsítik az 1972. évi szabadkereskedelmi megállapodást</w:t>
      </w:r>
      <w:r>
        <w:rPr>
          <w:rFonts w:ascii="Times New Roman" w:hAnsi="Times New Roman"/>
          <w:noProof/>
          <w:sz w:val="24"/>
          <w:szCs w:val="24"/>
        </w:rPr>
        <w:t xml:space="preserve"> és más kereskedelemmel kapcsolatos megállapodásokat.</w:t>
      </w:r>
    </w:p>
    <w:p>
      <w:pPr>
        <w:spacing w:after="120" w:line="240" w:lineRule="auto"/>
        <w:rPr>
          <w:rFonts w:ascii="Times New Roman" w:eastAsia="Times New Roman" w:hAnsi="Times New Roman" w:cs="Times New Roman"/>
          <w:b/>
          <w:bCs/>
          <w:noProof/>
          <w:sz w:val="26"/>
          <w:szCs w:val="26"/>
        </w:rPr>
      </w:pPr>
      <w:bookmarkStart w:id="18" w:name="_Toc16233923"/>
    </w:p>
    <w:p>
      <w:pPr>
        <w:pStyle w:val="Heading3"/>
        <w:rPr>
          <w:rFonts w:eastAsia="Times New Roman"/>
          <w:noProof/>
        </w:rPr>
      </w:pPr>
      <w:bookmarkStart w:id="19" w:name="_Toc55303831"/>
      <w:r>
        <w:rPr>
          <w:noProof/>
        </w:rPr>
        <w:t>3.3.5. Norvégia</w:t>
      </w:r>
      <w:bookmarkEnd w:id="18"/>
      <w:bookmarkEnd w:id="19"/>
    </w:p>
    <w:p>
      <w:pPr>
        <w:spacing w:after="120" w:line="240" w:lineRule="auto"/>
        <w:rPr>
          <w:rFonts w:ascii="Times New Roman" w:eastAsia="Calibri" w:hAnsi="Times New Roman" w:cs="Times New Roman"/>
          <w:noProof/>
          <w:sz w:val="24"/>
          <w:szCs w:val="24"/>
        </w:rPr>
      </w:pPr>
      <w:r>
        <w:rPr>
          <w:rFonts w:ascii="Times New Roman" w:hAnsi="Times New Roman"/>
          <w:noProof/>
          <w:sz w:val="24"/>
          <w:szCs w:val="24"/>
        </w:rPr>
        <w:t xml:space="preserve">Az EU és Norvégia közötti kereskedelmi kapcsolatok az </w:t>
      </w:r>
      <w:r>
        <w:rPr>
          <w:rFonts w:ascii="Times New Roman" w:hAnsi="Times New Roman"/>
          <w:b/>
          <w:noProof/>
          <w:sz w:val="24"/>
          <w:szCs w:val="24"/>
        </w:rPr>
        <w:t>Európai Gazdasági Térség</w:t>
      </w:r>
      <w:r>
        <w:rPr>
          <w:rFonts w:ascii="Times New Roman" w:hAnsi="Times New Roman"/>
          <w:noProof/>
          <w:sz w:val="24"/>
          <w:szCs w:val="24"/>
        </w:rPr>
        <w:t xml:space="preserve"> (EGT) és az </w:t>
      </w:r>
      <w:r>
        <w:rPr>
          <w:rFonts w:ascii="Times New Roman" w:hAnsi="Times New Roman"/>
          <w:b/>
          <w:noProof/>
          <w:sz w:val="24"/>
          <w:szCs w:val="24"/>
        </w:rPr>
        <w:t>1973. évi kétoldalú szabadkereskedelmi megállapodás</w:t>
      </w:r>
      <w:r>
        <w:rPr>
          <w:rFonts w:ascii="Times New Roman" w:hAnsi="Times New Roman"/>
          <w:noProof/>
          <w:sz w:val="24"/>
          <w:szCs w:val="24"/>
        </w:rPr>
        <w:t xml:space="preserve"> alapján működnek. Noha a kétoldalú kereskedelmi megállapodás még hatályban van, az gyakorlatilag több tekintetben felülírta az EGT-ről szóló megállapodást, amely az áruk, a szolgáltatások, a tőke és a személyek szabad mozgását lehetővé teszi.</w:t>
      </w:r>
    </w:p>
    <w:p>
      <w:pPr>
        <w:spacing w:after="120" w:line="240" w:lineRule="auto"/>
        <w:rPr>
          <w:rFonts w:ascii="Times New Roman" w:eastAsia="Calibri" w:hAnsi="Times New Roman" w:cs="Times New Roman"/>
          <w:noProof/>
          <w:sz w:val="24"/>
          <w:szCs w:val="24"/>
        </w:rPr>
      </w:pPr>
      <w:r>
        <w:rPr>
          <w:rFonts w:ascii="Times New Roman" w:hAnsi="Times New Roman"/>
          <w:noProof/>
          <w:sz w:val="24"/>
          <w:szCs w:val="24"/>
        </w:rPr>
        <w:t xml:space="preserve">2019-ben az EU és Norvégia közötti </w:t>
      </w:r>
      <w:r>
        <w:rPr>
          <w:rFonts w:ascii="Times New Roman" w:hAnsi="Times New Roman"/>
          <w:b/>
          <w:noProof/>
          <w:sz w:val="24"/>
          <w:szCs w:val="24"/>
        </w:rPr>
        <w:t>összes kétoldalú árukereskedelem</w:t>
      </w:r>
      <w:r>
        <w:rPr>
          <w:rFonts w:ascii="Times New Roman" w:hAnsi="Times New Roman"/>
          <w:noProof/>
          <w:sz w:val="24"/>
          <w:szCs w:val="24"/>
        </w:rPr>
        <w:t xml:space="preserve"> 106 milliárd EUR-t tett ki, ami 2018-hoz képest </w:t>
      </w:r>
      <w:r>
        <w:rPr>
          <w:rFonts w:ascii="Times New Roman" w:hAnsi="Times New Roman"/>
          <w:b/>
          <w:noProof/>
          <w:sz w:val="24"/>
          <w:szCs w:val="24"/>
        </w:rPr>
        <w:t>5 %-os csökkenést jelent</w:t>
      </w:r>
      <w:r>
        <w:rPr>
          <w:rFonts w:ascii="Times New Roman" w:hAnsi="Times New Roman"/>
          <w:noProof/>
          <w:sz w:val="24"/>
          <w:szCs w:val="24"/>
        </w:rPr>
        <w:t>, és ez főként az ásványolajok Norvégiából való behozatalában bekövetkezett 16,5 %-os csökkenésnek tudható be. Összességében Norvégia EU-27-be irányuló összes kivitele 11 %-kal csökkent, míg az EU-27 Norvégiába irányuló kivitele 3 %-kal növekedett. Norvégia EU-ba irányuló kivitelének csökkenése és az Egyesült Királyságnak az EU-ból való kilépése következtében Norvégia az EU hatodik legnagyobb kereskedelmi partnere pozícióról a nyolcadik legnagyobb kereskedelmi partner pozícióra csúszott vissza.</w:t>
      </w:r>
    </w:p>
    <w:p>
      <w:pPr>
        <w:spacing w:after="120" w:line="240" w:lineRule="auto"/>
        <w:rPr>
          <w:rFonts w:ascii="Times New Roman" w:eastAsia="Calibri" w:hAnsi="Times New Roman" w:cs="Times New Roman"/>
          <w:noProof/>
          <w:sz w:val="24"/>
          <w:szCs w:val="24"/>
        </w:rPr>
      </w:pPr>
      <w:r>
        <w:rPr>
          <w:rFonts w:ascii="Times New Roman" w:hAnsi="Times New Roman"/>
          <w:noProof/>
          <w:sz w:val="24"/>
          <w:szCs w:val="24"/>
        </w:rPr>
        <w:t xml:space="preserve">A </w:t>
      </w:r>
      <w:r>
        <w:rPr>
          <w:rFonts w:ascii="Times New Roman" w:hAnsi="Times New Roman"/>
          <w:b/>
          <w:noProof/>
          <w:sz w:val="24"/>
          <w:szCs w:val="24"/>
        </w:rPr>
        <w:t>mezőgazdasági termékeknek</w:t>
      </w:r>
      <w:r>
        <w:rPr>
          <w:rFonts w:ascii="Times New Roman" w:hAnsi="Times New Roman"/>
          <w:noProof/>
          <w:sz w:val="24"/>
          <w:szCs w:val="24"/>
        </w:rPr>
        <w:t xml:space="preserve"> az EU és Norvégia közötti kereskedelme elérte a közel 5 milliárd EUR-t, egyértelműen az EU számára megállapítható többlettel, ugyanis az EU a Norvégiából behozott mezőgazdasági termékek értékének több mint nyolcszorosát exportálja. 2009 óta a behozatal és a kivitel egyaránt folyamatosan növekedett.</w:t>
      </w:r>
    </w:p>
    <w:p>
      <w:pPr>
        <w:spacing w:after="120" w:line="240" w:lineRule="auto"/>
        <w:rPr>
          <w:rFonts w:ascii="Times New Roman" w:eastAsia="Calibri" w:hAnsi="Times New Roman" w:cs="Times New Roman"/>
          <w:noProof/>
          <w:sz w:val="24"/>
          <w:szCs w:val="24"/>
        </w:rPr>
      </w:pPr>
      <w:r>
        <w:rPr>
          <w:rFonts w:ascii="Times New Roman" w:hAnsi="Times New Roman"/>
          <w:b/>
          <w:noProof/>
          <w:sz w:val="24"/>
          <w:szCs w:val="24"/>
        </w:rPr>
        <w:t>A feldolgozott mezőgazdasági termékek kereskedelmi rendszerének felülvizsgálata továbbra is nyitott probléma.</w:t>
      </w:r>
      <w:r>
        <w:rPr>
          <w:rFonts w:ascii="Times New Roman" w:hAnsi="Times New Roman"/>
          <w:noProof/>
          <w:sz w:val="24"/>
          <w:szCs w:val="24"/>
        </w:rPr>
        <w:t xml:space="preserve"> Ezt a problémát 2019-ben felvetették a vegyes bizottságban azoknak a magas vámtarifáknak a kezelésére irányuló erőfeszítés részeként, amelyek megakadályozzák néhány feldolgozott mezőgazdasági terméknek a kivitelét az EU-ból Norvégiába. Az EU ezenkívül továbbra is ragaszkodik a földrajzi árujelzők oltalmáról szóló tárgyalások folytatásához.</w:t>
      </w:r>
    </w:p>
    <w:p>
      <w:pPr>
        <w:spacing w:after="120" w:line="240" w:lineRule="auto"/>
        <w:rPr>
          <w:rFonts w:ascii="Times New Roman" w:eastAsia="Calibri" w:hAnsi="Times New Roman" w:cs="Times New Roman"/>
          <w:noProof/>
          <w:sz w:val="24"/>
          <w:szCs w:val="24"/>
        </w:rPr>
      </w:pPr>
      <w:r>
        <w:rPr>
          <w:rFonts w:ascii="Times New Roman" w:hAnsi="Times New Roman"/>
          <w:noProof/>
          <w:sz w:val="24"/>
          <w:szCs w:val="24"/>
        </w:rPr>
        <w:t xml:space="preserve">A </w:t>
      </w:r>
      <w:r>
        <w:rPr>
          <w:rFonts w:ascii="Times New Roman" w:hAnsi="Times New Roman"/>
          <w:b/>
          <w:noProof/>
          <w:sz w:val="24"/>
          <w:szCs w:val="24"/>
        </w:rPr>
        <w:t>szolgáltatások</w:t>
      </w:r>
      <w:r>
        <w:rPr>
          <w:rFonts w:ascii="Times New Roman" w:hAnsi="Times New Roman"/>
          <w:noProof/>
          <w:sz w:val="24"/>
          <w:szCs w:val="24"/>
        </w:rPr>
        <w:t xml:space="preserve"> tekintetében Norvégia az EU nyolcadik legnagyobb kereskedelmi partnerországa. A 2018-ban a két fél között bonyolított 40 milliárd EUR értékű kereskedelemből Norvégia kivitele 14 milliárd EUR-t tett ki, az EU kivitele pedig 26 milliárd EUR-t tett ki, azaz az EU többletet könyvelhetett el, ami az utóbbi öt évben stabil helyzet maradt.</w:t>
      </w:r>
    </w:p>
    <w:p>
      <w:pPr>
        <w:rPr>
          <w:rFonts w:ascii="Times New Roman" w:hAnsi="Times New Roman" w:cs="Times New Roman"/>
          <w:b/>
          <w:noProof/>
          <w:sz w:val="24"/>
          <w:szCs w:val="24"/>
        </w:rPr>
      </w:pPr>
    </w:p>
    <w:p>
      <w:pPr>
        <w:pStyle w:val="Heading3"/>
        <w:rPr>
          <w:noProof/>
        </w:rPr>
      </w:pPr>
      <w:bookmarkStart w:id="20" w:name="_Toc55303832"/>
      <w:r>
        <w:rPr>
          <w:noProof/>
        </w:rPr>
        <w:t>3.3.6. Törökország</w:t>
      </w:r>
      <w:bookmarkEnd w:id="20"/>
    </w:p>
    <w:p>
      <w:pPr>
        <w:spacing w:after="120" w:line="240" w:lineRule="auto"/>
        <w:rPr>
          <w:rFonts w:ascii="Times New Roman" w:eastAsia="Calibri" w:hAnsi="Times New Roman" w:cs="Times New Roman"/>
          <w:noProof/>
          <w:sz w:val="24"/>
          <w:szCs w:val="24"/>
        </w:rPr>
      </w:pPr>
      <w:r>
        <w:rPr>
          <w:rFonts w:ascii="Times New Roman" w:hAnsi="Times New Roman"/>
          <w:noProof/>
          <w:sz w:val="24"/>
          <w:szCs w:val="24"/>
        </w:rPr>
        <w:t xml:space="preserve">Törökország az EU legrégebbi és második legnagyobb preferenciális kereskedelmi partnerországa és </w:t>
      </w:r>
      <w:r>
        <w:rPr>
          <w:rFonts w:ascii="Times New Roman" w:hAnsi="Times New Roman"/>
          <w:b/>
          <w:noProof/>
          <w:sz w:val="24"/>
          <w:szCs w:val="24"/>
        </w:rPr>
        <w:t>összességében véve az EU hatodik legnagyobb kereskedelmi partnere</w:t>
      </w:r>
      <w:r>
        <w:rPr>
          <w:rFonts w:ascii="Times New Roman" w:hAnsi="Times New Roman"/>
          <w:noProof/>
          <w:sz w:val="24"/>
          <w:szCs w:val="24"/>
        </w:rPr>
        <w:t>. A török gazdaság a vártnál gyorsabban állt helyre a 2018 nyarán kezdődött valutaválságból, azonban a 2019-es év túlnyomó részében recesszióban maradt, a GDP növekedése pedig gyenge, 0,9 %-os volt. A török líra leértékelődése miatt Törökország jelentősen csökkentette globális kereskedelmi hiányát. Az EU-val bonyolított árukereskedelem Törökország javára 1,5 milliárd EUR hiány irányába mozdult el, hosszú ideje fennálló uniós többleteket követően, olyan módon, hogy az EU Törökországba irányuló kivitele 1,3 %-kal 68,3 milliárd EUR-ra csökkent, míg a Törökországból származó behozatal 4,4 %-kal 69,8 milliárd EUR-ra nőtt.</w:t>
      </w:r>
    </w:p>
    <w:p>
      <w:pPr>
        <w:spacing w:after="120" w:line="240" w:lineRule="auto"/>
        <w:rPr>
          <w:rFonts w:ascii="Times New Roman" w:eastAsia="Calibri" w:hAnsi="Times New Roman" w:cs="Times New Roman"/>
          <w:noProof/>
          <w:sz w:val="24"/>
          <w:szCs w:val="24"/>
        </w:rPr>
      </w:pPr>
      <w:r>
        <w:rPr>
          <w:rFonts w:ascii="Times New Roman" w:hAnsi="Times New Roman"/>
          <w:noProof/>
          <w:sz w:val="24"/>
          <w:szCs w:val="24"/>
        </w:rPr>
        <w:t xml:space="preserve">Az EU és Törökország közötti kereskedelmi kapcsolatokat az ipari termékek és bizonyos feldolgozott mezőgazdasági termékek tekintetében az 1995. évi </w:t>
      </w:r>
      <w:r>
        <w:rPr>
          <w:rFonts w:ascii="Times New Roman" w:hAnsi="Times New Roman"/>
          <w:b/>
          <w:noProof/>
          <w:sz w:val="24"/>
          <w:szCs w:val="24"/>
        </w:rPr>
        <w:t>vámunió</w:t>
      </w:r>
      <w:r>
        <w:rPr>
          <w:rFonts w:ascii="Times New Roman" w:hAnsi="Times New Roman"/>
          <w:noProof/>
          <w:sz w:val="24"/>
          <w:szCs w:val="24"/>
        </w:rPr>
        <w:t xml:space="preserve"> szabályozza, valamint két bilaterális preferenciális kereskedelmi megállapodás, amelyek külön-külön a mezőgazdasági és a szén- és acéltermékekre vonatkoznak. Az EU Törökországgal folytatott kereskedelmének 82 %-a </w:t>
      </w:r>
      <w:r>
        <w:rPr>
          <w:rFonts w:ascii="Times New Roman" w:hAnsi="Times New Roman"/>
          <w:b/>
          <w:noProof/>
          <w:sz w:val="24"/>
          <w:szCs w:val="24"/>
        </w:rPr>
        <w:t>ipari termékekben</w:t>
      </w:r>
      <w:r>
        <w:rPr>
          <w:rFonts w:ascii="Times New Roman" w:hAnsi="Times New Roman"/>
          <w:noProof/>
          <w:sz w:val="24"/>
          <w:szCs w:val="24"/>
        </w:rPr>
        <w:t xml:space="preserve"> bonyolódik. </w:t>
      </w:r>
      <w:r>
        <w:rPr>
          <w:rFonts w:ascii="Times New Roman" w:hAnsi="Times New Roman"/>
          <w:b/>
          <w:noProof/>
          <w:sz w:val="24"/>
          <w:szCs w:val="24"/>
        </w:rPr>
        <w:t>A kétoldalú kereskedelem a kilencvenes éves közepe óta több mint négyszeresére nőtt</w:t>
      </w:r>
      <w:r>
        <w:rPr>
          <w:rFonts w:ascii="Times New Roman" w:hAnsi="Times New Roman"/>
          <w:noProof/>
          <w:sz w:val="24"/>
          <w:szCs w:val="24"/>
        </w:rPr>
        <w:t>, javarészt ezeknek a kereskedelmi megállapodásoknak és különösen a vámuniónak köszönhetően. A kétoldalú preferenciális kereskedelem bővítése és a vámunió korszerűsítése érdekében az Európai Bizottság 2016. december 21-én a Törökországgal folytatandó tárgyalások elindítására felhatalmazó tanácsi határozatra irányuló ajánlást fogadott el. A tanácskozásokat azonban az Általános Ügyek Tanácsának 2018. június 26-i és 2019. június 18-i következtetéseit követően jelenleg szüneteltetik.</w:t>
      </w:r>
    </w:p>
    <w:p>
      <w:pPr>
        <w:spacing w:after="120" w:line="240" w:lineRule="auto"/>
        <w:rPr>
          <w:rFonts w:ascii="Times New Roman" w:eastAsia="Times New Roman" w:hAnsi="Times New Roman" w:cs="Times New Roman"/>
          <w:noProof/>
          <w:sz w:val="24"/>
          <w:szCs w:val="20"/>
        </w:rPr>
      </w:pPr>
      <w:r>
        <w:rPr>
          <w:rFonts w:ascii="Times New Roman" w:hAnsi="Times New Roman"/>
          <w:b/>
          <w:noProof/>
          <w:sz w:val="24"/>
        </w:rPr>
        <w:t>Törökország</w:t>
      </w:r>
      <w:r>
        <w:rPr>
          <w:rFonts w:ascii="Times New Roman" w:hAnsi="Times New Roman"/>
          <w:noProof/>
          <w:sz w:val="24"/>
        </w:rPr>
        <w:t xml:space="preserve"> 2019-ben </w:t>
      </w:r>
      <w:r>
        <w:rPr>
          <w:rFonts w:ascii="Times New Roman" w:hAnsi="Times New Roman"/>
          <w:b/>
          <w:noProof/>
          <w:sz w:val="24"/>
        </w:rPr>
        <w:t>a vámunióról szóló megállapodást megsértve kereskedelmi akadályokat tartott fenn</w:t>
      </w:r>
      <w:r>
        <w:rPr>
          <w:rFonts w:ascii="Times New Roman" w:hAnsi="Times New Roman"/>
          <w:noProof/>
          <w:sz w:val="24"/>
        </w:rPr>
        <w:t>, nevezetesen azzal, hogy továbbra is fenntartotta – és kiterjesztette – a hosszú ideje fennálló eltérést a Közös Vámtarifától, mivel kiegészítő vámokat vetett ki az EU-n vagy Törökország preferenciális kereskedelmi partnerein kívülről származó termékekre.</w:t>
      </w:r>
      <w:r>
        <w:rPr>
          <w:rFonts w:ascii="Times New Roman" w:hAnsi="Times New Roman"/>
          <w:noProof/>
          <w:sz w:val="24"/>
          <w:szCs w:val="20"/>
        </w:rPr>
        <w:t xml:space="preserve"> </w:t>
      </w:r>
      <w:r>
        <w:rPr>
          <w:rFonts w:ascii="Times New Roman" w:hAnsi="Times New Roman"/>
          <w:noProof/>
          <w:sz w:val="24"/>
        </w:rPr>
        <w:t>Törökország e vámok miatt a vámunió által intézményesített szabad forgalom elvével ellentétesen olyan információkat és dokumentumokat kér be, mint például a származási igazolás.</w:t>
      </w:r>
      <w:r>
        <w:rPr>
          <w:rFonts w:ascii="Times New Roman" w:hAnsi="Times New Roman"/>
          <w:noProof/>
          <w:sz w:val="24"/>
          <w:szCs w:val="20"/>
        </w:rPr>
        <w:t xml:space="preserve"> Ezenkívül Törökország 2019-ben ismét elmulasztotta megnyitni a marhahúsra vonatkozó vámkontingenst.</w:t>
      </w:r>
    </w:p>
    <w:p>
      <w:pPr>
        <w:spacing w:after="120" w:line="240" w:lineRule="auto"/>
        <w:rPr>
          <w:rFonts w:ascii="Times New Roman" w:eastAsia="Calibri" w:hAnsi="Times New Roman" w:cs="Times New Roman"/>
          <w:noProof/>
          <w:sz w:val="24"/>
          <w:szCs w:val="24"/>
        </w:rPr>
      </w:pPr>
      <w:r>
        <w:rPr>
          <w:rFonts w:ascii="Times New Roman" w:hAnsi="Times New Roman"/>
          <w:noProof/>
          <w:sz w:val="24"/>
          <w:szCs w:val="24"/>
        </w:rPr>
        <w:t xml:space="preserve">Az Európai Bizottság felvetette ezeket a problémákat a vegyes bizottság éves ülésein, valamint a gyakori kétoldalú információcserék keretében. A Bizottság továbbra is kérte a társulási megállapodás kiegészítő jegyzőkönyvének megkülönböztetésmentes végrehajtását valamennyi tagállam, így a Ciprusi Köztársaság tekintetében is. Az EU 2019. április 2-án </w:t>
      </w:r>
      <w:r>
        <w:rPr>
          <w:rFonts w:ascii="Times New Roman" w:hAnsi="Times New Roman"/>
          <w:b/>
          <w:noProof/>
          <w:sz w:val="24"/>
          <w:szCs w:val="24"/>
        </w:rPr>
        <w:t>WTO-eljárást kezdeményezett</w:t>
      </w:r>
      <w:r>
        <w:rPr>
          <w:rFonts w:ascii="Times New Roman" w:hAnsi="Times New Roman"/>
          <w:noProof/>
          <w:sz w:val="24"/>
          <w:szCs w:val="24"/>
        </w:rPr>
        <w:t xml:space="preserve"> Törökországnak a gyógyszergyártás </w:t>
      </w:r>
      <w:r>
        <w:rPr>
          <w:rFonts w:ascii="Times New Roman" w:hAnsi="Times New Roman"/>
          <w:b/>
          <w:noProof/>
          <w:sz w:val="24"/>
          <w:szCs w:val="24"/>
        </w:rPr>
        <w:t>kényszerlokalizációjára</w:t>
      </w:r>
      <w:r>
        <w:rPr>
          <w:rFonts w:ascii="Times New Roman" w:hAnsi="Times New Roman"/>
          <w:noProof/>
          <w:sz w:val="24"/>
          <w:szCs w:val="24"/>
        </w:rPr>
        <w:t xml:space="preserve"> irányuló intézkedései ellen.</w:t>
      </w:r>
      <w:r>
        <w:rPr>
          <w:rFonts w:ascii="Times New Roman" w:eastAsia="Calibri" w:hAnsi="Times New Roman" w:cs="Times New Roman"/>
          <w:noProof/>
          <w:sz w:val="24"/>
          <w:szCs w:val="24"/>
          <w:vertAlign w:val="superscript"/>
          <w:lang w:val="en-GB"/>
        </w:rPr>
        <w:footnoteReference w:id="44"/>
      </w:r>
    </w:p>
    <w:p>
      <w:pPr>
        <w:spacing w:after="0"/>
        <w:rPr>
          <w:rFonts w:ascii="Times New Roman" w:hAnsi="Times New Roman" w:cs="Times New Roman"/>
          <w:b/>
          <w:noProof/>
          <w:sz w:val="24"/>
          <w:szCs w:val="24"/>
        </w:rPr>
      </w:pPr>
    </w:p>
    <w:p>
      <w:pPr>
        <w:pStyle w:val="Heading2"/>
        <w:rPr>
          <w:noProof/>
        </w:rPr>
      </w:pPr>
      <w:bookmarkStart w:id="21" w:name="_Toc55303833"/>
      <w:r>
        <w:rPr>
          <w:noProof/>
        </w:rPr>
        <w:t>3.4.</w:t>
      </w:r>
      <w:r>
        <w:rPr>
          <w:noProof/>
        </w:rPr>
        <w:tab/>
        <w:t>AZ AFRIKAI, KARIBI ÉS CSENDES-ÓCEÁNI ORSZÁGOK</w:t>
      </w:r>
      <w:bookmarkEnd w:id="21"/>
    </w:p>
    <w:p>
      <w:pPr>
        <w:spacing w:after="120" w:line="240" w:lineRule="auto"/>
        <w:rPr>
          <w:rFonts w:ascii="Times New Roman" w:eastAsia="Calibri" w:hAnsi="Times New Roman" w:cs="Times New Roman"/>
          <w:noProof/>
          <w:sz w:val="24"/>
          <w:szCs w:val="24"/>
        </w:rPr>
      </w:pPr>
      <w:r>
        <w:rPr>
          <w:rFonts w:ascii="Times New Roman" w:hAnsi="Times New Roman"/>
          <w:noProof/>
          <w:sz w:val="24"/>
          <w:szCs w:val="24"/>
        </w:rPr>
        <w:t xml:space="preserve">Az afrikai, karibi és csendes-óceáni (AKCS-) országok több mint egy évtizede a világ leggyorsabban növekvő gazdaságai közé tartoznak. Az EU és szubszaharai Afrika közötti kereskedelem konkrétan megkétszereződött az elmúlt évtizedben, az uniós vállalkozások befektetési állománya Afrikában 200 milliárd EUR-n áll, hatalmas bővítési potenciált rejtve magában. Az EU marad a legnagyobb kereskedelmi és befektetési partner az AKCS-országok többsége számára, különösen pedig azon országok számára, amelyek az EU-val </w:t>
      </w:r>
      <w:r>
        <w:rPr>
          <w:rFonts w:ascii="Times New Roman" w:hAnsi="Times New Roman"/>
          <w:b/>
          <w:noProof/>
          <w:sz w:val="24"/>
          <w:szCs w:val="24"/>
        </w:rPr>
        <w:t>gazdasági partnerségi megállapodást</w:t>
      </w:r>
      <w:r>
        <w:rPr>
          <w:rFonts w:ascii="Times New Roman" w:hAnsi="Times New Roman"/>
          <w:noProof/>
          <w:sz w:val="24"/>
          <w:szCs w:val="24"/>
        </w:rPr>
        <w:t xml:space="preserve"> (GPM) hajtanak végre.</w:t>
      </w:r>
    </w:p>
    <w:p>
      <w:pPr>
        <w:spacing w:after="120" w:line="240" w:lineRule="auto"/>
        <w:rPr>
          <w:rFonts w:ascii="Times New Roman" w:eastAsia="Calibri" w:hAnsi="Times New Roman" w:cs="Times New Roman"/>
          <w:noProof/>
          <w:sz w:val="24"/>
          <w:szCs w:val="24"/>
        </w:rPr>
      </w:pPr>
      <w:r>
        <w:rPr>
          <w:rFonts w:ascii="Times New Roman" w:hAnsi="Times New Roman"/>
          <w:noProof/>
          <w:sz w:val="24"/>
          <w:szCs w:val="24"/>
        </w:rPr>
        <w:t xml:space="preserve">2019-ben </w:t>
      </w:r>
      <w:r>
        <w:rPr>
          <w:rFonts w:ascii="Times New Roman" w:hAnsi="Times New Roman"/>
          <w:b/>
          <w:noProof/>
          <w:sz w:val="24"/>
          <w:szCs w:val="24"/>
        </w:rPr>
        <w:t>31 AKCS-ország hajtott végre gazdasági partnerségi megállapodást</w:t>
      </w:r>
      <w:r>
        <w:rPr>
          <w:rFonts w:ascii="Times New Roman" w:hAnsi="Times New Roman"/>
          <w:noProof/>
          <w:sz w:val="24"/>
          <w:szCs w:val="24"/>
        </w:rPr>
        <w:t xml:space="preserve"> az EU-val: 14 szubszaharai Afrikában, 14 a karibi-térségben, három pedig a csendes-óceáni térségben</w:t>
      </w:r>
      <w:r>
        <w:rPr>
          <w:rStyle w:val="FootnoteReference"/>
          <w:rFonts w:ascii="Times New Roman" w:eastAsia="Calibri" w:hAnsi="Times New Roman" w:cs="Times New Roman"/>
          <w:noProof/>
          <w:sz w:val="24"/>
          <w:szCs w:val="24"/>
          <w:lang w:val="en-GB"/>
        </w:rPr>
        <w:footnoteReference w:id="45"/>
      </w:r>
      <w:r>
        <w:rPr>
          <w:rFonts w:ascii="Times New Roman" w:hAnsi="Times New Roman"/>
          <w:noProof/>
          <w:sz w:val="24"/>
          <w:szCs w:val="24"/>
        </w:rPr>
        <w:t>. A gazdasági partnerségi megállapodások fejlődésorientált kereskedelmi megállapodások, amelyek értelmében az EU vám- és kvótamentes hozzáférést biztosít piacához</w:t>
      </w:r>
      <w:r>
        <w:rPr>
          <w:rFonts w:ascii="Times New Roman" w:eastAsia="Calibri" w:hAnsi="Times New Roman" w:cs="Times New Roman"/>
          <w:noProof/>
          <w:sz w:val="24"/>
          <w:szCs w:val="24"/>
          <w:vertAlign w:val="superscript"/>
          <w:lang w:val="en-GB"/>
        </w:rPr>
        <w:footnoteReference w:id="46"/>
      </w:r>
      <w:r>
        <w:rPr>
          <w:rFonts w:ascii="Times New Roman" w:hAnsi="Times New Roman"/>
          <w:noProof/>
          <w:sz w:val="24"/>
          <w:szCs w:val="24"/>
        </w:rPr>
        <w:t>, míg a partnerországok 10–20 év alatt behozataluk legalább 80 %-át liberalizálják. A gazdasági partnerségi megállapodások különleges biztosítékokat is tartalmaznak az élelmezésbiztonság, a fiatal iparágak és a környezetvédelmi és szociális célkitűzések védelmének biztosítása céljából. Fontos, hogy az EU jelentős fejlesztési segélyt nyújt a kereskedelempolitikával kapcsolatos kapacitásfejlesztésre és a helyi termelés versenyképesebbé tételére.</w:t>
      </w:r>
    </w:p>
    <w:p>
      <w:pPr>
        <w:spacing w:after="120" w:line="240" w:lineRule="auto"/>
        <w:rPr>
          <w:rFonts w:ascii="Times New Roman" w:eastAsia="Calibri" w:hAnsi="Times New Roman" w:cs="Times New Roman"/>
          <w:noProof/>
          <w:sz w:val="24"/>
          <w:szCs w:val="24"/>
        </w:rPr>
      </w:pPr>
      <w:r>
        <w:rPr>
          <w:rFonts w:ascii="Times New Roman" w:hAnsi="Times New Roman"/>
          <w:b/>
          <w:noProof/>
          <w:sz w:val="24"/>
          <w:szCs w:val="24"/>
        </w:rPr>
        <w:t>A gazdasági partnerségi megállapodások végrehajtása elérte a teljes körű működés szakaszát</w:t>
      </w:r>
      <w:r>
        <w:rPr>
          <w:rFonts w:ascii="Times New Roman" w:hAnsi="Times New Roman"/>
          <w:noProof/>
          <w:sz w:val="24"/>
          <w:szCs w:val="24"/>
        </w:rPr>
        <w:t xml:space="preserve">, olyan kihívások ellenére, mint például a közigazgatási szervek korlátozott kapacitása, a gyenge üzleti klíma és a vállalkozások korlátozott tájékozottsága a megállapodások kiaknázásával kapcsolatban és korlátozott képessége azok kiaknázására. Noha az átfogó értékelés még korai, </w:t>
      </w:r>
      <w:r>
        <w:rPr>
          <w:rFonts w:ascii="Times New Roman" w:hAnsi="Times New Roman"/>
          <w:b/>
          <w:noProof/>
          <w:sz w:val="24"/>
          <w:szCs w:val="24"/>
        </w:rPr>
        <w:t>pozitív tendencia figyelhető meg a kivitel növekedését és diverzifikációját illetően</w:t>
      </w:r>
      <w:r>
        <w:rPr>
          <w:rFonts w:ascii="Times New Roman" w:hAnsi="Times New Roman"/>
          <w:noProof/>
          <w:sz w:val="24"/>
          <w:szCs w:val="24"/>
        </w:rPr>
        <w:t>. 2019-ben az EU és a kelet- és dél-afrikai GPM öt országa</w:t>
      </w:r>
      <w:r>
        <w:rPr>
          <w:rFonts w:ascii="Times New Roman" w:eastAsia="Calibri" w:hAnsi="Times New Roman" w:cs="Times New Roman"/>
          <w:noProof/>
          <w:sz w:val="24"/>
          <w:szCs w:val="24"/>
          <w:vertAlign w:val="superscript"/>
          <w:lang w:val="en-GB"/>
        </w:rPr>
        <w:footnoteReference w:id="47"/>
      </w:r>
      <w:r>
        <w:rPr>
          <w:rFonts w:ascii="Times New Roman" w:hAnsi="Times New Roman"/>
          <w:noProof/>
          <w:sz w:val="24"/>
          <w:szCs w:val="24"/>
        </w:rPr>
        <w:t xml:space="preserve"> tárgyalásokat indított azzal a céllal, hogy a szolgáltatáskereskedelemre, a befektetésre, a közbeszerzésre, a szellemitulajdon-jogokra és mindenekelőtt a kereskedelemre és fenntartható fejlődésre vonatkozó szabályokkal egészítse ki azokat.</w:t>
      </w:r>
    </w:p>
    <w:p>
      <w:pPr>
        <w:spacing w:after="120" w:line="240" w:lineRule="auto"/>
        <w:rPr>
          <w:rFonts w:ascii="Times New Roman" w:eastAsia="Calibri" w:hAnsi="Times New Roman" w:cs="Times New Roman"/>
          <w:noProof/>
          <w:sz w:val="24"/>
          <w:szCs w:val="24"/>
        </w:rPr>
      </w:pPr>
    </w:p>
    <w:p>
      <w:pPr>
        <w:spacing w:after="120" w:line="240" w:lineRule="auto"/>
        <w:rPr>
          <w:rFonts w:ascii="Times New Roman" w:eastAsia="Calibri" w:hAnsi="Times New Roman" w:cs="Times New Roman"/>
          <w:noProof/>
          <w:sz w:val="24"/>
          <w:szCs w:val="24"/>
        </w:rPr>
      </w:pPr>
    </w:p>
    <w:p>
      <w:pPr>
        <w:spacing w:after="120" w:line="240" w:lineRule="auto"/>
        <w:rPr>
          <w:rFonts w:ascii="Times New Roman" w:eastAsia="Calibri" w:hAnsi="Times New Roman" w:cs="Times New Roman"/>
          <w:b/>
          <w:noProof/>
          <w:sz w:val="24"/>
          <w:szCs w:val="24"/>
        </w:rPr>
      </w:pPr>
      <w:r>
        <w:rPr>
          <w:rFonts w:ascii="Times New Roman" w:hAnsi="Times New Roman"/>
          <w:b/>
          <w:noProof/>
          <w:sz w:val="24"/>
          <w:szCs w:val="24"/>
        </w:rPr>
        <w:t>A végrehajtásban elért haladás 2019-ben – példák</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noProof/>
          <w:sz w:val="24"/>
          <w:szCs w:val="24"/>
        </w:rPr>
      </w:pPr>
      <w:r>
        <w:rPr>
          <w:rFonts w:ascii="Times New Roman" w:hAnsi="Times New Roman"/>
          <w:noProof/>
          <w:sz w:val="24"/>
          <w:szCs w:val="24"/>
        </w:rPr>
        <w:t xml:space="preserve">– Az EU és a </w:t>
      </w:r>
      <w:r>
        <w:rPr>
          <w:rFonts w:ascii="Times New Roman" w:hAnsi="Times New Roman"/>
          <w:b/>
          <w:noProof/>
          <w:sz w:val="24"/>
          <w:szCs w:val="24"/>
        </w:rPr>
        <w:t>Dél-afrikai Fejlesztési Közösség</w:t>
      </w:r>
      <w:r>
        <w:rPr>
          <w:rFonts w:ascii="Times New Roman" w:hAnsi="Times New Roman"/>
          <w:noProof/>
          <w:sz w:val="24"/>
          <w:szCs w:val="24"/>
        </w:rPr>
        <w:t xml:space="preserve"> (SADC) megtartotta </w:t>
      </w:r>
      <w:r>
        <w:rPr>
          <w:rFonts w:ascii="Times New Roman" w:hAnsi="Times New Roman"/>
          <w:b/>
          <w:noProof/>
          <w:sz w:val="24"/>
          <w:szCs w:val="24"/>
        </w:rPr>
        <w:t>első miniszteri szintű vegyes tanácsi ülését</w:t>
      </w:r>
      <w:r>
        <w:rPr>
          <w:rFonts w:ascii="Times New Roman" w:hAnsi="Times New Roman"/>
          <w:noProof/>
          <w:sz w:val="24"/>
          <w:szCs w:val="24"/>
        </w:rPr>
        <w:t xml:space="preserve"> és eljárási szabályokat vezetett be a megállapodás teljes körű működése érdekében.</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noProof/>
          <w:sz w:val="24"/>
          <w:szCs w:val="24"/>
        </w:rPr>
      </w:pPr>
      <w:r>
        <w:rPr>
          <w:rFonts w:ascii="Times New Roman" w:hAnsi="Times New Roman"/>
          <w:noProof/>
          <w:sz w:val="24"/>
          <w:szCs w:val="24"/>
        </w:rPr>
        <w:t xml:space="preserve">– </w:t>
      </w:r>
      <w:r>
        <w:rPr>
          <w:rFonts w:ascii="Times New Roman" w:hAnsi="Times New Roman"/>
          <w:b/>
          <w:noProof/>
          <w:sz w:val="24"/>
          <w:szCs w:val="24"/>
        </w:rPr>
        <w:t>Ghána és Elefántcsontpart</w:t>
      </w:r>
      <w:r>
        <w:rPr>
          <w:rFonts w:ascii="Times New Roman" w:hAnsi="Times New Roman"/>
          <w:noProof/>
          <w:sz w:val="24"/>
          <w:szCs w:val="24"/>
        </w:rPr>
        <w:t xml:space="preserve"> nemzeti jogszabályokat fogadott el kötelezettségvállalásaik teljes körű teljesítése érdekében és részt vett az első egyeztetéseken az EU-val a kakaóértéklánc fenntarthatósági aspektusairól.</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noProof/>
          <w:sz w:val="24"/>
          <w:szCs w:val="24"/>
        </w:rPr>
      </w:pPr>
      <w:r>
        <w:rPr>
          <w:rFonts w:ascii="Times New Roman" w:hAnsi="Times New Roman"/>
          <w:noProof/>
          <w:sz w:val="24"/>
          <w:szCs w:val="24"/>
        </w:rPr>
        <w:t xml:space="preserve">– Az EU és </w:t>
      </w:r>
      <w:r>
        <w:rPr>
          <w:rFonts w:ascii="Times New Roman" w:hAnsi="Times New Roman"/>
          <w:b/>
          <w:noProof/>
          <w:sz w:val="24"/>
          <w:szCs w:val="24"/>
        </w:rPr>
        <w:t>Kamerun</w:t>
      </w:r>
      <w:r>
        <w:rPr>
          <w:rFonts w:ascii="Times New Roman" w:hAnsi="Times New Roman"/>
          <w:noProof/>
          <w:sz w:val="24"/>
          <w:szCs w:val="24"/>
        </w:rPr>
        <w:t xml:space="preserve"> szoros együttműködést folytatott a vámcsökkentések három éve hatásainak értékelése és kísérő intézkedések megtervezése céljából.</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noProof/>
          <w:sz w:val="24"/>
          <w:szCs w:val="24"/>
        </w:rPr>
      </w:pPr>
      <w:r>
        <w:rPr>
          <w:rFonts w:ascii="Times New Roman" w:hAnsi="Times New Roman"/>
          <w:noProof/>
          <w:sz w:val="24"/>
          <w:szCs w:val="24"/>
        </w:rPr>
        <w:t xml:space="preserve">– Az EU és a </w:t>
      </w:r>
      <w:r>
        <w:rPr>
          <w:rFonts w:ascii="Times New Roman" w:hAnsi="Times New Roman"/>
          <w:b/>
          <w:noProof/>
          <w:sz w:val="24"/>
          <w:szCs w:val="24"/>
        </w:rPr>
        <w:t>CARIFORUM</w:t>
      </w:r>
      <w:r>
        <w:rPr>
          <w:rFonts w:ascii="Times New Roman" w:hAnsi="Times New Roman"/>
          <w:noProof/>
          <w:sz w:val="24"/>
          <w:szCs w:val="24"/>
        </w:rPr>
        <w:t xml:space="preserve"> országai 2019 szeptemberében üzleti fórumot tartottak Frankfurtban és intenzívebbé tették a fenntartható fejlődésről és az európai zöld megállapodásról folytatott párbeszédet.</w:t>
      </w:r>
    </w:p>
    <w:p>
      <w:pPr>
        <w:spacing w:after="120"/>
        <w:rPr>
          <w:rFonts w:ascii="Times New Roman" w:hAnsi="Times New Roman" w:cs="Times New Roman"/>
          <w:b/>
          <w:noProof/>
          <w:sz w:val="24"/>
          <w:szCs w:val="24"/>
        </w:rPr>
      </w:pPr>
    </w:p>
    <w:p>
      <w:pPr>
        <w:spacing w:after="120"/>
        <w:rPr>
          <w:rFonts w:ascii="Times New Roman" w:hAnsi="Times New Roman" w:cs="Times New Roman"/>
          <w:b/>
          <w:noProof/>
          <w:sz w:val="24"/>
          <w:szCs w:val="24"/>
        </w:rPr>
      </w:pPr>
      <w:r>
        <w:rPr>
          <w:rFonts w:ascii="Times New Roman" w:hAnsi="Times New Roman"/>
          <w:b/>
          <w:noProof/>
          <w:sz w:val="24"/>
          <w:szCs w:val="24"/>
        </w:rPr>
        <w:t>Kétoldalú kereskedelem: 2019. évi tendenciák</w:t>
      </w:r>
    </w:p>
    <w:p>
      <w:pPr>
        <w:spacing w:after="120"/>
        <w:rPr>
          <w:rFonts w:ascii="Times New Roman" w:hAnsi="Times New Roman" w:cs="Times New Roman"/>
          <w:noProof/>
          <w:sz w:val="24"/>
          <w:szCs w:val="24"/>
        </w:rPr>
      </w:pPr>
      <w:r>
        <w:rPr>
          <w:rFonts w:ascii="Times New Roman" w:hAnsi="Times New Roman"/>
          <w:b/>
          <w:noProof/>
          <w:sz w:val="24"/>
          <w:szCs w:val="24"/>
        </w:rPr>
        <w:t>Az Európai Unióba</w:t>
      </w:r>
      <w:r>
        <w:rPr>
          <w:rFonts w:ascii="Times New Roman" w:hAnsi="Times New Roman"/>
          <w:noProof/>
          <w:sz w:val="24"/>
          <w:szCs w:val="24"/>
        </w:rPr>
        <w:t xml:space="preserve"> a 31 GPM-partnerországból érkező </w:t>
      </w:r>
      <w:r>
        <w:rPr>
          <w:rFonts w:ascii="Times New Roman" w:hAnsi="Times New Roman"/>
          <w:b/>
          <w:noProof/>
          <w:sz w:val="24"/>
          <w:szCs w:val="24"/>
        </w:rPr>
        <w:t>behozatal</w:t>
      </w:r>
      <w:r>
        <w:rPr>
          <w:rFonts w:ascii="Times New Roman" w:hAnsi="Times New Roman"/>
          <w:noProof/>
          <w:sz w:val="24"/>
          <w:szCs w:val="24"/>
        </w:rPr>
        <w:t xml:space="preserve"> 2019-ben </w:t>
      </w:r>
      <w:r>
        <w:rPr>
          <w:rFonts w:ascii="Times New Roman" w:hAnsi="Times New Roman"/>
          <w:b/>
          <w:noProof/>
          <w:sz w:val="24"/>
          <w:szCs w:val="24"/>
        </w:rPr>
        <w:t>4,6 %-kal növekedett</w:t>
      </w:r>
      <w:r>
        <w:rPr>
          <w:rFonts w:ascii="Times New Roman" w:hAnsi="Times New Roman"/>
          <w:noProof/>
          <w:sz w:val="24"/>
          <w:szCs w:val="24"/>
        </w:rPr>
        <w:t xml:space="preserve">. Fidzsi, Dél-Afrika, a Dominikai Köztársaság, Kamerun és Szváziföld, például két számjegyű növekedést tapasztalt az EU-ba irányuló kivitelében. A CARIFORUM országok EU-ba irányuló agrár-élelmiszeripari kivitele 2019-ben 11 %-kal növekedett, ami a rizs, a sör, a cigaretta, a trópusi gyümölcs és a rum erőteljes exportjának tudható be. Noha ezek a behozatalok erőforrásfüggőek maradnak, a </w:t>
      </w:r>
      <w:r>
        <w:rPr>
          <w:rFonts w:ascii="Times New Roman" w:hAnsi="Times New Roman"/>
          <w:b/>
          <w:noProof/>
          <w:sz w:val="24"/>
          <w:szCs w:val="24"/>
        </w:rPr>
        <w:t>diverzifikáció</w:t>
      </w:r>
      <w:r>
        <w:rPr>
          <w:rFonts w:ascii="Times New Roman" w:hAnsi="Times New Roman"/>
          <w:noProof/>
          <w:sz w:val="24"/>
          <w:szCs w:val="24"/>
        </w:rPr>
        <w:t xml:space="preserve"> néhány országban egyre </w:t>
      </w:r>
      <w:r>
        <w:rPr>
          <w:rFonts w:ascii="Times New Roman" w:hAnsi="Times New Roman"/>
          <w:b/>
          <w:noProof/>
          <w:sz w:val="24"/>
          <w:szCs w:val="24"/>
        </w:rPr>
        <w:t>nő</w:t>
      </w:r>
      <w:r>
        <w:rPr>
          <w:rFonts w:ascii="Times New Roman" w:hAnsi="Times New Roman"/>
          <w:noProof/>
          <w:sz w:val="24"/>
          <w:szCs w:val="24"/>
        </w:rPr>
        <w:t>. Például a Dél-Afrikából származó behozatal változatos, elsősorban járművekből, gépekből és gyümölcsökből, valamint ásványi termékekből áll. Mauritius és a Dominikai Köztársaság nemrég kezdett el orvosi és laboratóriumi felszereléseket exportálni. A CARIFORUM országok is diverzifikálják kivitelüket.</w:t>
      </w:r>
    </w:p>
    <w:p>
      <w:pPr>
        <w:spacing w:after="0"/>
        <w:rPr>
          <w:rFonts w:ascii="Times New Roman" w:hAnsi="Times New Roman" w:cs="Times New Roman"/>
          <w:b/>
          <w:i/>
          <w:noProof/>
          <w:sz w:val="24"/>
          <w:szCs w:val="24"/>
        </w:rPr>
      </w:pPr>
    </w:p>
    <w:p>
      <w:pPr>
        <w:spacing w:after="120"/>
        <w:rPr>
          <w:rFonts w:ascii="Times New Roman" w:hAnsi="Times New Roman" w:cs="Times New Roman"/>
          <w:noProof/>
          <w:sz w:val="24"/>
          <w:szCs w:val="24"/>
        </w:rPr>
      </w:pPr>
      <w:r>
        <w:rPr>
          <w:rFonts w:ascii="Times New Roman" w:hAnsi="Times New Roman"/>
          <w:noProof/>
          <w:sz w:val="24"/>
          <w:szCs w:val="24"/>
        </w:rPr>
        <w:t>Az EU GPM-országokba irányuló kivitele 5 %-kal nőtt, ami a Dél-Afrikába és kisebb mértékben Mauritiusba és Fidzsire irányuló erőteljesebb kivitelnek tudható be. Az EU exportőrei egyre nagyobb mértékben aknázzák ki a GPM-ek keretében, különösen pedig a Dél-Afrika, a GPM-országok közül a legnagyobb gazdaság által nyújtott preferenciákat.</w:t>
      </w:r>
    </w:p>
    <w:p>
      <w:pPr>
        <w:spacing w:after="120"/>
        <w:rPr>
          <w:rFonts w:ascii="Times New Roman" w:hAnsi="Times New Roman" w:cs="Times New Roman"/>
          <w:noProof/>
          <w:sz w:val="24"/>
          <w:szCs w:val="24"/>
        </w:rPr>
      </w:pPr>
      <w:r>
        <w:rPr>
          <w:rFonts w:ascii="Times New Roman" w:hAnsi="Times New Roman"/>
          <w:b/>
          <w:noProof/>
          <w:sz w:val="24"/>
          <w:szCs w:val="24"/>
        </w:rPr>
        <w:t>Az EU munkálkodik a kereskedelmi viták rendezése érdekében.</w:t>
      </w:r>
      <w:r>
        <w:rPr>
          <w:rFonts w:ascii="Times New Roman" w:hAnsi="Times New Roman"/>
          <w:noProof/>
          <w:sz w:val="24"/>
          <w:szCs w:val="24"/>
        </w:rPr>
        <w:t xml:space="preserve"> Júniusban az EU hivatalos vitamegelőzési és vitarendezési eljárást kezdeményezett a Dél-afrikai Vámunióval (SACU) szemben az Unióból származó baromfitermékekre 2018-ban bevezetett védintézkedések vizsgálatára, amely 2019 szeptemberében hivatalos egyeztetésekhez vezetett, ahol a felek sajnos nem tudtak egyezségre jutni a nézeteltérést illetően.</w:t>
      </w:r>
      <w:r>
        <w:rPr>
          <w:rStyle w:val="FootnoteReference"/>
          <w:rFonts w:ascii="Times New Roman" w:hAnsi="Times New Roman" w:cs="Times New Roman"/>
          <w:noProof/>
          <w:sz w:val="24"/>
          <w:szCs w:val="24"/>
          <w:lang w:val="en-GB"/>
        </w:rPr>
        <w:footnoteReference w:id="48"/>
      </w:r>
    </w:p>
    <w:tbl>
      <w:tblPr>
        <w:tblStyle w:val="TableGrid"/>
        <w:tblW w:w="0" w:type="auto"/>
        <w:tblLook w:val="04A0" w:firstRow="1" w:lastRow="0" w:firstColumn="1" w:lastColumn="0" w:noHBand="0" w:noVBand="1"/>
      </w:tblPr>
      <w:tblGrid>
        <w:gridCol w:w="9242"/>
      </w:tblGrid>
      <w:tr>
        <w:tc>
          <w:tcPr>
            <w:tcW w:w="9242" w:type="dxa"/>
          </w:tcPr>
          <w:p>
            <w:pPr>
              <w:keepNext/>
              <w:spacing w:after="120"/>
              <w:rPr>
                <w:rFonts w:ascii="Times New Roman" w:hAnsi="Times New Roman" w:cs="Times New Roman"/>
                <w:b/>
                <w:noProof/>
              </w:rPr>
            </w:pPr>
            <w:r>
              <w:rPr>
                <w:rFonts w:ascii="Times New Roman" w:hAnsi="Times New Roman"/>
                <w:b/>
                <w:noProof/>
                <w:sz w:val="24"/>
                <w:szCs w:val="24"/>
              </w:rPr>
              <w:t xml:space="preserve"> Fehér spárga Namíbiából</w:t>
            </w:r>
            <w:r>
              <w:rPr>
                <w:rFonts w:ascii="Times New Roman" w:hAnsi="Times New Roman"/>
                <w:b/>
                <w:noProof/>
              </w:rPr>
              <w:t xml:space="preserve"> </w:t>
            </w:r>
          </w:p>
          <w:p>
            <w:pPr>
              <w:keepNext/>
              <w:spacing w:after="120" w:line="276" w:lineRule="auto"/>
              <w:rPr>
                <w:rFonts w:ascii="Times New Roman" w:hAnsi="Times New Roman" w:cs="Times New Roman"/>
                <w:noProof/>
                <w:sz w:val="24"/>
                <w:szCs w:val="24"/>
              </w:rPr>
            </w:pPr>
            <w:r>
              <w:rPr>
                <w:rFonts w:ascii="Times New Roman" w:hAnsi="Times New Roman"/>
                <w:noProof/>
                <w:sz w:val="24"/>
                <w:szCs w:val="24"/>
              </w:rPr>
              <w:t>A Namíbia Omusati tartományában működő spanyol spárgafeldolgozó gyár fehér spárgát exportál a helyi és nemzetközi piacokra, különösen Spanyolországba és más uniós országokba. A gyár 600 főt foglalkoztat, főként a helyi közösségekből származó nőket. A vállalkozás számára kulcsfontosságúak voltak a SADC GPM keretében végrehajtott vámcsökkentések. A fenntarthatóságot a vízfogyasztás minimálisra csökkentésére szolgáló csúcstechnológia segíti biztosítani.</w:t>
            </w:r>
          </w:p>
          <w:p>
            <w:pPr>
              <w:keepNext/>
              <w:spacing w:after="120" w:line="276" w:lineRule="auto"/>
              <w:rPr>
                <w:rFonts w:ascii="Times New Roman" w:hAnsi="Times New Roman" w:cs="Times New Roman"/>
                <w:b/>
                <w:i/>
                <w:noProof/>
                <w:sz w:val="24"/>
                <w:szCs w:val="24"/>
              </w:rPr>
            </w:pPr>
            <w:r>
              <w:rPr>
                <w:rFonts w:ascii="Times New Roman" w:hAnsi="Times New Roman"/>
                <w:b/>
                <w:i/>
                <w:noProof/>
                <w:sz w:val="24"/>
                <w:szCs w:val="24"/>
              </w:rPr>
              <w:t>„A SADC GPM-nek köszönhetően vámmentesen tudunk beruházási javakat és inputokat importálni Namíbiába, és az hosszú távú hozzáférést biztosított az uniós piachoz. E projektnek a helyi közösségre gyakorolt hatása nagyon jelentős.”</w:t>
            </w:r>
          </w:p>
          <w:p>
            <w:pPr>
              <w:rPr>
                <w:rFonts w:ascii="Times New Roman" w:hAnsi="Times New Roman" w:cs="Times New Roman"/>
                <w:b/>
                <w:i/>
                <w:noProof/>
              </w:rPr>
            </w:pPr>
            <w:r>
              <w:rPr>
                <w:rFonts w:ascii="Times New Roman" w:hAnsi="Times New Roman"/>
                <w:b/>
                <w:i/>
                <w:noProof/>
              </w:rPr>
              <w:t>Carlos Lertxundi Aretxaga, ügyvezető, spárgafeldolgozási projekt, az Otjimbele Agriculture PTY képviseletében</w:t>
            </w:r>
          </w:p>
        </w:tc>
      </w:tr>
    </w:tbl>
    <w:p>
      <w:pPr>
        <w:jc w:val="left"/>
        <w:rPr>
          <w:rFonts w:ascii="Times New Roman" w:hAnsi="Times New Roman" w:cs="Times New Roman"/>
          <w:b/>
          <w:noProof/>
          <w:sz w:val="24"/>
          <w:szCs w:val="24"/>
          <w:lang w:val="pt-PT"/>
        </w:rPr>
      </w:pPr>
    </w:p>
    <w:p>
      <w:pPr>
        <w:pStyle w:val="Heading1"/>
        <w:rPr>
          <w:noProof/>
        </w:rPr>
      </w:pPr>
      <w:bookmarkStart w:id="22" w:name="_Toc55303834"/>
      <w:r>
        <w:rPr>
          <w:noProof/>
        </w:rPr>
        <w:t>4. KERESKEDELEM ÉS FENNTARTHATÓ FEJLŐDÉS</w:t>
      </w:r>
      <w:bookmarkEnd w:id="22"/>
    </w:p>
    <w:p>
      <w:pPr>
        <w:rPr>
          <w:noProof/>
          <w:lang w:val="pt-PT"/>
        </w:rPr>
      </w:pPr>
    </w:p>
    <w:p>
      <w:pPr>
        <w:rPr>
          <w:rFonts w:ascii="Times New Roman" w:hAnsi="Times New Roman" w:cs="Times New Roman"/>
          <w:b/>
          <w:i/>
          <w:noProof/>
          <w:sz w:val="24"/>
          <w:szCs w:val="24"/>
        </w:rPr>
      </w:pPr>
      <w:r>
        <w:rPr>
          <w:rFonts w:ascii="Times New Roman" w:hAnsi="Times New Roman"/>
          <w:b/>
          <w:i/>
          <w:noProof/>
          <w:sz w:val="24"/>
          <w:szCs w:val="24"/>
        </w:rPr>
        <w:t>Célkitűzések és kihívások</w:t>
      </w:r>
    </w:p>
    <w:p>
      <w:pPr>
        <w:rPr>
          <w:rFonts w:ascii="Times New Roman" w:hAnsi="Times New Roman" w:cs="Times New Roman"/>
          <w:noProof/>
          <w:sz w:val="24"/>
          <w:szCs w:val="24"/>
        </w:rPr>
      </w:pPr>
      <w:r>
        <w:rPr>
          <w:rFonts w:ascii="Times New Roman" w:hAnsi="Times New Roman"/>
          <w:noProof/>
          <w:sz w:val="24"/>
          <w:szCs w:val="24"/>
        </w:rPr>
        <w:t>A kereskedelemre és a fenntartható fejlődésre vonatkozó fejezetek célja az, hogy maximalizálják a megnövekedett kereskedelem és befektetés fellendítő hatását avégett, hogy előrehaladást lehessen elérni az olyan kulcsfontosságú kérdésekben, mint amilyen például a tisztességes munka előmozdítása és a környezetvédelem vagy az éghajlatváltozás elleni küzdelem. A kereskedelemre és a fenntartható fejlődésre vonatkozó fejezetek rendelkezései előmozdítják a Nemzetközi Munkaügyi Szervezet (ILO) előírásainak és a többoldalú környezetvédelmi megállapodásoknak való megfelelést.</w:t>
      </w:r>
    </w:p>
    <w:p>
      <w:pPr>
        <w:rPr>
          <w:rFonts w:ascii="Times New Roman" w:hAnsi="Times New Roman" w:cs="Times New Roman"/>
          <w:noProof/>
          <w:sz w:val="24"/>
          <w:szCs w:val="24"/>
        </w:rPr>
      </w:pPr>
      <w:r>
        <w:rPr>
          <w:rFonts w:ascii="Times New Roman" w:hAnsi="Times New Roman"/>
          <w:noProof/>
          <w:sz w:val="24"/>
          <w:szCs w:val="24"/>
        </w:rPr>
        <w:t xml:space="preserve">A </w:t>
      </w:r>
      <w:r>
        <w:rPr>
          <w:rFonts w:ascii="Times New Roman" w:hAnsi="Times New Roman"/>
          <w:b/>
          <w:noProof/>
          <w:sz w:val="24"/>
          <w:szCs w:val="24"/>
        </w:rPr>
        <w:t>kereskedelemre és a fenntartható fejlődésre vonatkozó fejezetek végrehajtása különleges kihívásokkal jár.</w:t>
      </w:r>
      <w:r>
        <w:rPr>
          <w:rFonts w:ascii="Times New Roman" w:hAnsi="Times New Roman"/>
          <w:noProof/>
          <w:sz w:val="24"/>
          <w:szCs w:val="24"/>
        </w:rPr>
        <w:t xml:space="preserve"> Például továbbra is vannak hiányosságok az ILO alapvető egyezmények egyetemes megerősítése és eredményes végrehajtása terén, az uniós kereskedelmi partnerek körében is. A kereskedelemre és fenntartható fejlődésre vonatkozó kötelezettségek teljesítése gyakran </w:t>
      </w:r>
      <w:r>
        <w:rPr>
          <w:rFonts w:ascii="Times New Roman" w:hAnsi="Times New Roman"/>
          <w:b/>
          <w:noProof/>
          <w:sz w:val="24"/>
          <w:szCs w:val="24"/>
        </w:rPr>
        <w:t>hosszú ideje fennálló és mélyen gyökerező belföldi problémák megoldásával és különböző szakpolitikai prioritások kezelésével</w:t>
      </w:r>
      <w:r>
        <w:rPr>
          <w:rFonts w:ascii="Times New Roman" w:hAnsi="Times New Roman"/>
          <w:noProof/>
          <w:sz w:val="24"/>
          <w:szCs w:val="24"/>
        </w:rPr>
        <w:t xml:space="preserve"> jár. Ez pedig hosszú távú végrehajtási perspektívát igényel, amelyet érvényre juttatásnak és a civil társadalom és a vállalkozások aktív bevonásának kell támogatnia. A végrehajtási munka következésképpen együttműködési platformok kialakítására és különféle témákra irányuló közös kezdeményezésekre is összpontosít, mint például a méltányos díjazás, a biztonságos és egészséges környezetben való munkavégzés, végül pedig az éghajlatbarát technológiák előmozdítása.</w:t>
      </w:r>
    </w:p>
    <w:p>
      <w:pPr>
        <w:spacing w:after="0"/>
        <w:rPr>
          <w:rFonts w:ascii="Times New Roman" w:hAnsi="Times New Roman" w:cs="Times New Roman"/>
          <w:b/>
          <w:i/>
          <w:noProof/>
          <w:sz w:val="24"/>
          <w:szCs w:val="24"/>
        </w:rPr>
      </w:pPr>
    </w:p>
    <w:p>
      <w:pPr>
        <w:jc w:val="left"/>
        <w:rPr>
          <w:rFonts w:ascii="Times New Roman" w:hAnsi="Times New Roman" w:cs="Times New Roman"/>
          <w:b/>
          <w:i/>
          <w:noProof/>
          <w:sz w:val="24"/>
          <w:szCs w:val="24"/>
        </w:rPr>
      </w:pPr>
      <w:r>
        <w:rPr>
          <w:noProof/>
        </w:rPr>
        <w:br w:type="page"/>
      </w:r>
    </w:p>
    <w:p>
      <w:pPr>
        <w:rPr>
          <w:rFonts w:ascii="Times New Roman" w:hAnsi="Times New Roman" w:cs="Times New Roman"/>
          <w:b/>
          <w:i/>
          <w:noProof/>
          <w:sz w:val="24"/>
          <w:szCs w:val="24"/>
        </w:rPr>
      </w:pPr>
      <w:r>
        <w:rPr>
          <w:rFonts w:ascii="Times New Roman" w:hAnsi="Times New Roman"/>
          <w:b/>
          <w:i/>
          <w:noProof/>
          <w:sz w:val="24"/>
          <w:szCs w:val="24"/>
        </w:rPr>
        <w:t>Az Európai Bizottság 15 pontos cselekvési tervének kivitelezése</w:t>
      </w:r>
      <w:r>
        <w:rPr>
          <w:rStyle w:val="FootnoteReference"/>
          <w:b/>
          <w:i/>
          <w:noProof/>
          <w:sz w:val="24"/>
          <w:szCs w:val="24"/>
          <w:lang w:val="en-GB"/>
        </w:rPr>
        <w:footnoteReference w:id="49"/>
      </w:r>
      <w:r>
        <w:rPr>
          <w:rFonts w:ascii="Times New Roman" w:hAnsi="Times New Roman"/>
          <w:b/>
          <w:i/>
          <w:noProof/>
          <w:sz w:val="24"/>
          <w:szCs w:val="24"/>
        </w:rPr>
        <w:t xml:space="preserve"> </w:t>
      </w:r>
    </w:p>
    <w:p>
      <w:pPr>
        <w:rPr>
          <w:rFonts w:ascii="Times New Roman" w:hAnsi="Times New Roman" w:cs="Times New Roman"/>
          <w:noProof/>
          <w:sz w:val="24"/>
          <w:szCs w:val="24"/>
        </w:rPr>
      </w:pPr>
      <w:r>
        <w:rPr>
          <w:rFonts w:ascii="Times New Roman" w:hAnsi="Times New Roman"/>
          <w:noProof/>
          <w:sz w:val="24"/>
          <w:szCs w:val="24"/>
        </w:rPr>
        <w:t xml:space="preserve">A 2018 februári </w:t>
      </w:r>
      <w:r>
        <w:rPr>
          <w:rFonts w:ascii="Times New Roman" w:hAnsi="Times New Roman"/>
          <w:b/>
          <w:noProof/>
          <w:sz w:val="24"/>
          <w:szCs w:val="24"/>
        </w:rPr>
        <w:t>15 pontos cselekvési terv</w:t>
      </w:r>
      <w:r>
        <w:rPr>
          <w:rStyle w:val="FootnoteReference"/>
          <w:rFonts w:ascii="Times New Roman" w:hAnsi="Times New Roman" w:cs="Times New Roman"/>
          <w:b/>
          <w:noProof/>
          <w:sz w:val="24"/>
          <w:szCs w:val="24"/>
          <w:lang w:val="en-GB"/>
        </w:rPr>
        <w:footnoteReference w:id="50"/>
      </w:r>
      <w:r>
        <w:rPr>
          <w:rFonts w:ascii="Times New Roman" w:hAnsi="Times New Roman"/>
          <w:noProof/>
          <w:sz w:val="24"/>
          <w:szCs w:val="24"/>
        </w:rPr>
        <w:t xml:space="preserve"> végrehajtása a kereskedelemmel és fenntartható fejlődéssel kapcsolatos kötelezettségvállalások végrehajtását illetően egy szisztematikusabb és strukturáltabb megközelítést mozdít elő. Az Európai Bizottság a tárgyalási szakasz tanulságai és a korábbi végrehajtási tapasztalatok alapján célzott fellépéseket vezetett be, amelyek összhangban állnak </w:t>
      </w:r>
      <w:r>
        <w:rPr>
          <w:rFonts w:ascii="Times New Roman" w:hAnsi="Times New Roman"/>
          <w:b/>
          <w:noProof/>
          <w:sz w:val="24"/>
          <w:szCs w:val="24"/>
        </w:rPr>
        <w:t>az egyes kereskedelmi partnerek számára meghatározott különleges prioritásokkal</w:t>
      </w:r>
      <w:r>
        <w:rPr>
          <w:rFonts w:ascii="Times New Roman" w:hAnsi="Times New Roman"/>
          <w:noProof/>
          <w:sz w:val="24"/>
          <w:szCs w:val="24"/>
        </w:rPr>
        <w:t>.</w:t>
      </w:r>
    </w:p>
    <w:p>
      <w:pPr>
        <w:rPr>
          <w:rFonts w:ascii="Times New Roman" w:eastAsia="Calibri" w:hAnsi="Times New Roman" w:cs="Times New Roman"/>
          <w:noProof/>
          <w:sz w:val="24"/>
          <w:szCs w:val="24"/>
        </w:rPr>
      </w:pPr>
      <w:r>
        <w:rPr>
          <w:rFonts w:ascii="Times New Roman" w:hAnsi="Times New Roman"/>
          <w:noProof/>
          <w:sz w:val="24"/>
          <w:szCs w:val="24"/>
        </w:rPr>
        <w:t>Az Európai Bizottság, az Európai Parlament és az ILO végrehajtást megelőző összehangolt és kölcsönösen támogató fellépései jól működtek, például Vietnámban.</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b/>
          <w:noProof/>
          <w:sz w:val="24"/>
          <w:szCs w:val="24"/>
        </w:rPr>
      </w:pPr>
      <w:r>
        <w:rPr>
          <w:rFonts w:ascii="Times New Roman" w:hAnsi="Times New Roman"/>
          <w:b/>
          <w:noProof/>
          <w:sz w:val="24"/>
          <w:szCs w:val="24"/>
        </w:rPr>
        <w:t>A kereskedelmi és munkaügyi kötelezettségek végrehajtása terén elért haladás – Vietnám példája</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noProof/>
          <w:sz w:val="24"/>
          <w:szCs w:val="24"/>
        </w:rPr>
      </w:pPr>
      <w:r>
        <w:rPr>
          <w:rFonts w:ascii="Times New Roman" w:hAnsi="Times New Roman"/>
          <w:noProof/>
          <w:sz w:val="24"/>
          <w:szCs w:val="24"/>
        </w:rPr>
        <w:t xml:space="preserve">– </w:t>
      </w:r>
      <w:r>
        <w:rPr>
          <w:rFonts w:ascii="Times New Roman" w:hAnsi="Times New Roman"/>
          <w:b/>
          <w:noProof/>
          <w:sz w:val="24"/>
          <w:szCs w:val="24"/>
        </w:rPr>
        <w:t>Vietnám</w:t>
      </w:r>
      <w:r>
        <w:rPr>
          <w:rFonts w:ascii="Times New Roman" w:hAnsi="Times New Roman"/>
          <w:noProof/>
          <w:sz w:val="24"/>
          <w:szCs w:val="24"/>
        </w:rPr>
        <w:t xml:space="preserve"> 2019 júniusában</w:t>
      </w:r>
      <w:r>
        <w:rPr>
          <w:rFonts w:ascii="Times New Roman" w:hAnsi="Times New Roman"/>
          <w:b/>
          <w:noProof/>
          <w:sz w:val="24"/>
          <w:szCs w:val="24"/>
        </w:rPr>
        <w:t xml:space="preserve"> megerősítette</w:t>
      </w:r>
      <w:r>
        <w:rPr>
          <w:rFonts w:ascii="Times New Roman" w:hAnsi="Times New Roman"/>
          <w:noProof/>
          <w:sz w:val="24"/>
          <w:szCs w:val="24"/>
        </w:rPr>
        <w:t xml:space="preserve"> a kollektív tárgyalásokról szóló </w:t>
      </w:r>
      <w:r>
        <w:rPr>
          <w:rFonts w:ascii="Times New Roman" w:hAnsi="Times New Roman"/>
          <w:b/>
          <w:noProof/>
          <w:sz w:val="24"/>
          <w:szCs w:val="24"/>
        </w:rPr>
        <w:t>98. számú ILO-egyezményt</w:t>
      </w:r>
      <w:r>
        <w:rPr>
          <w:rFonts w:ascii="Times New Roman" w:hAnsi="Times New Roman"/>
          <w:noProof/>
          <w:sz w:val="24"/>
          <w:szCs w:val="24"/>
        </w:rPr>
        <w:t>, 2019 novemberében pedig elfogadta a felülvizsgált Munka Törvénykönyvét, ezáltal pedig elindította a munkaügyi jogszabályok átfogó reformját.</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noProof/>
          <w:sz w:val="24"/>
          <w:szCs w:val="24"/>
        </w:rPr>
      </w:pPr>
      <w:r>
        <w:rPr>
          <w:rFonts w:ascii="Times New Roman" w:hAnsi="Times New Roman"/>
          <w:noProof/>
          <w:sz w:val="24"/>
          <w:szCs w:val="24"/>
        </w:rPr>
        <w:t xml:space="preserve">– </w:t>
      </w:r>
      <w:r>
        <w:rPr>
          <w:rFonts w:ascii="Times New Roman" w:hAnsi="Times New Roman"/>
          <w:b/>
          <w:noProof/>
          <w:sz w:val="24"/>
          <w:szCs w:val="24"/>
        </w:rPr>
        <w:t>Vietnám megerősítette</w:t>
      </w:r>
      <w:r>
        <w:rPr>
          <w:rFonts w:ascii="Times New Roman" w:hAnsi="Times New Roman"/>
          <w:noProof/>
          <w:sz w:val="24"/>
          <w:szCs w:val="24"/>
        </w:rPr>
        <w:t xml:space="preserve"> a kényszer- vagy kötelező munkáról és az egyesülés szabadságáról szóló</w:t>
      </w:r>
      <w:r>
        <w:rPr>
          <w:rFonts w:ascii="Times New Roman" w:hAnsi="Times New Roman"/>
          <w:b/>
          <w:noProof/>
          <w:sz w:val="24"/>
          <w:szCs w:val="24"/>
        </w:rPr>
        <w:t xml:space="preserve"> két további alapvető ILO-egyezmény megerősítésének konkrét időkeretét</w:t>
      </w:r>
      <w:r>
        <w:rPr>
          <w:rFonts w:ascii="Times New Roman" w:hAnsi="Times New Roman"/>
          <w:noProof/>
          <w:sz w:val="24"/>
          <w:szCs w:val="24"/>
        </w:rPr>
        <w:t xml:space="preserve"> (amelyeket külön-külön 2020-ra és 2023-ra tervez megerősíteni).</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noProof/>
          <w:sz w:val="24"/>
          <w:szCs w:val="24"/>
        </w:rPr>
      </w:pPr>
      <w:r>
        <w:rPr>
          <w:rFonts w:ascii="Times New Roman" w:hAnsi="Times New Roman"/>
          <w:noProof/>
          <w:sz w:val="24"/>
          <w:szCs w:val="24"/>
        </w:rPr>
        <w:t xml:space="preserve">– </w:t>
      </w:r>
      <w:r>
        <w:rPr>
          <w:rFonts w:ascii="Times New Roman" w:hAnsi="Times New Roman"/>
          <w:b/>
          <w:noProof/>
          <w:sz w:val="24"/>
          <w:szCs w:val="24"/>
        </w:rPr>
        <w:t>Vietnám a gyermekmunka felszámolására irányuló lépésekről számolt be.</w:t>
      </w:r>
      <w:r>
        <w:rPr>
          <w:rFonts w:ascii="Times New Roman" w:hAnsi="Times New Roman"/>
          <w:noProof/>
          <w:sz w:val="24"/>
          <w:szCs w:val="24"/>
        </w:rPr>
        <w:t xml:space="preserve"> A legutóbbi nemzeti felmérés előzetes eredményei ígéretesek; az eredmények szerint a 2012. évi utolsó felmérés óta több mint 40 %-kal csökkent a gyermekmunka.</w:t>
      </w:r>
    </w:p>
    <w:p>
      <w:pPr>
        <w:spacing w:after="0" w:line="240" w:lineRule="auto"/>
        <w:rPr>
          <w:rFonts w:ascii="Times New Roman" w:hAnsi="Times New Roman" w:cs="Times New Roman"/>
          <w:noProof/>
          <w:sz w:val="24"/>
          <w:szCs w:val="24"/>
        </w:rPr>
      </w:pPr>
    </w:p>
    <w:p>
      <w:pPr>
        <w:spacing w:after="0" w:line="240" w:lineRule="auto"/>
        <w:rPr>
          <w:rFonts w:ascii="Times New Roman" w:hAnsi="Times New Roman" w:cs="Times New Roman"/>
          <w:noProof/>
          <w:sz w:val="24"/>
          <w:szCs w:val="24"/>
        </w:rPr>
      </w:pPr>
      <w:r>
        <w:rPr>
          <w:rFonts w:ascii="Times New Roman" w:hAnsi="Times New Roman"/>
          <w:noProof/>
          <w:sz w:val="24"/>
          <w:szCs w:val="24"/>
        </w:rPr>
        <w:t xml:space="preserve">A 15 pontos cselekvési terv továbbá előmozdítja az Európai Bizottság és a tagállamok, az Európai Parlament és a Nemzetközi Munkaügyi Szervezethez (ILO) hasonló nemzetközi szervek közötti </w:t>
      </w:r>
      <w:r>
        <w:rPr>
          <w:rFonts w:ascii="Times New Roman" w:hAnsi="Times New Roman"/>
          <w:b/>
          <w:noProof/>
          <w:sz w:val="24"/>
          <w:szCs w:val="24"/>
        </w:rPr>
        <w:t>szorosabb partnerségeket</w:t>
      </w:r>
      <w:r>
        <w:rPr>
          <w:rFonts w:ascii="Times New Roman" w:hAnsi="Times New Roman"/>
          <w:noProof/>
          <w:sz w:val="24"/>
          <w:szCs w:val="24"/>
        </w:rPr>
        <w:t>, amelyek kulcsfontosságúnak bizonyultak az előrehaladás gondos nyomon követéséhez.</w:t>
      </w:r>
    </w:p>
    <w:p>
      <w:pPr>
        <w:spacing w:after="0" w:line="240" w:lineRule="auto"/>
        <w:rPr>
          <w:rFonts w:ascii="Times New Roman" w:hAnsi="Times New Roman" w:cs="Times New Roman"/>
          <w:noProof/>
          <w:sz w:val="24"/>
          <w:szCs w:val="24"/>
        </w:rPr>
      </w:pPr>
    </w:p>
    <w:p>
      <w:pPr>
        <w:keepNext/>
        <w:pBdr>
          <w:top w:val="single" w:sz="4" w:space="0"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b/>
          <w:noProof/>
          <w:sz w:val="24"/>
          <w:szCs w:val="24"/>
        </w:rPr>
      </w:pPr>
      <w:r>
        <w:rPr>
          <w:rFonts w:ascii="Times New Roman" w:hAnsi="Times New Roman"/>
          <w:b/>
          <w:noProof/>
          <w:sz w:val="24"/>
          <w:szCs w:val="24"/>
        </w:rPr>
        <w:t>Példák a Bizottság és a tagállamok egymást kiegészítő fellépéseire</w:t>
      </w:r>
    </w:p>
    <w:p>
      <w:pPr>
        <w:keepNext/>
        <w:pBdr>
          <w:top w:val="single" w:sz="4" w:space="0"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b/>
          <w:noProof/>
          <w:sz w:val="24"/>
          <w:szCs w:val="24"/>
        </w:rPr>
      </w:pPr>
      <w:r>
        <w:rPr>
          <w:rFonts w:ascii="Times New Roman" w:hAnsi="Times New Roman"/>
          <w:noProof/>
          <w:sz w:val="24"/>
          <w:szCs w:val="24"/>
        </w:rPr>
        <w:t xml:space="preserve">– </w:t>
      </w:r>
      <w:r>
        <w:rPr>
          <w:rFonts w:ascii="Times New Roman" w:hAnsi="Times New Roman"/>
          <w:b/>
          <w:noProof/>
          <w:sz w:val="24"/>
          <w:szCs w:val="24"/>
        </w:rPr>
        <w:t>Hollandia</w:t>
      </w:r>
      <w:r>
        <w:rPr>
          <w:rFonts w:ascii="Times New Roman" w:hAnsi="Times New Roman"/>
          <w:noProof/>
          <w:sz w:val="24"/>
          <w:szCs w:val="24"/>
        </w:rPr>
        <w:t xml:space="preserve"> a </w:t>
      </w:r>
      <w:r>
        <w:rPr>
          <w:rFonts w:ascii="Times New Roman" w:hAnsi="Times New Roman"/>
          <w:b/>
          <w:noProof/>
          <w:sz w:val="24"/>
          <w:szCs w:val="24"/>
        </w:rPr>
        <w:t>gyermekmunkával kapcsolatos kellő gondosságról szóló törvényt</w:t>
      </w:r>
      <w:r>
        <w:rPr>
          <w:rStyle w:val="FootnoteReference"/>
          <w:rFonts w:ascii="Times New Roman" w:hAnsi="Times New Roman" w:cs="Times New Roman"/>
          <w:noProof/>
          <w:sz w:val="24"/>
          <w:szCs w:val="24"/>
          <w:lang w:val="en-GB"/>
        </w:rPr>
        <w:footnoteReference w:id="51"/>
      </w:r>
      <w:r>
        <w:rPr>
          <w:rFonts w:ascii="Times New Roman" w:hAnsi="Times New Roman"/>
          <w:noProof/>
          <w:sz w:val="24"/>
          <w:szCs w:val="24"/>
        </w:rPr>
        <w:t xml:space="preserve"> fogadott el, amely az országban székhellyel rendelkező összes vállalatra alkalmazandó. A törvény gyakorlatban való alkalmazása céljára folyamatban van a részletesebb végrehajtási jogszabály kidolgozása. Hollandia ezzel párhuzamosan </w:t>
      </w:r>
      <w:r>
        <w:rPr>
          <w:rFonts w:ascii="Times New Roman" w:hAnsi="Times New Roman"/>
          <w:b/>
          <w:noProof/>
          <w:sz w:val="24"/>
          <w:szCs w:val="24"/>
        </w:rPr>
        <w:t>értékelte</w:t>
      </w:r>
      <w:r>
        <w:rPr>
          <w:rStyle w:val="FootnoteReference"/>
          <w:rFonts w:ascii="Times New Roman" w:hAnsi="Times New Roman" w:cs="Times New Roman"/>
          <w:noProof/>
          <w:sz w:val="24"/>
          <w:szCs w:val="24"/>
          <w:lang w:val="en-GB"/>
        </w:rPr>
        <w:footnoteReference w:id="52"/>
      </w:r>
      <w:r>
        <w:rPr>
          <w:rFonts w:ascii="Times New Roman" w:hAnsi="Times New Roman"/>
          <w:noProof/>
          <w:sz w:val="24"/>
          <w:szCs w:val="24"/>
        </w:rPr>
        <w:t xml:space="preserve"> a </w:t>
      </w:r>
      <w:r>
        <w:rPr>
          <w:rFonts w:ascii="Times New Roman" w:hAnsi="Times New Roman"/>
          <w:b/>
          <w:noProof/>
          <w:sz w:val="24"/>
          <w:szCs w:val="24"/>
        </w:rPr>
        <w:t>kellő gondosságra irányuló kezdeményezésekről szóló ágazatspecifikus önkéntes megállapodásokat</w:t>
      </w:r>
      <w:r>
        <w:rPr>
          <w:rFonts w:ascii="Times New Roman" w:hAnsi="Times New Roman"/>
          <w:noProof/>
          <w:sz w:val="24"/>
          <w:szCs w:val="24"/>
        </w:rPr>
        <w:t>.</w:t>
      </w:r>
    </w:p>
    <w:p>
      <w:pPr>
        <w:keepNext/>
        <w:pBdr>
          <w:top w:val="single" w:sz="4" w:space="0" w:color="auto"/>
          <w:left w:val="single" w:sz="4" w:space="4" w:color="auto"/>
          <w:bottom w:val="single" w:sz="4" w:space="1" w:color="auto"/>
          <w:right w:val="single" w:sz="4" w:space="4" w:color="auto"/>
        </w:pBdr>
        <w:spacing w:after="120" w:line="240" w:lineRule="auto"/>
        <w:rPr>
          <w:rFonts w:ascii="Times New Roman" w:eastAsia="Calibri" w:hAnsi="Times New Roman" w:cs="Times New Roman"/>
          <w:noProof/>
          <w:sz w:val="24"/>
          <w:szCs w:val="24"/>
        </w:rPr>
      </w:pPr>
      <w:r>
        <w:rPr>
          <w:rFonts w:ascii="Times New Roman" w:hAnsi="Times New Roman"/>
          <w:noProof/>
          <w:sz w:val="24"/>
          <w:szCs w:val="24"/>
        </w:rPr>
        <w:t xml:space="preserve">– </w:t>
      </w:r>
      <w:r>
        <w:rPr>
          <w:rFonts w:ascii="Times New Roman" w:hAnsi="Times New Roman"/>
          <w:b/>
          <w:noProof/>
          <w:sz w:val="24"/>
          <w:szCs w:val="24"/>
        </w:rPr>
        <w:t>Svédország Nemzeti Kereskedelmi Tanácsa</w:t>
      </w:r>
      <w:r>
        <w:rPr>
          <w:rFonts w:ascii="Times New Roman" w:hAnsi="Times New Roman"/>
          <w:noProof/>
          <w:sz w:val="24"/>
          <w:szCs w:val="24"/>
        </w:rPr>
        <w:t xml:space="preserve"> kézikönyvet tett közzé avégett, hogy segítse a kereskedelemmel és fenntartható fejlődéssel kapcsolatos intézkedések végrehajtásának korai szakaszait Ecuadorban.</w:t>
      </w:r>
    </w:p>
    <w:p>
      <w:pPr>
        <w:spacing w:after="0" w:line="240" w:lineRule="auto"/>
        <w:rPr>
          <w:rFonts w:ascii="Times New Roman" w:eastAsia="Times New Roman" w:hAnsi="Times New Roman" w:cs="Times New Roman"/>
          <w:iCs/>
          <w:noProof/>
          <w:sz w:val="24"/>
          <w:szCs w:val="24"/>
        </w:rPr>
      </w:pPr>
    </w:p>
    <w:p>
      <w:pPr>
        <w:keepNext/>
        <w:pBdr>
          <w:top w:val="single" w:sz="4" w:space="1" w:color="auto"/>
          <w:left w:val="single" w:sz="4" w:space="4" w:color="auto"/>
          <w:bottom w:val="single" w:sz="4" w:space="1" w:color="auto"/>
          <w:right w:val="single" w:sz="4" w:space="4" w:color="auto"/>
        </w:pBdr>
        <w:spacing w:after="120" w:line="240" w:lineRule="auto"/>
        <w:rPr>
          <w:rFonts w:ascii="Times New Roman" w:hAnsi="Times New Roman" w:cs="Times New Roman"/>
          <w:b/>
          <w:iCs/>
          <w:noProof/>
          <w:sz w:val="24"/>
          <w:szCs w:val="24"/>
        </w:rPr>
      </w:pPr>
      <w:r>
        <w:rPr>
          <w:rFonts w:ascii="Times New Roman" w:hAnsi="Times New Roman"/>
          <w:b/>
          <w:iCs/>
          <w:noProof/>
          <w:sz w:val="24"/>
          <w:szCs w:val="24"/>
        </w:rPr>
        <w:t>Példák a Bizottság és az ILO közötti szakmai segítségnyújtási együttműködésre</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hAnsi="Times New Roman" w:cs="Times New Roman"/>
          <w:noProof/>
          <w:sz w:val="24"/>
          <w:szCs w:val="24"/>
        </w:rPr>
      </w:pPr>
      <w:r>
        <w:rPr>
          <w:rFonts w:ascii="Times New Roman" w:hAnsi="Times New Roman"/>
          <w:noProof/>
          <w:sz w:val="24"/>
          <w:szCs w:val="24"/>
        </w:rPr>
        <w:t xml:space="preserve">– Az Európai Bizottság és az ILO </w:t>
      </w:r>
      <w:r>
        <w:rPr>
          <w:rFonts w:ascii="Times New Roman" w:hAnsi="Times New Roman"/>
          <w:b/>
          <w:noProof/>
          <w:sz w:val="24"/>
          <w:szCs w:val="24"/>
        </w:rPr>
        <w:t>Vietnámban munkaügyi reformokat támogatott</w:t>
      </w:r>
      <w:r>
        <w:rPr>
          <w:rFonts w:ascii="Times New Roman" w:hAnsi="Times New Roman"/>
          <w:noProof/>
          <w:sz w:val="24"/>
          <w:szCs w:val="24"/>
        </w:rPr>
        <w:t xml:space="preserve"> és hozzájárult a munkaügyi felügyelet megerősítéséhez Kolumbia vidéki térségeiben.</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hAnsi="Times New Roman" w:cs="Times New Roman"/>
          <w:noProof/>
          <w:sz w:val="24"/>
          <w:szCs w:val="24"/>
        </w:rPr>
      </w:pPr>
      <w:r>
        <w:rPr>
          <w:rFonts w:ascii="Times New Roman" w:hAnsi="Times New Roman"/>
          <w:noProof/>
          <w:sz w:val="24"/>
          <w:szCs w:val="24"/>
        </w:rPr>
        <w:t xml:space="preserve">– Az Európai Bizottság támogatta az </w:t>
      </w:r>
      <w:r>
        <w:rPr>
          <w:rFonts w:ascii="Times New Roman" w:hAnsi="Times New Roman"/>
          <w:b/>
          <w:noProof/>
          <w:sz w:val="24"/>
          <w:szCs w:val="24"/>
        </w:rPr>
        <w:t>ILO salvadori és guatemalai fellépéseit</w:t>
      </w:r>
      <w:r>
        <w:rPr>
          <w:rFonts w:ascii="Times New Roman" w:hAnsi="Times New Roman"/>
          <w:noProof/>
          <w:sz w:val="24"/>
          <w:szCs w:val="24"/>
        </w:rPr>
        <w:t>, amelyek a nemzetközi munkaügyi előírásoknak való megfelelés javítására irányultak.</w:t>
      </w:r>
    </w:p>
    <w:p>
      <w:pPr>
        <w:spacing w:after="0"/>
        <w:rPr>
          <w:rFonts w:ascii="Times New Roman" w:hAnsi="Times New Roman" w:cs="Times New Roman"/>
          <w:b/>
          <w:noProof/>
          <w:sz w:val="24"/>
          <w:szCs w:val="24"/>
        </w:rPr>
      </w:pPr>
    </w:p>
    <w:p>
      <w:pPr>
        <w:rPr>
          <w:rFonts w:ascii="Times New Roman" w:hAnsi="Times New Roman" w:cs="Times New Roman"/>
          <w:noProof/>
          <w:sz w:val="24"/>
          <w:szCs w:val="24"/>
        </w:rPr>
      </w:pPr>
      <w:r>
        <w:rPr>
          <w:rFonts w:ascii="Times New Roman" w:hAnsi="Times New Roman"/>
          <w:noProof/>
          <w:sz w:val="24"/>
          <w:szCs w:val="24"/>
        </w:rPr>
        <w:t xml:space="preserve">A 15 pontos cselekvési terv másik pillére </w:t>
      </w:r>
      <w:r>
        <w:rPr>
          <w:rFonts w:ascii="Times New Roman" w:hAnsi="Times New Roman"/>
          <w:b/>
          <w:noProof/>
          <w:sz w:val="24"/>
          <w:szCs w:val="24"/>
        </w:rPr>
        <w:t>a civil társadalmi szervezetek érvényesülésének elősegítése az EU-ban és kereskedelmi partnerországaiban</w:t>
      </w:r>
      <w:r>
        <w:rPr>
          <w:rFonts w:ascii="Times New Roman" w:hAnsi="Times New Roman"/>
          <w:noProof/>
          <w:sz w:val="24"/>
          <w:szCs w:val="24"/>
        </w:rPr>
        <w:t xml:space="preserve">. Az Európai Bizottság 2019-ben folytatta a megállapodások felügyeletére létrehozott </w:t>
      </w:r>
      <w:r>
        <w:rPr>
          <w:rFonts w:ascii="Times New Roman" w:hAnsi="Times New Roman"/>
          <w:b/>
          <w:noProof/>
          <w:sz w:val="24"/>
          <w:szCs w:val="24"/>
        </w:rPr>
        <w:t>belső tanácsadó csoportok</w:t>
      </w:r>
      <w:r>
        <w:rPr>
          <w:rFonts w:ascii="Times New Roman" w:hAnsi="Times New Roman"/>
          <w:noProof/>
          <w:sz w:val="24"/>
          <w:szCs w:val="24"/>
        </w:rPr>
        <w:t xml:space="preserve"> részére biztosított segítségnyújtást. A cél az, hogy kialakuljanak a végrehajtási folyamatban való részvételük feltételei, hogy az hatékonyabb legyen. Az Európai Bizottság a Partnerségi Eszköz keretében tovább folytatta a finanszírozásnyújtást a belső tanácsadó csoportok tagjai számára a partnerekkel és más civil társadalmi képviselőkkel, többek között a szociális partnerekkel tartandó találkozókon való részvételhez. A 2018-ban kezdődött projekt kapacitásfejlesztési műhelyek szervezését is szponzorálta, amelyek a belső tanácsadó csoportok tagjai szakértelmének fejlesztésére irányultak, nevezetesen saját végrehajtási prioritásaiknak a meghatározására és kidolgozására.</w:t>
      </w:r>
    </w:p>
    <w:p>
      <w:pPr>
        <w:rPr>
          <w:rFonts w:ascii="Times New Roman" w:hAnsi="Times New Roman" w:cs="Times New Roman"/>
          <w:noProof/>
          <w:sz w:val="24"/>
          <w:szCs w:val="24"/>
        </w:rPr>
      </w:pPr>
      <w:r>
        <w:rPr>
          <w:rFonts w:ascii="Times New Roman" w:hAnsi="Times New Roman"/>
          <w:noProof/>
          <w:sz w:val="24"/>
          <w:szCs w:val="24"/>
        </w:rPr>
        <w:t xml:space="preserve">Az Európai Bizottság ezenkívül folytatta </w:t>
      </w:r>
      <w:r>
        <w:rPr>
          <w:rFonts w:ascii="Times New Roman" w:hAnsi="Times New Roman"/>
          <w:b/>
          <w:noProof/>
          <w:sz w:val="24"/>
          <w:szCs w:val="24"/>
        </w:rPr>
        <w:t>az ahhoz szükséges feltételek megteremtését, hogy a vállalkozások aktívabb szerepet vállaljanak annak biztosításában, hogy a kereskedelem és a fenntarthatóság egymással együtt járjanak a felelős üzleti gyakorlatok előmozdításának köszönhetően</w:t>
      </w:r>
      <w:r>
        <w:rPr>
          <w:rFonts w:ascii="Times New Roman" w:hAnsi="Times New Roman"/>
          <w:noProof/>
          <w:sz w:val="24"/>
          <w:szCs w:val="24"/>
        </w:rPr>
        <w:t>. 2019 januárjában elindult egy új technikai segítségnyújtási projekt Latin-Amerika számára, amely lehetővé tette az Európai Bizottságnak, hogy a Nemzetközi Munkaügyi Szervezet (ILO), a Gazdasági Együttműködési és Fejlesztési Szervezet (OECD) és az ENSZ Emberi Jogi Főbiztosának Hivatala (OHCHR) elismert szakértelmére és hosszú távú tapasztalatára építve konkrét intézkedéseket mozdítson elő és biztosítsa a kormányok és az érdekelt felek részéről a támogatást.</w:t>
      </w:r>
    </w:p>
    <w:p>
      <w:pPr>
        <w:rPr>
          <w:rFonts w:ascii="Times New Roman" w:hAnsi="Times New Roman" w:cs="Times New Roman"/>
          <w:noProof/>
          <w:sz w:val="24"/>
          <w:szCs w:val="24"/>
        </w:rPr>
      </w:pPr>
      <w:r>
        <w:rPr>
          <w:rFonts w:ascii="Times New Roman" w:hAnsi="Times New Roman"/>
          <w:noProof/>
          <w:sz w:val="24"/>
          <w:szCs w:val="24"/>
        </w:rPr>
        <w:t xml:space="preserve">Az Európai Bizottság 2019-ben folytatta </w:t>
      </w:r>
      <w:r>
        <w:rPr>
          <w:rFonts w:ascii="Times New Roman" w:hAnsi="Times New Roman"/>
          <w:b/>
          <w:noProof/>
          <w:sz w:val="24"/>
          <w:szCs w:val="24"/>
        </w:rPr>
        <w:t>asszertív érvényre juttatási</w:t>
      </w:r>
      <w:r>
        <w:rPr>
          <w:rFonts w:ascii="Times New Roman" w:hAnsi="Times New Roman"/>
          <w:noProof/>
          <w:sz w:val="24"/>
          <w:szCs w:val="24"/>
        </w:rPr>
        <w:t xml:space="preserve"> politikáját a kereskedelemmel és fenntartható fejlődéssel kapcsolatos kötelezettségvállalások végrehajtása során jelentkező kihívások kezelése érdekében. </w:t>
      </w:r>
      <w:r>
        <w:rPr>
          <w:rFonts w:ascii="Times New Roman" w:hAnsi="Times New Roman"/>
          <w:b/>
          <w:noProof/>
          <w:sz w:val="24"/>
          <w:szCs w:val="24"/>
        </w:rPr>
        <w:t>Az Európai Bizottság által Dél-Korea ellen kezdeményezett kétoldalú ügy keretében lefolytatott kormányzati konzultációk és testületi eljárások</w:t>
      </w:r>
      <w:r>
        <w:rPr>
          <w:rFonts w:ascii="Times New Roman" w:hAnsi="Times New Roman"/>
          <w:noProof/>
          <w:sz w:val="24"/>
          <w:szCs w:val="24"/>
        </w:rPr>
        <w:t xml:space="preserve"> példák erre. Az EU–Dél-Korea kereskedelmi megállapodás 2012-ben történt hatálybalépése óta az EU következetesen felvetette, hogy Korea nem teljesíti a megállapodás munkaügyi rendelkezéseit. Mivel ezek a beavatkozások nem jártak sikerrel, az Európai Bizottság 2018 decemberében kormányzati konzultációk lefolytatását kérte, amelyekre 2019 januárjában került sor, 2019 júliusában pedig szakértői testület létrehozását kérte az EU</w:t>
      </w:r>
      <w:r>
        <w:rPr>
          <w:rStyle w:val="FootnoteReference"/>
          <w:noProof/>
          <w:sz w:val="24"/>
          <w:szCs w:val="24"/>
          <w:lang w:val="en-GB"/>
        </w:rPr>
        <w:footnoteReference w:id="53"/>
      </w:r>
      <w:r>
        <w:rPr>
          <w:rFonts w:ascii="Times New Roman" w:hAnsi="Times New Roman"/>
          <w:noProof/>
          <w:sz w:val="24"/>
          <w:szCs w:val="24"/>
        </w:rPr>
        <w:t xml:space="preserve">. Az Európai Bizottság 2019-ben </w:t>
      </w:r>
      <w:r>
        <w:rPr>
          <w:rFonts w:ascii="Times New Roman" w:hAnsi="Times New Roman"/>
          <w:b/>
          <w:bCs/>
          <w:noProof/>
          <w:sz w:val="24"/>
          <w:szCs w:val="24"/>
        </w:rPr>
        <w:t>szakmai és politikai szinten fokozta a kétoldalú együttműködést Peruval</w:t>
      </w:r>
      <w:r>
        <w:rPr>
          <w:rFonts w:ascii="Times New Roman" w:hAnsi="Times New Roman"/>
          <w:noProof/>
          <w:sz w:val="24"/>
          <w:szCs w:val="24"/>
        </w:rPr>
        <w:t xml:space="preserve"> a kereskedelemmel és fenntartható fejlődéssel kapcsolatos kötelezettségvállalások végrehajtása terén. A kereskedelmi és fenntartható fejlődési albizottság októberi találkozóján Peru az EU lényegi aggályaira válaszul beszámolt a több fronton elért eredményekről</w:t>
      </w:r>
      <w:r>
        <w:rPr>
          <w:rStyle w:val="FootnoteReference"/>
          <w:rFonts w:ascii="Times New Roman" w:hAnsi="Times New Roman" w:cs="Times New Roman"/>
          <w:noProof/>
          <w:sz w:val="24"/>
          <w:szCs w:val="24"/>
          <w:lang w:val="en-GB"/>
        </w:rPr>
        <w:footnoteReference w:id="54"/>
      </w:r>
      <w:r>
        <w:rPr>
          <w:rFonts w:ascii="Times New Roman" w:hAnsi="Times New Roman"/>
          <w:noProof/>
          <w:sz w:val="24"/>
          <w:szCs w:val="24"/>
        </w:rPr>
        <w:t>.</w:t>
      </w:r>
    </w:p>
    <w:p>
      <w:pPr>
        <w:pStyle w:val="Heading1"/>
        <w:rPr>
          <w:noProof/>
        </w:rPr>
      </w:pPr>
      <w:bookmarkStart w:id="23" w:name="_Toc55303835"/>
      <w:r>
        <w:rPr>
          <w:noProof/>
        </w:rPr>
        <w:t>5. AZ UNIÓS KERESKEDELMI MEGÁLLAPODÁSOK ALAPJÁN FOLYTATOTT AGRÁR-ÉLELMISZERIPARI KERESKEDELEM</w:t>
      </w:r>
      <w:r>
        <w:rPr>
          <w:rStyle w:val="FootnoteReference"/>
          <w:noProof/>
        </w:rPr>
        <w:footnoteReference w:id="55"/>
      </w:r>
      <w:bookmarkEnd w:id="23"/>
    </w:p>
    <w:p>
      <w:pPr>
        <w:autoSpaceDE w:val="0"/>
        <w:autoSpaceDN w:val="0"/>
        <w:adjustRightInd w:val="0"/>
        <w:spacing w:after="0"/>
        <w:rPr>
          <w:rFonts w:ascii="Times New Roman" w:hAnsi="Times New Roman" w:cs="Times New Roman"/>
          <w:b/>
          <w:i/>
          <w:noProof/>
          <w:sz w:val="24"/>
          <w:szCs w:val="24"/>
        </w:rPr>
      </w:pPr>
    </w:p>
    <w:p>
      <w:pPr>
        <w:autoSpaceDE w:val="0"/>
        <w:autoSpaceDN w:val="0"/>
        <w:adjustRightInd w:val="0"/>
        <w:spacing w:afterLines="100" w:after="240"/>
        <w:rPr>
          <w:rFonts w:ascii="Times New Roman" w:hAnsi="Times New Roman" w:cs="Times New Roman"/>
          <w:b/>
          <w:i/>
          <w:noProof/>
          <w:sz w:val="24"/>
          <w:szCs w:val="24"/>
        </w:rPr>
      </w:pPr>
      <w:r>
        <w:rPr>
          <w:rFonts w:ascii="Times New Roman" w:hAnsi="Times New Roman"/>
          <w:b/>
          <w:i/>
          <w:noProof/>
          <w:sz w:val="24"/>
          <w:szCs w:val="24"/>
        </w:rPr>
        <w:t>A preferenciális partnerekkel bonyolított agrár-élelmiszeripari kereskedelem növekszik</w:t>
      </w:r>
    </w:p>
    <w:p>
      <w:pPr>
        <w:autoSpaceDE w:val="0"/>
        <w:autoSpaceDN w:val="0"/>
        <w:adjustRightInd w:val="0"/>
        <w:spacing w:afterLines="100" w:after="240"/>
        <w:rPr>
          <w:rFonts w:ascii="Times New Roman" w:hAnsi="Times New Roman" w:cs="Times New Roman"/>
          <w:noProof/>
          <w:sz w:val="24"/>
          <w:szCs w:val="24"/>
        </w:rPr>
      </w:pPr>
      <w:r>
        <w:rPr>
          <w:rFonts w:ascii="Times New Roman" w:hAnsi="Times New Roman"/>
          <w:noProof/>
          <w:sz w:val="24"/>
          <w:szCs w:val="24"/>
        </w:rPr>
        <w:t>2019-ben az EU preferenciális partnerekkel folytatott agrár-élelmiszeripari kereskedelme abszolút értelemben (a kereskedelemben részt vevő termékek értéke) és relatív értelemben egyaránt nőtt az EU összes agrár-élelmiszeripari kereskedelméhez viszonyítva. Az EU preferenciális kereskedelmi partnerországokkal bonyolított agrár-élelmiszeripari kereskedelme az EU harmadik országokkal bonyolított agrár-élelmiszeripari kereskedelmének hozzávetőlegesen 35 %-át tette ki, azaz az EU agrár-élelmiszeripari kivitelének 30 %-át, agrár-élelmiszeripari behozatalának pedig 40 %-át tette ki. Ez az arány az elmúlt 10 évben növekedett.</w:t>
      </w:r>
    </w:p>
    <w:p>
      <w:pPr>
        <w:autoSpaceDE w:val="0"/>
        <w:autoSpaceDN w:val="0"/>
        <w:spacing w:afterLines="100" w:after="240"/>
        <w:rPr>
          <w:rFonts w:ascii="Times New Roman" w:hAnsi="Times New Roman" w:cs="Times New Roman"/>
          <w:noProof/>
          <w:sz w:val="24"/>
          <w:szCs w:val="24"/>
        </w:rPr>
      </w:pPr>
      <w:r>
        <w:rPr>
          <w:rFonts w:ascii="Times New Roman" w:hAnsi="Times New Roman"/>
          <w:noProof/>
          <w:sz w:val="24"/>
          <w:szCs w:val="24"/>
        </w:rPr>
        <w:t xml:space="preserve">2019-ben a preferenciális kereskedelmi partnerek körében </w:t>
      </w:r>
      <w:r>
        <w:rPr>
          <w:rFonts w:ascii="Times New Roman" w:hAnsi="Times New Roman"/>
          <w:b/>
          <w:bCs/>
          <w:noProof/>
          <w:sz w:val="24"/>
          <w:szCs w:val="24"/>
        </w:rPr>
        <w:t>az uniós agrár-élelmiszeripari kivitel három fő exportpiaca Svájc, Japán és Norvégia</w:t>
      </w:r>
      <w:r>
        <w:rPr>
          <w:rFonts w:ascii="Times New Roman" w:hAnsi="Times New Roman"/>
          <w:noProof/>
          <w:sz w:val="24"/>
          <w:szCs w:val="24"/>
        </w:rPr>
        <w:t xml:space="preserve"> volt, amelyek együttesen az agrár-élelmiszeripari kivitel hozzávetőlegesen 11 %-át adták. Kanada a 4. helyen állt ebben a rangsorban. Az uniós kivitel mintegy 19 %-a élelmiszer-készítményekből, ezen belül csokoládéból, anyatej-helyettesítő tápszerből és tésztafélékből állt, 12 %-a pedig borokból, vermutból, almaborból és ecetből.</w:t>
      </w:r>
    </w:p>
    <w:p>
      <w:pPr>
        <w:autoSpaceDE w:val="0"/>
        <w:autoSpaceDN w:val="0"/>
        <w:adjustRightInd w:val="0"/>
        <w:spacing w:afterLines="100" w:after="240"/>
        <w:rPr>
          <w:rFonts w:ascii="Times New Roman" w:hAnsi="Times New Roman" w:cs="Times New Roman"/>
          <w:noProof/>
          <w:sz w:val="24"/>
          <w:szCs w:val="24"/>
        </w:rPr>
      </w:pPr>
    </w:p>
    <w:p>
      <w:pPr>
        <w:autoSpaceDE w:val="0"/>
        <w:autoSpaceDN w:val="0"/>
        <w:adjustRightInd w:val="0"/>
        <w:spacing w:afterLines="100" w:after="240"/>
        <w:rPr>
          <w:rFonts w:ascii="Times New Roman" w:hAnsi="Times New Roman" w:cs="Times New Roman"/>
          <w:noProof/>
          <w:sz w:val="24"/>
          <w:szCs w:val="24"/>
        </w:rPr>
      </w:pPr>
    </w:p>
    <w:p>
      <w:pPr>
        <w:autoSpaceDE w:val="0"/>
        <w:autoSpaceDN w:val="0"/>
        <w:adjustRightInd w:val="0"/>
        <w:spacing w:afterLines="100" w:after="240"/>
        <w:rPr>
          <w:rFonts w:ascii="Times New Roman" w:hAnsi="Times New Roman" w:cs="Times New Roman"/>
          <w:noProof/>
          <w:sz w:val="24"/>
          <w:szCs w:val="24"/>
          <w:lang w:val="en-GB"/>
        </w:rPr>
      </w:pPr>
      <w:r>
        <w:rPr>
          <w:noProof/>
          <w:lang w:val="en-GB" w:eastAsia="en-GB"/>
        </w:rPr>
        <w:drawing>
          <wp:inline distT="0" distB="0" distL="0" distR="0">
            <wp:extent cx="5943600" cy="4664791"/>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3600" cy="4664791"/>
                    </a:xfrm>
                    <a:prstGeom prst="rect">
                      <a:avLst/>
                    </a:prstGeom>
                    <a:noFill/>
                    <a:ln>
                      <a:noFill/>
                    </a:ln>
                  </pic:spPr>
                </pic:pic>
              </a:graphicData>
            </a:graphic>
          </wp:inline>
        </w:drawing>
      </w:r>
    </w:p>
    <w:p>
      <w:pPr>
        <w:autoSpaceDE w:val="0"/>
        <w:autoSpaceDN w:val="0"/>
        <w:adjustRightInd w:val="0"/>
        <w:spacing w:afterLines="100" w:after="240"/>
        <w:rPr>
          <w:rFonts w:ascii="Times New Roman" w:hAnsi="Times New Roman" w:cs="Times New Roman"/>
          <w:noProof/>
          <w:sz w:val="24"/>
          <w:szCs w:val="24"/>
          <w:lang w:val="en-GB"/>
        </w:rPr>
      </w:pPr>
    </w:p>
    <w:p>
      <w:pPr>
        <w:pBdr>
          <w:top w:val="single" w:sz="4" w:space="1" w:color="auto"/>
          <w:left w:val="single" w:sz="4" w:space="4" w:color="auto"/>
          <w:bottom w:val="single" w:sz="4" w:space="1" w:color="auto"/>
          <w:right w:val="single" w:sz="4" w:space="4" w:color="auto"/>
        </w:pBdr>
        <w:spacing w:after="120" w:line="240" w:lineRule="auto"/>
        <w:rPr>
          <w:rFonts w:ascii="Times New Roman" w:hAnsi="Times New Roman" w:cs="Times New Roman"/>
          <w:b/>
          <w:noProof/>
          <w:sz w:val="24"/>
          <w:szCs w:val="24"/>
        </w:rPr>
      </w:pPr>
      <w:r>
        <w:rPr>
          <w:rFonts w:ascii="Times New Roman" w:hAnsi="Times New Roman"/>
          <w:b/>
          <w:noProof/>
          <w:sz w:val="24"/>
          <w:szCs w:val="24"/>
        </w:rPr>
        <w:t>Cseh komló a prémium minőségű sörökért</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hAnsi="Times New Roman" w:cs="Times New Roman"/>
          <w:noProof/>
          <w:sz w:val="24"/>
          <w:szCs w:val="24"/>
        </w:rPr>
      </w:pPr>
      <w:r>
        <w:rPr>
          <w:rFonts w:ascii="Times New Roman" w:hAnsi="Times New Roman"/>
          <w:noProof/>
          <w:sz w:val="24"/>
          <w:szCs w:val="24"/>
        </w:rPr>
        <w:t>A BOHEMIA HOP cseh vállalat egy cseh komlótermesztők tulajdonában álló kisvállalkozás. A vállalat 10 főt foglalkoztat és hagyományos cseh komlót exportál az EU-n kívüli számos országba. Az EU–Japán gazdasági partnerségi megállapodás értelmében a vállalat most már vámmentesen tudja exportálni termékeit Japánba.</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hAnsi="Times New Roman" w:cs="Times New Roman"/>
          <w:b/>
          <w:noProof/>
          <w:sz w:val="24"/>
          <w:szCs w:val="24"/>
        </w:rPr>
      </w:pPr>
      <w:r>
        <w:rPr>
          <w:rFonts w:ascii="Times New Roman" w:hAnsi="Times New Roman"/>
          <w:b/>
          <w:i/>
          <w:iCs/>
          <w:noProof/>
          <w:sz w:val="24"/>
          <w:szCs w:val="24"/>
        </w:rPr>
        <w:t>„A japán sörfőzdék hagyományos vevői a cseh komlónak és ha kereskedelemről van szó, szeretjük az egyszerű megoldásokat.”</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hAnsi="Times New Roman" w:cs="Times New Roman"/>
          <w:b/>
          <w:i/>
          <w:noProof/>
          <w:sz w:val="24"/>
          <w:szCs w:val="24"/>
        </w:rPr>
      </w:pPr>
      <w:r>
        <w:rPr>
          <w:rFonts w:ascii="Times New Roman" w:hAnsi="Times New Roman"/>
          <w:b/>
          <w:i/>
          <w:noProof/>
          <w:sz w:val="24"/>
          <w:szCs w:val="24"/>
        </w:rPr>
        <w:t>Zdenek Rosa, elnök, Bohemia Hop</w:t>
      </w:r>
    </w:p>
    <w:p>
      <w:pPr>
        <w:keepLines/>
        <w:spacing w:after="0"/>
        <w:ind w:left="360"/>
        <w:rPr>
          <w:rFonts w:ascii="Times New Roman" w:hAnsi="Times New Roman" w:cs="Times New Roman"/>
          <w:noProof/>
          <w:sz w:val="24"/>
          <w:szCs w:val="24"/>
        </w:rPr>
      </w:pPr>
    </w:p>
    <w:p>
      <w:pPr>
        <w:autoSpaceDE w:val="0"/>
        <w:autoSpaceDN w:val="0"/>
        <w:adjustRightInd w:val="0"/>
        <w:spacing w:afterLines="100" w:after="240"/>
        <w:rPr>
          <w:rFonts w:ascii="Times New Roman" w:hAnsi="Times New Roman" w:cs="Times New Roman"/>
          <w:noProof/>
          <w:sz w:val="24"/>
          <w:szCs w:val="24"/>
        </w:rPr>
      </w:pPr>
      <w:r>
        <w:rPr>
          <w:rFonts w:ascii="Times New Roman" w:hAnsi="Times New Roman"/>
          <w:noProof/>
          <w:sz w:val="24"/>
          <w:szCs w:val="24"/>
        </w:rPr>
        <w:t xml:space="preserve">2019-ben a preferenciális kereskedelmi partnerországokból származó </w:t>
      </w:r>
      <w:r>
        <w:rPr>
          <w:rFonts w:ascii="Times New Roman" w:hAnsi="Times New Roman"/>
          <w:b/>
          <w:noProof/>
          <w:sz w:val="24"/>
          <w:szCs w:val="24"/>
        </w:rPr>
        <w:t>uniós agrár-élelmiszeripari kivitel három fő</w:t>
      </w:r>
      <w:r>
        <w:rPr>
          <w:rFonts w:ascii="Times New Roman" w:hAnsi="Times New Roman"/>
          <w:noProof/>
          <w:sz w:val="24"/>
          <w:szCs w:val="24"/>
        </w:rPr>
        <w:t xml:space="preserve"> kiindulási országa </w:t>
      </w:r>
      <w:r>
        <w:rPr>
          <w:rFonts w:ascii="Times New Roman" w:hAnsi="Times New Roman"/>
          <w:b/>
          <w:noProof/>
          <w:sz w:val="24"/>
          <w:szCs w:val="24"/>
        </w:rPr>
        <w:t>Ukrajna</w:t>
      </w:r>
      <w:r>
        <w:rPr>
          <w:rFonts w:ascii="Times New Roman" w:hAnsi="Times New Roman"/>
          <w:noProof/>
          <w:sz w:val="24"/>
          <w:szCs w:val="24"/>
        </w:rPr>
        <w:t xml:space="preserve"> (búzától és rizstől eltérő gabonafélék, pálmaolajtól és olívaolajtól eltérő növényi olajok), </w:t>
      </w:r>
      <w:r>
        <w:rPr>
          <w:rFonts w:ascii="Times New Roman" w:hAnsi="Times New Roman"/>
          <w:b/>
          <w:noProof/>
          <w:sz w:val="24"/>
          <w:szCs w:val="24"/>
        </w:rPr>
        <w:t>Svájc</w:t>
      </w:r>
      <w:r>
        <w:rPr>
          <w:rFonts w:ascii="Times New Roman" w:hAnsi="Times New Roman"/>
          <w:noProof/>
          <w:sz w:val="24"/>
          <w:szCs w:val="24"/>
        </w:rPr>
        <w:t xml:space="preserve"> (pörkölt kávé és tea, és élelmiszer-készítmények) és </w:t>
      </w:r>
      <w:r>
        <w:rPr>
          <w:rFonts w:ascii="Times New Roman" w:hAnsi="Times New Roman"/>
          <w:b/>
          <w:noProof/>
          <w:sz w:val="24"/>
          <w:szCs w:val="24"/>
        </w:rPr>
        <w:t>Törökország</w:t>
      </w:r>
      <w:r>
        <w:rPr>
          <w:rFonts w:ascii="Times New Roman" w:hAnsi="Times New Roman"/>
          <w:noProof/>
          <w:sz w:val="24"/>
          <w:szCs w:val="24"/>
        </w:rPr>
        <w:t xml:space="preserve"> (trópusi gyümölcsök, dió és fűszerek, valamint zöldség- és gyümölcskészítmények) volt. Ezek együttesen az EU összes agrár-élelmiszeripari behozatalának 13 %-át adták.</w:t>
      </w:r>
    </w:p>
    <w:p>
      <w:pPr>
        <w:autoSpaceDE w:val="0"/>
        <w:autoSpaceDN w:val="0"/>
        <w:adjustRightInd w:val="0"/>
        <w:spacing w:afterLines="100" w:after="240"/>
        <w:jc w:val="center"/>
        <w:rPr>
          <w:rFonts w:ascii="Times New Roman" w:hAnsi="Times New Roman" w:cs="Times New Roman"/>
          <w:noProof/>
          <w:sz w:val="24"/>
          <w:szCs w:val="24"/>
        </w:rPr>
      </w:pPr>
      <w:r>
        <w:rPr>
          <w:noProof/>
          <w:lang w:val="en-GB" w:eastAsia="en-GB"/>
        </w:rPr>
        <w:drawing>
          <wp:inline distT="0" distB="0" distL="0" distR="0">
            <wp:extent cx="5943600" cy="472793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3600" cy="4727935"/>
                    </a:xfrm>
                    <a:prstGeom prst="rect">
                      <a:avLst/>
                    </a:prstGeom>
                    <a:noFill/>
                    <a:ln>
                      <a:noFill/>
                    </a:ln>
                  </pic:spPr>
                </pic:pic>
              </a:graphicData>
            </a:graphic>
          </wp:inline>
        </w:drawing>
      </w:r>
    </w:p>
    <w:p>
      <w:pPr>
        <w:autoSpaceDE w:val="0"/>
        <w:autoSpaceDN w:val="0"/>
        <w:adjustRightInd w:val="0"/>
        <w:spacing w:afterLines="100" w:after="240"/>
        <w:rPr>
          <w:rFonts w:ascii="Times New Roman" w:hAnsi="Times New Roman" w:cs="Times New Roman"/>
          <w:b/>
          <w:i/>
          <w:noProof/>
          <w:sz w:val="24"/>
          <w:szCs w:val="24"/>
        </w:rPr>
      </w:pPr>
      <w:r>
        <w:rPr>
          <w:rFonts w:ascii="Times New Roman" w:hAnsi="Times New Roman"/>
          <w:b/>
          <w:i/>
          <w:noProof/>
          <w:sz w:val="24"/>
          <w:szCs w:val="24"/>
        </w:rPr>
        <w:t>Az agrár-élelmiszeripari kereskedelmi forgalom tendenciái és alakulása</w:t>
      </w:r>
    </w:p>
    <w:p>
      <w:pPr>
        <w:autoSpaceDE w:val="0"/>
        <w:autoSpaceDN w:val="0"/>
        <w:adjustRightInd w:val="0"/>
        <w:spacing w:afterLines="100" w:after="240"/>
        <w:rPr>
          <w:rFonts w:ascii="Times New Roman" w:hAnsi="Times New Roman" w:cs="Times New Roman"/>
          <w:noProof/>
          <w:sz w:val="24"/>
          <w:szCs w:val="24"/>
        </w:rPr>
      </w:pPr>
      <w:r>
        <w:rPr>
          <w:rFonts w:ascii="Times New Roman" w:hAnsi="Times New Roman"/>
          <w:noProof/>
          <w:sz w:val="24"/>
          <w:szCs w:val="24"/>
        </w:rPr>
        <w:t xml:space="preserve">2019-ben </w:t>
      </w:r>
      <w:r>
        <w:rPr>
          <w:rFonts w:ascii="Times New Roman" w:hAnsi="Times New Roman"/>
          <w:b/>
          <w:noProof/>
          <w:sz w:val="24"/>
          <w:szCs w:val="24"/>
        </w:rPr>
        <w:t>az agrár-élelmiszeripari termékek</w:t>
      </w:r>
      <w:r>
        <w:rPr>
          <w:rFonts w:ascii="Times New Roman" w:hAnsi="Times New Roman"/>
          <w:noProof/>
          <w:sz w:val="24"/>
          <w:szCs w:val="24"/>
        </w:rPr>
        <w:t xml:space="preserve"> preferenciális megállapodások keretében bonyolított </w:t>
      </w:r>
      <w:r>
        <w:rPr>
          <w:rFonts w:ascii="Times New Roman" w:hAnsi="Times New Roman"/>
          <w:b/>
          <w:noProof/>
          <w:sz w:val="24"/>
          <w:szCs w:val="24"/>
        </w:rPr>
        <w:t>uniós kivitele 8,7 %-kal nőtt</w:t>
      </w:r>
      <w:r>
        <w:rPr>
          <w:rFonts w:ascii="Times New Roman" w:hAnsi="Times New Roman"/>
          <w:noProof/>
          <w:sz w:val="24"/>
          <w:szCs w:val="24"/>
        </w:rPr>
        <w:t xml:space="preserve"> (+4,4 milliárd EUR) a világ többi részébe irányuló összes agrár-élelmiszeripari kivitelhez képest, amely 7,6 %-kal nőtt.</w:t>
      </w:r>
    </w:p>
    <w:p>
      <w:pPr>
        <w:autoSpaceDE w:val="0"/>
        <w:autoSpaceDN w:val="0"/>
        <w:adjustRightInd w:val="0"/>
        <w:spacing w:afterLines="100" w:after="240"/>
        <w:rPr>
          <w:rFonts w:ascii="Times New Roman" w:hAnsi="Times New Roman" w:cs="Times New Roman"/>
          <w:noProof/>
          <w:sz w:val="24"/>
          <w:szCs w:val="24"/>
        </w:rPr>
      </w:pPr>
      <w:r>
        <w:rPr>
          <w:rFonts w:ascii="Times New Roman" w:hAnsi="Times New Roman"/>
          <w:b/>
          <w:noProof/>
          <w:sz w:val="24"/>
          <w:szCs w:val="24"/>
        </w:rPr>
        <w:t>Az agrár-élelmiszeripari termékek</w:t>
      </w:r>
      <w:r>
        <w:rPr>
          <w:rFonts w:ascii="Times New Roman" w:hAnsi="Times New Roman"/>
          <w:noProof/>
          <w:sz w:val="24"/>
          <w:szCs w:val="24"/>
        </w:rPr>
        <w:t xml:space="preserve"> preferenciális megállapodások keretében </w:t>
      </w:r>
      <w:r>
        <w:rPr>
          <w:rFonts w:ascii="Times New Roman" w:hAnsi="Times New Roman"/>
          <w:b/>
          <w:noProof/>
          <w:sz w:val="24"/>
          <w:szCs w:val="24"/>
        </w:rPr>
        <w:t>bonyolított uniós behozatala</w:t>
      </w:r>
      <w:r>
        <w:rPr>
          <w:rFonts w:ascii="Times New Roman" w:hAnsi="Times New Roman"/>
          <w:noProof/>
          <w:sz w:val="24"/>
          <w:szCs w:val="24"/>
        </w:rPr>
        <w:t xml:space="preserve"> a kivitelhez hasonló ütemben nőtt (8,3 %), a világ többi részéből származó agrár-élelmiszeripari behozatal mindössze 2,3 %-os növekedéséhez képest. A preferenciális megállapodások keretében az agrár-élelmiszeripari kereskedelmi egyenleg +6,4 milliárd EUR maradt. A preferenciális partnerektől származó behozatal továbbra is </w:t>
      </w:r>
      <w:r>
        <w:rPr>
          <w:rFonts w:ascii="Times New Roman" w:hAnsi="Times New Roman"/>
          <w:b/>
          <w:noProof/>
          <w:sz w:val="24"/>
          <w:szCs w:val="24"/>
        </w:rPr>
        <w:t>stratégiai fontosságú marad</w:t>
      </w:r>
      <w:r>
        <w:rPr>
          <w:rFonts w:ascii="Times New Roman" w:hAnsi="Times New Roman"/>
          <w:noProof/>
          <w:sz w:val="24"/>
          <w:szCs w:val="24"/>
        </w:rPr>
        <w:t xml:space="preserve"> az EU agrár-élelmiszeripari szektora számára, mivel az biztosítja az EU-ban az éghajlati viszonyok miatt nem termesztett termékek (trópusi gyümölcsök, kakaó, kávé és egyéb italok) szükséges kínálatát, valamint az olyan termékekhez szükséges ráfordításokat, amelyek előállítása az EU-ban kevésbé versenyképes vagy amelyekből az EU nem termel az uniós kereslet kielégítésére elegendő mennyiséget (olajos magvak, állati vagy növényi zsírok/olajok).</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hAnsi="Times New Roman" w:cs="Times New Roman"/>
          <w:b/>
          <w:noProof/>
          <w:sz w:val="24"/>
          <w:szCs w:val="24"/>
        </w:rPr>
      </w:pPr>
      <w:r>
        <w:rPr>
          <w:rFonts w:ascii="Times New Roman" w:hAnsi="Times New Roman"/>
          <w:b/>
          <w:noProof/>
          <w:sz w:val="24"/>
          <w:szCs w:val="24"/>
        </w:rPr>
        <w:t>A szabadkereskedelem előmozdítja a természetes termékek használatát</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hAnsi="Times New Roman" w:cs="Times New Roman"/>
          <w:noProof/>
          <w:sz w:val="24"/>
          <w:szCs w:val="24"/>
        </w:rPr>
      </w:pPr>
      <w:r>
        <w:rPr>
          <w:rFonts w:ascii="Times New Roman" w:hAnsi="Times New Roman"/>
          <w:noProof/>
          <w:sz w:val="24"/>
          <w:szCs w:val="24"/>
        </w:rPr>
        <w:t>A hamburgi székhelyű Worlée NaturProdukte GmbH egy közel 200 főt foglalkoztató családi középvállalkozás, amely a Worlée Group tagja. Az EU Chilével kötött kereskedelmi megállapodása értelmében a csipkebogyó Chiléből történő behozatalára kivetett vámokat nullára csökkentették, ami hozzávetőlegesen évi 24 000 EUR megtakarítást eredményezett a Worlée-nak.</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hAnsi="Times New Roman" w:cs="Times New Roman"/>
          <w:b/>
          <w:i/>
          <w:noProof/>
          <w:sz w:val="24"/>
          <w:szCs w:val="24"/>
        </w:rPr>
      </w:pPr>
      <w:r>
        <w:rPr>
          <w:rFonts w:ascii="Times New Roman" w:hAnsi="Times New Roman"/>
          <w:b/>
          <w:i/>
          <w:noProof/>
          <w:sz w:val="24"/>
          <w:szCs w:val="24"/>
        </w:rPr>
        <w:t>„A szabadkereskedelem lehetővé teszi, hogy kiváló minőségű nyersanyagokat versenyképes árakon adjunk tovább ügyfeleinknek. Minél olcsóbban tudunk importálni egy terméket, annál versenyképesebbek lehetünk a piacon.”</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hAnsi="Times New Roman" w:cs="Times New Roman"/>
          <w:noProof/>
          <w:sz w:val="24"/>
          <w:szCs w:val="24"/>
        </w:rPr>
      </w:pPr>
      <w:r>
        <w:rPr>
          <w:rFonts w:ascii="Times New Roman" w:hAnsi="Times New Roman"/>
          <w:b/>
          <w:i/>
          <w:noProof/>
          <w:sz w:val="24"/>
          <w:szCs w:val="24"/>
        </w:rPr>
        <w:t>Reinhold von Eben-Worlée, CEO Worlée Group</w:t>
      </w:r>
    </w:p>
    <w:p>
      <w:pPr>
        <w:autoSpaceDE w:val="0"/>
        <w:autoSpaceDN w:val="0"/>
        <w:adjustRightInd w:val="0"/>
        <w:spacing w:after="0"/>
        <w:rPr>
          <w:rFonts w:ascii="Times New Roman" w:hAnsi="Times New Roman" w:cs="Times New Roman"/>
          <w:noProof/>
          <w:sz w:val="24"/>
          <w:szCs w:val="24"/>
          <w:lang w:val="de-DE"/>
        </w:rPr>
      </w:pPr>
    </w:p>
    <w:p>
      <w:pPr>
        <w:autoSpaceDE w:val="0"/>
        <w:autoSpaceDN w:val="0"/>
        <w:adjustRightInd w:val="0"/>
        <w:spacing w:afterLines="100" w:after="240"/>
        <w:rPr>
          <w:rFonts w:ascii="Times New Roman" w:hAnsi="Times New Roman" w:cs="Times New Roman"/>
          <w:strike/>
          <w:noProof/>
          <w:sz w:val="24"/>
          <w:szCs w:val="24"/>
        </w:rPr>
      </w:pPr>
      <w:r>
        <w:rPr>
          <w:rFonts w:ascii="Times New Roman" w:hAnsi="Times New Roman"/>
          <w:noProof/>
          <w:sz w:val="24"/>
          <w:szCs w:val="24"/>
        </w:rPr>
        <w:t xml:space="preserve">Az EU kereskedelmi megállapodásai figyelembe veszik </w:t>
      </w:r>
      <w:r>
        <w:rPr>
          <w:rFonts w:ascii="Times New Roman" w:hAnsi="Times New Roman"/>
          <w:b/>
          <w:noProof/>
          <w:sz w:val="24"/>
          <w:szCs w:val="24"/>
        </w:rPr>
        <w:t>az EU mezőgazdasági ágazatának érzékeny pontjait</w:t>
      </w:r>
      <w:r>
        <w:rPr>
          <w:rFonts w:ascii="Times New Roman" w:hAnsi="Times New Roman"/>
          <w:noProof/>
          <w:sz w:val="24"/>
          <w:szCs w:val="24"/>
        </w:rPr>
        <w:t xml:space="preserve">. Az érzékeny termékek, például a marhahús, a baromfi vagy a cukor, vagy ki vannak zárva a preferenciális kereskedelemből vagy gondosan kalibrált, korlátozott mennyiségű </w:t>
      </w:r>
      <w:r>
        <w:rPr>
          <w:rFonts w:ascii="Times New Roman" w:hAnsi="Times New Roman"/>
          <w:b/>
          <w:noProof/>
          <w:sz w:val="24"/>
          <w:szCs w:val="24"/>
        </w:rPr>
        <w:t>vámkontingensek</w:t>
      </w:r>
      <w:r>
        <w:rPr>
          <w:rFonts w:ascii="Times New Roman" w:hAnsi="Times New Roman"/>
          <w:noProof/>
          <w:sz w:val="24"/>
          <w:szCs w:val="24"/>
        </w:rPr>
        <w:t xml:space="preserve"> alkalmazásával preferenciális hozzáférést biztosítanak ezekhez. Az uniós kereskedelmi megállapodások </w:t>
      </w:r>
      <w:r>
        <w:rPr>
          <w:rFonts w:ascii="Times New Roman" w:hAnsi="Times New Roman"/>
          <w:b/>
          <w:noProof/>
          <w:sz w:val="24"/>
          <w:szCs w:val="24"/>
        </w:rPr>
        <w:t>az EU által exportált ezen érzékeny termékek közül bizonyosaknak új exportlehetőségeket</w:t>
      </w:r>
      <w:r>
        <w:rPr>
          <w:rFonts w:ascii="Times New Roman" w:hAnsi="Times New Roman"/>
          <w:noProof/>
          <w:sz w:val="24"/>
          <w:szCs w:val="24"/>
        </w:rPr>
        <w:t xml:space="preserve"> teremtenek. Ennek figyelemreméltó példája a marhahús. Az EU preferenciális kereskedelmi partnerországokba irányuló marhahús- és élőmarha-kivitele az elmúlt öt év során több mint 30 %-kal nőtt (406 millió EUR-ról 529 millió EUR-ra) a 2019. évi mérsékelt csökkenés ellenére.</w:t>
      </w:r>
    </w:p>
    <w:p>
      <w:pPr>
        <w:autoSpaceDE w:val="0"/>
        <w:autoSpaceDN w:val="0"/>
        <w:adjustRightInd w:val="0"/>
        <w:spacing w:afterLines="100" w:after="240"/>
        <w:rPr>
          <w:rFonts w:ascii="Times New Roman" w:hAnsi="Times New Roman" w:cs="Times New Roman"/>
          <w:b/>
          <w:i/>
          <w:noProof/>
          <w:sz w:val="24"/>
          <w:szCs w:val="24"/>
        </w:rPr>
      </w:pPr>
      <w:r>
        <w:rPr>
          <w:rFonts w:ascii="Times New Roman" w:hAnsi="Times New Roman"/>
          <w:b/>
          <w:i/>
          <w:noProof/>
          <w:sz w:val="24"/>
          <w:szCs w:val="24"/>
        </w:rPr>
        <w:t>Földrajzi árujelzők</w:t>
      </w:r>
    </w:p>
    <w:p>
      <w:pPr>
        <w:autoSpaceDE w:val="0"/>
        <w:autoSpaceDN w:val="0"/>
        <w:adjustRightInd w:val="0"/>
        <w:spacing w:afterLines="100" w:after="240"/>
        <w:rPr>
          <w:rStyle w:val="normaltextrun"/>
          <w:noProof/>
          <w:shd w:val="clear" w:color="auto" w:fill="FFFFFF"/>
        </w:rPr>
      </w:pPr>
      <w:r>
        <w:rPr>
          <w:rFonts w:ascii="Times New Roman" w:hAnsi="Times New Roman"/>
          <w:noProof/>
          <w:sz w:val="24"/>
          <w:szCs w:val="24"/>
        </w:rPr>
        <w:t xml:space="preserve">Az uniós kereskedelmi megállapodások különös figyelmet fordítanak a földrajzi árujelzők oltalmára. 2019-ben </w:t>
      </w:r>
      <w:r>
        <w:rPr>
          <w:rFonts w:ascii="Times New Roman" w:hAnsi="Times New Roman"/>
          <w:b/>
          <w:noProof/>
          <w:sz w:val="24"/>
          <w:szCs w:val="24"/>
        </w:rPr>
        <w:t>öt új uniós élelmiszer földrajzi árujelzője</w:t>
      </w:r>
      <w:r>
        <w:rPr>
          <w:rFonts w:ascii="Times New Roman" w:hAnsi="Times New Roman"/>
          <w:noProof/>
          <w:sz w:val="24"/>
          <w:szCs w:val="24"/>
        </w:rPr>
        <w:t xml:space="preserve"> (Piave, Pancetta piacentina, Salame piacentino, Coppa piacentina és Vinagre de Jerez) </w:t>
      </w:r>
      <w:r>
        <w:rPr>
          <w:rFonts w:ascii="Times New Roman" w:hAnsi="Times New Roman"/>
          <w:b/>
          <w:noProof/>
          <w:sz w:val="24"/>
          <w:szCs w:val="24"/>
        </w:rPr>
        <w:t>részesült oltalomban Kanadában</w:t>
      </w:r>
      <w:r>
        <w:rPr>
          <w:rFonts w:ascii="Times New Roman" w:hAnsi="Times New Roman"/>
          <w:noProof/>
          <w:sz w:val="24"/>
          <w:szCs w:val="24"/>
        </w:rPr>
        <w:t xml:space="preserve"> az EU Kanadával kötött kereskedelmi megállapodása, a CETA keretében bevezetett, a földrajzi árujelzők nyilvántartásba vételének közvetlen kérelmezésére irányuló eljárás útján. </w:t>
      </w:r>
      <w:r>
        <w:rPr>
          <w:rFonts w:ascii="Times New Roman" w:hAnsi="Times New Roman"/>
          <w:b/>
          <w:noProof/>
          <w:sz w:val="24"/>
          <w:szCs w:val="24"/>
        </w:rPr>
        <w:t>Japánban</w:t>
      </w:r>
      <w:r>
        <w:rPr>
          <w:rFonts w:ascii="Times New Roman" w:hAnsi="Times New Roman"/>
          <w:noProof/>
          <w:sz w:val="24"/>
          <w:szCs w:val="24"/>
        </w:rPr>
        <w:t xml:space="preserve"> az EU–Japán gazdasági partnerségi megállapodás 2019. február 1-jei hatálybalépése óta </w:t>
      </w:r>
      <w:r>
        <w:rPr>
          <w:rFonts w:ascii="Times New Roman" w:hAnsi="Times New Roman"/>
          <w:b/>
          <w:noProof/>
          <w:sz w:val="24"/>
          <w:szCs w:val="24"/>
        </w:rPr>
        <w:t>211 földrajzi árujelző részesült oltalomban</w:t>
      </w:r>
      <w:r>
        <w:rPr>
          <w:rFonts w:ascii="Times New Roman" w:hAnsi="Times New Roman"/>
          <w:noProof/>
          <w:sz w:val="24"/>
          <w:szCs w:val="24"/>
        </w:rPr>
        <w:t>.</w:t>
      </w:r>
    </w:p>
    <w:p>
      <w:pPr>
        <w:autoSpaceDE w:val="0"/>
        <w:autoSpaceDN w:val="0"/>
        <w:adjustRightInd w:val="0"/>
        <w:spacing w:afterLines="100" w:after="240"/>
        <w:rPr>
          <w:rFonts w:ascii="Times New Roman" w:hAnsi="Times New Roman" w:cs="Times New Roman"/>
          <w:noProof/>
          <w:sz w:val="24"/>
          <w:szCs w:val="24"/>
        </w:rPr>
      </w:pPr>
      <w:r>
        <w:rPr>
          <w:rFonts w:ascii="Times New Roman" w:hAnsi="Times New Roman"/>
          <w:noProof/>
          <w:sz w:val="24"/>
          <w:szCs w:val="24"/>
        </w:rPr>
        <w:t xml:space="preserve">Az uniós kereskedelmi megállapodásokban a földrajzi árujelzők oltalma egyre fontosabbá válik, mivel az oltalom alatt álló földrajzi árujelzők aránya az uniós kivitelben növekszik. 2019-ben az </w:t>
      </w:r>
      <w:r>
        <w:rPr>
          <w:rFonts w:ascii="Times New Roman" w:hAnsi="Times New Roman"/>
          <w:b/>
          <w:bCs/>
          <w:noProof/>
          <w:sz w:val="24"/>
          <w:szCs w:val="24"/>
        </w:rPr>
        <w:t>Európai Bizottság tanulmánya</w:t>
      </w:r>
      <w:r>
        <w:rPr>
          <w:rStyle w:val="FootnoteReference"/>
          <w:rFonts w:ascii="Times New Roman" w:hAnsi="Times New Roman" w:cs="Times New Roman"/>
          <w:noProof/>
          <w:sz w:val="24"/>
          <w:szCs w:val="24"/>
          <w:lang w:val="en-GB"/>
        </w:rPr>
        <w:footnoteReference w:id="56"/>
      </w:r>
      <w:r>
        <w:rPr>
          <w:rFonts w:ascii="Times New Roman" w:hAnsi="Times New Roman"/>
          <w:noProof/>
          <w:sz w:val="24"/>
          <w:szCs w:val="24"/>
        </w:rPr>
        <w:t xml:space="preserve"> megállapította, hogy 2010 és 2017 között a földrajzi árujelzők és a hagyományos különleges termékek</w:t>
      </w:r>
      <w:r>
        <w:rPr>
          <w:rStyle w:val="FootnoteReference"/>
          <w:rFonts w:ascii="Times New Roman" w:hAnsi="Times New Roman" w:cs="Times New Roman"/>
          <w:noProof/>
          <w:sz w:val="24"/>
          <w:szCs w:val="24"/>
          <w:lang w:val="en-GB"/>
        </w:rPr>
        <w:footnoteReference w:id="57"/>
      </w:r>
      <w:r>
        <w:rPr>
          <w:rFonts w:ascii="Times New Roman" w:hAnsi="Times New Roman"/>
          <w:noProof/>
          <w:sz w:val="24"/>
          <w:szCs w:val="24"/>
        </w:rPr>
        <w:t xml:space="preserve"> együttes részesedése az EU harmadik országokba irányuló kivitelében érték alapján 56 %-kal nőtt, ami az EU-28 esetében 2017-ben 17 milliárd EUR-t jelentett és a földrajzi árujelzők és hagyományos különleges termékek összes uniós értékesítésének 23 %-át tette ki. A borok maradtak a legfontosabb termékkategória az EU-n kívüli kereskedelem (50 %) (földrajzi árujelzők/hagyományos különleges termékek kereskedelme) szempontjából, amelyet a szeszes italok (39 %) és más mezőgazdasági termékek és élelmiszerek (10 %) követnek. A nem uniós országokba a legnagyobb mennyiségben exportált két földrajzi árujelző agrár-élelmiszeripari termékkategória a sajtok és a hústermékek voltak.</w:t>
      </w:r>
    </w:p>
    <w:p>
      <w:pPr>
        <w:autoSpaceDE w:val="0"/>
        <w:autoSpaceDN w:val="0"/>
        <w:adjustRightInd w:val="0"/>
        <w:spacing w:afterLines="100" w:after="240"/>
        <w:rPr>
          <w:rFonts w:ascii="Times New Roman" w:hAnsi="Times New Roman" w:cs="Times New Roman"/>
          <w:b/>
          <w:i/>
          <w:noProof/>
          <w:sz w:val="24"/>
          <w:szCs w:val="24"/>
        </w:rPr>
      </w:pPr>
      <w:r>
        <w:rPr>
          <w:rFonts w:ascii="Times New Roman" w:hAnsi="Times New Roman"/>
          <w:b/>
          <w:i/>
          <w:noProof/>
          <w:sz w:val="24"/>
          <w:szCs w:val="24"/>
        </w:rPr>
        <w:t>Az uniós agrár-élelmiszeripari termékek promóciója</w:t>
      </w:r>
    </w:p>
    <w:p>
      <w:pPr>
        <w:autoSpaceDE w:val="0"/>
        <w:autoSpaceDN w:val="0"/>
        <w:adjustRightInd w:val="0"/>
        <w:spacing w:afterLines="100" w:after="240"/>
        <w:rPr>
          <w:rStyle w:val="normaltextrun"/>
          <w:rFonts w:ascii="Times New Roman" w:hAnsi="Times New Roman" w:cs="Times New Roman"/>
          <w:noProof/>
          <w:sz w:val="24"/>
          <w:szCs w:val="24"/>
          <w:shd w:val="clear" w:color="auto" w:fill="FFFFFF"/>
        </w:rPr>
      </w:pPr>
      <w:r>
        <w:rPr>
          <w:rFonts w:ascii="Times New Roman" w:hAnsi="Times New Roman"/>
          <w:noProof/>
          <w:sz w:val="24"/>
          <w:szCs w:val="24"/>
        </w:rPr>
        <w:t xml:space="preserve">A kereskedelmi megállapodások összefüggésében a partnerországokban programokat bonyolítanak le az agár-élelmiszeripari termékek népszerűsítése céljából. Az EU a Japánba irányuló, az akkori (2019. május) mezőgazdaságért és vidékfejlesztésért felelős uniós biztos, Phil Hogan által vezetett magas szintű misszión kívül részt vett a vállalkozások közötti legnagyobb ázsiai agrár-élelmiszeripari vásáron („Foodex Japan”) </w:t>
      </w:r>
      <w:r>
        <w:rPr>
          <w:rStyle w:val="normaltextrun"/>
          <w:rFonts w:ascii="Times New Roman" w:hAnsi="Times New Roman"/>
          <w:noProof/>
          <w:sz w:val="24"/>
          <w:szCs w:val="24"/>
          <w:shd w:val="clear" w:color="auto" w:fill="FFFFFF"/>
        </w:rPr>
        <w:t>az uniós termékek eredetiségével, biztonságosságával és minőségével foglalkozó standdal. Ugyanakkor szemináriumot szerveztek, amely azokkal a lehetőségekkel foglalkozott, amelyek az EU–Japán gazdasági partnerségi megállapodás keretében az európai és a japán </w:t>
      </w:r>
      <w:r>
        <w:rPr>
          <w:rStyle w:val="spellingerror"/>
          <w:rFonts w:ascii="Times New Roman" w:hAnsi="Times New Roman"/>
          <w:noProof/>
          <w:color w:val="000000"/>
          <w:sz w:val="24"/>
          <w:szCs w:val="24"/>
          <w:shd w:val="clear" w:color="auto" w:fill="FFFFFF"/>
        </w:rPr>
        <w:t>agrár-</w:t>
      </w:r>
      <w:r>
        <w:rPr>
          <w:rStyle w:val="normaltextrun"/>
          <w:rFonts w:ascii="Times New Roman" w:hAnsi="Times New Roman"/>
          <w:noProof/>
          <w:sz w:val="24"/>
          <w:szCs w:val="24"/>
          <w:shd w:val="clear" w:color="auto" w:fill="FFFFFF"/>
        </w:rPr>
        <w:t xml:space="preserve">élelmiszeripari vállalkozások számára nyílnak meg, továbbá </w:t>
      </w:r>
      <w:r>
        <w:rPr>
          <w:rStyle w:val="normaltextrun"/>
          <w:rFonts w:ascii="Times New Roman" w:hAnsi="Times New Roman"/>
          <w:noProof/>
          <w:sz w:val="24"/>
          <w:szCs w:val="24"/>
          <w:bdr w:val="none" w:sz="0" w:space="0" w:color="auto" w:frame="1"/>
        </w:rPr>
        <w:t xml:space="preserve">az EU–Japán Ipari Együttműködési Központ GPM információs szolgálatot (EPA Helpdesk) hozott létre </w:t>
      </w:r>
      <w:r>
        <w:rPr>
          <w:rStyle w:val="normaltextrun"/>
          <w:rFonts w:ascii="Times New Roman" w:hAnsi="Times New Roman"/>
          <w:noProof/>
          <w:sz w:val="24"/>
          <w:szCs w:val="24"/>
          <w:shd w:val="clear" w:color="auto" w:fill="FFFFFF"/>
        </w:rPr>
        <w:t xml:space="preserve">a kkv-ktől érkező kérdések </w:t>
      </w:r>
      <w:r>
        <w:rPr>
          <w:rFonts w:ascii="Times New Roman" w:hAnsi="Times New Roman"/>
          <w:noProof/>
          <w:sz w:val="24"/>
          <w:szCs w:val="24"/>
        </w:rPr>
        <w:t>megválaszolására</w:t>
      </w:r>
      <w:r>
        <w:rPr>
          <w:rStyle w:val="normaltextrun"/>
          <w:rFonts w:ascii="Times New Roman" w:hAnsi="Times New Roman"/>
          <w:noProof/>
          <w:sz w:val="24"/>
          <w:szCs w:val="24"/>
          <w:shd w:val="clear" w:color="auto" w:fill="FFFFFF"/>
        </w:rPr>
        <w:t>, amelyek közül sok az </w:t>
      </w:r>
      <w:r>
        <w:rPr>
          <w:rStyle w:val="spellingerror"/>
          <w:rFonts w:ascii="Times New Roman" w:hAnsi="Times New Roman"/>
          <w:noProof/>
          <w:color w:val="000000"/>
          <w:sz w:val="24"/>
          <w:szCs w:val="24"/>
          <w:shd w:val="clear" w:color="auto" w:fill="FFFFFF"/>
        </w:rPr>
        <w:t>agrár</w:t>
      </w:r>
      <w:r>
        <w:rPr>
          <w:rStyle w:val="normaltextrun"/>
          <w:rFonts w:ascii="Times New Roman" w:hAnsi="Times New Roman"/>
          <w:noProof/>
          <w:sz w:val="24"/>
          <w:szCs w:val="24"/>
          <w:shd w:val="clear" w:color="auto" w:fill="FFFFFF"/>
        </w:rPr>
        <w:t>-élelmiszeripari szektort érinti. Többek között Mexikóban és Szingapúrban is indítottak promóciós tevékenységeket.</w:t>
      </w:r>
    </w:p>
    <w:p>
      <w:pPr>
        <w:autoSpaceDE w:val="0"/>
        <w:autoSpaceDN w:val="0"/>
        <w:adjustRightInd w:val="0"/>
        <w:spacing w:afterLines="100" w:after="240"/>
        <w:rPr>
          <w:noProof/>
          <w:shd w:val="clear" w:color="auto" w:fill="FFFFFF"/>
        </w:rPr>
      </w:pPr>
    </w:p>
    <w:p>
      <w:pPr>
        <w:autoSpaceDE w:val="0"/>
        <w:autoSpaceDN w:val="0"/>
        <w:adjustRightInd w:val="0"/>
        <w:spacing w:afterLines="100" w:after="240"/>
        <w:rPr>
          <w:rFonts w:ascii="Times New Roman" w:hAnsi="Times New Roman" w:cs="Times New Roman"/>
          <w:b/>
          <w:i/>
          <w:noProof/>
          <w:sz w:val="24"/>
          <w:szCs w:val="24"/>
        </w:rPr>
      </w:pPr>
      <w:r>
        <w:rPr>
          <w:rFonts w:ascii="Times New Roman" w:hAnsi="Times New Roman"/>
          <w:b/>
          <w:i/>
          <w:noProof/>
          <w:sz w:val="24"/>
          <w:szCs w:val="24"/>
        </w:rPr>
        <w:t>Az állat- és növényegészségügyi intézkedések figyelemmel kísérése</w:t>
      </w:r>
    </w:p>
    <w:p>
      <w:pPr>
        <w:autoSpaceDE w:val="0"/>
        <w:autoSpaceDN w:val="0"/>
        <w:adjustRightInd w:val="0"/>
        <w:spacing w:afterLines="100" w:after="240"/>
        <w:rPr>
          <w:rFonts w:ascii="Times New Roman" w:hAnsi="Times New Roman" w:cs="Times New Roman"/>
          <w:noProof/>
          <w:sz w:val="24"/>
          <w:szCs w:val="24"/>
        </w:rPr>
      </w:pPr>
      <w:r>
        <w:rPr>
          <w:rFonts w:ascii="Times New Roman" w:hAnsi="Times New Roman"/>
          <w:noProof/>
          <w:sz w:val="24"/>
          <w:szCs w:val="24"/>
        </w:rPr>
        <w:t>A kereskedelmi megállapodások támogatják a partnerek közötti információcserét és együttműködést, különösen a szakértők közötti, az állat- és növényegészségügyi intézkedések témakörében való rendszeres kapcsolattartás útján. Ez segíthet a lehetséges és létező kereskedelmi akadályok kezelésében.</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hAnsi="Times New Roman" w:cs="Times New Roman"/>
          <w:iCs/>
          <w:noProof/>
          <w:sz w:val="24"/>
          <w:szCs w:val="24"/>
        </w:rPr>
      </w:pPr>
      <w:r>
        <w:rPr>
          <w:rFonts w:ascii="Times New Roman" w:hAnsi="Times New Roman"/>
          <w:b/>
          <w:iCs/>
          <w:noProof/>
          <w:sz w:val="24"/>
          <w:szCs w:val="24"/>
        </w:rPr>
        <w:t>Az uniós agrár-élelmiszeripari termékek piacra jutása terén 2019-ben elért haladás</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hAnsi="Times New Roman" w:cs="Times New Roman"/>
          <w:iCs/>
          <w:noProof/>
          <w:sz w:val="24"/>
          <w:szCs w:val="24"/>
        </w:rPr>
      </w:pPr>
      <w:r>
        <w:rPr>
          <w:rFonts w:ascii="Times New Roman" w:hAnsi="Times New Roman"/>
          <w:iCs/>
          <w:noProof/>
          <w:sz w:val="24"/>
          <w:szCs w:val="24"/>
        </w:rPr>
        <w:t xml:space="preserve">– </w:t>
      </w:r>
      <w:r>
        <w:rPr>
          <w:rFonts w:ascii="Times New Roman" w:hAnsi="Times New Roman"/>
          <w:b/>
          <w:iCs/>
          <w:noProof/>
          <w:sz w:val="24"/>
          <w:szCs w:val="24"/>
        </w:rPr>
        <w:t>Kanada megnyitotta piacát</w:t>
      </w:r>
      <w:r>
        <w:rPr>
          <w:rFonts w:ascii="Times New Roman" w:hAnsi="Times New Roman"/>
          <w:iCs/>
          <w:noProof/>
          <w:sz w:val="24"/>
          <w:szCs w:val="24"/>
        </w:rPr>
        <w:t xml:space="preserve"> egy másik uniós tagállamból származó </w:t>
      </w:r>
      <w:r>
        <w:rPr>
          <w:rFonts w:ascii="Times New Roman" w:hAnsi="Times New Roman"/>
          <w:b/>
          <w:iCs/>
          <w:noProof/>
          <w:sz w:val="24"/>
          <w:szCs w:val="24"/>
        </w:rPr>
        <w:t>paradicsom</w:t>
      </w:r>
      <w:r>
        <w:rPr>
          <w:rFonts w:ascii="Times New Roman" w:hAnsi="Times New Roman"/>
          <w:iCs/>
          <w:noProof/>
          <w:sz w:val="24"/>
          <w:szCs w:val="24"/>
        </w:rPr>
        <w:t xml:space="preserve"> előtt, továbbá az ültetésre szánt növények </w:t>
      </w:r>
      <w:r>
        <w:rPr>
          <w:rFonts w:ascii="Times New Roman" w:hAnsi="Times New Roman"/>
          <w:b/>
          <w:iCs/>
          <w:noProof/>
          <w:sz w:val="24"/>
          <w:szCs w:val="24"/>
        </w:rPr>
        <w:t>előtt</w:t>
      </w:r>
      <w:r>
        <w:rPr>
          <w:rFonts w:ascii="Times New Roman" w:hAnsi="Times New Roman"/>
          <w:iCs/>
          <w:noProof/>
          <w:sz w:val="24"/>
          <w:szCs w:val="24"/>
        </w:rPr>
        <w:t>.</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hAnsi="Times New Roman" w:cs="Times New Roman"/>
          <w:iCs/>
          <w:noProof/>
          <w:sz w:val="24"/>
          <w:szCs w:val="24"/>
        </w:rPr>
      </w:pPr>
      <w:r>
        <w:rPr>
          <w:rFonts w:ascii="Times New Roman" w:hAnsi="Times New Roman"/>
          <w:iCs/>
          <w:noProof/>
          <w:sz w:val="24"/>
          <w:szCs w:val="24"/>
        </w:rPr>
        <w:t xml:space="preserve">– </w:t>
      </w:r>
      <w:r>
        <w:rPr>
          <w:rFonts w:ascii="Times New Roman" w:hAnsi="Times New Roman"/>
          <w:b/>
          <w:iCs/>
          <w:noProof/>
          <w:sz w:val="24"/>
          <w:szCs w:val="24"/>
        </w:rPr>
        <w:t>Chile</w:t>
      </w:r>
      <w:r>
        <w:rPr>
          <w:rFonts w:ascii="Times New Roman" w:hAnsi="Times New Roman"/>
          <w:iCs/>
          <w:noProof/>
          <w:sz w:val="24"/>
          <w:szCs w:val="24"/>
        </w:rPr>
        <w:t xml:space="preserve"> további négy</w:t>
      </w:r>
      <w:r>
        <w:rPr>
          <w:rStyle w:val="FootnoteReference"/>
          <w:rFonts w:ascii="Times New Roman" w:hAnsi="Times New Roman" w:cs="Times New Roman"/>
          <w:iCs/>
          <w:noProof/>
          <w:sz w:val="24"/>
          <w:szCs w:val="24"/>
          <w:lang w:val="en-GB"/>
        </w:rPr>
        <w:footnoteReference w:id="58"/>
      </w:r>
      <w:r>
        <w:rPr>
          <w:rFonts w:ascii="Times New Roman" w:hAnsi="Times New Roman"/>
          <w:iCs/>
          <w:noProof/>
          <w:sz w:val="24"/>
          <w:szCs w:val="24"/>
        </w:rPr>
        <w:t xml:space="preserve"> tagállam előtt </w:t>
      </w:r>
      <w:r>
        <w:rPr>
          <w:rFonts w:ascii="Times New Roman" w:hAnsi="Times New Roman"/>
          <w:b/>
          <w:iCs/>
          <w:noProof/>
          <w:sz w:val="24"/>
          <w:szCs w:val="24"/>
        </w:rPr>
        <w:t>nyitotta meg tejtermék- és marhahúspiacát</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hAnsi="Times New Roman" w:cs="Times New Roman"/>
          <w:iCs/>
          <w:noProof/>
          <w:sz w:val="24"/>
          <w:szCs w:val="24"/>
        </w:rPr>
      </w:pPr>
      <w:r>
        <w:rPr>
          <w:rFonts w:ascii="Times New Roman" w:hAnsi="Times New Roman"/>
          <w:iCs/>
          <w:noProof/>
          <w:sz w:val="24"/>
          <w:szCs w:val="24"/>
        </w:rPr>
        <w:t xml:space="preserve">– </w:t>
      </w:r>
      <w:r>
        <w:rPr>
          <w:rFonts w:ascii="Times New Roman" w:hAnsi="Times New Roman"/>
          <w:b/>
          <w:iCs/>
          <w:noProof/>
          <w:sz w:val="24"/>
          <w:szCs w:val="24"/>
        </w:rPr>
        <w:t>Dél-Korea megnyitotta marhahúspiacát</w:t>
      </w:r>
      <w:r>
        <w:rPr>
          <w:rFonts w:ascii="Times New Roman" w:hAnsi="Times New Roman"/>
          <w:iCs/>
          <w:noProof/>
          <w:sz w:val="24"/>
          <w:szCs w:val="24"/>
        </w:rPr>
        <w:t xml:space="preserve"> két további tagállam előtt.</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hAnsi="Times New Roman" w:cs="Times New Roman"/>
          <w:iCs/>
          <w:noProof/>
          <w:sz w:val="24"/>
          <w:szCs w:val="24"/>
        </w:rPr>
      </w:pPr>
      <w:r>
        <w:rPr>
          <w:rFonts w:ascii="Times New Roman" w:hAnsi="Times New Roman"/>
          <w:noProof/>
          <w:sz w:val="24"/>
          <w:szCs w:val="24"/>
        </w:rPr>
        <w:t xml:space="preserve">– </w:t>
      </w:r>
      <w:r>
        <w:rPr>
          <w:rFonts w:ascii="Times New Roman" w:hAnsi="Times New Roman"/>
          <w:b/>
          <w:noProof/>
          <w:sz w:val="24"/>
          <w:szCs w:val="24"/>
        </w:rPr>
        <w:t>Dél-Afrika eltörölte a madárinfluenza-járvány miatti országszerte bevezetett tilalmakat</w:t>
      </w:r>
      <w:r>
        <w:rPr>
          <w:rFonts w:ascii="Times New Roman" w:hAnsi="Times New Roman"/>
          <w:noProof/>
          <w:sz w:val="24"/>
          <w:szCs w:val="24"/>
        </w:rPr>
        <w:t xml:space="preserve"> hatból két tagállam tekintetében, ugyanakkor a többi négy tekintetében érvényben hagyta azokat.</w:t>
      </w:r>
    </w:p>
    <w:p>
      <w:pPr>
        <w:autoSpaceDE w:val="0"/>
        <w:autoSpaceDN w:val="0"/>
        <w:adjustRightInd w:val="0"/>
        <w:spacing w:after="0"/>
        <w:rPr>
          <w:rFonts w:ascii="Times New Roman" w:hAnsi="Times New Roman" w:cs="Times New Roman"/>
          <w:b/>
          <w:i/>
          <w:noProof/>
          <w:sz w:val="24"/>
          <w:szCs w:val="24"/>
        </w:rPr>
      </w:pPr>
    </w:p>
    <w:p>
      <w:pPr>
        <w:autoSpaceDE w:val="0"/>
        <w:autoSpaceDN w:val="0"/>
        <w:adjustRightInd w:val="0"/>
        <w:spacing w:afterLines="100" w:after="240"/>
        <w:rPr>
          <w:rFonts w:ascii="Times New Roman" w:hAnsi="Times New Roman" w:cs="Times New Roman"/>
          <w:b/>
          <w:i/>
          <w:noProof/>
          <w:sz w:val="24"/>
          <w:szCs w:val="24"/>
        </w:rPr>
      </w:pPr>
      <w:r>
        <w:rPr>
          <w:rFonts w:ascii="Times New Roman" w:hAnsi="Times New Roman"/>
          <w:b/>
          <w:i/>
          <w:noProof/>
          <w:sz w:val="24"/>
          <w:szCs w:val="24"/>
        </w:rPr>
        <w:t>Állatjóllét</w:t>
      </w:r>
    </w:p>
    <w:p>
      <w:pPr>
        <w:autoSpaceDE w:val="0"/>
        <w:autoSpaceDN w:val="0"/>
        <w:adjustRightInd w:val="0"/>
        <w:spacing w:afterLines="100" w:after="240"/>
        <w:rPr>
          <w:rFonts w:ascii="Times New Roman" w:hAnsi="Times New Roman" w:cs="Times New Roman"/>
          <w:noProof/>
          <w:sz w:val="24"/>
          <w:szCs w:val="24"/>
        </w:rPr>
      </w:pPr>
      <w:r>
        <w:rPr>
          <w:rFonts w:ascii="Times New Roman" w:hAnsi="Times New Roman"/>
          <w:noProof/>
          <w:sz w:val="24"/>
          <w:szCs w:val="24"/>
        </w:rPr>
        <w:t>Az EU 2002 óta következetesen úgy véli, hogy az állatjóllétnek az uniós kétoldalú megállapodások célkitűzéseihez kellene tartoznia, amelyet megfelelő együttműködési mechanizmusok kidolgozásával kell elérni, és ezek keretében a bevált európai gyakorlatokat meg lehetne osztani és elő lehetne mozdítani a partnerországokkal.</w:t>
      </w:r>
    </w:p>
    <w:p>
      <w:pPr>
        <w:autoSpaceDE w:val="0"/>
        <w:autoSpaceDN w:val="0"/>
        <w:adjustRightInd w:val="0"/>
        <w:spacing w:afterLines="100" w:after="240"/>
        <w:rPr>
          <w:rFonts w:ascii="Times New Roman" w:hAnsi="Times New Roman" w:cs="Times New Roman"/>
          <w:noProof/>
          <w:sz w:val="24"/>
          <w:szCs w:val="24"/>
        </w:rPr>
      </w:pPr>
    </w:p>
    <w:p>
      <w:pPr>
        <w:autoSpaceDE w:val="0"/>
        <w:autoSpaceDN w:val="0"/>
        <w:adjustRightInd w:val="0"/>
        <w:spacing w:afterLines="100" w:after="240"/>
        <w:rPr>
          <w:rFonts w:ascii="Times New Roman" w:hAnsi="Times New Roman" w:cs="Times New Roman"/>
          <w:noProof/>
          <w:sz w:val="24"/>
          <w:szCs w:val="24"/>
        </w:rPr>
      </w:pPr>
    </w:p>
    <w:p>
      <w:pPr>
        <w:autoSpaceDE w:val="0"/>
        <w:autoSpaceDN w:val="0"/>
        <w:adjustRightInd w:val="0"/>
        <w:spacing w:afterLines="100" w:after="240"/>
        <w:rPr>
          <w:rFonts w:ascii="Times New Roman" w:hAnsi="Times New Roman" w:cs="Times New Roman"/>
          <w:b/>
          <w:iCs/>
          <w:noProof/>
          <w:sz w:val="24"/>
          <w:szCs w:val="24"/>
        </w:rPr>
      </w:pPr>
      <w:r>
        <w:rPr>
          <w:rFonts w:ascii="Times New Roman" w:hAnsi="Times New Roman"/>
          <w:b/>
          <w:iCs/>
          <w:noProof/>
          <w:sz w:val="24"/>
          <w:szCs w:val="24"/>
        </w:rPr>
        <w:t>Az állatjólléttel kapcsolatban folytatott kétoldalú együttműködés eredményei – példák</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hAnsi="Times New Roman" w:cs="Times New Roman"/>
          <w:iCs/>
          <w:noProof/>
          <w:sz w:val="24"/>
          <w:szCs w:val="24"/>
        </w:rPr>
      </w:pPr>
      <w:r>
        <w:rPr>
          <w:rFonts w:ascii="Times New Roman" w:hAnsi="Times New Roman"/>
          <w:iCs/>
          <w:noProof/>
          <w:sz w:val="24"/>
          <w:szCs w:val="24"/>
        </w:rPr>
        <w:t xml:space="preserve">– Az </w:t>
      </w:r>
      <w:r>
        <w:rPr>
          <w:rFonts w:ascii="Times New Roman" w:hAnsi="Times New Roman"/>
          <w:b/>
          <w:iCs/>
          <w:noProof/>
          <w:sz w:val="24"/>
          <w:szCs w:val="24"/>
        </w:rPr>
        <w:t>EU és Kanada közötti együttműködés és</w:t>
      </w:r>
      <w:r>
        <w:rPr>
          <w:rFonts w:ascii="Times New Roman" w:hAnsi="Times New Roman"/>
          <w:iCs/>
          <w:noProof/>
          <w:sz w:val="24"/>
          <w:szCs w:val="24"/>
        </w:rPr>
        <w:t xml:space="preserve"> a kanadai és uniós szakértők közötti </w:t>
      </w:r>
      <w:r>
        <w:rPr>
          <w:rFonts w:ascii="Times New Roman" w:hAnsi="Times New Roman"/>
          <w:b/>
          <w:iCs/>
          <w:noProof/>
          <w:sz w:val="24"/>
          <w:szCs w:val="24"/>
        </w:rPr>
        <w:t>párbeszéd</w:t>
      </w:r>
      <w:r>
        <w:rPr>
          <w:rFonts w:ascii="Times New Roman" w:hAnsi="Times New Roman"/>
          <w:iCs/>
          <w:noProof/>
          <w:sz w:val="24"/>
          <w:szCs w:val="24"/>
        </w:rPr>
        <w:t xml:space="preserve"> hozzájárult a kanadai jogszabály Kanada által végrehajtott felülvizsgálatához, amely 2020 óta szigorúbb állatszállítási követelményeket tartalmaz.</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hAnsi="Times New Roman" w:cs="Times New Roman"/>
          <w:iCs/>
          <w:noProof/>
          <w:sz w:val="24"/>
          <w:szCs w:val="24"/>
        </w:rPr>
      </w:pPr>
      <w:r>
        <w:rPr>
          <w:rFonts w:ascii="Times New Roman" w:hAnsi="Times New Roman"/>
          <w:iCs/>
          <w:noProof/>
          <w:sz w:val="24"/>
          <w:szCs w:val="24"/>
        </w:rPr>
        <w:t>– Az EU–</w:t>
      </w:r>
      <w:r>
        <w:rPr>
          <w:rFonts w:ascii="Times New Roman" w:hAnsi="Times New Roman"/>
          <w:b/>
          <w:iCs/>
          <w:noProof/>
          <w:sz w:val="24"/>
          <w:szCs w:val="24"/>
        </w:rPr>
        <w:t>Chile kereskedelmi megállapodás</w:t>
      </w:r>
      <w:r>
        <w:rPr>
          <w:rFonts w:ascii="Times New Roman" w:hAnsi="Times New Roman"/>
          <w:iCs/>
          <w:noProof/>
          <w:sz w:val="24"/>
          <w:szCs w:val="24"/>
        </w:rPr>
        <w:t xml:space="preserve"> hajtóerőként szolgált a chilei állatjólléti jogszabály kidolgozásához. Az állatok vágáskori jóllétére vonatkozó előírásokkal kapcsolatban folytatott együttműködés az idők során olyan chilei intézkedéseket eredményezett, amelyek többségükben az Állategészségügyi Világszervezet (OIE) előírásain alapulnak. Ezek az eszmecserék a szállítás alatti állatjólléti előírások kidolgozását is elősegítették.</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hAnsi="Times New Roman" w:cs="Times New Roman"/>
          <w:iCs/>
          <w:noProof/>
          <w:sz w:val="24"/>
          <w:szCs w:val="24"/>
        </w:rPr>
      </w:pPr>
      <w:r>
        <w:rPr>
          <w:rFonts w:ascii="Times New Roman" w:hAnsi="Times New Roman"/>
          <w:iCs/>
          <w:noProof/>
          <w:sz w:val="24"/>
          <w:szCs w:val="24"/>
        </w:rPr>
        <w:t xml:space="preserve">– Az </w:t>
      </w:r>
      <w:r>
        <w:rPr>
          <w:rFonts w:ascii="Times New Roman" w:hAnsi="Times New Roman"/>
          <w:b/>
          <w:bCs/>
          <w:iCs/>
          <w:noProof/>
          <w:sz w:val="24"/>
          <w:szCs w:val="24"/>
        </w:rPr>
        <w:t>EU–Ukrajna megállapodás</w:t>
      </w:r>
      <w:r>
        <w:rPr>
          <w:rFonts w:ascii="Times New Roman" w:hAnsi="Times New Roman"/>
          <w:iCs/>
          <w:noProof/>
          <w:sz w:val="24"/>
          <w:szCs w:val="24"/>
        </w:rPr>
        <w:t xml:space="preserve"> az állatjóllétre vonatkozó rendelkezéseket tartalmaz, az Állategészségügyi Világszervezetnél (OIE) bekövetkezett fejleményeket figyelembe vevő állatjólléti előírások egységes értelmezésére törekedve.</w:t>
      </w:r>
    </w:p>
    <w:p>
      <w:pPr>
        <w:autoSpaceDE w:val="0"/>
        <w:autoSpaceDN w:val="0"/>
        <w:adjustRightInd w:val="0"/>
        <w:spacing w:afterLines="100" w:after="240"/>
        <w:rPr>
          <w:rFonts w:ascii="Times New Roman" w:hAnsi="Times New Roman" w:cs="Times New Roman"/>
          <w:noProof/>
          <w:sz w:val="24"/>
          <w:szCs w:val="24"/>
        </w:rPr>
      </w:pPr>
    </w:p>
    <w:p>
      <w:pPr>
        <w:pStyle w:val="Heading1"/>
        <w:rPr>
          <w:noProof/>
        </w:rPr>
      </w:pPr>
      <w:bookmarkStart w:id="24" w:name="_Toc55303836"/>
      <w:r>
        <w:rPr>
          <w:noProof/>
        </w:rPr>
        <w:t>6. SZOLGÁLTATÁSOK, KÖZBESZERZÉS, SZELLEMITULAJDON-JOGOK</w:t>
      </w:r>
      <w:bookmarkEnd w:id="24"/>
    </w:p>
    <w:p>
      <w:pPr>
        <w:rPr>
          <w:noProof/>
        </w:rPr>
      </w:pPr>
    </w:p>
    <w:p>
      <w:pPr>
        <w:pStyle w:val="Heading2"/>
        <w:rPr>
          <w:noProof/>
        </w:rPr>
      </w:pPr>
      <w:bookmarkStart w:id="25" w:name="_Toc55303837"/>
      <w:r>
        <w:rPr>
          <w:noProof/>
        </w:rPr>
        <w:t>6. 1. Szolgáltatások és közvetlen külföldi tőkebefektetés (FDI)</w:t>
      </w:r>
      <w:bookmarkEnd w:id="25"/>
    </w:p>
    <w:p>
      <w:pPr>
        <w:autoSpaceDE w:val="0"/>
        <w:autoSpaceDN w:val="0"/>
        <w:adjustRightInd w:val="0"/>
        <w:spacing w:afterLines="100" w:after="240"/>
        <w:rPr>
          <w:rFonts w:ascii="Times New Roman" w:hAnsi="Times New Roman" w:cs="Times New Roman"/>
          <w:noProof/>
          <w:sz w:val="24"/>
          <w:szCs w:val="24"/>
        </w:rPr>
      </w:pPr>
      <w:r>
        <w:rPr>
          <w:rFonts w:ascii="Times New Roman" w:hAnsi="Times New Roman"/>
          <w:noProof/>
          <w:sz w:val="24"/>
          <w:szCs w:val="24"/>
        </w:rPr>
        <w:t>A szolgáltatások az EU GDP-jének közel 75 %-át teszik ki</w:t>
      </w:r>
      <w:r>
        <w:rPr>
          <w:rStyle w:val="FootnoteReference"/>
          <w:noProof/>
          <w:sz w:val="24"/>
          <w:szCs w:val="24"/>
          <w:lang w:val="en-GB"/>
        </w:rPr>
        <w:footnoteReference w:id="59"/>
      </w:r>
      <w:r>
        <w:rPr>
          <w:rFonts w:ascii="Times New Roman" w:hAnsi="Times New Roman"/>
          <w:noProof/>
          <w:sz w:val="24"/>
          <w:szCs w:val="24"/>
        </w:rPr>
        <w:t xml:space="preserve">, az ipar 25 %-ot, a mezőgazdaság pedig 2 %-ot. Az EU a világ </w:t>
      </w:r>
      <w:r>
        <w:rPr>
          <w:rFonts w:ascii="Times New Roman" w:hAnsi="Times New Roman"/>
          <w:b/>
          <w:noProof/>
          <w:sz w:val="24"/>
          <w:szCs w:val="24"/>
        </w:rPr>
        <w:t>legnagyobb szolgáltatásexportőre</w:t>
      </w:r>
      <w:r>
        <w:rPr>
          <w:rFonts w:ascii="Times New Roman" w:hAnsi="Times New Roman"/>
          <w:noProof/>
          <w:sz w:val="24"/>
          <w:szCs w:val="24"/>
        </w:rPr>
        <w:t>. A szolgáltatáskereskedelem az EU GDP-jének 25 %-át teszi ki, az uniós szolgáltatásexport meghaladja az évi 900 milliárd EUR összeget. A szolgáltatáskereskedelem közvetlenül vagy közvetve 21 millió uniós állást támogat. Az EU-ból a világ többi részébe irányuló összes közvetlen külföldi tőkebefektetés 60 %-a szolgáltatásokba irányul, ahogyan az EU-ba érkező összes közvetlen külföldi tőkebefektetés hozzávetőlegesen 90 %-a is.</w:t>
      </w:r>
    </w:p>
    <w:p>
      <w:pPr>
        <w:autoSpaceDE w:val="0"/>
        <w:autoSpaceDN w:val="0"/>
        <w:adjustRightInd w:val="0"/>
        <w:spacing w:after="0"/>
        <w:rPr>
          <w:rFonts w:ascii="Times New Roman" w:hAnsi="Times New Roman" w:cs="Times New Roman"/>
          <w:b/>
          <w:i/>
          <w:noProof/>
          <w:sz w:val="24"/>
          <w:szCs w:val="24"/>
        </w:rPr>
      </w:pPr>
    </w:p>
    <w:p>
      <w:pPr>
        <w:autoSpaceDE w:val="0"/>
        <w:autoSpaceDN w:val="0"/>
        <w:adjustRightInd w:val="0"/>
        <w:spacing w:afterLines="100" w:after="240"/>
        <w:rPr>
          <w:rFonts w:ascii="Times New Roman" w:hAnsi="Times New Roman" w:cs="Times New Roman"/>
          <w:b/>
          <w:i/>
          <w:noProof/>
          <w:sz w:val="24"/>
          <w:szCs w:val="24"/>
        </w:rPr>
      </w:pPr>
      <w:r>
        <w:rPr>
          <w:rFonts w:ascii="Times New Roman" w:hAnsi="Times New Roman"/>
          <w:b/>
          <w:i/>
          <w:noProof/>
          <w:sz w:val="24"/>
          <w:szCs w:val="24"/>
        </w:rPr>
        <w:t>Szolgáltatásokra és beruházásokra vonatkozó rendelkezések az uniós kereskedelmi megállapodásokban</w:t>
      </w:r>
    </w:p>
    <w:p>
      <w:pPr>
        <w:autoSpaceDE w:val="0"/>
        <w:autoSpaceDN w:val="0"/>
        <w:adjustRightInd w:val="0"/>
        <w:spacing w:afterLines="100" w:after="240"/>
        <w:rPr>
          <w:rFonts w:ascii="Times New Roman" w:hAnsi="Times New Roman" w:cs="Times New Roman"/>
          <w:noProof/>
          <w:sz w:val="24"/>
          <w:szCs w:val="24"/>
        </w:rPr>
      </w:pPr>
      <w:r>
        <w:rPr>
          <w:rFonts w:ascii="Times New Roman" w:hAnsi="Times New Roman"/>
          <w:b/>
          <w:noProof/>
          <w:sz w:val="24"/>
          <w:szCs w:val="24"/>
        </w:rPr>
        <w:t>A szolgáltatásokra és a digitális kereskedelemre vonatkozó rendelkezéseket tartalmazó uniós kereskedelmi megállapodások</w:t>
      </w:r>
      <w:r>
        <w:rPr>
          <w:rFonts w:ascii="Times New Roman" w:hAnsi="Times New Roman"/>
          <w:noProof/>
          <w:sz w:val="24"/>
          <w:szCs w:val="24"/>
        </w:rPr>
        <w:t xml:space="preserve"> biztosítják, hogy az uniós szolgáltatók a partnerországok piacain is nyújthatnak szolgáltatásokat anélkül, hogy az azonos ágazat hazai vagy külföldi vállalkozásaihoz képest megkülönböztetés érné őket.</w:t>
      </w:r>
    </w:p>
    <w:p>
      <w:pPr>
        <w:autoSpaceDE w:val="0"/>
        <w:autoSpaceDN w:val="0"/>
        <w:adjustRightInd w:val="0"/>
        <w:spacing w:afterLines="100" w:after="240"/>
        <w:rPr>
          <w:rFonts w:ascii="Times New Roman" w:hAnsi="Times New Roman" w:cs="Times New Roman"/>
          <w:noProof/>
          <w:sz w:val="24"/>
          <w:szCs w:val="24"/>
        </w:rPr>
      </w:pPr>
      <w:r>
        <w:rPr>
          <w:rFonts w:ascii="Times New Roman" w:hAnsi="Times New Roman"/>
          <w:b/>
          <w:noProof/>
          <w:sz w:val="24"/>
          <w:szCs w:val="24"/>
        </w:rPr>
        <w:t>A beruházások liberalizációjára vonatkozó rendelkezések</w:t>
      </w:r>
      <w:r>
        <w:rPr>
          <w:rFonts w:ascii="Times New Roman" w:hAnsi="Times New Roman"/>
          <w:noProof/>
          <w:sz w:val="24"/>
          <w:szCs w:val="24"/>
        </w:rPr>
        <w:t xml:space="preserve"> azonos elvet követnek a szolgáltatási (létesítés) és nem szolgáltatási (gyártás, bányászat, mezőgazdaság stb.) területen, a piacra jutásra, a külföldi tulajdonra és a kereskedelmi jelenlét típusaira vonatkozó korlátozások kezelésében. Ezek a rendelkezések a diszkriminatív átvilágítási, engedélyezési és jóváhagyási eljárásokat, a külföldi munkavállalókra vonatkozó megszorításokat, a gazdasági szükségesség vizsgálatát és a külföldi vállalkozásokkal szemben a hazai vállalkozásokat előnyben részesítő megkülönböztető bánásmódot is kezelik.</w:t>
      </w:r>
    </w:p>
    <w:p>
      <w:pPr>
        <w:autoSpaceDE w:val="0"/>
        <w:autoSpaceDN w:val="0"/>
        <w:adjustRightInd w:val="0"/>
        <w:spacing w:afterLines="100" w:after="240"/>
        <w:rPr>
          <w:rFonts w:ascii="Times New Roman" w:hAnsi="Times New Roman" w:cs="Times New Roman"/>
          <w:noProof/>
          <w:sz w:val="24"/>
          <w:szCs w:val="24"/>
        </w:rPr>
      </w:pPr>
      <w:r>
        <w:rPr>
          <w:rFonts w:ascii="Times New Roman" w:hAnsi="Times New Roman"/>
          <w:noProof/>
          <w:sz w:val="24"/>
          <w:szCs w:val="24"/>
        </w:rPr>
        <w:t xml:space="preserve">Az EU összes újabb keletű kereskedelmi megállapodása tartalmaz szolgáltatásokra vonatkozó rendelkezéseket, segítve ezzel egy olyan </w:t>
      </w:r>
      <w:r>
        <w:rPr>
          <w:rFonts w:ascii="Times New Roman" w:hAnsi="Times New Roman"/>
          <w:b/>
          <w:noProof/>
          <w:sz w:val="24"/>
          <w:szCs w:val="24"/>
        </w:rPr>
        <w:t>szabályozási keret</w:t>
      </w:r>
      <w:r>
        <w:rPr>
          <w:rFonts w:ascii="Times New Roman" w:hAnsi="Times New Roman"/>
          <w:noProof/>
          <w:sz w:val="24"/>
          <w:szCs w:val="24"/>
        </w:rPr>
        <w:t xml:space="preserve"> létrehozását és megszilárdítását, amely megkönnyíti a szolgáltatásnyújtást, ugyanakkor védi a fogyasztókat is.</w:t>
      </w:r>
    </w:p>
    <w:p>
      <w:pPr>
        <w:autoSpaceDE w:val="0"/>
        <w:autoSpaceDN w:val="0"/>
        <w:adjustRightInd w:val="0"/>
        <w:spacing w:afterLines="100" w:after="240"/>
        <w:rPr>
          <w:rFonts w:ascii="Times New Roman" w:hAnsi="Times New Roman" w:cs="Times New Roman"/>
          <w:noProof/>
          <w:sz w:val="24"/>
          <w:szCs w:val="24"/>
        </w:rPr>
      </w:pPr>
      <w:r>
        <w:rPr>
          <w:rFonts w:ascii="Times New Roman" w:hAnsi="Times New Roman"/>
          <w:noProof/>
          <w:sz w:val="24"/>
          <w:szCs w:val="24"/>
        </w:rPr>
        <w:t>A „</w:t>
      </w:r>
      <w:r>
        <w:rPr>
          <w:rFonts w:ascii="Times New Roman" w:hAnsi="Times New Roman"/>
          <w:b/>
          <w:noProof/>
          <w:sz w:val="24"/>
          <w:szCs w:val="24"/>
        </w:rPr>
        <w:t>kötelezettségvállalásokról szóló listákban</w:t>
      </w:r>
      <w:r>
        <w:rPr>
          <w:rFonts w:ascii="Times New Roman" w:hAnsi="Times New Roman"/>
          <w:noProof/>
          <w:sz w:val="24"/>
          <w:szCs w:val="24"/>
        </w:rPr>
        <w:t>” a felek felsorolják azokat a piacra jutásra és nemzeti elbánásra vonatkozó feltételeket, amelyeket területeiken egymás tekintetében alkalmaznak. Az egyedi kötelezettségvállalások a tarifakorlátozáshoz hasonló hatást fejtenek ki: biztosítékot jelentenek más országok vállalkozásai számára a tekintetben, hogy a piacra lépés és a piacon való működés feltételei nem változnak majd számukra hátrányosan.</w:t>
      </w:r>
    </w:p>
    <w:p>
      <w:pPr>
        <w:autoSpaceDE w:val="0"/>
        <w:autoSpaceDN w:val="0"/>
        <w:adjustRightInd w:val="0"/>
        <w:spacing w:afterLines="100" w:after="240"/>
        <w:rPr>
          <w:rFonts w:ascii="Times New Roman" w:hAnsi="Times New Roman" w:cs="Times New Roman"/>
          <w:noProof/>
          <w:sz w:val="24"/>
          <w:szCs w:val="24"/>
        </w:rPr>
      </w:pPr>
      <w:r>
        <w:rPr>
          <w:rFonts w:ascii="Times New Roman" w:hAnsi="Times New Roman"/>
          <w:noProof/>
          <w:sz w:val="24"/>
          <w:szCs w:val="24"/>
        </w:rPr>
        <w:t>Az EU–Kanada átfogó gazdasági és kereskedelmi megállapodás (</w:t>
      </w:r>
      <w:r>
        <w:rPr>
          <w:rFonts w:ascii="Times New Roman" w:hAnsi="Times New Roman"/>
          <w:b/>
          <w:noProof/>
          <w:sz w:val="24"/>
          <w:szCs w:val="24"/>
        </w:rPr>
        <w:t>CETA</w:t>
      </w:r>
      <w:r>
        <w:rPr>
          <w:rFonts w:ascii="Times New Roman" w:hAnsi="Times New Roman"/>
          <w:noProof/>
          <w:sz w:val="24"/>
          <w:szCs w:val="24"/>
        </w:rPr>
        <w:t xml:space="preserve">) az EU által az eddigiekben valaha tárgyalt legmesszemenőbb szolgáltatáskereskedelmi rendelkezéseket tartalmazza, valamint először tartalmaz </w:t>
      </w:r>
      <w:r>
        <w:rPr>
          <w:rFonts w:ascii="Times New Roman" w:hAnsi="Times New Roman"/>
          <w:b/>
          <w:noProof/>
          <w:sz w:val="24"/>
          <w:szCs w:val="24"/>
        </w:rPr>
        <w:t>negatív listát</w:t>
      </w:r>
      <w:r>
        <w:rPr>
          <w:rFonts w:ascii="Times New Roman" w:hAnsi="Times New Roman"/>
          <w:noProof/>
          <w:sz w:val="24"/>
          <w:szCs w:val="24"/>
        </w:rPr>
        <w:t xml:space="preserve"> a kötelezettségekről. Az EU Kanadába irányuló szolgáltatáskivitele 2018-ban 19 000 millió EUR-ra nőtt a 2017. évi 16 926 millió EUR-ról, ami 12,3 %-os éves növekedést jelent. Az összes szolgáltatáskereskedelem 15,2 %-kal nőtt.</w:t>
      </w:r>
    </w:p>
    <w:p>
      <w:pPr>
        <w:keepNext/>
        <w:pBdr>
          <w:top w:val="single" w:sz="4" w:space="0" w:color="auto"/>
          <w:left w:val="single" w:sz="4" w:space="4" w:color="auto"/>
          <w:bottom w:val="single" w:sz="4" w:space="1" w:color="auto"/>
          <w:right w:val="single" w:sz="4" w:space="4" w:color="auto"/>
        </w:pBdr>
        <w:spacing w:after="120" w:line="240" w:lineRule="auto"/>
        <w:rPr>
          <w:rFonts w:ascii="Times New Roman" w:hAnsi="Times New Roman" w:cs="Times New Roman"/>
          <w:b/>
          <w:noProof/>
          <w:sz w:val="24"/>
          <w:szCs w:val="24"/>
        </w:rPr>
      </w:pPr>
      <w:r>
        <w:rPr>
          <w:rFonts w:ascii="Times New Roman" w:hAnsi="Times New Roman"/>
          <w:b/>
          <w:noProof/>
          <w:sz w:val="24"/>
          <w:szCs w:val="24"/>
        </w:rPr>
        <w:t>Egy holland informatikai vállalat ismertté teszi Kanadát</w:t>
      </w:r>
    </w:p>
    <w:p>
      <w:pPr>
        <w:keepNext/>
        <w:pBdr>
          <w:top w:val="single" w:sz="4" w:space="0" w:color="auto"/>
          <w:left w:val="single" w:sz="4" w:space="4" w:color="auto"/>
          <w:bottom w:val="single" w:sz="4" w:space="1" w:color="auto"/>
          <w:right w:val="single" w:sz="4" w:space="4" w:color="auto"/>
        </w:pBdr>
        <w:spacing w:after="120" w:line="240" w:lineRule="auto"/>
        <w:rPr>
          <w:rFonts w:ascii="Times New Roman" w:hAnsi="Times New Roman" w:cs="Times New Roman"/>
          <w:noProof/>
          <w:sz w:val="24"/>
          <w:szCs w:val="24"/>
        </w:rPr>
      </w:pPr>
      <w:r>
        <w:rPr>
          <w:rFonts w:ascii="Times New Roman" w:hAnsi="Times New Roman"/>
          <w:noProof/>
          <w:sz w:val="24"/>
          <w:szCs w:val="24"/>
        </w:rPr>
        <w:t>A Spotzi holland vállalat olyan interaktív térképalkotó platformot kínál, amely a világ demográfiai összetételét és az emberek viselkedését, például utazási és vásárlási szokásait szemlélteti. A kezdetben hollandiai székhelyű Spotzi kiterjesztette tevékenységét Kanadára azzal a céllal, hogy a nagy adathalmazokkal („Big Data”) kapcsolatos helyi tehetségekből és tudásból profitáljon. A CETA megkönnyíti a cégek számára, hogy alkalmazottakat küldjenek ki ideiglenes munkavégzésre az Atlanti-óceán másik oldalára. Az alkalmazottak vízumai feldolgozására irányuló egyszerűbb eljárások különös segítséget jelentettek, és megkönnyítették a holland és kanadai csapatok együttműködését.</w:t>
      </w:r>
    </w:p>
    <w:p>
      <w:pPr>
        <w:keepNext/>
        <w:pBdr>
          <w:top w:val="single" w:sz="4" w:space="0" w:color="auto"/>
          <w:left w:val="single" w:sz="4" w:space="4" w:color="auto"/>
          <w:bottom w:val="single" w:sz="4" w:space="1" w:color="auto"/>
          <w:right w:val="single" w:sz="4" w:space="4" w:color="auto"/>
        </w:pBdr>
        <w:spacing w:after="120" w:line="240" w:lineRule="auto"/>
        <w:rPr>
          <w:rFonts w:ascii="Times New Roman" w:hAnsi="Times New Roman" w:cs="Times New Roman"/>
          <w:i/>
          <w:noProof/>
          <w:sz w:val="24"/>
          <w:szCs w:val="24"/>
        </w:rPr>
      </w:pPr>
      <w:r>
        <w:rPr>
          <w:rFonts w:ascii="Times New Roman" w:hAnsi="Times New Roman"/>
          <w:i/>
          <w:noProof/>
          <w:sz w:val="24"/>
          <w:szCs w:val="24"/>
        </w:rPr>
        <w:t>„Jó emberekkel veszem magam körül, akiktől nagyszerűen érzem magam és akik pozitív energiát adnak nekem.”</w:t>
      </w:r>
    </w:p>
    <w:p>
      <w:pPr>
        <w:keepNext/>
        <w:pBdr>
          <w:top w:val="single" w:sz="4" w:space="0" w:color="auto"/>
          <w:left w:val="single" w:sz="4" w:space="4" w:color="auto"/>
          <w:bottom w:val="single" w:sz="4" w:space="1" w:color="auto"/>
          <w:right w:val="single" w:sz="4" w:space="4" w:color="auto"/>
        </w:pBdr>
        <w:spacing w:after="120" w:line="240" w:lineRule="auto"/>
        <w:rPr>
          <w:rFonts w:ascii="Times New Roman" w:hAnsi="Times New Roman" w:cs="Times New Roman"/>
          <w:b/>
          <w:i/>
          <w:noProof/>
          <w:sz w:val="24"/>
          <w:szCs w:val="24"/>
        </w:rPr>
      </w:pPr>
      <w:r>
        <w:rPr>
          <w:rFonts w:ascii="Times New Roman" w:hAnsi="Times New Roman"/>
          <w:b/>
          <w:i/>
          <w:noProof/>
          <w:sz w:val="24"/>
          <w:szCs w:val="24"/>
        </w:rPr>
        <w:t>Remco Dolman, a Spotzi vezérigazgatója</w:t>
      </w:r>
    </w:p>
    <w:p>
      <w:pPr>
        <w:spacing w:after="0" w:line="240" w:lineRule="auto"/>
        <w:rPr>
          <w:rFonts w:ascii="Times New Roman" w:hAnsi="Times New Roman" w:cs="Times New Roman"/>
          <w:b/>
          <w:noProof/>
          <w:sz w:val="24"/>
          <w:szCs w:val="24"/>
        </w:rPr>
      </w:pPr>
    </w:p>
    <w:p>
      <w:pPr>
        <w:autoSpaceDE w:val="0"/>
        <w:autoSpaceDN w:val="0"/>
        <w:adjustRightInd w:val="0"/>
        <w:spacing w:afterLines="100" w:after="240"/>
        <w:rPr>
          <w:rFonts w:ascii="Times New Roman" w:hAnsi="Times New Roman" w:cs="Times New Roman"/>
          <w:noProof/>
          <w:sz w:val="24"/>
          <w:szCs w:val="24"/>
        </w:rPr>
      </w:pPr>
      <w:r>
        <w:rPr>
          <w:rFonts w:ascii="Times New Roman" w:hAnsi="Times New Roman"/>
          <w:noProof/>
          <w:sz w:val="24"/>
          <w:szCs w:val="24"/>
        </w:rPr>
        <w:t>Az árukereskedelemre vonatkozó kereskedelmi megállapodásokban foglalt rendelkezésektől eltérően a szolgáltatásokra és digitális kereskedelemre vonatkozók többnyire megkötik a nyitottság jelenlegi érvényesülő szintjét. A kereskedelmi partnereknek a megállapodás végrehajtásához rendszerint nem kell módosítaniuk vagy kiigazítaniuk jogszabályokat vagy szabályozásokat, és nem kell egyéb intézkedéseket hozniuk azon túlmenően, ami ahhoz szükséges, hogy elkerüljék az uniós cégek területükön belüli szolgáltatásnyújtási és befektetési lehetőségeinek bármilyen jellegű visszaszorítását. Az egyetlen kivétel eddig a CETA, amelynek esetében Kanada két területen a piaci nyitottság jelenleg érvényesülő szintjének megkötésén túlmutatóan intézkedett.</w:t>
      </w:r>
    </w:p>
    <w:p>
      <w:pPr>
        <w:autoSpaceDE w:val="0"/>
        <w:autoSpaceDN w:val="0"/>
        <w:adjustRightInd w:val="0"/>
        <w:spacing w:afterLines="100" w:after="240"/>
        <w:rPr>
          <w:rFonts w:ascii="Times New Roman" w:hAnsi="Times New Roman" w:cs="Times New Roman"/>
          <w:noProof/>
          <w:sz w:val="24"/>
          <w:szCs w:val="24"/>
        </w:rPr>
      </w:pPr>
    </w:p>
    <w:p>
      <w:pPr>
        <w:keepNext/>
        <w:pBdr>
          <w:top w:val="single" w:sz="4" w:space="1" w:color="auto"/>
          <w:left w:val="single" w:sz="4" w:space="4" w:color="auto"/>
          <w:bottom w:val="single" w:sz="4" w:space="1" w:color="auto"/>
          <w:right w:val="single" w:sz="4" w:space="4" w:color="auto"/>
        </w:pBdr>
        <w:spacing w:after="120" w:line="240" w:lineRule="auto"/>
        <w:rPr>
          <w:rFonts w:ascii="Times New Roman" w:hAnsi="Times New Roman" w:cs="Times New Roman"/>
          <w:b/>
          <w:iCs/>
          <w:noProof/>
          <w:sz w:val="24"/>
          <w:szCs w:val="24"/>
        </w:rPr>
      </w:pPr>
      <w:r>
        <w:rPr>
          <w:rFonts w:ascii="Times New Roman" w:hAnsi="Times New Roman"/>
          <w:b/>
          <w:iCs/>
          <w:noProof/>
          <w:sz w:val="24"/>
          <w:szCs w:val="24"/>
        </w:rPr>
        <w:t>Új piacok az uniós szolgáltatók számára: Az EU–Kanada kereskedelmi megállapodás</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hAnsi="Times New Roman" w:cs="Times New Roman"/>
          <w:iCs/>
          <w:noProof/>
          <w:sz w:val="24"/>
          <w:szCs w:val="24"/>
        </w:rPr>
      </w:pPr>
      <w:r>
        <w:rPr>
          <w:rFonts w:ascii="Times New Roman" w:hAnsi="Times New Roman"/>
          <w:iCs/>
          <w:noProof/>
          <w:sz w:val="24"/>
          <w:szCs w:val="24"/>
        </w:rPr>
        <w:t xml:space="preserve"> – </w:t>
      </w:r>
      <w:r>
        <w:rPr>
          <w:rFonts w:ascii="Times New Roman" w:hAnsi="Times New Roman"/>
          <w:b/>
          <w:iCs/>
          <w:noProof/>
          <w:sz w:val="24"/>
          <w:szCs w:val="24"/>
        </w:rPr>
        <w:t>Az uniós hajózási társaságok most már nyújthatnak bizonyos tengeri szállítási tevékenységeket</w:t>
      </w:r>
      <w:r>
        <w:rPr>
          <w:rFonts w:ascii="Times New Roman" w:hAnsi="Times New Roman"/>
          <w:iCs/>
          <w:noProof/>
          <w:sz w:val="24"/>
          <w:szCs w:val="24"/>
        </w:rPr>
        <w:t xml:space="preserve"> (átrakodás) Halifax és Montreal között, amelyek korábban a nemzeti üzemeltetőkre korlátozódtak.</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hAnsi="Times New Roman" w:cs="Times New Roman"/>
          <w:iCs/>
          <w:noProof/>
          <w:sz w:val="24"/>
          <w:szCs w:val="24"/>
        </w:rPr>
      </w:pPr>
      <w:r>
        <w:rPr>
          <w:rFonts w:ascii="Times New Roman" w:hAnsi="Times New Roman"/>
          <w:iCs/>
          <w:noProof/>
          <w:sz w:val="24"/>
          <w:szCs w:val="24"/>
        </w:rPr>
        <w:t xml:space="preserve">– </w:t>
      </w:r>
      <w:r>
        <w:rPr>
          <w:rFonts w:ascii="Times New Roman" w:hAnsi="Times New Roman"/>
          <w:b/>
          <w:iCs/>
          <w:noProof/>
          <w:sz w:val="24"/>
          <w:szCs w:val="24"/>
        </w:rPr>
        <w:t>Az uniós szolgáltatók versenyezhetnek a kereskedelmi kotrási szolgáltatásokért</w:t>
      </w:r>
      <w:r>
        <w:rPr>
          <w:rFonts w:ascii="Times New Roman" w:hAnsi="Times New Roman"/>
          <w:iCs/>
          <w:noProof/>
          <w:sz w:val="24"/>
          <w:szCs w:val="24"/>
        </w:rPr>
        <w:t xml:space="preserve"> és az üres konténerek újrapozicionálásáért. A kötelezettségvállalásokat azóta teljesítették, mivel Kanada ennek megfelelően aktualizálta part menti hajózásra vonatkozó jogszabályait.</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hAnsi="Times New Roman" w:cs="Times New Roman"/>
          <w:iCs/>
          <w:noProof/>
          <w:sz w:val="24"/>
          <w:szCs w:val="24"/>
        </w:rPr>
      </w:pPr>
      <w:r>
        <w:rPr>
          <w:rFonts w:ascii="Times New Roman" w:hAnsi="Times New Roman"/>
          <w:iCs/>
          <w:noProof/>
          <w:sz w:val="24"/>
          <w:szCs w:val="24"/>
        </w:rPr>
        <w:t xml:space="preserve">– A </w:t>
      </w:r>
      <w:r>
        <w:rPr>
          <w:rFonts w:ascii="Times New Roman" w:hAnsi="Times New Roman"/>
          <w:b/>
          <w:bCs/>
          <w:iCs/>
          <w:noProof/>
          <w:sz w:val="24"/>
          <w:szCs w:val="24"/>
        </w:rPr>
        <w:t>kanadai beruházásokaról szóló törvény</w:t>
      </w:r>
      <w:r>
        <w:rPr>
          <w:rFonts w:ascii="Times New Roman" w:hAnsi="Times New Roman"/>
          <w:iCs/>
          <w:noProof/>
          <w:sz w:val="24"/>
          <w:szCs w:val="24"/>
        </w:rPr>
        <w:t xml:space="preserve"> módosításának köszönhetően 658 millió EUR-ról 987 millió EUR-ra nőtt a kanadai vállalkozások nem kanadai vállalkozások általi felvásárlásának felülvizsgálati küszöbe. Ez most már valamennyi uniós befektetőre vonatkozik, kivéve az állami tulajdonban lévő vállalatokat.</w:t>
      </w:r>
    </w:p>
    <w:p>
      <w:pPr>
        <w:autoSpaceDE w:val="0"/>
        <w:autoSpaceDN w:val="0"/>
        <w:adjustRightInd w:val="0"/>
        <w:spacing w:after="0"/>
        <w:rPr>
          <w:rFonts w:ascii="Times New Roman" w:hAnsi="Times New Roman" w:cs="Times New Roman"/>
          <w:noProof/>
          <w:sz w:val="24"/>
          <w:szCs w:val="24"/>
        </w:rPr>
      </w:pPr>
    </w:p>
    <w:p>
      <w:pPr>
        <w:autoSpaceDE w:val="0"/>
        <w:autoSpaceDN w:val="0"/>
        <w:adjustRightInd w:val="0"/>
        <w:spacing w:afterLines="100" w:after="240"/>
        <w:rPr>
          <w:rFonts w:ascii="Times New Roman" w:hAnsi="Times New Roman" w:cs="Times New Roman"/>
          <w:noProof/>
          <w:sz w:val="24"/>
          <w:szCs w:val="24"/>
        </w:rPr>
      </w:pPr>
      <w:r>
        <w:rPr>
          <w:rFonts w:ascii="Times New Roman" w:hAnsi="Times New Roman"/>
          <w:noProof/>
          <w:sz w:val="24"/>
          <w:szCs w:val="24"/>
        </w:rPr>
        <w:t xml:space="preserve">A CETA-val kezdve az uniós kereskedelmi megállapodások szolgáltatásokat szabályozó rendelkezései lényegesen szigorúbbak lettek. Az </w:t>
      </w:r>
      <w:r>
        <w:rPr>
          <w:rFonts w:ascii="Times New Roman" w:hAnsi="Times New Roman"/>
          <w:b/>
          <w:noProof/>
          <w:sz w:val="24"/>
          <w:szCs w:val="24"/>
        </w:rPr>
        <w:t>EU–Japán megállapodás</w:t>
      </w:r>
      <w:r>
        <w:rPr>
          <w:rFonts w:ascii="Times New Roman" w:hAnsi="Times New Roman"/>
          <w:noProof/>
          <w:sz w:val="24"/>
          <w:szCs w:val="24"/>
        </w:rPr>
        <w:t xml:space="preserve"> például </w:t>
      </w:r>
      <w:r>
        <w:rPr>
          <w:rFonts w:ascii="Times New Roman" w:hAnsi="Times New Roman"/>
          <w:b/>
          <w:noProof/>
          <w:sz w:val="24"/>
          <w:szCs w:val="24"/>
        </w:rPr>
        <w:t>a szolgáltatásokkal és befektetésekkel kapcsolatos átfogó kötelezettségvállalásokat</w:t>
      </w:r>
      <w:r>
        <w:rPr>
          <w:rFonts w:ascii="Times New Roman" w:hAnsi="Times New Roman"/>
          <w:noProof/>
          <w:sz w:val="24"/>
          <w:szCs w:val="24"/>
        </w:rPr>
        <w:t xml:space="preserve"> tartalmaz.</w:t>
      </w:r>
    </w:p>
    <w:p>
      <w:pPr>
        <w:keepNext/>
        <w:pBdr>
          <w:top w:val="single" w:sz="4" w:space="1" w:color="auto"/>
          <w:left w:val="single" w:sz="4" w:space="4" w:color="auto"/>
          <w:bottom w:val="single" w:sz="4" w:space="1" w:color="auto"/>
          <w:right w:val="single" w:sz="4" w:space="4" w:color="auto"/>
        </w:pBdr>
        <w:spacing w:before="120" w:after="0" w:line="240" w:lineRule="auto"/>
        <w:rPr>
          <w:rFonts w:ascii="Times New Roman" w:hAnsi="Times New Roman" w:cs="Times New Roman"/>
          <w:iCs/>
          <w:noProof/>
          <w:sz w:val="24"/>
          <w:szCs w:val="24"/>
        </w:rPr>
      </w:pPr>
      <w:r>
        <w:rPr>
          <w:rFonts w:ascii="Times New Roman" w:hAnsi="Times New Roman"/>
          <w:b/>
          <w:iCs/>
          <w:noProof/>
          <w:sz w:val="24"/>
          <w:szCs w:val="24"/>
        </w:rPr>
        <w:t>A szolgáltatáskereskedelemre vonatkozó nagyratörő szabályozási elemek: Az EU–JAPÁN GPM</w:t>
      </w:r>
    </w:p>
    <w:p>
      <w:pPr>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Cs/>
          <w:noProof/>
          <w:sz w:val="24"/>
          <w:szCs w:val="24"/>
        </w:rPr>
      </w:pPr>
    </w:p>
    <w:p>
      <w:pPr>
        <w:keepNext/>
        <w:pBdr>
          <w:top w:val="single" w:sz="4" w:space="1" w:color="auto"/>
          <w:left w:val="single" w:sz="4" w:space="4" w:color="auto"/>
          <w:bottom w:val="single" w:sz="4" w:space="1" w:color="auto"/>
          <w:right w:val="single" w:sz="4" w:space="4" w:color="auto"/>
        </w:pBdr>
        <w:spacing w:after="120" w:line="240" w:lineRule="auto"/>
        <w:rPr>
          <w:rFonts w:ascii="Times New Roman" w:hAnsi="Times New Roman" w:cs="Times New Roman"/>
          <w:iCs/>
          <w:noProof/>
          <w:sz w:val="24"/>
          <w:szCs w:val="24"/>
        </w:rPr>
      </w:pPr>
      <w:r>
        <w:rPr>
          <w:rFonts w:ascii="Times New Roman" w:hAnsi="Times New Roman"/>
          <w:iCs/>
          <w:noProof/>
          <w:sz w:val="24"/>
          <w:szCs w:val="24"/>
        </w:rPr>
        <w:t xml:space="preserve">– </w:t>
      </w:r>
      <w:r>
        <w:rPr>
          <w:rFonts w:ascii="Times New Roman" w:hAnsi="Times New Roman"/>
          <w:b/>
          <w:iCs/>
          <w:noProof/>
          <w:sz w:val="24"/>
          <w:szCs w:val="24"/>
        </w:rPr>
        <w:t>Japán</w:t>
      </w:r>
      <w:r>
        <w:rPr>
          <w:rFonts w:ascii="Times New Roman" w:hAnsi="Times New Roman"/>
          <w:iCs/>
          <w:noProof/>
          <w:sz w:val="24"/>
          <w:szCs w:val="24"/>
        </w:rPr>
        <w:t xml:space="preserve"> először </w:t>
      </w:r>
      <w:r>
        <w:rPr>
          <w:rFonts w:ascii="Times New Roman" w:hAnsi="Times New Roman"/>
          <w:b/>
          <w:iCs/>
          <w:noProof/>
          <w:sz w:val="24"/>
          <w:szCs w:val="24"/>
        </w:rPr>
        <w:t>állapodott meg abban</w:t>
      </w:r>
      <w:r>
        <w:rPr>
          <w:rFonts w:ascii="Times New Roman" w:hAnsi="Times New Roman"/>
          <w:iCs/>
          <w:noProof/>
          <w:sz w:val="24"/>
          <w:szCs w:val="24"/>
        </w:rPr>
        <w:t xml:space="preserve">, hogy nem csak a szolgáltatási ágazatokra, hanem a nem szolgáltatási ágazatokban, pl. a mezőgazdaságban, a gyártásban és a bányászatban stb. eszközölt befektetésekre is – az engedélyezésre és minősítési követelményekre, valamint az eljárásokra és műszaki szabványokra vonatkozó – </w:t>
      </w:r>
      <w:r>
        <w:rPr>
          <w:rFonts w:ascii="Times New Roman" w:hAnsi="Times New Roman"/>
          <w:b/>
          <w:iCs/>
          <w:noProof/>
          <w:sz w:val="24"/>
          <w:szCs w:val="24"/>
        </w:rPr>
        <w:t>hazai szabályozási elveket alkalmaz</w:t>
      </w:r>
      <w:r>
        <w:rPr>
          <w:rFonts w:ascii="Times New Roman" w:hAnsi="Times New Roman"/>
          <w:iCs/>
          <w:noProof/>
          <w:sz w:val="24"/>
          <w:szCs w:val="24"/>
        </w:rPr>
        <w:t>.</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hAnsi="Times New Roman" w:cs="Times New Roman"/>
          <w:iCs/>
          <w:noProof/>
          <w:sz w:val="24"/>
          <w:szCs w:val="24"/>
        </w:rPr>
      </w:pPr>
      <w:r>
        <w:rPr>
          <w:rFonts w:ascii="Times New Roman" w:hAnsi="Times New Roman"/>
          <w:iCs/>
          <w:noProof/>
          <w:sz w:val="24"/>
          <w:szCs w:val="24"/>
        </w:rPr>
        <w:t xml:space="preserve">– Japán </w:t>
      </w:r>
      <w:r>
        <w:rPr>
          <w:rFonts w:ascii="Times New Roman" w:hAnsi="Times New Roman"/>
          <w:b/>
          <w:iCs/>
          <w:noProof/>
          <w:sz w:val="24"/>
          <w:szCs w:val="24"/>
        </w:rPr>
        <w:t>további értékesítési csatornákat</w:t>
      </w:r>
      <w:r>
        <w:rPr>
          <w:rFonts w:ascii="Times New Roman" w:hAnsi="Times New Roman"/>
          <w:iCs/>
          <w:noProof/>
          <w:sz w:val="24"/>
          <w:szCs w:val="24"/>
        </w:rPr>
        <w:t xml:space="preserve"> nyitott meg az </w:t>
      </w:r>
      <w:r>
        <w:rPr>
          <w:rFonts w:ascii="Times New Roman" w:hAnsi="Times New Roman"/>
          <w:b/>
          <w:iCs/>
          <w:noProof/>
          <w:sz w:val="24"/>
          <w:szCs w:val="24"/>
        </w:rPr>
        <w:t>uniós magán-biztosítótársaságok</w:t>
      </w:r>
      <w:r>
        <w:rPr>
          <w:rFonts w:ascii="Times New Roman" w:hAnsi="Times New Roman"/>
          <w:iCs/>
          <w:noProof/>
          <w:sz w:val="24"/>
          <w:szCs w:val="24"/>
        </w:rPr>
        <w:t xml:space="preserve"> előtt: az utóbbiak most már Japán postahivatalainak hálózatában is kínálhatják biztosítási termékeiket.</w:t>
      </w:r>
    </w:p>
    <w:p>
      <w:pPr>
        <w:keepNext/>
        <w:pBdr>
          <w:top w:val="single" w:sz="4" w:space="1" w:color="auto"/>
          <w:left w:val="single" w:sz="4" w:space="4" w:color="auto"/>
          <w:bottom w:val="single" w:sz="4" w:space="1" w:color="auto"/>
          <w:right w:val="single" w:sz="4" w:space="4" w:color="auto"/>
        </w:pBdr>
        <w:spacing w:after="120" w:line="240" w:lineRule="auto"/>
        <w:rPr>
          <w:rFonts w:ascii="Times New Roman" w:hAnsi="Times New Roman" w:cs="Times New Roman"/>
          <w:iCs/>
          <w:noProof/>
          <w:sz w:val="24"/>
          <w:szCs w:val="24"/>
        </w:rPr>
      </w:pPr>
      <w:r>
        <w:rPr>
          <w:rFonts w:ascii="Times New Roman" w:hAnsi="Times New Roman"/>
          <w:iCs/>
          <w:noProof/>
          <w:sz w:val="24"/>
          <w:szCs w:val="24"/>
        </w:rPr>
        <w:t xml:space="preserve">– A postai és futárszolgáltatásokat illetően szabályokról állapodtak meg </w:t>
      </w:r>
      <w:r>
        <w:rPr>
          <w:rFonts w:ascii="Times New Roman" w:hAnsi="Times New Roman"/>
          <w:b/>
          <w:iCs/>
          <w:noProof/>
          <w:sz w:val="24"/>
          <w:szCs w:val="24"/>
        </w:rPr>
        <w:t>az egyetemes szolgáltatók versenyellenes gyakorlatainak</w:t>
      </w:r>
      <w:r>
        <w:rPr>
          <w:rFonts w:ascii="Times New Roman" w:hAnsi="Times New Roman"/>
          <w:iCs/>
          <w:noProof/>
          <w:sz w:val="24"/>
          <w:szCs w:val="24"/>
        </w:rPr>
        <w:t xml:space="preserve">, például a keresztfinanszírozásnak a </w:t>
      </w:r>
      <w:r>
        <w:rPr>
          <w:rFonts w:ascii="Times New Roman" w:hAnsi="Times New Roman"/>
          <w:b/>
          <w:iCs/>
          <w:noProof/>
          <w:sz w:val="24"/>
          <w:szCs w:val="24"/>
        </w:rPr>
        <w:t>kezelése</w:t>
      </w:r>
      <w:r>
        <w:rPr>
          <w:rFonts w:ascii="Times New Roman" w:hAnsi="Times New Roman"/>
          <w:iCs/>
          <w:noProof/>
          <w:sz w:val="24"/>
          <w:szCs w:val="24"/>
        </w:rPr>
        <w:t xml:space="preserve"> érdekében.</w:t>
      </w:r>
    </w:p>
    <w:p>
      <w:pPr>
        <w:autoSpaceDE w:val="0"/>
        <w:autoSpaceDN w:val="0"/>
        <w:adjustRightInd w:val="0"/>
        <w:spacing w:after="0"/>
        <w:rPr>
          <w:rFonts w:ascii="Times New Roman" w:hAnsi="Times New Roman" w:cs="Times New Roman"/>
          <w:b/>
          <w:i/>
          <w:noProof/>
          <w:sz w:val="24"/>
          <w:szCs w:val="24"/>
        </w:rPr>
      </w:pPr>
    </w:p>
    <w:p>
      <w:pPr>
        <w:autoSpaceDE w:val="0"/>
        <w:autoSpaceDN w:val="0"/>
        <w:adjustRightInd w:val="0"/>
        <w:spacing w:afterLines="100" w:after="240"/>
        <w:rPr>
          <w:rFonts w:ascii="Times New Roman" w:hAnsi="Times New Roman" w:cs="Times New Roman"/>
          <w:b/>
          <w:i/>
          <w:noProof/>
          <w:sz w:val="24"/>
          <w:szCs w:val="24"/>
        </w:rPr>
      </w:pPr>
      <w:r>
        <w:rPr>
          <w:rFonts w:ascii="Times New Roman" w:hAnsi="Times New Roman"/>
          <w:b/>
          <w:i/>
          <w:noProof/>
          <w:sz w:val="24"/>
          <w:szCs w:val="24"/>
        </w:rPr>
        <w:t>Az uniós kereskedelmi megállapodások szolgáltatásokra vonatkozó rendelkezései eredményességének figyelemmel kísérése</w:t>
      </w:r>
    </w:p>
    <w:p>
      <w:pPr>
        <w:autoSpaceDE w:val="0"/>
        <w:autoSpaceDN w:val="0"/>
        <w:adjustRightInd w:val="0"/>
        <w:spacing w:afterLines="100" w:after="240"/>
        <w:rPr>
          <w:rFonts w:ascii="Times New Roman" w:hAnsi="Times New Roman" w:cs="Times New Roman"/>
          <w:noProof/>
          <w:sz w:val="24"/>
          <w:szCs w:val="24"/>
        </w:rPr>
      </w:pPr>
      <w:r>
        <w:rPr>
          <w:rFonts w:ascii="Times New Roman" w:hAnsi="Times New Roman"/>
          <w:noProof/>
          <w:sz w:val="24"/>
          <w:szCs w:val="24"/>
        </w:rPr>
        <w:t>Mivel a szolgáltatások és befektetések esetében nincsenek „vámok”, az uniós kereskedelmi megállapodásokban foglalt, szolgáltatásokkal és befektetésekkel kapcsolatos kötelezettségvállalások végrehajtásának értékelése kevésbé egyszerű, mint az áruk esetében. Az Európai Bizottság a szolgáltatáskereskedelem és a befektetésforgalom tendenciáinak figyelemmel kísérése mellett és az uniós kereskedelmi megállapodások eredményességének felmérése érdekében elsősorban az egyes vállalatok vagy vállalkozói szövetségek panaszaira támaszkodik, amelyek problémákról számolnak be adott partnerország piacára való bejutást illetően. Az uniós vállalkozások ezekről a problémákról beszámolhatnak az EU-nak vagy nemzeti hatóságaiknak. Az Európai Bizottság pedig felvetheti a kereskedelmi partnereinél a problémákat, például a megállapodásokkal létrehozott szolgáltatásokkal és beruházásokkal foglalkozó bizottságokban.</w:t>
      </w:r>
    </w:p>
    <w:p>
      <w:pPr>
        <w:autoSpaceDE w:val="0"/>
        <w:autoSpaceDN w:val="0"/>
        <w:adjustRightInd w:val="0"/>
        <w:spacing w:after="0"/>
        <w:rPr>
          <w:rFonts w:ascii="Times New Roman" w:hAnsi="Times New Roman" w:cs="Times New Roman"/>
          <w:noProof/>
          <w:sz w:val="24"/>
          <w:szCs w:val="24"/>
        </w:rPr>
      </w:pPr>
    </w:p>
    <w:p>
      <w:pPr>
        <w:keepNext/>
        <w:pBdr>
          <w:top w:val="single" w:sz="4" w:space="0" w:color="auto"/>
          <w:left w:val="single" w:sz="4" w:space="4" w:color="auto"/>
          <w:bottom w:val="single" w:sz="4" w:space="1" w:color="auto"/>
          <w:right w:val="single" w:sz="4" w:space="4" w:color="auto"/>
        </w:pBdr>
        <w:spacing w:after="120" w:line="240" w:lineRule="auto"/>
        <w:rPr>
          <w:rFonts w:ascii="Times New Roman" w:hAnsi="Times New Roman" w:cs="Times New Roman"/>
          <w:b/>
          <w:iCs/>
          <w:noProof/>
          <w:sz w:val="24"/>
          <w:szCs w:val="24"/>
        </w:rPr>
      </w:pPr>
      <w:r>
        <w:rPr>
          <w:rFonts w:ascii="Times New Roman" w:hAnsi="Times New Roman"/>
          <w:b/>
          <w:noProof/>
          <w:sz w:val="24"/>
          <w:szCs w:val="24"/>
        </w:rPr>
        <w:t>A kereskedelmi aggályok felvetése a szolgáltatóágazatokban – példák 2019-ből</w:t>
      </w:r>
    </w:p>
    <w:p>
      <w:pPr>
        <w:keepNext/>
        <w:pBdr>
          <w:top w:val="single" w:sz="4" w:space="0" w:color="auto"/>
          <w:left w:val="single" w:sz="4" w:space="4" w:color="auto"/>
          <w:bottom w:val="single" w:sz="4" w:space="1" w:color="auto"/>
          <w:right w:val="single" w:sz="4" w:space="4" w:color="auto"/>
        </w:pBdr>
        <w:spacing w:after="120" w:line="240" w:lineRule="auto"/>
        <w:rPr>
          <w:rFonts w:ascii="Times New Roman" w:hAnsi="Times New Roman" w:cs="Times New Roman"/>
          <w:iCs/>
          <w:noProof/>
          <w:sz w:val="24"/>
          <w:szCs w:val="24"/>
        </w:rPr>
      </w:pPr>
      <w:r>
        <w:rPr>
          <w:rFonts w:ascii="Times New Roman" w:hAnsi="Times New Roman"/>
          <w:iCs/>
          <w:noProof/>
          <w:sz w:val="24"/>
          <w:szCs w:val="24"/>
        </w:rPr>
        <w:t xml:space="preserve">– </w:t>
      </w:r>
      <w:r>
        <w:rPr>
          <w:rFonts w:ascii="Times New Roman" w:hAnsi="Times New Roman"/>
          <w:b/>
          <w:iCs/>
          <w:noProof/>
          <w:sz w:val="24"/>
          <w:szCs w:val="24"/>
        </w:rPr>
        <w:t>EU–Japán gazdasági partnerségi megállapodás</w:t>
      </w:r>
      <w:r>
        <w:rPr>
          <w:rFonts w:ascii="Times New Roman" w:hAnsi="Times New Roman"/>
          <w:iCs/>
          <w:noProof/>
          <w:sz w:val="24"/>
          <w:szCs w:val="24"/>
        </w:rPr>
        <w:t>: az Európai Bizottság aggályainak adott hangot a japán hatóságoknál a postai és futárszolgáltatások japán piacon való megjelenésének feltételeivel kapcsolatban.</w:t>
      </w:r>
    </w:p>
    <w:p>
      <w:pPr>
        <w:keepNext/>
        <w:pBdr>
          <w:top w:val="single" w:sz="4" w:space="0" w:color="auto"/>
          <w:left w:val="single" w:sz="4" w:space="4" w:color="auto"/>
          <w:bottom w:val="single" w:sz="4" w:space="1" w:color="auto"/>
          <w:right w:val="single" w:sz="4" w:space="4" w:color="auto"/>
        </w:pBdr>
        <w:spacing w:after="120" w:line="240" w:lineRule="auto"/>
        <w:rPr>
          <w:rFonts w:ascii="Times New Roman" w:hAnsi="Times New Roman" w:cs="Times New Roman"/>
          <w:iCs/>
          <w:noProof/>
          <w:sz w:val="24"/>
          <w:szCs w:val="24"/>
        </w:rPr>
      </w:pPr>
      <w:r>
        <w:rPr>
          <w:rFonts w:ascii="Times New Roman" w:hAnsi="Times New Roman"/>
          <w:iCs/>
          <w:noProof/>
          <w:sz w:val="24"/>
          <w:szCs w:val="24"/>
        </w:rPr>
        <w:t xml:space="preserve">– </w:t>
      </w:r>
      <w:r>
        <w:rPr>
          <w:rFonts w:ascii="Times New Roman" w:hAnsi="Times New Roman"/>
          <w:b/>
          <w:iCs/>
          <w:noProof/>
          <w:sz w:val="24"/>
          <w:szCs w:val="24"/>
        </w:rPr>
        <w:t>EU–Dél-Korea kereskedelmi megállapodás</w:t>
      </w:r>
      <w:r>
        <w:rPr>
          <w:rFonts w:ascii="Times New Roman" w:hAnsi="Times New Roman"/>
          <w:iCs/>
          <w:noProof/>
          <w:sz w:val="24"/>
          <w:szCs w:val="24"/>
        </w:rPr>
        <w:t>: az Európai Bizottság aggályainak adott hangot a koreai hatóságoknál a tengeri szállítási ágazatban hozott intézkedésekkel és a használt gépjárművek értékesítésével és javításával kapcsolatban.</w:t>
      </w:r>
    </w:p>
    <w:p>
      <w:pPr>
        <w:keepNext/>
        <w:pBdr>
          <w:top w:val="single" w:sz="4" w:space="0" w:color="auto"/>
          <w:left w:val="single" w:sz="4" w:space="4" w:color="auto"/>
          <w:bottom w:val="single" w:sz="4" w:space="1" w:color="auto"/>
          <w:right w:val="single" w:sz="4" w:space="4" w:color="auto"/>
        </w:pBdr>
        <w:spacing w:after="120" w:line="240" w:lineRule="auto"/>
        <w:rPr>
          <w:rFonts w:ascii="Times New Roman" w:hAnsi="Times New Roman" w:cs="Times New Roman"/>
          <w:iCs/>
          <w:noProof/>
          <w:sz w:val="24"/>
          <w:szCs w:val="24"/>
        </w:rPr>
      </w:pPr>
      <w:r>
        <w:rPr>
          <w:rFonts w:ascii="Times New Roman" w:hAnsi="Times New Roman"/>
          <w:iCs/>
          <w:noProof/>
          <w:sz w:val="24"/>
          <w:szCs w:val="24"/>
        </w:rPr>
        <w:t xml:space="preserve">– </w:t>
      </w:r>
      <w:r>
        <w:rPr>
          <w:rFonts w:ascii="Times New Roman" w:hAnsi="Times New Roman"/>
          <w:b/>
          <w:iCs/>
          <w:noProof/>
          <w:sz w:val="24"/>
          <w:szCs w:val="24"/>
        </w:rPr>
        <w:t>EU–Kolumbia/Peru/Ecuador kereskedelmi megállapodás</w:t>
      </w:r>
      <w:r>
        <w:rPr>
          <w:rFonts w:ascii="Times New Roman" w:hAnsi="Times New Roman"/>
          <w:iCs/>
          <w:noProof/>
          <w:sz w:val="24"/>
          <w:szCs w:val="24"/>
        </w:rPr>
        <w:t>: az Európai Bizottság aggályainak adott hangot az Ecuador által az egyéni élet-, csoportos élet-, személy-, egészség- és gépjármű-viszontbiztosítás terén hozott intézkedésekkel kapcsolatban, amelyek megkülönböztetőek voltak a külföldi viszontbiztosító társaságokkal szemben.</w:t>
      </w:r>
    </w:p>
    <w:p>
      <w:pPr>
        <w:autoSpaceDE w:val="0"/>
        <w:autoSpaceDN w:val="0"/>
        <w:adjustRightInd w:val="0"/>
        <w:spacing w:after="0"/>
        <w:rPr>
          <w:rFonts w:ascii="Times New Roman" w:hAnsi="Times New Roman" w:cs="Times New Roman"/>
          <w:noProof/>
          <w:sz w:val="24"/>
          <w:szCs w:val="24"/>
        </w:rPr>
      </w:pPr>
    </w:p>
    <w:p>
      <w:pPr>
        <w:autoSpaceDE w:val="0"/>
        <w:autoSpaceDN w:val="0"/>
        <w:adjustRightInd w:val="0"/>
        <w:spacing w:afterLines="100" w:after="240"/>
        <w:rPr>
          <w:rFonts w:ascii="Times New Roman" w:hAnsi="Times New Roman" w:cs="Times New Roman"/>
          <w:noProof/>
          <w:sz w:val="24"/>
          <w:szCs w:val="24"/>
        </w:rPr>
      </w:pPr>
      <w:r>
        <w:rPr>
          <w:rFonts w:ascii="Times New Roman" w:hAnsi="Times New Roman"/>
          <w:noProof/>
          <w:sz w:val="24"/>
          <w:szCs w:val="24"/>
        </w:rPr>
        <w:t xml:space="preserve">Végül pedig az uniós kereskedelmi megállapodások, amennyiben eredményesen hajtják végre azokat, </w:t>
      </w:r>
      <w:r>
        <w:rPr>
          <w:rFonts w:ascii="Times New Roman" w:hAnsi="Times New Roman"/>
          <w:b/>
          <w:noProof/>
          <w:sz w:val="24"/>
          <w:szCs w:val="24"/>
        </w:rPr>
        <w:t>jobbára megerősítik az EU és az érintett partner közötti gazdasági kapcsolatot</w:t>
      </w:r>
      <w:r>
        <w:rPr>
          <w:rFonts w:ascii="Times New Roman" w:hAnsi="Times New Roman"/>
          <w:noProof/>
          <w:sz w:val="24"/>
          <w:szCs w:val="24"/>
        </w:rPr>
        <w:t xml:space="preserve">, ami a szolgáltatási és nem szolgáltatási ágazatban egyaránt a kölcsönös befektetések bővülését eredményezi. Ez a szolgáltatásokra és befektetésekre vonatkozó külön rendelkezéseket nem tartalmazó kereskedelmi megállapodásokra is érvényes. Az </w:t>
      </w:r>
      <w:r>
        <w:rPr>
          <w:rFonts w:ascii="Times New Roman" w:hAnsi="Times New Roman"/>
          <w:b/>
          <w:noProof/>
          <w:sz w:val="24"/>
          <w:szCs w:val="24"/>
        </w:rPr>
        <w:t>EU afrikai országokkal kötött gazdasági partnerségi megállapodásai</w:t>
      </w:r>
      <w:r>
        <w:rPr>
          <w:rFonts w:ascii="Times New Roman" w:hAnsi="Times New Roman"/>
          <w:noProof/>
          <w:sz w:val="24"/>
          <w:szCs w:val="24"/>
        </w:rPr>
        <w:t xml:space="preserve"> például jelenleg csak az árukereskedelemre vonatkoznak, mégis hozzájárulnak ahhoz, hogy az afrikai gazdaságok vonzóbbá váljanak az uniós befektetés számára, nevezetesen a helyi átalakulásra és az ipari kapacitás fejlesztésére tekintettel. Hasonlóképpen az </w:t>
      </w:r>
      <w:r>
        <w:rPr>
          <w:rFonts w:ascii="Times New Roman" w:hAnsi="Times New Roman"/>
          <w:b/>
          <w:noProof/>
          <w:sz w:val="24"/>
          <w:szCs w:val="24"/>
        </w:rPr>
        <w:t>EU–Marokkó társulási megállapodás</w:t>
      </w:r>
      <w:r>
        <w:rPr>
          <w:rFonts w:ascii="Times New Roman" w:hAnsi="Times New Roman"/>
          <w:noProof/>
          <w:sz w:val="24"/>
          <w:szCs w:val="24"/>
        </w:rPr>
        <w:t xml:space="preserve"> 2000-ben történt hatálybalépése után az EU Marokkóban eszközölt befektetései is folyamatosan növekedtek, különösen a gépjárműiparban, a helyi értékláncokhoz való kapcsolódás révén.</w:t>
      </w:r>
    </w:p>
    <w:p>
      <w:pPr>
        <w:keepNext/>
        <w:pBdr>
          <w:top w:val="single" w:sz="4" w:space="0" w:color="auto"/>
          <w:left w:val="single" w:sz="4" w:space="4" w:color="auto"/>
          <w:bottom w:val="single" w:sz="4" w:space="1" w:color="auto"/>
          <w:right w:val="single" w:sz="4" w:space="4" w:color="auto"/>
        </w:pBdr>
        <w:spacing w:after="120" w:line="240" w:lineRule="auto"/>
        <w:rPr>
          <w:rFonts w:ascii="Times New Roman" w:hAnsi="Times New Roman" w:cs="Times New Roman"/>
          <w:noProof/>
          <w:sz w:val="24"/>
          <w:szCs w:val="24"/>
        </w:rPr>
      </w:pPr>
      <w:r>
        <w:rPr>
          <w:rFonts w:ascii="Times New Roman" w:hAnsi="Times New Roman"/>
          <w:b/>
          <w:noProof/>
          <w:sz w:val="24"/>
          <w:szCs w:val="24"/>
        </w:rPr>
        <w:t>Az uniós kereskedelmi megállapodások fokozzák a befektetést Marokkóban</w:t>
      </w:r>
    </w:p>
    <w:p>
      <w:pPr>
        <w:keepNext/>
        <w:pBdr>
          <w:top w:val="single" w:sz="4" w:space="0" w:color="auto"/>
          <w:left w:val="single" w:sz="4" w:space="4" w:color="auto"/>
          <w:bottom w:val="single" w:sz="4" w:space="1" w:color="auto"/>
          <w:right w:val="single" w:sz="4" w:space="4" w:color="auto"/>
        </w:pBdr>
        <w:spacing w:after="120" w:line="240" w:lineRule="auto"/>
        <w:rPr>
          <w:rFonts w:ascii="Times New Roman" w:hAnsi="Times New Roman" w:cs="Times New Roman"/>
          <w:noProof/>
          <w:sz w:val="24"/>
          <w:szCs w:val="24"/>
        </w:rPr>
      </w:pPr>
      <w:r>
        <w:rPr>
          <w:rFonts w:ascii="Times New Roman" w:hAnsi="Times New Roman"/>
          <w:noProof/>
          <w:sz w:val="24"/>
          <w:szCs w:val="24"/>
        </w:rPr>
        <w:t>– Az EU–Marokkó társulási megállapodás végrehajtásának első öt évében az EU közvetlen külföldi tőkebefektetési állománya Marokkóban 17 %-kal nőtt</w:t>
      </w:r>
      <w:r>
        <w:rPr>
          <w:rStyle w:val="FootnoteReference"/>
          <w:rFonts w:ascii="Times New Roman" w:hAnsi="Times New Roman" w:cs="Times New Roman"/>
          <w:noProof/>
          <w:sz w:val="24"/>
          <w:szCs w:val="24"/>
          <w:lang w:val="en-GB"/>
        </w:rPr>
        <w:footnoteReference w:id="60"/>
      </w:r>
      <w:r>
        <w:rPr>
          <w:rFonts w:ascii="Times New Roman" w:hAnsi="Times New Roman"/>
          <w:noProof/>
          <w:sz w:val="24"/>
          <w:szCs w:val="24"/>
        </w:rPr>
        <w:t>. Egy közelmúltban készített elemzés szerint „úgy tűnik, hogy az EU–Marokkó társulási megállapodás fokozta a befektetői bizalmat a marokkói gazdaságban, többek között a szolgáltatások liberalizációjának „bezáródása” („locking in”) révén és a nagyobb szakpolitikai fegyelemnek a megvalósításával a makrogazdasági stabilitás területétől kezdve a munkaerőpiacok és a termékszabályozások területével bezárólag.”</w:t>
      </w:r>
      <w:r>
        <w:rPr>
          <w:rStyle w:val="FootnoteReference"/>
          <w:rFonts w:ascii="Times New Roman" w:hAnsi="Times New Roman"/>
          <w:noProof/>
          <w:sz w:val="24"/>
          <w:szCs w:val="24"/>
        </w:rPr>
        <w:t xml:space="preserve"> </w:t>
      </w:r>
      <w:r>
        <w:rPr>
          <w:rStyle w:val="FootnoteReference"/>
          <w:rFonts w:ascii="Times New Roman" w:hAnsi="Times New Roman" w:cs="Times New Roman"/>
          <w:noProof/>
          <w:sz w:val="24"/>
          <w:szCs w:val="24"/>
          <w:lang w:val="en-GB"/>
        </w:rPr>
        <w:footnoteReference w:id="61"/>
      </w:r>
    </w:p>
    <w:p>
      <w:pPr>
        <w:keepNext/>
        <w:pBdr>
          <w:top w:val="single" w:sz="4" w:space="0" w:color="auto"/>
          <w:left w:val="single" w:sz="4" w:space="4" w:color="auto"/>
          <w:bottom w:val="single" w:sz="4" w:space="1" w:color="auto"/>
          <w:right w:val="single" w:sz="4" w:space="4" w:color="auto"/>
        </w:pBdr>
        <w:spacing w:after="120" w:line="240" w:lineRule="auto"/>
        <w:rPr>
          <w:rFonts w:ascii="Times New Roman" w:hAnsi="Times New Roman" w:cs="Times New Roman"/>
          <w:noProof/>
          <w:sz w:val="24"/>
          <w:szCs w:val="24"/>
        </w:rPr>
      </w:pPr>
      <w:r>
        <w:rPr>
          <w:rFonts w:ascii="Times New Roman" w:hAnsi="Times New Roman"/>
          <w:noProof/>
          <w:sz w:val="24"/>
          <w:szCs w:val="24"/>
        </w:rPr>
        <w:t>– Az EU marokkói befektetései különösen figyelemreméltóak voltak a gépjárműiparban, amely az ország legnagyobb exportáló ágazatává vált (2019-ben Marokkó összes kivitelének 27 %-a), 2014 és 2018 között azok 116 000 munkahely létrejöttéhez járultak hozzá, a helyi gyártók 60 %-os bevonási aránya mellett.</w:t>
      </w:r>
      <w:r>
        <w:rPr>
          <w:rStyle w:val="FootnoteReference"/>
          <w:noProof/>
          <w:sz w:val="24"/>
          <w:szCs w:val="24"/>
          <w:lang w:val="en-GB"/>
        </w:rPr>
        <w:footnoteReference w:id="62"/>
      </w:r>
    </w:p>
    <w:p>
      <w:pPr>
        <w:rPr>
          <w:rFonts w:ascii="Times New Roman" w:hAnsi="Times New Roman" w:cs="Times New Roman"/>
          <w:b/>
          <w:noProof/>
          <w:sz w:val="24"/>
          <w:szCs w:val="24"/>
        </w:rPr>
      </w:pPr>
    </w:p>
    <w:p>
      <w:pPr>
        <w:spacing w:after="0"/>
        <w:rPr>
          <w:rFonts w:ascii="Times New Roman" w:hAnsi="Times New Roman" w:cs="Times New Roman"/>
          <w:b/>
          <w:noProof/>
          <w:sz w:val="24"/>
          <w:szCs w:val="24"/>
        </w:rPr>
      </w:pPr>
    </w:p>
    <w:p>
      <w:pPr>
        <w:pStyle w:val="Heading2"/>
        <w:rPr>
          <w:noProof/>
        </w:rPr>
      </w:pPr>
      <w:bookmarkStart w:id="26" w:name="_Toc55303838"/>
      <w:r>
        <w:rPr>
          <w:noProof/>
        </w:rPr>
        <w:t>6.2. Közbeszerzés</w:t>
      </w:r>
      <w:bookmarkEnd w:id="26"/>
    </w:p>
    <w:p>
      <w:pPr>
        <w:autoSpaceDE w:val="0"/>
        <w:autoSpaceDN w:val="0"/>
        <w:adjustRightInd w:val="0"/>
        <w:spacing w:afterLines="100" w:after="240"/>
        <w:rPr>
          <w:rFonts w:ascii="Times New Roman" w:hAnsi="Times New Roman" w:cs="Times New Roman"/>
          <w:noProof/>
          <w:sz w:val="24"/>
          <w:szCs w:val="24"/>
        </w:rPr>
      </w:pPr>
      <w:r>
        <w:rPr>
          <w:rFonts w:ascii="Times New Roman" w:hAnsi="Times New Roman"/>
          <w:noProof/>
          <w:sz w:val="24"/>
          <w:szCs w:val="24"/>
        </w:rPr>
        <w:t>Az EU közbeszerzési piaca</w:t>
      </w:r>
      <w:r>
        <w:rPr>
          <w:rStyle w:val="FootnoteReference"/>
          <w:rFonts w:ascii="Times New Roman" w:hAnsi="Times New Roman" w:cs="Times New Roman"/>
          <w:noProof/>
          <w:sz w:val="24"/>
          <w:szCs w:val="24"/>
          <w:lang w:val="en-GB"/>
        </w:rPr>
        <w:footnoteReference w:id="63"/>
      </w:r>
      <w:r>
        <w:rPr>
          <w:rFonts w:ascii="Times New Roman" w:hAnsi="Times New Roman"/>
          <w:noProof/>
          <w:sz w:val="24"/>
          <w:szCs w:val="24"/>
        </w:rPr>
        <w:t xml:space="preserve"> mindhárom beszerzési mód tekintetében erős jeleit mutatja a nyitottságnak</w:t>
      </w:r>
      <w:r>
        <w:rPr>
          <w:rStyle w:val="FootnoteReference"/>
          <w:rFonts w:ascii="Times New Roman" w:hAnsi="Times New Roman" w:cs="Times New Roman"/>
          <w:noProof/>
          <w:sz w:val="24"/>
          <w:szCs w:val="24"/>
          <w:lang w:val="en-GB"/>
        </w:rPr>
        <w:footnoteReference w:id="64"/>
      </w:r>
      <w:r>
        <w:rPr>
          <w:rFonts w:ascii="Times New Roman" w:hAnsi="Times New Roman"/>
          <w:noProof/>
          <w:sz w:val="24"/>
          <w:szCs w:val="24"/>
        </w:rPr>
        <w:t>.</w:t>
      </w:r>
    </w:p>
    <w:p>
      <w:pPr>
        <w:autoSpaceDE w:val="0"/>
        <w:autoSpaceDN w:val="0"/>
        <w:adjustRightInd w:val="0"/>
        <w:spacing w:afterLines="100" w:after="240"/>
        <w:rPr>
          <w:rFonts w:ascii="Times New Roman" w:hAnsi="Times New Roman" w:cs="Times New Roman"/>
          <w:noProof/>
          <w:sz w:val="24"/>
          <w:szCs w:val="24"/>
        </w:rPr>
      </w:pPr>
      <w:r>
        <w:rPr>
          <w:rFonts w:ascii="Times New Roman" w:hAnsi="Times New Roman"/>
          <w:noProof/>
          <w:sz w:val="24"/>
          <w:szCs w:val="24"/>
        </w:rPr>
        <w:t>Az alábbi diagram a 2017-ben az EU-n kívüli vállalkozásoknak közvetlenül vagy közvetetten odaítélt határokon átnyúló közbeszerzési szerződések értékét mutatja. Mind a három módozatot együttvéve az összeg 50 milliárd EUR-nak felelt meg.</w:t>
      </w:r>
      <w:r>
        <w:rPr>
          <w:rStyle w:val="FootnoteReference"/>
          <w:rFonts w:ascii="Times New Roman" w:hAnsi="Times New Roman" w:cs="Times New Roman"/>
          <w:noProof/>
          <w:sz w:val="24"/>
          <w:szCs w:val="24"/>
          <w:lang w:val="en-GB"/>
        </w:rPr>
        <w:footnoteReference w:id="65"/>
      </w:r>
    </w:p>
    <w:p>
      <w:pPr>
        <w:autoSpaceDE w:val="0"/>
        <w:autoSpaceDN w:val="0"/>
        <w:adjustRightInd w:val="0"/>
        <w:spacing w:afterLines="100" w:after="240"/>
        <w:rPr>
          <w:rFonts w:ascii="Times New Roman" w:hAnsi="Times New Roman" w:cs="Times New Roman"/>
          <w:noProof/>
          <w:sz w:val="24"/>
          <w:szCs w:val="24"/>
        </w:rPr>
      </w:pPr>
    </w:p>
    <w:p>
      <w:pPr>
        <w:pageBreakBefore/>
        <w:autoSpaceDE w:val="0"/>
        <w:autoSpaceDN w:val="0"/>
        <w:adjustRightInd w:val="0"/>
        <w:spacing w:afterLines="100" w:after="240"/>
        <w:rPr>
          <w:rFonts w:ascii="Times New Roman" w:hAnsi="Times New Roman" w:cs="Times New Roman"/>
          <w:b/>
          <w:noProof/>
          <w:color w:val="000000"/>
        </w:rPr>
      </w:pPr>
      <w:r>
        <w:rPr>
          <w:rFonts w:ascii="Times New Roman" w:hAnsi="Times New Roman"/>
          <w:b/>
          <w:noProof/>
          <w:color w:val="000000"/>
        </w:rPr>
        <w:t>14. ábra: Az EU nyitottsága a külföldi közbeszerzések terén, beszerzési módozatok szerinti bontásban (milliárd EUR)</w:t>
      </w:r>
    </w:p>
    <w:p>
      <w:pPr>
        <w:autoSpaceDE w:val="0"/>
        <w:autoSpaceDN w:val="0"/>
        <w:adjustRightInd w:val="0"/>
        <w:spacing w:afterLines="100" w:after="240"/>
        <w:rPr>
          <w:rFonts w:ascii="Arial" w:hAnsi="Arial" w:cs="Arial"/>
          <w:noProof/>
          <w:color w:val="000000"/>
          <w:lang w:val="en-GB"/>
        </w:rPr>
      </w:pPr>
      <w:r>
        <w:rPr>
          <w:noProof/>
          <w:lang w:val="en-GB" w:eastAsia="en-GB"/>
        </w:rPr>
        <w:drawing>
          <wp:inline distT="0" distB="0" distL="0" distR="0">
            <wp:extent cx="4715510" cy="28321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715510" cy="2832100"/>
                    </a:xfrm>
                    <a:prstGeom prst="rect">
                      <a:avLst/>
                    </a:prstGeom>
                    <a:noFill/>
                    <a:ln>
                      <a:noFill/>
                    </a:ln>
                  </pic:spPr>
                </pic:pic>
              </a:graphicData>
            </a:graphic>
          </wp:inline>
        </w:drawing>
      </w:r>
    </w:p>
    <w:p>
      <w:pPr>
        <w:autoSpaceDE w:val="0"/>
        <w:autoSpaceDN w:val="0"/>
        <w:adjustRightInd w:val="0"/>
        <w:spacing w:after="0"/>
        <w:rPr>
          <w:rFonts w:ascii="Times New Roman" w:hAnsi="Times New Roman" w:cs="Times New Roman"/>
          <w:noProof/>
          <w:sz w:val="24"/>
          <w:szCs w:val="24"/>
          <w:lang w:val="en-GB"/>
        </w:rPr>
      </w:pPr>
    </w:p>
    <w:p>
      <w:pPr>
        <w:autoSpaceDE w:val="0"/>
        <w:autoSpaceDN w:val="0"/>
        <w:adjustRightInd w:val="0"/>
        <w:spacing w:afterLines="100" w:after="240"/>
        <w:rPr>
          <w:rFonts w:ascii="Times New Roman" w:hAnsi="Times New Roman" w:cs="Times New Roman"/>
          <w:b/>
          <w:i/>
          <w:noProof/>
          <w:sz w:val="24"/>
          <w:szCs w:val="24"/>
        </w:rPr>
      </w:pPr>
      <w:r>
        <w:rPr>
          <w:rFonts w:ascii="Times New Roman" w:hAnsi="Times New Roman"/>
          <w:noProof/>
          <w:sz w:val="24"/>
          <w:szCs w:val="24"/>
        </w:rPr>
        <w:t>A közbeszerzés a GDP átlagosan 10–25 %-át képviseli</w:t>
      </w:r>
      <w:r>
        <w:rPr>
          <w:rStyle w:val="FootnoteReference"/>
          <w:rFonts w:ascii="Times New Roman" w:hAnsi="Times New Roman" w:cs="Times New Roman"/>
          <w:noProof/>
          <w:sz w:val="24"/>
          <w:szCs w:val="24"/>
          <w:lang w:val="en-GB"/>
        </w:rPr>
        <w:footnoteReference w:id="66"/>
      </w:r>
      <w:r>
        <w:rPr>
          <w:rFonts w:ascii="Times New Roman" w:hAnsi="Times New Roman"/>
          <w:noProof/>
          <w:sz w:val="24"/>
          <w:szCs w:val="24"/>
        </w:rPr>
        <w:t>. Az Eurostat és az OECD legfrissebb uniós nemzetiszámla-adatait vizsgálva a közbeszerzési kiadások a GDP-hez viszonyítva az EU GDP-jének 13,7 %-át teszik ki, abszolút értékben pedig közel 2 015,3 milliárd EUR-t tesznek ki (a közszolgáltatási és honvédelmi szerződések kivételével).</w:t>
      </w:r>
    </w:p>
    <w:p>
      <w:pPr>
        <w:autoSpaceDE w:val="0"/>
        <w:autoSpaceDN w:val="0"/>
        <w:adjustRightInd w:val="0"/>
        <w:spacing w:afterLines="100" w:after="240"/>
        <w:rPr>
          <w:rFonts w:ascii="Times New Roman" w:hAnsi="Times New Roman" w:cs="Times New Roman"/>
          <w:b/>
          <w:i/>
          <w:noProof/>
          <w:sz w:val="24"/>
          <w:szCs w:val="24"/>
        </w:rPr>
      </w:pPr>
      <w:r>
        <w:rPr>
          <w:rFonts w:ascii="Times New Roman" w:hAnsi="Times New Roman"/>
          <w:b/>
          <w:i/>
          <w:noProof/>
          <w:sz w:val="24"/>
          <w:szCs w:val="24"/>
        </w:rPr>
        <w:t>Az uniós kereskedelmi megállapodások közbeszerzésekre vonatkozó rendelkezései</w:t>
      </w:r>
    </w:p>
    <w:p>
      <w:pPr>
        <w:autoSpaceDE w:val="0"/>
        <w:autoSpaceDN w:val="0"/>
        <w:adjustRightInd w:val="0"/>
        <w:spacing w:afterLines="100" w:after="240"/>
        <w:rPr>
          <w:rFonts w:ascii="Times New Roman" w:hAnsi="Times New Roman" w:cs="Times New Roman"/>
          <w:noProof/>
          <w:sz w:val="24"/>
          <w:szCs w:val="24"/>
        </w:rPr>
      </w:pPr>
      <w:r>
        <w:rPr>
          <w:rFonts w:ascii="Times New Roman" w:hAnsi="Times New Roman"/>
          <w:noProof/>
          <w:sz w:val="24"/>
          <w:szCs w:val="24"/>
        </w:rPr>
        <w:t xml:space="preserve">Az uniós kereskedelmi megállapodások közbeszerzésekről szóló fejezetei hozzáférést biztosítanak az uniós vállalkozásoknak az áruk és szolgáltatások, ideérve az építési beruházásokat is, beszerzéséhez használt közbeszerzési szerződésekhez. </w:t>
      </w:r>
      <w:r>
        <w:rPr>
          <w:rFonts w:ascii="Times New Roman" w:hAnsi="Times New Roman"/>
          <w:b/>
          <w:noProof/>
          <w:sz w:val="24"/>
          <w:szCs w:val="24"/>
        </w:rPr>
        <w:t>A piacra jutás vagy a megállapodás hatálya</w:t>
      </w:r>
      <w:r>
        <w:rPr>
          <w:rFonts w:ascii="Times New Roman" w:hAnsi="Times New Roman"/>
          <w:noProof/>
          <w:sz w:val="24"/>
          <w:szCs w:val="24"/>
        </w:rPr>
        <w:t xml:space="preserve"> meghatározza adott ország közbeszerzési piacának az uniós ajánlattevők, áruk és szolgáltatások előtti megnyitásának alkalmazási körét. </w:t>
      </w:r>
      <w:r>
        <w:rPr>
          <w:rFonts w:ascii="Times New Roman" w:hAnsi="Times New Roman"/>
          <w:b/>
          <w:noProof/>
          <w:sz w:val="24"/>
          <w:szCs w:val="24"/>
        </w:rPr>
        <w:t>Alkalmazandó szabályok</w:t>
      </w:r>
      <w:r>
        <w:rPr>
          <w:rFonts w:ascii="Times New Roman" w:hAnsi="Times New Roman"/>
          <w:noProof/>
          <w:sz w:val="24"/>
          <w:szCs w:val="24"/>
        </w:rPr>
        <w:t xml:space="preserve"> határozzák meg a piacra jutási feltételeket az eljárások átláthatóságának biztosítása érdekében és rendelkeznek a felek közötti </w:t>
      </w:r>
      <w:r>
        <w:rPr>
          <w:rFonts w:ascii="Times New Roman" w:hAnsi="Times New Roman"/>
          <w:b/>
          <w:noProof/>
          <w:sz w:val="24"/>
          <w:szCs w:val="24"/>
        </w:rPr>
        <w:t>megkülönböztetésmentességről</w:t>
      </w:r>
      <w:r>
        <w:rPr>
          <w:rFonts w:ascii="Times New Roman" w:hAnsi="Times New Roman"/>
          <w:noProof/>
          <w:sz w:val="24"/>
          <w:szCs w:val="24"/>
        </w:rPr>
        <w:t xml:space="preserve"> és </w:t>
      </w:r>
      <w:r>
        <w:rPr>
          <w:rFonts w:ascii="Times New Roman" w:hAnsi="Times New Roman"/>
          <w:b/>
          <w:noProof/>
          <w:sz w:val="24"/>
          <w:szCs w:val="24"/>
        </w:rPr>
        <w:t>egyenlő bánásmódról</w:t>
      </w:r>
      <w:r>
        <w:rPr>
          <w:rFonts w:ascii="Times New Roman" w:hAnsi="Times New Roman"/>
          <w:noProof/>
          <w:sz w:val="24"/>
          <w:szCs w:val="24"/>
        </w:rPr>
        <w:t>, és teszik lehetővé azt, hogy azonos feltételek mellett pályázhassanak a helyi beszállítók és a másik fél beszállítói, továbbá biztosítja az eredményes felülvizsgálatot közbeszerzési panaszok felmerülése esetén. Néhány konkrét példa:</w:t>
      </w:r>
    </w:p>
    <w:p>
      <w:pPr>
        <w:autoSpaceDE w:val="0"/>
        <w:autoSpaceDN w:val="0"/>
        <w:adjustRightInd w:val="0"/>
        <w:spacing w:afterLines="100" w:after="240"/>
        <w:rPr>
          <w:rFonts w:ascii="Times New Roman" w:hAnsi="Times New Roman" w:cs="Times New Roman"/>
          <w:noProof/>
          <w:sz w:val="24"/>
          <w:szCs w:val="24"/>
        </w:rPr>
      </w:pPr>
    </w:p>
    <w:p>
      <w:pPr>
        <w:keepNext/>
        <w:pBdr>
          <w:top w:val="single" w:sz="4" w:space="0" w:color="auto"/>
          <w:left w:val="single" w:sz="4" w:space="4" w:color="auto"/>
          <w:bottom w:val="single" w:sz="4" w:space="1" w:color="auto"/>
          <w:right w:val="single" w:sz="4" w:space="4" w:color="auto"/>
        </w:pBdr>
        <w:spacing w:after="120" w:line="240" w:lineRule="auto"/>
        <w:rPr>
          <w:rFonts w:ascii="Times New Roman" w:hAnsi="Times New Roman" w:cs="Times New Roman"/>
          <w:noProof/>
          <w:sz w:val="24"/>
          <w:szCs w:val="24"/>
        </w:rPr>
      </w:pPr>
      <w:r>
        <w:rPr>
          <w:rFonts w:ascii="Times New Roman" w:hAnsi="Times New Roman"/>
          <w:b/>
          <w:noProof/>
          <w:sz w:val="24"/>
          <w:szCs w:val="24"/>
        </w:rPr>
        <w:t>EU–Dél-Korea szabadkereskedelmi megállapodás</w:t>
      </w:r>
      <w:r>
        <w:rPr>
          <w:rFonts w:ascii="Times New Roman" w:hAnsi="Times New Roman"/>
          <w:noProof/>
          <w:sz w:val="24"/>
          <w:szCs w:val="24"/>
        </w:rPr>
        <w:t>:</w:t>
      </w:r>
      <w:r>
        <w:rPr>
          <w:rFonts w:ascii="Times New Roman" w:hAnsi="Times New Roman"/>
          <w:b/>
          <w:noProof/>
          <w:sz w:val="24"/>
          <w:szCs w:val="24"/>
        </w:rPr>
        <w:t xml:space="preserve"> </w:t>
      </w:r>
      <w:r>
        <w:rPr>
          <w:rFonts w:ascii="Times New Roman" w:hAnsi="Times New Roman"/>
          <w:noProof/>
          <w:sz w:val="24"/>
          <w:szCs w:val="24"/>
        </w:rPr>
        <w:t>a megállapodás kiterjeszti mindkét fél piacra jutási kötelezettségvállalásait olyan területekre, amelyek a WTO Közbeszerzési Megállapodása értelmében nem biztosítottak egymás számára, nevezetesen az EU-ban az építési koncessziók, Dél-Koreában pedig az „épít-működtet-átad” típusú szerződések, amelyek utak építésére és üzemeltetésére irányulnak.</w:t>
      </w:r>
    </w:p>
    <w:p>
      <w:pPr>
        <w:keepNext/>
        <w:pBdr>
          <w:top w:val="single" w:sz="4" w:space="0" w:color="auto"/>
          <w:left w:val="single" w:sz="4" w:space="4" w:color="auto"/>
          <w:bottom w:val="single" w:sz="4" w:space="1" w:color="auto"/>
          <w:right w:val="single" w:sz="4" w:space="4" w:color="auto"/>
        </w:pBdr>
        <w:spacing w:after="120" w:line="240" w:lineRule="auto"/>
        <w:rPr>
          <w:rFonts w:ascii="Times New Roman" w:hAnsi="Times New Roman" w:cs="Times New Roman"/>
          <w:noProof/>
          <w:sz w:val="24"/>
          <w:szCs w:val="24"/>
        </w:rPr>
      </w:pPr>
      <w:r>
        <w:rPr>
          <w:rFonts w:ascii="Times New Roman" w:hAnsi="Times New Roman"/>
          <w:b/>
          <w:noProof/>
          <w:sz w:val="24"/>
          <w:szCs w:val="24"/>
        </w:rPr>
        <w:t>CETA</w:t>
      </w:r>
      <w:r>
        <w:rPr>
          <w:rFonts w:ascii="Times New Roman" w:hAnsi="Times New Roman"/>
          <w:noProof/>
          <w:sz w:val="24"/>
          <w:szCs w:val="24"/>
        </w:rPr>
        <w:t>: a központi szint alatti közbeszerzések széles körére kiterjed, különösen az önkormányzatok által végzett közbeszerzésekre.</w:t>
      </w:r>
      <w:r>
        <w:rPr>
          <w:rStyle w:val="FootnoteReference"/>
          <w:rFonts w:ascii="Times New Roman" w:hAnsi="Times New Roman" w:cs="Times New Roman"/>
          <w:noProof/>
          <w:sz w:val="24"/>
          <w:szCs w:val="24"/>
          <w:lang w:val="en-GB"/>
        </w:rPr>
        <w:footnoteReference w:id="67"/>
      </w:r>
    </w:p>
    <w:p>
      <w:pPr>
        <w:keepNext/>
        <w:pBdr>
          <w:top w:val="single" w:sz="4" w:space="0" w:color="auto"/>
          <w:left w:val="single" w:sz="4" w:space="4" w:color="auto"/>
          <w:bottom w:val="single" w:sz="4" w:space="1" w:color="auto"/>
          <w:right w:val="single" w:sz="4" w:space="4" w:color="auto"/>
        </w:pBdr>
        <w:spacing w:after="120" w:line="240" w:lineRule="auto"/>
        <w:rPr>
          <w:rFonts w:ascii="Times New Roman" w:hAnsi="Times New Roman" w:cs="Times New Roman"/>
          <w:noProof/>
          <w:sz w:val="24"/>
          <w:szCs w:val="24"/>
        </w:rPr>
      </w:pPr>
      <w:r>
        <w:rPr>
          <w:rFonts w:ascii="Times New Roman" w:hAnsi="Times New Roman"/>
          <w:b/>
          <w:noProof/>
          <w:sz w:val="24"/>
          <w:szCs w:val="24"/>
        </w:rPr>
        <w:t>EU–JAPÁN GPM:</w:t>
      </w:r>
      <w:r>
        <w:rPr>
          <w:rFonts w:ascii="Times New Roman" w:hAnsi="Times New Roman"/>
          <w:noProof/>
          <w:sz w:val="24"/>
          <w:szCs w:val="24"/>
        </w:rPr>
        <w:t xml:space="preserve"> Japán megkülönböztetésmentes hozzáférést nyújt az uniós beszállítók számára 48, közel 300 000 lakosú város közbeszerzési piacához, amely városok lakossága a japán lakosság hozzávetőlegesen 15 %-át teszi ki. Japán nemzeti szinten megállapodott arról, hogy uniós pályázók számára 87 kórházra és tudományos intézményre, valamint 29 áramszolgáltatóra irányuló pályázatokat indít. Az EU ugyanakkor a vasúti berendezések és infrastruktúra japán piacához is nagyobb hozzáférést kapott.</w:t>
      </w:r>
    </w:p>
    <w:p>
      <w:pPr>
        <w:spacing w:after="0" w:line="259" w:lineRule="auto"/>
        <w:contextualSpacing/>
        <w:rPr>
          <w:rFonts w:ascii="Times New Roman" w:hAnsi="Times New Roman" w:cs="Times New Roman"/>
          <w:b/>
          <w:noProof/>
          <w:sz w:val="24"/>
          <w:szCs w:val="24"/>
        </w:rPr>
      </w:pPr>
    </w:p>
    <w:p>
      <w:pPr>
        <w:autoSpaceDE w:val="0"/>
        <w:autoSpaceDN w:val="0"/>
        <w:adjustRightInd w:val="0"/>
        <w:spacing w:after="0"/>
        <w:rPr>
          <w:rFonts w:ascii="Times New Roman" w:hAnsi="Times New Roman" w:cs="Times New Roman"/>
          <w:b/>
          <w:i/>
          <w:noProof/>
          <w:sz w:val="24"/>
          <w:szCs w:val="24"/>
        </w:rPr>
      </w:pPr>
    </w:p>
    <w:p>
      <w:pPr>
        <w:autoSpaceDE w:val="0"/>
        <w:autoSpaceDN w:val="0"/>
        <w:adjustRightInd w:val="0"/>
        <w:spacing w:afterLines="100" w:after="240"/>
        <w:rPr>
          <w:rFonts w:ascii="Times New Roman" w:hAnsi="Times New Roman" w:cs="Times New Roman"/>
          <w:b/>
          <w:i/>
          <w:noProof/>
          <w:sz w:val="24"/>
          <w:szCs w:val="24"/>
        </w:rPr>
      </w:pPr>
      <w:r>
        <w:rPr>
          <w:rFonts w:ascii="Times New Roman" w:hAnsi="Times New Roman"/>
          <w:b/>
          <w:i/>
          <w:noProof/>
          <w:sz w:val="24"/>
          <w:szCs w:val="24"/>
        </w:rPr>
        <w:t xml:space="preserve">A közbeszerzési rendelkezések végrehajtása – kereskedelmi bizottságokban való munkavégzés </w:t>
      </w:r>
    </w:p>
    <w:p>
      <w:pPr>
        <w:autoSpaceDE w:val="0"/>
        <w:autoSpaceDN w:val="0"/>
        <w:adjustRightInd w:val="0"/>
        <w:spacing w:afterLines="100" w:after="240"/>
        <w:rPr>
          <w:rFonts w:ascii="Times New Roman" w:hAnsi="Times New Roman" w:cs="Times New Roman"/>
          <w:noProof/>
          <w:sz w:val="24"/>
          <w:szCs w:val="24"/>
        </w:rPr>
      </w:pPr>
      <w:r>
        <w:rPr>
          <w:rFonts w:ascii="Times New Roman" w:hAnsi="Times New Roman"/>
          <w:noProof/>
          <w:sz w:val="24"/>
          <w:szCs w:val="24"/>
        </w:rPr>
        <w:t>Az Európai Bizottság folytatta a preferenciális kereskedelmi megállapodásokban foglalt közbeszerzési kötelezettségek végrehajtásának figyelemmel kísérését, szoros együttműködést folytatva kereskedelmi partnereivel az uniós kereskedelmi megállapodások értelmében létrehozott közös közbeszerzési és kereskedelmi bizottságokban, valamint specifikus párbeszédek útján.</w:t>
      </w:r>
    </w:p>
    <w:p>
      <w:pPr>
        <w:keepNext/>
        <w:pBdr>
          <w:top w:val="single" w:sz="4" w:space="0" w:color="auto"/>
          <w:left w:val="single" w:sz="4" w:space="0" w:color="auto"/>
          <w:bottom w:val="single" w:sz="4" w:space="1" w:color="auto"/>
          <w:right w:val="single" w:sz="4" w:space="4" w:color="auto"/>
        </w:pBdr>
        <w:spacing w:after="120" w:line="240" w:lineRule="auto"/>
        <w:rPr>
          <w:rFonts w:ascii="Times New Roman" w:hAnsi="Times New Roman" w:cs="Times New Roman"/>
          <w:b/>
          <w:noProof/>
          <w:sz w:val="24"/>
          <w:szCs w:val="24"/>
        </w:rPr>
      </w:pPr>
      <w:r>
        <w:rPr>
          <w:rFonts w:ascii="Times New Roman" w:hAnsi="Times New Roman"/>
          <w:b/>
          <w:noProof/>
          <w:sz w:val="24"/>
          <w:szCs w:val="24"/>
        </w:rPr>
        <w:t>A közbeszerzési kötelezettségvállalások végrehajtásának figyelemmel kísérése – példák 2019-ből</w:t>
      </w:r>
    </w:p>
    <w:p>
      <w:pPr>
        <w:keepNext/>
        <w:pBdr>
          <w:top w:val="single" w:sz="4" w:space="0" w:color="auto"/>
          <w:left w:val="single" w:sz="4" w:space="0" w:color="auto"/>
          <w:bottom w:val="single" w:sz="4" w:space="1" w:color="auto"/>
          <w:right w:val="single" w:sz="4" w:space="4" w:color="auto"/>
        </w:pBdr>
        <w:spacing w:after="120" w:line="240" w:lineRule="auto"/>
        <w:rPr>
          <w:rFonts w:ascii="Times New Roman" w:hAnsi="Times New Roman" w:cs="Times New Roman"/>
          <w:noProof/>
          <w:sz w:val="24"/>
          <w:szCs w:val="24"/>
        </w:rPr>
      </w:pPr>
      <w:r>
        <w:rPr>
          <w:rFonts w:ascii="Times New Roman" w:hAnsi="Times New Roman"/>
          <w:noProof/>
          <w:sz w:val="24"/>
          <w:szCs w:val="24"/>
        </w:rPr>
        <w:t xml:space="preserve">– </w:t>
      </w:r>
      <w:r>
        <w:rPr>
          <w:rFonts w:ascii="Times New Roman" w:hAnsi="Times New Roman"/>
          <w:b/>
          <w:noProof/>
          <w:sz w:val="24"/>
          <w:szCs w:val="24"/>
        </w:rPr>
        <w:t>Kolumbia</w:t>
      </w:r>
      <w:r>
        <w:rPr>
          <w:rFonts w:ascii="Times New Roman" w:hAnsi="Times New Roman"/>
          <w:noProof/>
          <w:sz w:val="24"/>
          <w:szCs w:val="24"/>
        </w:rPr>
        <w:t xml:space="preserve"> esetében az EU ismételten hangot adott azon aggályainak, hogy az uniós beszállítókkal szemben hiányzott a nemzeti elbánás központi alatti szinten. Mindkét fél megállapodott abban, hogy technikai megbeszéléseket folytat azzal a céllal, hogy kölcsönösen elfogadható megoldást találjanak.</w:t>
      </w:r>
    </w:p>
    <w:p>
      <w:pPr>
        <w:keepNext/>
        <w:pBdr>
          <w:top w:val="single" w:sz="4" w:space="0" w:color="auto"/>
          <w:left w:val="single" w:sz="4" w:space="0" w:color="auto"/>
          <w:bottom w:val="single" w:sz="4" w:space="1" w:color="auto"/>
          <w:right w:val="single" w:sz="4" w:space="4" w:color="auto"/>
        </w:pBdr>
        <w:spacing w:after="120" w:line="240" w:lineRule="auto"/>
        <w:rPr>
          <w:rFonts w:ascii="Times New Roman" w:hAnsi="Times New Roman" w:cs="Times New Roman"/>
          <w:noProof/>
          <w:sz w:val="24"/>
          <w:szCs w:val="24"/>
        </w:rPr>
      </w:pPr>
      <w:r>
        <w:rPr>
          <w:rFonts w:ascii="Times New Roman" w:hAnsi="Times New Roman"/>
          <w:noProof/>
          <w:sz w:val="24"/>
          <w:szCs w:val="24"/>
        </w:rPr>
        <w:t xml:space="preserve">– </w:t>
      </w:r>
      <w:r>
        <w:rPr>
          <w:rFonts w:ascii="Times New Roman" w:hAnsi="Times New Roman"/>
          <w:b/>
          <w:noProof/>
          <w:sz w:val="24"/>
          <w:szCs w:val="24"/>
        </w:rPr>
        <w:t>Peru</w:t>
      </w:r>
      <w:r>
        <w:rPr>
          <w:rFonts w:ascii="Times New Roman" w:hAnsi="Times New Roman"/>
          <w:noProof/>
          <w:sz w:val="24"/>
          <w:szCs w:val="24"/>
        </w:rPr>
        <w:t xml:space="preserve"> esetében az EU egyes pályázatok műszaki előírásaival kapcsolatos aggályait vetette fel, és hangsúlyozta, hogy a megállapodásban foglaltaknak megfelelően biztosítani kell a szabványok egyenértékűségét. Peru vállalta, hogy felhívja a figyelmet arra, hogy megkülönböztetésmentes műszaki előírásokat kell megállapítani és nemzetközi szabványokat kell elfogadni a közbeszerzési eljárásokban.</w:t>
      </w:r>
    </w:p>
    <w:p>
      <w:pPr>
        <w:keepNext/>
        <w:pBdr>
          <w:top w:val="single" w:sz="4" w:space="0" w:color="auto"/>
          <w:left w:val="single" w:sz="4" w:space="0" w:color="auto"/>
          <w:bottom w:val="single" w:sz="4" w:space="1" w:color="auto"/>
          <w:right w:val="single" w:sz="4" w:space="4" w:color="auto"/>
        </w:pBdr>
        <w:spacing w:after="120" w:line="240" w:lineRule="auto"/>
        <w:rPr>
          <w:rFonts w:ascii="Times New Roman" w:hAnsi="Times New Roman" w:cs="Times New Roman"/>
          <w:noProof/>
          <w:sz w:val="24"/>
          <w:szCs w:val="24"/>
        </w:rPr>
      </w:pPr>
      <w:r>
        <w:rPr>
          <w:rFonts w:ascii="Times New Roman" w:hAnsi="Times New Roman"/>
          <w:noProof/>
          <w:sz w:val="24"/>
          <w:szCs w:val="24"/>
        </w:rPr>
        <w:t xml:space="preserve">– </w:t>
      </w:r>
      <w:r>
        <w:rPr>
          <w:rFonts w:ascii="Times New Roman" w:hAnsi="Times New Roman"/>
          <w:b/>
          <w:noProof/>
          <w:sz w:val="24"/>
          <w:szCs w:val="24"/>
        </w:rPr>
        <w:t>Ukrajna</w:t>
      </w:r>
      <w:r>
        <w:rPr>
          <w:rFonts w:ascii="Times New Roman" w:hAnsi="Times New Roman"/>
          <w:noProof/>
          <w:sz w:val="24"/>
          <w:szCs w:val="24"/>
        </w:rPr>
        <w:t xml:space="preserve"> esetében az EU proaktívan támogatta partnereit a vonatkozó uniós szabályoknak megfelelő új közbeszerzési törvény kidolgozásában. Az új törvényt 2019. szeptember 19-én fogadták el</w:t>
      </w:r>
      <w:r>
        <w:rPr>
          <w:rStyle w:val="FootnoteReference"/>
          <w:noProof/>
          <w:sz w:val="24"/>
          <w:szCs w:val="24"/>
          <w:lang w:val="en-GB"/>
        </w:rPr>
        <w:footnoteReference w:id="68"/>
      </w:r>
      <w:r>
        <w:rPr>
          <w:rFonts w:ascii="Times New Roman" w:hAnsi="Times New Roman"/>
          <w:noProof/>
          <w:sz w:val="24"/>
          <w:szCs w:val="24"/>
        </w:rPr>
        <w:t>, és az először biztosítja a stratégiaibb jellegű közbeszerzéshez szükséges eszközöket, olyan fenntarthatósági szempontok figyelembevételével, mint például az életciklusköltségek, a környezetvédelmi, újszerűségi és szociális szempontok.</w:t>
      </w:r>
    </w:p>
    <w:p>
      <w:pPr>
        <w:autoSpaceDE w:val="0"/>
        <w:autoSpaceDN w:val="0"/>
        <w:adjustRightInd w:val="0"/>
        <w:spacing w:after="0"/>
        <w:rPr>
          <w:rFonts w:ascii="Times New Roman" w:hAnsi="Times New Roman" w:cs="Times New Roman"/>
          <w:noProof/>
          <w:sz w:val="24"/>
          <w:szCs w:val="24"/>
        </w:rPr>
      </w:pPr>
    </w:p>
    <w:p>
      <w:pPr>
        <w:autoSpaceDE w:val="0"/>
        <w:autoSpaceDN w:val="0"/>
        <w:adjustRightInd w:val="0"/>
        <w:spacing w:afterLines="100" w:after="240"/>
        <w:rPr>
          <w:rFonts w:ascii="Times New Roman" w:hAnsi="Times New Roman" w:cs="Times New Roman"/>
          <w:noProof/>
          <w:sz w:val="24"/>
          <w:szCs w:val="24"/>
        </w:rPr>
      </w:pPr>
      <w:r>
        <w:rPr>
          <w:rFonts w:ascii="Times New Roman" w:hAnsi="Times New Roman"/>
          <w:noProof/>
          <w:sz w:val="24"/>
          <w:szCs w:val="24"/>
        </w:rPr>
        <w:t xml:space="preserve">Az Európai Bizottság ezenkívül jelentős erőfeszítéseket tett </w:t>
      </w:r>
      <w:r>
        <w:rPr>
          <w:rFonts w:ascii="Times New Roman" w:hAnsi="Times New Roman"/>
          <w:b/>
          <w:noProof/>
          <w:sz w:val="24"/>
          <w:szCs w:val="24"/>
        </w:rPr>
        <w:t>a közbeszerzési eljárások átláthatóságának előmozdítása</w:t>
      </w:r>
      <w:r>
        <w:rPr>
          <w:rFonts w:ascii="Times New Roman" w:hAnsi="Times New Roman"/>
          <w:noProof/>
          <w:sz w:val="24"/>
          <w:szCs w:val="24"/>
        </w:rPr>
        <w:t xml:space="preserve"> érdekében a pályázatok egyablakos elektronikus platformjainak létrehozásával. A CETA Közbeszerzési Bizottság második ülésén például </w:t>
      </w:r>
      <w:r>
        <w:rPr>
          <w:rFonts w:ascii="Times New Roman" w:hAnsi="Times New Roman"/>
          <w:b/>
          <w:noProof/>
          <w:sz w:val="24"/>
          <w:szCs w:val="24"/>
        </w:rPr>
        <w:t>Kanada beszámolt</w:t>
      </w:r>
      <w:r>
        <w:rPr>
          <w:rFonts w:ascii="Times New Roman" w:hAnsi="Times New Roman"/>
          <w:noProof/>
          <w:sz w:val="24"/>
          <w:szCs w:val="24"/>
        </w:rPr>
        <w:t xml:space="preserve"> az </w:t>
      </w:r>
      <w:r>
        <w:rPr>
          <w:rFonts w:ascii="Times New Roman" w:hAnsi="Times New Roman"/>
          <w:b/>
          <w:noProof/>
          <w:sz w:val="24"/>
          <w:szCs w:val="24"/>
        </w:rPr>
        <w:t>egyetlen hozzáférési pont</w:t>
      </w:r>
      <w:r>
        <w:rPr>
          <w:rFonts w:ascii="Times New Roman" w:hAnsi="Times New Roman"/>
          <w:noProof/>
          <w:sz w:val="24"/>
          <w:szCs w:val="24"/>
        </w:rPr>
        <w:t xml:space="preserve"> létrehozása tekintetében az addig </w:t>
      </w:r>
      <w:r>
        <w:rPr>
          <w:rFonts w:ascii="Times New Roman" w:hAnsi="Times New Roman"/>
          <w:b/>
          <w:noProof/>
          <w:sz w:val="24"/>
          <w:szCs w:val="24"/>
        </w:rPr>
        <w:t>elért haladásról</w:t>
      </w:r>
      <w:r>
        <w:rPr>
          <w:rFonts w:ascii="Times New Roman" w:hAnsi="Times New Roman"/>
          <w:noProof/>
          <w:sz w:val="24"/>
          <w:szCs w:val="24"/>
        </w:rPr>
        <w:t>, amely a CETA hatálya alá tartozó valamennyi közbeszerzési eljáráshoz hozzáférést biztosít majd a vállalkozások számára.</w:t>
      </w:r>
    </w:p>
    <w:p>
      <w:pPr>
        <w:autoSpaceDE w:val="0"/>
        <w:autoSpaceDN w:val="0"/>
        <w:adjustRightInd w:val="0"/>
        <w:spacing w:afterLines="100" w:after="240"/>
        <w:rPr>
          <w:rFonts w:ascii="Times New Roman" w:hAnsi="Times New Roman" w:cs="Times New Roman"/>
          <w:noProof/>
          <w:sz w:val="24"/>
          <w:szCs w:val="24"/>
        </w:rPr>
      </w:pPr>
      <w:r>
        <w:rPr>
          <w:rFonts w:ascii="Times New Roman" w:hAnsi="Times New Roman"/>
          <w:noProof/>
          <w:sz w:val="24"/>
          <w:szCs w:val="24"/>
        </w:rPr>
        <w:t xml:space="preserve">Az </w:t>
      </w:r>
      <w:r>
        <w:rPr>
          <w:rFonts w:ascii="Times New Roman" w:hAnsi="Times New Roman"/>
          <w:b/>
          <w:noProof/>
          <w:sz w:val="24"/>
          <w:szCs w:val="24"/>
        </w:rPr>
        <w:t>Európai Bizottság további lépéseket tett a közbeszerzésekkel kapcsolatos kommunikáció javítására</w:t>
      </w:r>
      <w:r>
        <w:rPr>
          <w:rFonts w:ascii="Times New Roman" w:hAnsi="Times New Roman"/>
          <w:noProof/>
          <w:sz w:val="24"/>
          <w:szCs w:val="24"/>
        </w:rPr>
        <w:t xml:space="preserve"> az uniós kereskedelmi megállapodások keretében. Az Európai Bizottság 2019-ben új útmutatót tett közzé a kanadai közbeszerzésekről</w:t>
      </w:r>
      <w:r>
        <w:rPr>
          <w:rStyle w:val="FootnoteReference"/>
          <w:rFonts w:ascii="Times New Roman" w:hAnsi="Times New Roman" w:cs="Times New Roman"/>
          <w:noProof/>
          <w:sz w:val="24"/>
          <w:szCs w:val="24"/>
          <w:lang w:val="en-GB"/>
        </w:rPr>
        <w:footnoteReference w:id="69"/>
      </w:r>
      <w:r>
        <w:rPr>
          <w:noProof/>
        </w:rPr>
        <w:t>.</w:t>
      </w:r>
      <w:r>
        <w:rPr>
          <w:rFonts w:ascii="Times New Roman" w:hAnsi="Times New Roman"/>
          <w:noProof/>
          <w:sz w:val="24"/>
          <w:szCs w:val="24"/>
        </w:rPr>
        <w:t xml:space="preserve"> Az EU–Japán Ipari Együttműködési Központ, amelyet az Európai Bizottság és a japán Gazdasági Minisztérium szponzorál, </w:t>
      </w:r>
      <w:r>
        <w:rPr>
          <w:rFonts w:ascii="Times New Roman" w:hAnsi="Times New Roman"/>
          <w:b/>
          <w:bCs/>
          <w:noProof/>
          <w:sz w:val="24"/>
          <w:szCs w:val="24"/>
        </w:rPr>
        <w:t>GPM információs szolgálatot (EPA Helpdesk)</w:t>
      </w:r>
      <w:r>
        <w:rPr>
          <w:rFonts w:ascii="Times New Roman" w:hAnsi="Times New Roman"/>
          <w:noProof/>
          <w:sz w:val="24"/>
          <w:szCs w:val="24"/>
        </w:rPr>
        <w:t xml:space="preserve"> indított, </w:t>
      </w:r>
      <w:r>
        <w:rPr>
          <w:rFonts w:ascii="Times New Roman" w:hAnsi="Times New Roman"/>
          <w:b/>
          <w:bCs/>
          <w:noProof/>
          <w:sz w:val="24"/>
          <w:szCs w:val="24"/>
        </w:rPr>
        <w:t>hogy segítse és útmutatással lássa el az uniós kkv-ket</w:t>
      </w:r>
      <w:r>
        <w:rPr>
          <w:rFonts w:ascii="Times New Roman" w:hAnsi="Times New Roman"/>
          <w:noProof/>
          <w:sz w:val="24"/>
          <w:szCs w:val="24"/>
        </w:rPr>
        <w:t xml:space="preserve"> az információk felkutatásában. A központ azon kívül, hogy webináriumokat tartott, adatlapot és útmutatót tett közzé a közbeszerzésről</w:t>
      </w:r>
      <w:r>
        <w:rPr>
          <w:rStyle w:val="FootnoteReference"/>
          <w:noProof/>
          <w:lang w:val="en-GB"/>
        </w:rPr>
        <w:footnoteReference w:id="70"/>
      </w:r>
      <w:r>
        <w:rPr>
          <w:rFonts w:ascii="Times New Roman" w:hAnsi="Times New Roman"/>
          <w:noProof/>
          <w:sz w:val="24"/>
          <w:szCs w:val="24"/>
        </w:rPr>
        <w:t>. Az Európai Bizottság továbbá iránymutatást nyújtott az uniós ajánlatkérő szervek számára a harmadik országokból érkezett ajánlatok kezeléséről</w:t>
      </w:r>
      <w:r>
        <w:rPr>
          <w:rStyle w:val="FootnoteReference"/>
          <w:rFonts w:ascii="Times New Roman" w:hAnsi="Times New Roman" w:cs="Times New Roman"/>
          <w:noProof/>
          <w:sz w:val="24"/>
          <w:szCs w:val="24"/>
          <w:lang w:val="en-GB"/>
        </w:rPr>
        <w:footnoteReference w:id="71"/>
      </w:r>
      <w:r>
        <w:rPr>
          <w:rFonts w:ascii="Times New Roman" w:hAnsi="Times New Roman"/>
          <w:noProof/>
          <w:sz w:val="24"/>
          <w:szCs w:val="24"/>
        </w:rPr>
        <w:t>, amelyben hangsúlyozza az EU által a különböző kereskedelmi megállapodásokban vállalt kötelezettségek tiszteletben tartását.</w:t>
      </w:r>
    </w:p>
    <w:p>
      <w:pPr>
        <w:autoSpaceDE w:val="0"/>
        <w:autoSpaceDN w:val="0"/>
        <w:adjustRightInd w:val="0"/>
        <w:spacing w:afterLines="100" w:after="240"/>
        <w:rPr>
          <w:rFonts w:ascii="Times New Roman" w:hAnsi="Times New Roman" w:cs="Times New Roman"/>
          <w:noProof/>
          <w:sz w:val="24"/>
          <w:szCs w:val="24"/>
        </w:rPr>
      </w:pPr>
      <w:r>
        <w:rPr>
          <w:rFonts w:ascii="Times New Roman" w:hAnsi="Times New Roman"/>
          <w:b/>
          <w:noProof/>
          <w:sz w:val="24"/>
          <w:szCs w:val="24"/>
        </w:rPr>
        <w:t>Az uniós kereskedelmi tárgyalások közbeszerzéssel kapcsolatos tájékoztatása érdekében</w:t>
      </w:r>
      <w:r>
        <w:rPr>
          <w:rFonts w:ascii="Times New Roman" w:hAnsi="Times New Roman"/>
          <w:noProof/>
          <w:sz w:val="24"/>
          <w:szCs w:val="24"/>
        </w:rPr>
        <w:t xml:space="preserve"> az Európai Bizottság bemutatta új, </w:t>
      </w:r>
      <w:r>
        <w:rPr>
          <w:rFonts w:ascii="Times New Roman" w:hAnsi="Times New Roman"/>
          <w:b/>
          <w:i/>
          <w:noProof/>
          <w:sz w:val="24"/>
          <w:szCs w:val="24"/>
        </w:rPr>
        <w:t>„Nemzetközi Közbeszerzési Kezdeményezés”</w:t>
      </w:r>
      <w:r>
        <w:rPr>
          <w:rFonts w:ascii="Times New Roman" w:hAnsi="Times New Roman"/>
          <w:noProof/>
          <w:sz w:val="24"/>
          <w:szCs w:val="24"/>
        </w:rPr>
        <w:t xml:space="preserve"> adatbázisát, amely a világ első átfogó, részletes közbeszerzési adatokat és nemzetközi közbeszerzési akadályokat tartalmazó adatbázisa. Az adatbázis a maga nemében a legteljesebb adatbázis, közel 40 millió közbeszerzési szerződéssel kapcsolatos információt tartalmaz. Jelenleg az adatbázis csak egy preferenciális kereskedelmi partnerre, Kanadára terjed ki</w:t>
      </w:r>
      <w:r>
        <w:rPr>
          <w:rStyle w:val="FootnoteReference"/>
          <w:rFonts w:ascii="Times New Roman" w:hAnsi="Times New Roman" w:cs="Times New Roman"/>
          <w:noProof/>
          <w:sz w:val="24"/>
          <w:szCs w:val="24"/>
          <w:lang w:val="en-GB"/>
        </w:rPr>
        <w:footnoteReference w:id="72"/>
      </w:r>
      <w:r>
        <w:rPr>
          <w:noProof/>
        </w:rPr>
        <w:t>.</w:t>
      </w:r>
    </w:p>
    <w:p>
      <w:pPr>
        <w:keepNext/>
        <w:pBdr>
          <w:top w:val="single" w:sz="4" w:space="0" w:color="auto"/>
          <w:left w:val="single" w:sz="4" w:space="4" w:color="auto"/>
          <w:bottom w:val="single" w:sz="4" w:space="1" w:color="auto"/>
          <w:right w:val="single" w:sz="4" w:space="4" w:color="auto"/>
        </w:pBdr>
        <w:spacing w:after="120" w:line="240" w:lineRule="auto"/>
        <w:rPr>
          <w:rFonts w:ascii="Times New Roman" w:hAnsi="Times New Roman" w:cs="Times New Roman"/>
          <w:b/>
          <w:noProof/>
          <w:sz w:val="24"/>
          <w:szCs w:val="24"/>
        </w:rPr>
      </w:pPr>
      <w:r>
        <w:rPr>
          <w:rFonts w:ascii="Times New Roman" w:hAnsi="Times New Roman"/>
          <w:b/>
          <w:noProof/>
          <w:sz w:val="24"/>
          <w:szCs w:val="24"/>
        </w:rPr>
        <w:t>Dél-európai innovatív megoldások Peruban</w:t>
      </w:r>
    </w:p>
    <w:p>
      <w:pPr>
        <w:keepNext/>
        <w:pBdr>
          <w:top w:val="single" w:sz="4" w:space="0" w:color="auto"/>
          <w:left w:val="single" w:sz="4" w:space="4" w:color="auto"/>
          <w:bottom w:val="single" w:sz="4" w:space="1" w:color="auto"/>
          <w:right w:val="single" w:sz="4" w:space="4" w:color="auto"/>
        </w:pBdr>
        <w:spacing w:after="120" w:line="240" w:lineRule="auto"/>
        <w:rPr>
          <w:rFonts w:ascii="Times New Roman" w:hAnsi="Times New Roman" w:cs="Times New Roman"/>
          <w:noProof/>
          <w:sz w:val="24"/>
          <w:szCs w:val="24"/>
        </w:rPr>
      </w:pPr>
      <w:r>
        <w:rPr>
          <w:rFonts w:ascii="Times New Roman" w:hAnsi="Times New Roman"/>
          <w:noProof/>
          <w:sz w:val="24"/>
          <w:szCs w:val="24"/>
        </w:rPr>
        <w:t>A BERD/„One bridge-One Solution” építőipari berendezéseket gyártó portugál vállalkozás 125 moduláris hidat épít Peruban, és segíti az országban a közutaknak és az infrastruktúrának az El Niño Costero természeti katasztrófa utáni újjáépítését. A BERD a perui Közlekedési és Hírközlési Minisztérium által közzétett 15 millió EUR összegű pályázat elnyerésével vált képessé erre.</w:t>
      </w:r>
    </w:p>
    <w:p>
      <w:pPr>
        <w:keepNext/>
        <w:pBdr>
          <w:top w:val="single" w:sz="4" w:space="0" w:color="auto"/>
          <w:left w:val="single" w:sz="4" w:space="4" w:color="auto"/>
          <w:bottom w:val="single" w:sz="4" w:space="1" w:color="auto"/>
          <w:right w:val="single" w:sz="4" w:space="4" w:color="auto"/>
        </w:pBdr>
        <w:spacing w:after="120" w:line="240" w:lineRule="auto"/>
        <w:rPr>
          <w:rFonts w:ascii="Times New Roman" w:hAnsi="Times New Roman" w:cs="Times New Roman"/>
          <w:noProof/>
          <w:sz w:val="24"/>
          <w:szCs w:val="24"/>
        </w:rPr>
      </w:pPr>
      <w:r>
        <w:rPr>
          <w:rFonts w:ascii="Times New Roman" w:hAnsi="Times New Roman"/>
          <w:noProof/>
          <w:sz w:val="24"/>
          <w:szCs w:val="24"/>
        </w:rPr>
        <w:t>Az Enel olasz társaság a Green Power Peru leányvállalatán keresztül 10 erőművet (víz-, szél- és naperőmű) működtet és 2019-ben 37 fenntarthatósági projektet hajtott végre, amelyeknek 8 000 perui kedvezményezettje volt. Az Enel Peru szerződéseket nyert el Peruban a két legnagyobb megújulóenergia-projektre, a Rubi naperőműre és a Wayra I szélerőműre.</w:t>
      </w:r>
    </w:p>
    <w:p>
      <w:pPr>
        <w:keepNext/>
        <w:pBdr>
          <w:top w:val="single" w:sz="4" w:space="0" w:color="auto"/>
          <w:left w:val="single" w:sz="4" w:space="4" w:color="auto"/>
          <w:bottom w:val="single" w:sz="4" w:space="1" w:color="auto"/>
          <w:right w:val="single" w:sz="4" w:space="4" w:color="auto"/>
        </w:pBdr>
        <w:spacing w:after="120" w:line="240" w:lineRule="auto"/>
        <w:rPr>
          <w:rFonts w:ascii="Times New Roman" w:hAnsi="Times New Roman" w:cs="Times New Roman"/>
          <w:noProof/>
          <w:sz w:val="24"/>
          <w:szCs w:val="24"/>
        </w:rPr>
      </w:pPr>
      <w:r>
        <w:rPr>
          <w:rFonts w:ascii="Times New Roman" w:hAnsi="Times New Roman"/>
          <w:noProof/>
          <w:sz w:val="24"/>
          <w:szCs w:val="24"/>
        </w:rPr>
        <w:t>A 2013 óta hatályos EU–Peru kereskedelmi megállapodás mindkét vállalat számára előnyös. A megállapodás stabilabb és átláthatóbb jogi keretrendszert teremtett a közbeszerzések és a befektetések számára, továbbá biztosítja, hogy az uniós beszállítókkal és termékeikkel szemben a helyi ajánlattevőkhöz képest nem alkalmaznak megkülönböztetést. A megállapodás továbbá előmozdítja a fenntartható energiapolitikákra irányuló kereskedelmi rendszereket.</w:t>
      </w:r>
    </w:p>
    <w:p>
      <w:pPr>
        <w:spacing w:after="160" w:line="259" w:lineRule="auto"/>
        <w:contextualSpacing/>
        <w:rPr>
          <w:rFonts w:ascii="Times New Roman" w:hAnsi="Times New Roman" w:cs="Times New Roman"/>
          <w:b/>
          <w:noProof/>
          <w:sz w:val="24"/>
          <w:szCs w:val="24"/>
        </w:rPr>
      </w:pPr>
    </w:p>
    <w:p>
      <w:pPr>
        <w:pStyle w:val="Heading2"/>
        <w:rPr>
          <w:noProof/>
        </w:rPr>
      </w:pPr>
      <w:bookmarkStart w:id="27" w:name="_Toc55303839"/>
      <w:r>
        <w:rPr>
          <w:noProof/>
        </w:rPr>
        <w:t>6.3. Szellemitulajdon-jogok</w:t>
      </w:r>
      <w:r>
        <w:rPr>
          <w:rStyle w:val="FootnoteReference"/>
          <w:rFonts w:cs="Times New Roman"/>
          <w:noProof/>
          <w:szCs w:val="24"/>
          <w:lang w:val="en-GB"/>
        </w:rPr>
        <w:footnoteReference w:id="73"/>
      </w:r>
      <w:bookmarkEnd w:id="27"/>
    </w:p>
    <w:p>
      <w:pPr>
        <w:pStyle w:val="Default"/>
        <w:rPr>
          <w:b/>
          <w:i/>
          <w:noProof/>
        </w:rPr>
      </w:pPr>
    </w:p>
    <w:p>
      <w:pPr>
        <w:autoSpaceDE w:val="0"/>
        <w:autoSpaceDN w:val="0"/>
        <w:adjustRightInd w:val="0"/>
        <w:spacing w:afterLines="100" w:after="240"/>
        <w:rPr>
          <w:rFonts w:ascii="Times New Roman" w:hAnsi="Times New Roman" w:cs="Times New Roman"/>
          <w:noProof/>
          <w:sz w:val="24"/>
          <w:szCs w:val="24"/>
        </w:rPr>
      </w:pPr>
      <w:r>
        <w:rPr>
          <w:rFonts w:ascii="Times New Roman" w:hAnsi="Times New Roman"/>
          <w:noProof/>
          <w:sz w:val="24"/>
          <w:szCs w:val="24"/>
        </w:rPr>
        <w:t xml:space="preserve">Az EU által exportált </w:t>
      </w:r>
      <w:r>
        <w:rPr>
          <w:rFonts w:ascii="Times New Roman" w:hAnsi="Times New Roman"/>
          <w:b/>
          <w:bCs/>
          <w:noProof/>
          <w:sz w:val="24"/>
          <w:szCs w:val="24"/>
        </w:rPr>
        <w:t>összes áru és szolgáltatás 93 %-a tartozik legalább egy szellemitulajdon-jog hatálya alá</w:t>
      </w:r>
      <w:r>
        <w:rPr>
          <w:rStyle w:val="FootnoteReference"/>
          <w:rFonts w:ascii="Times New Roman" w:hAnsi="Times New Roman" w:cs="Times New Roman"/>
          <w:noProof/>
          <w:sz w:val="24"/>
          <w:szCs w:val="24"/>
          <w:lang w:val="en-GB"/>
        </w:rPr>
        <w:footnoteReference w:id="74"/>
      </w:r>
      <w:r>
        <w:rPr>
          <w:rFonts w:ascii="Times New Roman" w:hAnsi="Times New Roman"/>
          <w:noProof/>
          <w:sz w:val="24"/>
          <w:szCs w:val="24"/>
        </w:rPr>
        <w:t>. Az Európai Szabadalmi Hivatal és az Európai Unió Szellemi Tulajdoni Hivatala által 2019 szeptemberében közzétett tanulmány</w:t>
      </w:r>
      <w:r>
        <w:rPr>
          <w:rStyle w:val="FootnoteReference"/>
          <w:noProof/>
          <w:sz w:val="24"/>
          <w:szCs w:val="24"/>
          <w:lang w:val="en-GB"/>
        </w:rPr>
        <w:footnoteReference w:id="75"/>
      </w:r>
      <w:r>
        <w:rPr>
          <w:rFonts w:ascii="Times New Roman" w:hAnsi="Times New Roman"/>
          <w:noProof/>
          <w:sz w:val="24"/>
          <w:szCs w:val="24"/>
        </w:rPr>
        <w:t xml:space="preserve"> azt a következtetést vonta le, hogy 2016-ban az áruk és szolgáltatások ágazatában a fokozott szellemitulajdonjog-igényű iparágak az uniós behozatal 86 %-át, az uniós kivitelnek pedig 93 %-át adták</w:t>
      </w:r>
      <w:r>
        <w:rPr>
          <w:rStyle w:val="FootnoteReference"/>
          <w:noProof/>
          <w:sz w:val="24"/>
          <w:szCs w:val="24"/>
          <w:lang w:val="en-GB"/>
        </w:rPr>
        <w:footnoteReference w:id="76"/>
      </w:r>
      <w:r>
        <w:rPr>
          <w:noProof/>
          <w:sz w:val="24"/>
          <w:szCs w:val="24"/>
        </w:rPr>
        <w:t>.</w:t>
      </w:r>
    </w:p>
    <w:p>
      <w:pPr>
        <w:pStyle w:val="Default"/>
        <w:rPr>
          <w:b/>
          <w:i/>
          <w:noProof/>
        </w:rPr>
      </w:pPr>
      <w:r>
        <w:rPr>
          <w:b/>
          <w:i/>
          <w:noProof/>
        </w:rPr>
        <w:t>Szellemitulajdon-jog az uniós kereskedelmi megállapodásokban</w:t>
      </w:r>
    </w:p>
    <w:p>
      <w:pPr>
        <w:pStyle w:val="Default"/>
        <w:jc w:val="both"/>
        <w:rPr>
          <w:b/>
          <w:noProof/>
          <w:color w:val="auto"/>
        </w:rPr>
      </w:pPr>
    </w:p>
    <w:p>
      <w:pPr>
        <w:autoSpaceDE w:val="0"/>
        <w:autoSpaceDN w:val="0"/>
        <w:adjustRightInd w:val="0"/>
        <w:spacing w:afterLines="100" w:after="240"/>
        <w:rPr>
          <w:rFonts w:ascii="Times New Roman" w:hAnsi="Times New Roman" w:cs="Times New Roman"/>
          <w:noProof/>
          <w:sz w:val="24"/>
          <w:szCs w:val="24"/>
        </w:rPr>
      </w:pPr>
      <w:r>
        <w:rPr>
          <w:rFonts w:ascii="Times New Roman" w:hAnsi="Times New Roman"/>
          <w:noProof/>
          <w:sz w:val="24"/>
          <w:szCs w:val="24"/>
        </w:rPr>
        <w:t>Az uniós kereskedelmi megállapodások célja annak biztosítása, hogy az uniós jogosultak szellemitulajdon-jogai hatékony oltalomban részesüljenek a kereskedelmi partnerországokban és a jogosultak érvényesíteni tudják jogaikat. A megállapodások vámlebontás helyett a feleket a szellemitulajdon-jogokról szóló fejezetben megállapított szabályok és elvek betartására kötelezik. Ezek szerzői jogokra, védjegyekre, formatervezési mintákra, szabadalmakra, növényfajtákra, fel nem fedett információkra (üzleti titkokra), polgári jogi jogérvényesítésre és határokon történő jogérvényesítésre stb. vonatkoznak. A kereskedelmi megállapodásokban foglalt, szellemitulajdon-jogra vonatkozó rendelkezések rendszerint a vonatkozó nemzetközi szerződések és egyezmények, mint például a szellemi tulajdonjogok kereskedelmi vonatkozásairól szóló WTO-megállapodás (TRIPS) és a Szellemi Tulajdon Világszervezet (WIPO) létesítéséről szóló egyezmény betartására kötelezik a feleket, vagy túlmutatnak ezeken a szabályozási elemeken.</w:t>
      </w:r>
    </w:p>
    <w:p>
      <w:pPr>
        <w:autoSpaceDE w:val="0"/>
        <w:autoSpaceDN w:val="0"/>
        <w:adjustRightInd w:val="0"/>
        <w:spacing w:afterLines="100" w:after="240"/>
        <w:rPr>
          <w:rFonts w:ascii="Times New Roman" w:hAnsi="Times New Roman" w:cs="Times New Roman"/>
          <w:i/>
          <w:noProof/>
          <w:sz w:val="24"/>
          <w:szCs w:val="24"/>
        </w:rPr>
      </w:pPr>
      <w:r>
        <w:rPr>
          <w:rFonts w:ascii="Times New Roman" w:hAnsi="Times New Roman"/>
          <w:b/>
          <w:i/>
          <w:noProof/>
          <w:sz w:val="24"/>
          <w:szCs w:val="24"/>
        </w:rPr>
        <w:t>Az uniós kereskedelmi megállapodásokban foglalt, szellemitulajdon-joggal kapcsolatos kötelezettségek végrehajtása</w:t>
      </w:r>
    </w:p>
    <w:p>
      <w:pPr>
        <w:autoSpaceDE w:val="0"/>
        <w:autoSpaceDN w:val="0"/>
        <w:adjustRightInd w:val="0"/>
        <w:spacing w:afterLines="100" w:after="240"/>
        <w:rPr>
          <w:rFonts w:ascii="Times New Roman" w:hAnsi="Times New Roman" w:cs="Times New Roman"/>
          <w:noProof/>
          <w:sz w:val="24"/>
          <w:szCs w:val="24"/>
        </w:rPr>
      </w:pPr>
      <w:r>
        <w:rPr>
          <w:rFonts w:ascii="Times New Roman" w:hAnsi="Times New Roman"/>
          <w:noProof/>
          <w:sz w:val="24"/>
          <w:szCs w:val="24"/>
        </w:rPr>
        <w:t xml:space="preserve">Annak értékelése céljából, hogy az uniós kereskedelmi megállapodások milyen eredményesen biztosítják a szellemitulajdon-jogok oltalmát, az Európai Bizottság </w:t>
      </w:r>
      <w:r>
        <w:rPr>
          <w:rFonts w:ascii="Times New Roman" w:hAnsi="Times New Roman"/>
          <w:b/>
          <w:noProof/>
          <w:sz w:val="24"/>
          <w:szCs w:val="24"/>
        </w:rPr>
        <w:t>figyelemmel kíséri kereskedelmi partnereinek</w:t>
      </w:r>
      <w:r>
        <w:rPr>
          <w:rFonts w:ascii="Times New Roman" w:hAnsi="Times New Roman"/>
          <w:noProof/>
          <w:sz w:val="24"/>
          <w:szCs w:val="24"/>
        </w:rPr>
        <w:t xml:space="preserve"> az e területen alkalmazott </w:t>
      </w:r>
      <w:r>
        <w:rPr>
          <w:rFonts w:ascii="Times New Roman" w:hAnsi="Times New Roman"/>
          <w:b/>
          <w:noProof/>
          <w:sz w:val="24"/>
          <w:szCs w:val="24"/>
        </w:rPr>
        <w:t>jogszabályait</w:t>
      </w:r>
      <w:r>
        <w:rPr>
          <w:rFonts w:ascii="Times New Roman" w:hAnsi="Times New Roman"/>
          <w:noProof/>
          <w:sz w:val="24"/>
          <w:szCs w:val="24"/>
        </w:rPr>
        <w:t>, különös figyelmet fordítva a tényleges érvényesítésre. Rendszeresen kapcsolatba lép az uniós és külföldi vállalkozói szövetségekkel, ellenőrzi a panaszokat, és amennyiben jogosnak ítéli azokat, felveti azokat kereskedelmi partnereivel az illetékes intézményi szerveknél, mint amilyen például az uniós kereskedelmi megállapodások értelmében létrehozott Szellemitulajdon-jogi Albizottság vagy szellemitulajdon-jogi párbeszédek.</w:t>
      </w:r>
    </w:p>
    <w:p>
      <w:pPr>
        <w:keepNext/>
        <w:pBdr>
          <w:top w:val="single" w:sz="4" w:space="0" w:color="auto"/>
          <w:left w:val="single" w:sz="4" w:space="0" w:color="auto"/>
          <w:bottom w:val="single" w:sz="4" w:space="1" w:color="auto"/>
          <w:right w:val="single" w:sz="4" w:space="4" w:color="auto"/>
        </w:pBdr>
        <w:spacing w:after="120" w:line="240" w:lineRule="auto"/>
        <w:rPr>
          <w:rFonts w:ascii="Times New Roman" w:hAnsi="Times New Roman" w:cs="Times New Roman"/>
          <w:noProof/>
          <w:sz w:val="24"/>
          <w:szCs w:val="24"/>
        </w:rPr>
      </w:pPr>
      <w:r>
        <w:rPr>
          <w:rFonts w:ascii="Times New Roman" w:hAnsi="Times New Roman"/>
          <w:b/>
          <w:noProof/>
          <w:sz w:val="24"/>
          <w:szCs w:val="24"/>
        </w:rPr>
        <w:t>Példák az Európai Bizottság által 2019-ben felvetett problémákra</w:t>
      </w:r>
      <w:r>
        <w:rPr>
          <w:rFonts w:ascii="Times New Roman" w:hAnsi="Times New Roman"/>
          <w:noProof/>
          <w:sz w:val="24"/>
          <w:szCs w:val="24"/>
        </w:rPr>
        <w:t xml:space="preserve">: </w:t>
      </w:r>
    </w:p>
    <w:p>
      <w:pPr>
        <w:keepNext/>
        <w:pBdr>
          <w:top w:val="single" w:sz="4" w:space="0" w:color="auto"/>
          <w:left w:val="single" w:sz="4" w:space="0" w:color="auto"/>
          <w:bottom w:val="single" w:sz="4" w:space="1" w:color="auto"/>
          <w:right w:val="single" w:sz="4" w:space="4" w:color="auto"/>
        </w:pBdr>
        <w:spacing w:after="120" w:line="240" w:lineRule="auto"/>
        <w:rPr>
          <w:rFonts w:ascii="Times New Roman" w:hAnsi="Times New Roman" w:cs="Times New Roman"/>
          <w:noProof/>
          <w:sz w:val="24"/>
          <w:szCs w:val="24"/>
        </w:rPr>
      </w:pPr>
      <w:r>
        <w:rPr>
          <w:rFonts w:ascii="Times New Roman" w:hAnsi="Times New Roman"/>
          <w:noProof/>
          <w:sz w:val="24"/>
          <w:szCs w:val="24"/>
        </w:rPr>
        <w:t xml:space="preserve">– </w:t>
      </w:r>
      <w:r>
        <w:rPr>
          <w:rFonts w:ascii="Times New Roman" w:hAnsi="Times New Roman"/>
          <w:b/>
          <w:noProof/>
          <w:sz w:val="24"/>
          <w:szCs w:val="24"/>
        </w:rPr>
        <w:t>EU–Dél-Korea szabadkereskedelmi megállapodás</w:t>
      </w:r>
      <w:r>
        <w:rPr>
          <w:rFonts w:ascii="Times New Roman" w:hAnsi="Times New Roman"/>
          <w:noProof/>
          <w:sz w:val="24"/>
          <w:szCs w:val="24"/>
        </w:rPr>
        <w:t>: az EU aggályainak adott hangot az előadóművészek és hangfelvétel-készítők zenéjük nyilvános előadásáért járó díjazásának hiánya miatt.</w:t>
      </w:r>
    </w:p>
    <w:p>
      <w:pPr>
        <w:keepNext/>
        <w:pBdr>
          <w:top w:val="single" w:sz="4" w:space="0" w:color="auto"/>
          <w:left w:val="single" w:sz="4" w:space="0" w:color="auto"/>
          <w:bottom w:val="single" w:sz="4" w:space="1" w:color="auto"/>
          <w:right w:val="single" w:sz="4" w:space="4" w:color="auto"/>
        </w:pBdr>
        <w:spacing w:after="120" w:line="240" w:lineRule="auto"/>
        <w:rPr>
          <w:rFonts w:ascii="Times New Roman" w:hAnsi="Times New Roman" w:cs="Times New Roman"/>
          <w:noProof/>
          <w:sz w:val="24"/>
          <w:szCs w:val="24"/>
        </w:rPr>
      </w:pPr>
      <w:r>
        <w:rPr>
          <w:rFonts w:ascii="Times New Roman" w:hAnsi="Times New Roman"/>
          <w:noProof/>
          <w:sz w:val="24"/>
          <w:szCs w:val="24"/>
        </w:rPr>
        <w:t xml:space="preserve">– </w:t>
      </w:r>
      <w:r>
        <w:rPr>
          <w:rFonts w:ascii="Times New Roman" w:hAnsi="Times New Roman"/>
          <w:b/>
          <w:noProof/>
          <w:sz w:val="24"/>
          <w:szCs w:val="24"/>
        </w:rPr>
        <w:t>az EU társulási megállapodása Kolumbiával, Peruval és Ecuadorral</w:t>
      </w:r>
      <w:r>
        <w:rPr>
          <w:rFonts w:ascii="Times New Roman" w:hAnsi="Times New Roman"/>
          <w:noProof/>
          <w:sz w:val="24"/>
          <w:szCs w:val="24"/>
        </w:rPr>
        <w:t>: az EU aggályainak adott hangot Ecuador szabadalmaztatott termékek gyártására vonatkozó lokalizációs követelményeivel kapcsolatban. Az EU kérésére Ecuador visszavonta a követelményeket.</w:t>
      </w:r>
    </w:p>
    <w:p>
      <w:pPr>
        <w:keepNext/>
        <w:pBdr>
          <w:top w:val="single" w:sz="4" w:space="0" w:color="auto"/>
          <w:left w:val="single" w:sz="4" w:space="0" w:color="auto"/>
          <w:bottom w:val="single" w:sz="4" w:space="1" w:color="auto"/>
          <w:right w:val="single" w:sz="4" w:space="4" w:color="auto"/>
        </w:pBdr>
        <w:spacing w:after="120" w:line="240" w:lineRule="auto"/>
        <w:rPr>
          <w:rFonts w:ascii="Times New Roman" w:hAnsi="Times New Roman" w:cs="Times New Roman"/>
          <w:noProof/>
          <w:sz w:val="24"/>
          <w:szCs w:val="24"/>
        </w:rPr>
      </w:pPr>
      <w:r>
        <w:rPr>
          <w:rFonts w:ascii="Times New Roman" w:hAnsi="Times New Roman"/>
          <w:noProof/>
          <w:sz w:val="24"/>
          <w:szCs w:val="24"/>
        </w:rPr>
        <w:t xml:space="preserve">– </w:t>
      </w:r>
      <w:r>
        <w:rPr>
          <w:rFonts w:ascii="Times New Roman" w:hAnsi="Times New Roman"/>
          <w:b/>
          <w:noProof/>
          <w:sz w:val="24"/>
          <w:szCs w:val="24"/>
        </w:rPr>
        <w:t>EU–Ukrajna szabadkereskedelmi térség</w:t>
      </w:r>
      <w:r>
        <w:rPr>
          <w:rFonts w:ascii="Times New Roman" w:hAnsi="Times New Roman"/>
          <w:noProof/>
          <w:sz w:val="24"/>
          <w:szCs w:val="24"/>
        </w:rPr>
        <w:t>: az EU aggályainak adott hangot számos olyan (végső soron elvetett) törvénytervezet kapcsán, amelyek korlátozott szabadalmaztathatóságról rendelkeztek volna és bizonyos anyagoknak és gyógyszerek új felhasználásának az oltalmát megtagadták volna.</w:t>
      </w:r>
    </w:p>
    <w:p>
      <w:pPr>
        <w:jc w:val="left"/>
        <w:rPr>
          <w:rFonts w:ascii="Times New Roman" w:hAnsi="Times New Roman" w:cs="Times New Roman"/>
          <w:noProof/>
          <w:sz w:val="24"/>
          <w:szCs w:val="24"/>
        </w:rPr>
      </w:pPr>
    </w:p>
    <w:p>
      <w:pPr>
        <w:pStyle w:val="Heading1"/>
        <w:rPr>
          <w:noProof/>
        </w:rPr>
      </w:pPr>
      <w:bookmarkStart w:id="28" w:name="_Toc55303840"/>
      <w:r>
        <w:rPr>
          <w:noProof/>
        </w:rPr>
        <w:t>7. KIS- ÉS KÖZÉPVÁLLALKOZÁSOK</w:t>
      </w:r>
      <w:bookmarkEnd w:id="28"/>
    </w:p>
    <w:p>
      <w:pPr>
        <w:spacing w:after="0"/>
        <w:rPr>
          <w:noProof/>
        </w:rPr>
      </w:pPr>
    </w:p>
    <w:p>
      <w:pPr>
        <w:spacing w:after="160" w:line="256" w:lineRule="auto"/>
        <w:rPr>
          <w:rFonts w:ascii="Times New Roman" w:hAnsi="Times New Roman" w:cs="Times New Roman"/>
          <w:noProof/>
          <w:sz w:val="24"/>
          <w:szCs w:val="24"/>
        </w:rPr>
      </w:pPr>
      <w:r>
        <w:rPr>
          <w:rFonts w:ascii="Times New Roman" w:hAnsi="Times New Roman"/>
          <w:noProof/>
          <w:sz w:val="24"/>
          <w:szCs w:val="24"/>
        </w:rPr>
        <w:t>A kis- és középvállalkozások (kkv-k)</w:t>
      </w:r>
      <w:r>
        <w:rPr>
          <w:rStyle w:val="FootnoteReference"/>
          <w:rFonts w:ascii="Times New Roman" w:hAnsi="Times New Roman" w:cs="Times New Roman"/>
          <w:noProof/>
          <w:sz w:val="24"/>
          <w:szCs w:val="24"/>
          <w:lang w:val="en-GB"/>
        </w:rPr>
        <w:footnoteReference w:id="77"/>
      </w:r>
      <w:r>
        <w:rPr>
          <w:rFonts w:ascii="Times New Roman" w:hAnsi="Times New Roman"/>
          <w:noProof/>
          <w:sz w:val="24"/>
          <w:szCs w:val="24"/>
        </w:rPr>
        <w:t xml:space="preserve"> </w:t>
      </w:r>
      <w:r>
        <w:rPr>
          <w:rFonts w:ascii="Times New Roman" w:hAnsi="Times New Roman"/>
          <w:b/>
          <w:noProof/>
          <w:sz w:val="24"/>
          <w:szCs w:val="24"/>
        </w:rPr>
        <w:t>az EU gazdaságának egyik pillérét</w:t>
      </w:r>
      <w:r>
        <w:rPr>
          <w:rFonts w:ascii="Times New Roman" w:hAnsi="Times New Roman"/>
          <w:noProof/>
          <w:sz w:val="24"/>
          <w:szCs w:val="24"/>
        </w:rPr>
        <w:t xml:space="preserve"> alkotják. A kkv-k az összes uniós vállalkozás 99 %-át és az exportáló uniós vállalkozások 87 %-át képviselik. Az exportáló kkv-k több mint 13 millió munkahelyet támogatnak az EU-ban, az áruk és a szolgáltatások hasonló </w:t>
      </w:r>
      <w:bookmarkStart w:id="29" w:name="_Ref34234462"/>
      <w:r>
        <w:rPr>
          <w:rFonts w:ascii="Times New Roman" w:hAnsi="Times New Roman"/>
          <w:noProof/>
          <w:sz w:val="24"/>
          <w:szCs w:val="24"/>
        </w:rPr>
        <w:t>mértékben járulnak ehhez hozzá.</w:t>
      </w:r>
    </w:p>
    <w:p>
      <w:pPr>
        <w:spacing w:after="160" w:line="256" w:lineRule="auto"/>
        <w:rPr>
          <w:rFonts w:ascii="Times New Roman" w:hAnsi="Times New Roman" w:cs="Times New Roman"/>
          <w:noProof/>
          <w:sz w:val="24"/>
          <w:szCs w:val="24"/>
        </w:rPr>
      </w:pPr>
      <w:r>
        <w:rPr>
          <w:rFonts w:ascii="Times New Roman" w:hAnsi="Times New Roman"/>
          <w:bCs/>
          <w:noProof/>
          <w:sz w:val="24"/>
          <w:szCs w:val="24"/>
        </w:rPr>
        <w:t xml:space="preserve">Az alábbi ábra az EU-27 áruexportőreit mutatja a vállalkozások mérete, száma és az export értéke szerint: </w:t>
      </w:r>
      <w:r>
        <w:rPr>
          <w:rFonts w:ascii="Times New Roman" w:hAnsi="Times New Roman"/>
          <w:noProof/>
          <w:sz w:val="24"/>
          <w:szCs w:val="24"/>
        </w:rPr>
        <w:t>2017-ben (a legfrissebb rendelkezésre álló adatok) több mint 700 000 EU-27 vállalkozás értékesített árukat az EU-n kívül, amelyek közül 615 000 kkv volt, és ezek az uniós exportból annak értéke szerint 28–30 %-ot képviseltek</w:t>
      </w:r>
      <w:r>
        <w:rPr>
          <w:rStyle w:val="FootnoteReference"/>
          <w:rFonts w:ascii="Times New Roman" w:hAnsi="Times New Roman" w:cs="Times New Roman"/>
          <w:noProof/>
          <w:sz w:val="24"/>
          <w:szCs w:val="24"/>
          <w:lang w:val="en-GB"/>
        </w:rPr>
        <w:footnoteReference w:id="78"/>
      </w:r>
      <w:r>
        <w:rPr>
          <w:rFonts w:ascii="Times New Roman" w:hAnsi="Times New Roman"/>
          <w:noProof/>
          <w:sz w:val="24"/>
          <w:szCs w:val="24"/>
        </w:rPr>
        <w:t>.</w:t>
      </w:r>
    </w:p>
    <w:bookmarkEnd w:id="29"/>
    <w:p>
      <w:pPr>
        <w:pageBreakBefore/>
        <w:spacing w:after="160" w:line="257" w:lineRule="auto"/>
        <w:rPr>
          <w:rFonts w:ascii="Times New Roman" w:hAnsi="Times New Roman" w:cs="Times New Roman"/>
          <w:b/>
          <w:bCs/>
          <w:noProof/>
          <w:sz w:val="24"/>
          <w:szCs w:val="24"/>
        </w:rPr>
      </w:pPr>
      <w:r>
        <w:rPr>
          <w:rFonts w:ascii="Times New Roman" w:hAnsi="Times New Roman"/>
          <w:b/>
          <w:bCs/>
          <w:noProof/>
          <w:sz w:val="24"/>
          <w:szCs w:val="24"/>
        </w:rPr>
        <w:t>15. ábra: Az EU-27 áruexportőrei méret, a cégek száma és az export értéke szerint, 2017</w:t>
      </w:r>
    </w:p>
    <w:p>
      <w:pPr>
        <w:rPr>
          <w:noProof/>
        </w:rPr>
      </w:pPr>
      <w:r>
        <w:rPr>
          <w:noProof/>
          <w:lang w:val="en-GB" w:eastAsia="en-GB"/>
        </w:rPr>
        <w:drawing>
          <wp:inline distT="0" distB="0" distL="0" distR="0">
            <wp:extent cx="5943600" cy="4172182"/>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3600" cy="4172182"/>
                    </a:xfrm>
                    <a:prstGeom prst="rect">
                      <a:avLst/>
                    </a:prstGeom>
                    <a:noFill/>
                    <a:ln>
                      <a:noFill/>
                    </a:ln>
                  </pic:spPr>
                </pic:pic>
              </a:graphicData>
            </a:graphic>
          </wp:inline>
        </w:drawing>
      </w:r>
    </w:p>
    <w:p>
      <w:pPr>
        <w:spacing w:after="160" w:line="256" w:lineRule="auto"/>
        <w:rPr>
          <w:noProof/>
        </w:rPr>
      </w:pPr>
      <w:r>
        <w:rPr>
          <w:i/>
          <w:iCs/>
          <w:noProof/>
          <w:sz w:val="20"/>
        </w:rPr>
        <w:t>Forrás: Bizottság/DG TRADE, a Vezető Közgazdász Egysége; a számítások az Eurostat TEC-adatbázisán alapulnak</w:t>
      </w:r>
    </w:p>
    <w:p>
      <w:pPr>
        <w:spacing w:after="160" w:line="256" w:lineRule="auto"/>
        <w:rPr>
          <w:rFonts w:ascii="Times New Roman" w:hAnsi="Times New Roman" w:cs="Times New Roman"/>
          <w:bCs/>
          <w:noProof/>
          <w:sz w:val="24"/>
          <w:szCs w:val="24"/>
        </w:rPr>
      </w:pPr>
    </w:p>
    <w:p>
      <w:pPr>
        <w:spacing w:after="160" w:line="256" w:lineRule="auto"/>
        <w:rPr>
          <w:rFonts w:ascii="Times New Roman" w:hAnsi="Times New Roman" w:cs="Times New Roman"/>
          <w:bCs/>
          <w:noProof/>
          <w:sz w:val="24"/>
          <w:szCs w:val="24"/>
        </w:rPr>
      </w:pPr>
      <w:r>
        <w:rPr>
          <w:rFonts w:ascii="Times New Roman" w:hAnsi="Times New Roman"/>
          <w:bCs/>
          <w:noProof/>
          <w:sz w:val="24"/>
          <w:szCs w:val="24"/>
        </w:rPr>
        <w:t>Mivel az uniós tagállamoknak csupán közel a fele szokott benyújtani adatokat a kivitel vállalatméret és kereskedelmi partner szerinti megoszlásáról, így a kkv-k kereskedelmi partnerekbe – ideértve a preferenciális kereskedelmi partnereket is – irányuló kiviteléről rendelkezésre álló információk hiányosak. Az Eurostat TEC-adatbázisa (vállalkozásjellemzők szerinti kereskedelem)</w:t>
      </w:r>
      <w:r>
        <w:rPr>
          <w:rFonts w:ascii="Times New Roman" w:hAnsi="Times New Roman"/>
          <w:noProof/>
          <w:sz w:val="24"/>
          <w:szCs w:val="24"/>
        </w:rPr>
        <w:t xml:space="preserve"> átfogóbb a STEC-adatbázisnál (vállalkozásjellemzők szerinti szolgáltatáskereskedelem) többek között azért, mert nem minden tagállam jelent be adatokat a STEC-keretrendszer keretében.</w:t>
      </w:r>
      <w:r>
        <w:rPr>
          <w:rFonts w:ascii="Times New Roman" w:hAnsi="Times New Roman"/>
          <w:bCs/>
          <w:noProof/>
          <w:sz w:val="24"/>
          <w:szCs w:val="24"/>
        </w:rPr>
        <w:t xml:space="preserve"> </w:t>
      </w:r>
      <w:r>
        <w:rPr>
          <w:rFonts w:ascii="Times New Roman" w:hAnsi="Times New Roman"/>
          <w:noProof/>
          <w:sz w:val="24"/>
          <w:szCs w:val="24"/>
        </w:rPr>
        <w:t xml:space="preserve">Az </w:t>
      </w:r>
      <w:r>
        <w:rPr>
          <w:rFonts w:ascii="Times New Roman" w:hAnsi="Times New Roman"/>
          <w:b/>
          <w:bCs/>
          <w:noProof/>
          <w:sz w:val="24"/>
          <w:szCs w:val="24"/>
        </w:rPr>
        <w:t>Eurostatnak a kkv-k szolgáltatáskereskedelemben való részvételére irányuló kísérleti projektjének</w:t>
      </w:r>
      <w:r>
        <w:rPr>
          <w:rFonts w:ascii="Times New Roman" w:hAnsi="Times New Roman"/>
          <w:noProof/>
          <w:sz w:val="24"/>
          <w:szCs w:val="24"/>
        </w:rPr>
        <w:t xml:space="preserve"> (STEC) célja az, hogy több információval szolgáljon a cégek jellemzőiről</w:t>
      </w:r>
      <w:r>
        <w:rPr>
          <w:rStyle w:val="FootnoteReference"/>
          <w:rFonts w:ascii="Times New Roman" w:hAnsi="Times New Roman" w:cs="Times New Roman"/>
          <w:noProof/>
          <w:sz w:val="24"/>
          <w:szCs w:val="24"/>
          <w:lang w:val="en-GB"/>
        </w:rPr>
        <w:footnoteReference w:id="79"/>
      </w:r>
      <w:r>
        <w:rPr>
          <w:rFonts w:ascii="Times New Roman" w:hAnsi="Times New Roman"/>
          <w:noProof/>
          <w:sz w:val="24"/>
          <w:szCs w:val="24"/>
        </w:rPr>
        <w:t>.</w:t>
      </w:r>
    </w:p>
    <w:p>
      <w:pPr>
        <w:spacing w:after="160" w:line="256" w:lineRule="auto"/>
        <w:rPr>
          <w:rFonts w:ascii="Times New Roman" w:hAnsi="Times New Roman" w:cs="Times New Roman"/>
          <w:noProof/>
          <w:sz w:val="24"/>
          <w:szCs w:val="24"/>
        </w:rPr>
      </w:pPr>
    </w:p>
    <w:p>
      <w:pPr>
        <w:spacing w:after="160" w:line="256" w:lineRule="auto"/>
        <w:rPr>
          <w:rFonts w:ascii="Times New Roman" w:hAnsi="Times New Roman" w:cs="Times New Roman"/>
          <w:noProof/>
          <w:sz w:val="24"/>
          <w:szCs w:val="24"/>
        </w:rPr>
      </w:pPr>
      <w:r>
        <w:rPr>
          <w:rFonts w:ascii="Times New Roman" w:hAnsi="Times New Roman"/>
          <w:noProof/>
          <w:sz w:val="24"/>
          <w:szCs w:val="24"/>
        </w:rPr>
        <w:t xml:space="preserve">A legújabb keletű empirikus bizonyítékok szerint azonban az EU-n kívülre </w:t>
      </w:r>
      <w:r>
        <w:rPr>
          <w:rFonts w:ascii="Times New Roman" w:hAnsi="Times New Roman"/>
          <w:b/>
          <w:bCs/>
          <w:noProof/>
          <w:sz w:val="24"/>
          <w:szCs w:val="24"/>
        </w:rPr>
        <w:t>exportáló uniós kkv-k száma</w:t>
      </w:r>
      <w:r>
        <w:rPr>
          <w:rFonts w:ascii="Times New Roman" w:hAnsi="Times New Roman"/>
          <w:noProof/>
          <w:sz w:val="24"/>
          <w:szCs w:val="24"/>
        </w:rPr>
        <w:t xml:space="preserve"> 2014 és 2017 között </w:t>
      </w:r>
      <w:r>
        <w:rPr>
          <w:rFonts w:ascii="Times New Roman" w:hAnsi="Times New Roman"/>
          <w:b/>
          <w:bCs/>
          <w:noProof/>
          <w:sz w:val="24"/>
          <w:szCs w:val="24"/>
        </w:rPr>
        <w:t>folyamatosan nőtt</w:t>
      </w:r>
      <w:r>
        <w:rPr>
          <w:rFonts w:ascii="Times New Roman" w:hAnsi="Times New Roman"/>
          <w:noProof/>
          <w:sz w:val="24"/>
          <w:szCs w:val="24"/>
        </w:rPr>
        <w:t>, azaz átlagosan 6 %-kal, míg az összes exportáló uniós cég száma 8 %-kal csökkent</w:t>
      </w:r>
      <w:r>
        <w:rPr>
          <w:rStyle w:val="FootnoteReference"/>
          <w:rFonts w:ascii="Times New Roman" w:hAnsi="Times New Roman" w:cs="Times New Roman"/>
          <w:noProof/>
          <w:sz w:val="24"/>
          <w:szCs w:val="24"/>
          <w:lang w:val="en-GB" w:eastAsia="fr-BE"/>
        </w:rPr>
        <w:footnoteReference w:id="80"/>
      </w:r>
      <w:r>
        <w:rPr>
          <w:rFonts w:ascii="Times New Roman" w:hAnsi="Times New Roman"/>
          <w:noProof/>
          <w:sz w:val="24"/>
          <w:szCs w:val="24"/>
        </w:rPr>
        <w:t>. Az exportáló kkv-k számára az uniós kereskedelmi megállapodások kulcsfontosságúak, mivel a kisebb vállalkozásokat aránytalanul sújtó kereskedelmi akadályok és nem hatékony megoldások felszámolásával megkönnyítik számukra, hogy üzleti tevékenységet folytassanak külföldön.</w:t>
      </w:r>
    </w:p>
    <w:p>
      <w:pPr>
        <w:rPr>
          <w:rFonts w:ascii="Times New Roman" w:hAnsi="Times New Roman" w:cs="Times New Roman"/>
          <w:b/>
          <w:noProof/>
          <w:sz w:val="24"/>
          <w:szCs w:val="24"/>
        </w:rPr>
      </w:pPr>
    </w:p>
    <w:p>
      <w:pPr>
        <w:rPr>
          <w:rFonts w:ascii="Times New Roman" w:hAnsi="Times New Roman" w:cs="Times New Roman"/>
          <w:b/>
          <w:noProof/>
          <w:sz w:val="24"/>
          <w:szCs w:val="24"/>
        </w:rPr>
      </w:pPr>
      <w:r>
        <w:rPr>
          <w:rFonts w:ascii="Times New Roman" w:hAnsi="Times New Roman"/>
          <w:b/>
          <w:noProof/>
          <w:sz w:val="24"/>
          <w:szCs w:val="24"/>
        </w:rPr>
        <w:t>A kereskedelmi megállapodások kkv-kkel összefüggő rendelkezéseinek végrehajtásában 2019-ben elért haladás</w:t>
      </w:r>
    </w:p>
    <w:p>
      <w:pPr>
        <w:keepNext/>
        <w:pBdr>
          <w:top w:val="single" w:sz="4" w:space="0" w:color="auto"/>
          <w:left w:val="single" w:sz="4" w:space="0" w:color="auto"/>
          <w:bottom w:val="single" w:sz="4" w:space="1" w:color="auto"/>
          <w:right w:val="single" w:sz="4" w:space="4" w:color="auto"/>
        </w:pBdr>
        <w:spacing w:after="120" w:line="240" w:lineRule="auto"/>
        <w:rPr>
          <w:rFonts w:ascii="Times New Roman" w:hAnsi="Times New Roman" w:cs="Times New Roman"/>
          <w:noProof/>
          <w:sz w:val="24"/>
          <w:szCs w:val="24"/>
        </w:rPr>
      </w:pPr>
      <w:r>
        <w:rPr>
          <w:rFonts w:ascii="Times New Roman" w:hAnsi="Times New Roman"/>
          <w:noProof/>
          <w:sz w:val="24"/>
          <w:szCs w:val="24"/>
        </w:rPr>
        <w:t xml:space="preserve">– </w:t>
      </w:r>
      <w:r>
        <w:rPr>
          <w:rFonts w:ascii="Times New Roman" w:hAnsi="Times New Roman"/>
          <w:b/>
          <w:noProof/>
          <w:sz w:val="24"/>
          <w:szCs w:val="24"/>
        </w:rPr>
        <w:t>Kanada és Japán</w:t>
      </w:r>
      <w:r>
        <w:rPr>
          <w:rFonts w:ascii="Times New Roman" w:hAnsi="Times New Roman"/>
          <w:noProof/>
          <w:sz w:val="24"/>
          <w:szCs w:val="24"/>
        </w:rPr>
        <w:t xml:space="preserve"> a kkv-knek szánt információkat tartalmazó </w:t>
      </w:r>
      <w:r>
        <w:rPr>
          <w:rFonts w:ascii="Times New Roman" w:hAnsi="Times New Roman"/>
          <w:b/>
          <w:noProof/>
          <w:sz w:val="24"/>
          <w:szCs w:val="24"/>
        </w:rPr>
        <w:t>különleges honlapokat hozott létre</w:t>
      </w:r>
      <w:r>
        <w:rPr>
          <w:rFonts w:ascii="Times New Roman" w:hAnsi="Times New Roman"/>
          <w:noProof/>
          <w:sz w:val="24"/>
          <w:szCs w:val="24"/>
        </w:rPr>
        <w:t xml:space="preserve"> a vonatkozó kereskedelmi megállapodások szerinti kötelezettségvállalásaikkal összhangban.</w:t>
      </w:r>
    </w:p>
    <w:p>
      <w:pPr>
        <w:keepNext/>
        <w:pBdr>
          <w:top w:val="single" w:sz="4" w:space="0" w:color="auto"/>
          <w:left w:val="single" w:sz="4" w:space="0" w:color="auto"/>
          <w:bottom w:val="single" w:sz="4" w:space="1" w:color="auto"/>
          <w:right w:val="single" w:sz="4" w:space="4" w:color="auto"/>
        </w:pBdr>
        <w:spacing w:after="120" w:line="240" w:lineRule="auto"/>
        <w:rPr>
          <w:rFonts w:ascii="Times New Roman" w:hAnsi="Times New Roman" w:cs="Times New Roman"/>
          <w:noProof/>
          <w:sz w:val="24"/>
          <w:szCs w:val="24"/>
        </w:rPr>
      </w:pPr>
      <w:r>
        <w:rPr>
          <w:rFonts w:ascii="Times New Roman" w:hAnsi="Times New Roman"/>
          <w:noProof/>
          <w:sz w:val="24"/>
          <w:szCs w:val="24"/>
        </w:rPr>
        <w:t xml:space="preserve">– Az Európai Bizottság </w:t>
      </w:r>
      <w:r>
        <w:rPr>
          <w:rFonts w:ascii="Times New Roman" w:hAnsi="Times New Roman"/>
          <w:b/>
          <w:noProof/>
          <w:sz w:val="24"/>
          <w:szCs w:val="24"/>
        </w:rPr>
        <w:t>Piacrajutási Adatbázisát</w:t>
      </w:r>
      <w:r>
        <w:rPr>
          <w:rFonts w:ascii="Times New Roman" w:hAnsi="Times New Roman"/>
          <w:noProof/>
          <w:sz w:val="24"/>
          <w:szCs w:val="24"/>
        </w:rPr>
        <w:t xml:space="preserve"> (MADB) </w:t>
      </w:r>
      <w:r>
        <w:rPr>
          <w:rFonts w:ascii="Times New Roman" w:hAnsi="Times New Roman"/>
          <w:b/>
          <w:noProof/>
          <w:sz w:val="24"/>
          <w:szCs w:val="24"/>
        </w:rPr>
        <w:t>kibővítették</w:t>
      </w:r>
      <w:r>
        <w:rPr>
          <w:rFonts w:ascii="Times New Roman" w:hAnsi="Times New Roman"/>
          <w:noProof/>
          <w:sz w:val="24"/>
          <w:szCs w:val="24"/>
        </w:rPr>
        <w:t xml:space="preserve"> a kkv-k számára fontos, az EU Kanadával és Japánnal kötött kereskedelmi megállapodásaira vonatkozó információkkal.</w:t>
      </w:r>
    </w:p>
    <w:p>
      <w:pPr>
        <w:keepNext/>
        <w:pBdr>
          <w:top w:val="single" w:sz="4" w:space="0" w:color="auto"/>
          <w:left w:val="single" w:sz="4" w:space="0" w:color="auto"/>
          <w:bottom w:val="single" w:sz="4" w:space="1" w:color="auto"/>
          <w:right w:val="single" w:sz="4" w:space="4" w:color="auto"/>
        </w:pBdr>
        <w:spacing w:after="120" w:line="240" w:lineRule="auto"/>
        <w:rPr>
          <w:rFonts w:ascii="Times New Roman" w:hAnsi="Times New Roman" w:cs="Times New Roman"/>
          <w:noProof/>
          <w:sz w:val="24"/>
          <w:szCs w:val="24"/>
        </w:rPr>
      </w:pPr>
      <w:r>
        <w:rPr>
          <w:rFonts w:ascii="Times New Roman" w:hAnsi="Times New Roman"/>
          <w:noProof/>
          <w:sz w:val="24"/>
          <w:szCs w:val="24"/>
        </w:rPr>
        <w:t xml:space="preserve">– Az </w:t>
      </w:r>
      <w:r>
        <w:rPr>
          <w:rFonts w:ascii="Times New Roman" w:hAnsi="Times New Roman"/>
          <w:b/>
          <w:noProof/>
          <w:sz w:val="24"/>
          <w:szCs w:val="24"/>
        </w:rPr>
        <w:t>EU Zöld Kapu Japánba programja</w:t>
      </w:r>
      <w:r>
        <w:rPr>
          <w:rFonts w:ascii="Times New Roman" w:hAnsi="Times New Roman"/>
          <w:noProof/>
          <w:sz w:val="24"/>
          <w:szCs w:val="24"/>
        </w:rPr>
        <w:t xml:space="preserve"> (Zöld Kapu) segítséget nyújtott a Japánba exportálni szándékozó európai kkv-k számára, azáltal, hogy segítette felkutatni a megfelelő partnereket.</w:t>
      </w:r>
    </w:p>
    <w:p>
      <w:pPr>
        <w:keepNext/>
        <w:pBdr>
          <w:top w:val="single" w:sz="4" w:space="0" w:color="auto"/>
          <w:left w:val="single" w:sz="4" w:space="0" w:color="auto"/>
          <w:bottom w:val="single" w:sz="4" w:space="1" w:color="auto"/>
          <w:right w:val="single" w:sz="4" w:space="4" w:color="auto"/>
        </w:pBdr>
        <w:spacing w:after="120" w:line="240" w:lineRule="auto"/>
        <w:rPr>
          <w:rFonts w:ascii="Times New Roman" w:hAnsi="Times New Roman" w:cs="Times New Roman"/>
          <w:noProof/>
          <w:sz w:val="24"/>
          <w:szCs w:val="24"/>
        </w:rPr>
      </w:pPr>
      <w:r>
        <w:rPr>
          <w:rFonts w:ascii="Times New Roman" w:hAnsi="Times New Roman"/>
          <w:noProof/>
          <w:sz w:val="24"/>
          <w:szCs w:val="24"/>
        </w:rPr>
        <w:t xml:space="preserve">– Az EU </w:t>
      </w:r>
      <w:r>
        <w:rPr>
          <w:rFonts w:ascii="Times New Roman" w:hAnsi="Times New Roman"/>
          <w:b/>
          <w:noProof/>
          <w:sz w:val="24"/>
          <w:szCs w:val="24"/>
        </w:rPr>
        <w:t>Kanadával és Japánnal</w:t>
      </w:r>
      <w:r>
        <w:rPr>
          <w:rFonts w:ascii="Times New Roman" w:hAnsi="Times New Roman"/>
          <w:noProof/>
          <w:sz w:val="24"/>
          <w:szCs w:val="24"/>
        </w:rPr>
        <w:t xml:space="preserve"> kötött kereskedelmi megállapodásaihoz kijelölt </w:t>
      </w:r>
      <w:r>
        <w:rPr>
          <w:rFonts w:ascii="Times New Roman" w:hAnsi="Times New Roman"/>
          <w:b/>
          <w:noProof/>
          <w:sz w:val="24"/>
          <w:szCs w:val="24"/>
        </w:rPr>
        <w:t>kkv</w:t>
      </w:r>
      <w:r>
        <w:rPr>
          <w:rFonts w:ascii="Times New Roman" w:hAnsi="Times New Roman"/>
          <w:noProof/>
          <w:sz w:val="24"/>
          <w:szCs w:val="24"/>
        </w:rPr>
        <w:t xml:space="preserve"> kapcsolattartási pontok megkezdték a munkát a közös érdekű területeken.</w:t>
      </w:r>
    </w:p>
    <w:p>
      <w:pPr>
        <w:spacing w:after="0"/>
        <w:rPr>
          <w:rFonts w:ascii="Times New Roman" w:hAnsi="Times New Roman" w:cs="Times New Roman"/>
          <w:noProof/>
          <w:sz w:val="24"/>
          <w:szCs w:val="24"/>
        </w:rPr>
      </w:pPr>
    </w:p>
    <w:p>
      <w:pPr>
        <w:spacing w:after="160" w:line="256" w:lineRule="auto"/>
        <w:rPr>
          <w:rFonts w:ascii="Times New Roman" w:hAnsi="Times New Roman" w:cs="Times New Roman"/>
          <w:b/>
          <w:noProof/>
          <w:sz w:val="24"/>
          <w:szCs w:val="24"/>
        </w:rPr>
      </w:pPr>
      <w:r>
        <w:rPr>
          <w:rFonts w:ascii="Times New Roman" w:hAnsi="Times New Roman"/>
          <w:b/>
          <w:noProof/>
          <w:sz w:val="24"/>
          <w:szCs w:val="24"/>
        </w:rPr>
        <w:t>A kkv-k uniós kereskedelmi megállapodásokhoz való hozzáférését megkönnyítő tevékenységek</w:t>
      </w:r>
    </w:p>
    <w:p>
      <w:pPr>
        <w:spacing w:after="160" w:line="256" w:lineRule="auto"/>
        <w:rPr>
          <w:rFonts w:ascii="Times New Roman" w:hAnsi="Times New Roman" w:cs="Times New Roman"/>
          <w:noProof/>
          <w:sz w:val="24"/>
          <w:szCs w:val="24"/>
        </w:rPr>
      </w:pPr>
      <w:r>
        <w:rPr>
          <w:rFonts w:ascii="Times New Roman" w:hAnsi="Times New Roman"/>
          <w:noProof/>
          <w:sz w:val="24"/>
          <w:szCs w:val="24"/>
        </w:rPr>
        <w:t xml:space="preserve">A Bizottság 2019-ben folytatta </w:t>
      </w:r>
      <w:r>
        <w:rPr>
          <w:rStyle w:val="Ninguno"/>
          <w:rFonts w:ascii="Times New Roman" w:hAnsi="Times New Roman"/>
          <w:b/>
          <w:bCs/>
          <w:noProof/>
          <w:sz w:val="24"/>
          <w:szCs w:val="24"/>
        </w:rPr>
        <w:t>Piacra Jutási Nap rendezvénysorozatát</w:t>
      </w:r>
      <w:r>
        <w:rPr>
          <w:rStyle w:val="Ninguno"/>
          <w:rFonts w:ascii="Times New Roman" w:hAnsi="Times New Roman"/>
          <w:noProof/>
          <w:sz w:val="24"/>
          <w:szCs w:val="24"/>
        </w:rPr>
        <w:t xml:space="preserve">, amelyet az EU-tagállamokkal együtt azzal a céllal szervezett meg, </w:t>
      </w:r>
      <w:r>
        <w:rPr>
          <w:rFonts w:ascii="Times New Roman" w:hAnsi="Times New Roman"/>
          <w:noProof/>
          <w:sz w:val="24"/>
          <w:szCs w:val="24"/>
        </w:rPr>
        <w:t>hogy fokozza a helyi vállalkozások tájékozottságát a preferenciális megállapodások által kínált lehetőségekkel kapcsolatban, valamint arról, hogy a piacra jutási partnerség hogyan segít nekik az akadályok legyőzésében. Üléseket tartottak Dániában, Spanyolországban, Franciaországban, Lettországban, Litvániában, Hollandiában és Portugáliában.</w:t>
      </w:r>
    </w:p>
    <w:p>
      <w:pPr>
        <w:spacing w:after="160" w:line="256" w:lineRule="auto"/>
        <w:rPr>
          <w:rFonts w:ascii="Times New Roman" w:hAnsi="Times New Roman" w:cs="Times New Roman"/>
          <w:noProof/>
          <w:sz w:val="24"/>
          <w:szCs w:val="24"/>
        </w:rPr>
      </w:pPr>
      <w:r>
        <w:rPr>
          <w:rFonts w:ascii="Times New Roman" w:hAnsi="Times New Roman"/>
          <w:noProof/>
          <w:sz w:val="24"/>
          <w:szCs w:val="24"/>
        </w:rPr>
        <w:t xml:space="preserve">A Bizottság intenzívebbé tette együttműködését az </w:t>
      </w:r>
      <w:r>
        <w:rPr>
          <w:rFonts w:ascii="Times New Roman" w:hAnsi="Times New Roman"/>
          <w:b/>
          <w:noProof/>
          <w:sz w:val="24"/>
          <w:szCs w:val="24"/>
        </w:rPr>
        <w:t>Enterprise Europe Network (EEN)</w:t>
      </w:r>
      <w:r>
        <w:rPr>
          <w:rStyle w:val="FootnoteReference"/>
          <w:rFonts w:ascii="Times New Roman" w:hAnsi="Times New Roman" w:cs="Times New Roman"/>
          <w:b/>
          <w:bCs/>
          <w:noProof/>
          <w:sz w:val="24"/>
          <w:szCs w:val="24"/>
          <w:lang w:val="en-GB"/>
        </w:rPr>
        <w:footnoteReference w:id="81"/>
      </w:r>
      <w:r>
        <w:rPr>
          <w:rFonts w:ascii="Times New Roman" w:hAnsi="Times New Roman"/>
          <w:noProof/>
          <w:sz w:val="24"/>
          <w:szCs w:val="24"/>
        </w:rPr>
        <w:t xml:space="preserve"> hálózattal és az EU-tagállamok </w:t>
      </w:r>
      <w:r>
        <w:rPr>
          <w:rFonts w:ascii="Times New Roman" w:hAnsi="Times New Roman"/>
          <w:b/>
          <w:noProof/>
          <w:sz w:val="24"/>
          <w:szCs w:val="24"/>
        </w:rPr>
        <w:t>európai kereskedelemtámogató szervezeteivel</w:t>
      </w:r>
      <w:r>
        <w:rPr>
          <w:rFonts w:ascii="Times New Roman" w:hAnsi="Times New Roman"/>
          <w:noProof/>
          <w:sz w:val="24"/>
          <w:szCs w:val="24"/>
        </w:rPr>
        <w:t xml:space="preserve"> annak feltárása végett, hogy a hálózatot alkotó üzleti tanácsadók és konzorciumok hogyan tudnák terjeszteni az információt az üzletemberek és üzletasszonyok körében. A hálózat 2019-ben elkezdett különleges ENN-kapcsolattartókat kijelölni a kereskedelmi megállapodásokhoz, akiket a Bizottság speciális képzésben fog részesíteni.</w:t>
      </w:r>
    </w:p>
    <w:p>
      <w:pPr>
        <w:spacing w:after="160" w:line="256" w:lineRule="auto"/>
        <w:rPr>
          <w:rFonts w:ascii="Times New Roman" w:hAnsi="Times New Roman" w:cs="Times New Roman"/>
          <w:noProof/>
          <w:sz w:val="24"/>
          <w:szCs w:val="24"/>
        </w:rPr>
      </w:pPr>
      <w:r>
        <w:rPr>
          <w:rFonts w:ascii="Times New Roman" w:hAnsi="Times New Roman"/>
          <w:noProof/>
          <w:sz w:val="24"/>
          <w:szCs w:val="24"/>
        </w:rPr>
        <w:t xml:space="preserve">Jelentős haladást sikerült továbbá elérni az </w:t>
      </w:r>
      <w:r>
        <w:rPr>
          <w:rFonts w:ascii="Times New Roman" w:hAnsi="Times New Roman"/>
          <w:b/>
          <w:bCs/>
          <w:noProof/>
          <w:sz w:val="24"/>
          <w:szCs w:val="24"/>
        </w:rPr>
        <w:t>új import-export portál</w:t>
      </w:r>
      <w:r>
        <w:rPr>
          <w:rFonts w:ascii="Times New Roman" w:hAnsi="Times New Roman"/>
          <w:noProof/>
          <w:sz w:val="24"/>
          <w:szCs w:val="24"/>
        </w:rPr>
        <w:t xml:space="preserve"> kialakítása terén, amely 2020. október 13-án kezdte meg működését.</w:t>
      </w:r>
    </w:p>
    <w:p>
      <w:pPr>
        <w:keepNext/>
        <w:pBdr>
          <w:top w:val="single" w:sz="4" w:space="0" w:color="auto"/>
          <w:left w:val="single" w:sz="4" w:space="0" w:color="auto"/>
          <w:bottom w:val="single" w:sz="4" w:space="1" w:color="auto"/>
          <w:right w:val="single" w:sz="4" w:space="4" w:color="auto"/>
        </w:pBdr>
        <w:spacing w:after="120" w:line="240" w:lineRule="auto"/>
        <w:rPr>
          <w:rFonts w:ascii="Times New Roman" w:hAnsi="Times New Roman" w:cs="Times New Roman"/>
          <w:b/>
          <w:noProof/>
          <w:sz w:val="24"/>
          <w:szCs w:val="24"/>
        </w:rPr>
      </w:pPr>
      <w:r>
        <w:rPr>
          <w:rFonts w:ascii="Times New Roman" w:hAnsi="Times New Roman"/>
          <w:b/>
          <w:noProof/>
          <w:sz w:val="24"/>
          <w:szCs w:val="24"/>
        </w:rPr>
        <w:t>Az új „Access2Markets” portál a következőket nyújtja:</w:t>
      </w:r>
    </w:p>
    <w:p>
      <w:pPr>
        <w:keepNext/>
        <w:pBdr>
          <w:top w:val="single" w:sz="4" w:space="0" w:color="auto"/>
          <w:left w:val="single" w:sz="4" w:space="0" w:color="auto"/>
          <w:bottom w:val="single" w:sz="4" w:space="1" w:color="auto"/>
          <w:right w:val="single" w:sz="4" w:space="4" w:color="auto"/>
        </w:pBdr>
        <w:spacing w:after="120" w:line="240" w:lineRule="auto"/>
        <w:rPr>
          <w:rFonts w:ascii="Times New Roman" w:hAnsi="Times New Roman" w:cs="Times New Roman"/>
          <w:noProof/>
          <w:sz w:val="24"/>
          <w:szCs w:val="24"/>
        </w:rPr>
      </w:pPr>
      <w:r>
        <w:rPr>
          <w:rFonts w:ascii="Times New Roman" w:hAnsi="Times New Roman"/>
          <w:noProof/>
          <w:sz w:val="24"/>
          <w:szCs w:val="24"/>
        </w:rPr>
        <w:t xml:space="preserve"> – </w:t>
      </w:r>
      <w:r>
        <w:rPr>
          <w:rFonts w:ascii="Times New Roman" w:hAnsi="Times New Roman"/>
          <w:b/>
          <w:noProof/>
          <w:sz w:val="24"/>
          <w:szCs w:val="24"/>
        </w:rPr>
        <w:t>Egyetlen portál azoknak a kkv-knek</w:t>
      </w:r>
      <w:r>
        <w:rPr>
          <w:rFonts w:ascii="Times New Roman" w:hAnsi="Times New Roman"/>
          <w:noProof/>
          <w:sz w:val="24"/>
          <w:szCs w:val="24"/>
        </w:rPr>
        <w:t>, amelyek az áruk kivitelével és behozatalával kapcsolatos gyakorlati információkat keresnek (vámok, termékspecifikus információk a behozatali és kiviteli követelményekről, az uniós kereskedelmi megállapodások szerinti előnyökkel kapcsolatos információk, adók, kereskedelemstatisztikák stb.)</w:t>
      </w:r>
    </w:p>
    <w:p>
      <w:pPr>
        <w:keepNext/>
        <w:pBdr>
          <w:top w:val="single" w:sz="4" w:space="0" w:color="auto"/>
          <w:left w:val="single" w:sz="4" w:space="0" w:color="auto"/>
          <w:bottom w:val="single" w:sz="4" w:space="1" w:color="auto"/>
          <w:right w:val="single" w:sz="4" w:space="4" w:color="auto"/>
        </w:pBdr>
        <w:spacing w:after="120" w:line="240" w:lineRule="auto"/>
        <w:rPr>
          <w:rFonts w:ascii="Times New Roman" w:hAnsi="Times New Roman" w:cs="Times New Roman"/>
          <w:noProof/>
          <w:sz w:val="24"/>
          <w:szCs w:val="24"/>
        </w:rPr>
      </w:pPr>
      <w:r>
        <w:rPr>
          <w:rFonts w:ascii="Times New Roman" w:hAnsi="Times New Roman"/>
          <w:noProof/>
          <w:sz w:val="24"/>
          <w:szCs w:val="24"/>
        </w:rPr>
        <w:t xml:space="preserve">– </w:t>
      </w:r>
      <w:r>
        <w:rPr>
          <w:rFonts w:ascii="Times New Roman" w:hAnsi="Times New Roman"/>
          <w:b/>
          <w:noProof/>
          <w:sz w:val="24"/>
          <w:szCs w:val="24"/>
        </w:rPr>
        <w:t>Információ az EU kereskedelmi megállapodásairól</w:t>
      </w:r>
      <w:r>
        <w:rPr>
          <w:rFonts w:ascii="Times New Roman" w:hAnsi="Times New Roman"/>
          <w:noProof/>
          <w:sz w:val="24"/>
          <w:szCs w:val="24"/>
        </w:rPr>
        <w:t xml:space="preserve"> és </w:t>
      </w:r>
      <w:r>
        <w:rPr>
          <w:rFonts w:ascii="Times New Roman" w:hAnsi="Times New Roman"/>
          <w:b/>
          <w:noProof/>
          <w:sz w:val="24"/>
          <w:szCs w:val="24"/>
        </w:rPr>
        <w:t>lépésenkénti útmutatók</w:t>
      </w:r>
      <w:r>
        <w:rPr>
          <w:rFonts w:ascii="Times New Roman" w:hAnsi="Times New Roman"/>
          <w:noProof/>
          <w:sz w:val="24"/>
          <w:szCs w:val="24"/>
        </w:rPr>
        <w:t xml:space="preserve"> a behozatalról és a kivitelről.</w:t>
      </w:r>
    </w:p>
    <w:p>
      <w:pPr>
        <w:keepNext/>
        <w:pBdr>
          <w:top w:val="single" w:sz="4" w:space="0" w:color="auto"/>
          <w:left w:val="single" w:sz="4" w:space="0" w:color="auto"/>
          <w:bottom w:val="single" w:sz="4" w:space="1" w:color="auto"/>
          <w:right w:val="single" w:sz="4" w:space="4" w:color="auto"/>
        </w:pBdr>
        <w:spacing w:after="120" w:line="240" w:lineRule="auto"/>
        <w:rPr>
          <w:rFonts w:ascii="Times New Roman" w:hAnsi="Times New Roman" w:cs="Times New Roman"/>
          <w:noProof/>
          <w:sz w:val="24"/>
          <w:szCs w:val="24"/>
        </w:rPr>
      </w:pPr>
      <w:r>
        <w:rPr>
          <w:rFonts w:ascii="Times New Roman" w:hAnsi="Times New Roman"/>
          <w:noProof/>
          <w:sz w:val="24"/>
          <w:szCs w:val="24"/>
        </w:rPr>
        <w:t xml:space="preserve">– A </w:t>
      </w:r>
      <w:r>
        <w:rPr>
          <w:rFonts w:ascii="Times New Roman" w:hAnsi="Times New Roman"/>
          <w:b/>
          <w:noProof/>
          <w:sz w:val="24"/>
          <w:szCs w:val="24"/>
        </w:rPr>
        <w:t>származási szabályokra összpontosító önértékelési eszköz</w:t>
      </w:r>
      <w:r>
        <w:rPr>
          <w:rFonts w:ascii="Times New Roman" w:hAnsi="Times New Roman"/>
          <w:noProof/>
          <w:sz w:val="24"/>
          <w:szCs w:val="24"/>
        </w:rPr>
        <w:t>, amely lépésenkénti ellenőrző listát biztosít a vállalkozások számára annak megértéséhez, hogy adott termék eleget tesz-e a származási szabályokon alapuló preferenciális elbánás kritériumainak.</w:t>
      </w:r>
    </w:p>
    <w:p>
      <w:pPr>
        <w:spacing w:after="0" w:line="256" w:lineRule="auto"/>
        <w:rPr>
          <w:rFonts w:ascii="Times New Roman" w:hAnsi="Times New Roman" w:cs="Times New Roman"/>
          <w:noProof/>
          <w:sz w:val="24"/>
          <w:szCs w:val="24"/>
        </w:rPr>
      </w:pPr>
    </w:p>
    <w:p>
      <w:pPr>
        <w:pStyle w:val="Heading1"/>
        <w:rPr>
          <w:noProof/>
        </w:rPr>
      </w:pPr>
      <w:bookmarkStart w:id="30" w:name="_Toc55303841"/>
      <w:r>
        <w:rPr>
          <w:noProof/>
        </w:rPr>
        <w:t>8. JOGÉRVÉNYESÍTÉS</w:t>
      </w:r>
      <w:bookmarkEnd w:id="30"/>
    </w:p>
    <w:p>
      <w:pPr>
        <w:spacing w:after="0" w:line="240" w:lineRule="auto"/>
        <w:rPr>
          <w:rFonts w:ascii="Times New Roman" w:hAnsi="Times New Roman" w:cs="Times New Roman"/>
          <w:noProof/>
          <w:sz w:val="24"/>
          <w:szCs w:val="24"/>
        </w:rPr>
      </w:pPr>
    </w:p>
    <w:p>
      <w:pPr>
        <w:spacing w:after="120" w:line="240" w:lineRule="auto"/>
        <w:rPr>
          <w:rFonts w:ascii="Times New Roman" w:hAnsi="Times New Roman" w:cs="Times New Roman"/>
          <w:noProof/>
          <w:sz w:val="24"/>
          <w:szCs w:val="24"/>
        </w:rPr>
      </w:pPr>
      <w:r>
        <w:rPr>
          <w:rFonts w:ascii="Times New Roman" w:hAnsi="Times New Roman"/>
          <w:noProof/>
          <w:sz w:val="24"/>
          <w:szCs w:val="24"/>
        </w:rPr>
        <w:t xml:space="preserve">2018 vége óta az EU a </w:t>
      </w:r>
      <w:r>
        <w:rPr>
          <w:rFonts w:ascii="Times New Roman" w:hAnsi="Times New Roman"/>
          <w:b/>
          <w:noProof/>
          <w:sz w:val="24"/>
          <w:szCs w:val="24"/>
        </w:rPr>
        <w:t>Dél-Koreával</w:t>
      </w:r>
      <w:r>
        <w:rPr>
          <w:rFonts w:ascii="Times New Roman" w:hAnsi="Times New Roman"/>
          <w:noProof/>
          <w:sz w:val="24"/>
          <w:szCs w:val="24"/>
        </w:rPr>
        <w:t xml:space="preserve">, az </w:t>
      </w:r>
      <w:r>
        <w:rPr>
          <w:rFonts w:ascii="Times New Roman" w:hAnsi="Times New Roman"/>
          <w:b/>
          <w:noProof/>
          <w:sz w:val="24"/>
          <w:szCs w:val="24"/>
        </w:rPr>
        <w:t>Ukrajnával</w:t>
      </w:r>
      <w:r>
        <w:rPr>
          <w:rFonts w:ascii="Times New Roman" w:hAnsi="Times New Roman"/>
          <w:noProof/>
          <w:sz w:val="24"/>
          <w:szCs w:val="24"/>
        </w:rPr>
        <w:t xml:space="preserve">, valamint a </w:t>
      </w:r>
      <w:r>
        <w:rPr>
          <w:rFonts w:ascii="Times New Roman" w:hAnsi="Times New Roman"/>
          <w:b/>
          <w:noProof/>
          <w:sz w:val="24"/>
          <w:szCs w:val="24"/>
        </w:rPr>
        <w:t>Dél-afrikai Vámunióval</w:t>
      </w:r>
      <w:r>
        <w:rPr>
          <w:rFonts w:ascii="Times New Roman" w:hAnsi="Times New Roman"/>
          <w:noProof/>
          <w:sz w:val="24"/>
          <w:szCs w:val="24"/>
        </w:rPr>
        <w:t xml:space="preserve"> kötött kereskedelmi megállapodások keretében létrehozott kétoldalú vitarendezési eljárásokat vette igénybe. Ezek a viták 2020 júniusa óta még függőben vannak; a részleteket lásd lent.</w:t>
      </w:r>
    </w:p>
    <w:p>
      <w:pPr>
        <w:rPr>
          <w:rFonts w:ascii="Times New Roman" w:hAnsi="Times New Roman" w:cs="Times New Roman"/>
          <w:noProof/>
          <w:sz w:val="24"/>
          <w:szCs w:val="24"/>
        </w:rPr>
      </w:pPr>
      <w:r>
        <w:rPr>
          <w:rFonts w:ascii="Times New Roman" w:hAnsi="Times New Roman"/>
          <w:noProof/>
          <w:sz w:val="24"/>
          <w:szCs w:val="24"/>
        </w:rPr>
        <w:t xml:space="preserve">Amennyiben a vitatott intézkedés látszólag a WTO-egyezményt </w:t>
      </w:r>
      <w:r>
        <w:rPr>
          <w:rFonts w:ascii="Times New Roman" w:hAnsi="Times New Roman"/>
          <w:noProof/>
          <w:sz w:val="24"/>
          <w:szCs w:val="24"/>
          <w:u w:val="single"/>
        </w:rPr>
        <w:t>és</w:t>
      </w:r>
      <w:r>
        <w:rPr>
          <w:rFonts w:ascii="Times New Roman" w:hAnsi="Times New Roman"/>
          <w:noProof/>
          <w:sz w:val="24"/>
          <w:szCs w:val="24"/>
        </w:rPr>
        <w:t xml:space="preserve"> az EU és a partnerország közötti valamely kereskedelmi megállapodást egyaránt sérti, az EU-nak lehetősége van fórumot választani, esetenkénti értékelést végzendő. A WTO továbbra is bevált vitarendezési rendszernek tekinthető, amely biztosítja a vonatkozó kötelezettségvállalások egységes értelmezését. Az EU 2019 folyamán két esetben vette igénybe a WTO vitarendezési rendszerét.</w:t>
      </w:r>
    </w:p>
    <w:p>
      <w:pPr>
        <w:rPr>
          <w:rFonts w:ascii="Times New Roman" w:hAnsi="Times New Roman" w:cs="Times New Roman"/>
          <w:noProof/>
          <w:sz w:val="24"/>
          <w:szCs w:val="24"/>
        </w:rPr>
      </w:pPr>
      <w:r>
        <w:rPr>
          <w:rFonts w:ascii="Times New Roman" w:hAnsi="Times New Roman"/>
          <w:noProof/>
          <w:sz w:val="24"/>
          <w:szCs w:val="24"/>
        </w:rPr>
        <w:t xml:space="preserve">2019. április 2-án az EU </w:t>
      </w:r>
      <w:r>
        <w:rPr>
          <w:rFonts w:ascii="Times New Roman" w:hAnsi="Times New Roman"/>
          <w:b/>
          <w:bCs/>
          <w:noProof/>
          <w:sz w:val="24"/>
          <w:szCs w:val="24"/>
        </w:rPr>
        <w:t>WTO-konzultációt</w:t>
      </w:r>
      <w:r>
        <w:rPr>
          <w:rFonts w:ascii="Times New Roman" w:hAnsi="Times New Roman"/>
          <w:noProof/>
          <w:sz w:val="24"/>
          <w:szCs w:val="24"/>
        </w:rPr>
        <w:t xml:space="preserve"> kezdeményezett </w:t>
      </w:r>
      <w:r>
        <w:rPr>
          <w:rFonts w:ascii="Times New Roman" w:hAnsi="Times New Roman"/>
          <w:b/>
          <w:bCs/>
          <w:noProof/>
          <w:sz w:val="24"/>
          <w:szCs w:val="24"/>
        </w:rPr>
        <w:t>Törökországgal</w:t>
      </w:r>
      <w:r>
        <w:rPr>
          <w:rFonts w:ascii="Times New Roman" w:hAnsi="Times New Roman"/>
          <w:noProof/>
          <w:sz w:val="24"/>
          <w:szCs w:val="24"/>
        </w:rPr>
        <w:t>, majd a május 9-én és 10-én tartott konzultáció után, amelyek keretében nem sikerült rendezni a vitát, augusztus 2-án WTO-vizsgálóbizottság létrehozását kérte</w:t>
      </w:r>
      <w:r>
        <w:rPr>
          <w:rStyle w:val="FootnoteReference"/>
          <w:rFonts w:ascii="Times New Roman" w:hAnsi="Times New Roman" w:cs="Times New Roman"/>
          <w:noProof/>
          <w:sz w:val="24"/>
          <w:szCs w:val="24"/>
          <w:lang w:val="en-GB"/>
        </w:rPr>
        <w:footnoteReference w:id="82"/>
      </w:r>
      <w:r>
        <w:rPr>
          <w:rFonts w:ascii="Times New Roman" w:hAnsi="Times New Roman"/>
          <w:noProof/>
          <w:sz w:val="24"/>
          <w:szCs w:val="24"/>
        </w:rPr>
        <w:t>.</w:t>
      </w:r>
    </w:p>
    <w:p>
      <w:pPr>
        <w:rPr>
          <w:rFonts w:ascii="Times New Roman" w:hAnsi="Times New Roman" w:cs="Times New Roman"/>
          <w:noProof/>
          <w:sz w:val="24"/>
          <w:szCs w:val="24"/>
        </w:rPr>
      </w:pPr>
      <w:r>
        <w:rPr>
          <w:rFonts w:ascii="Times New Roman" w:hAnsi="Times New Roman"/>
          <w:noProof/>
          <w:sz w:val="24"/>
          <w:szCs w:val="24"/>
        </w:rPr>
        <w:t xml:space="preserve">2019. november 15-én az EU </w:t>
      </w:r>
      <w:r>
        <w:rPr>
          <w:rFonts w:ascii="Times New Roman" w:hAnsi="Times New Roman"/>
          <w:b/>
          <w:noProof/>
          <w:sz w:val="24"/>
          <w:szCs w:val="24"/>
        </w:rPr>
        <w:t>WTO vitarendezési</w:t>
      </w:r>
      <w:r>
        <w:rPr>
          <w:rFonts w:ascii="Times New Roman" w:hAnsi="Times New Roman"/>
          <w:noProof/>
          <w:sz w:val="24"/>
          <w:szCs w:val="24"/>
        </w:rPr>
        <w:t xml:space="preserve"> eljárást indított és konzultációt kezdeményezett</w:t>
      </w:r>
      <w:r>
        <w:rPr>
          <w:rStyle w:val="FootnoteReference"/>
          <w:noProof/>
          <w:lang w:val="en-GB"/>
        </w:rPr>
        <w:footnoteReference w:id="83"/>
      </w:r>
      <w:r>
        <w:rPr>
          <w:rFonts w:ascii="Times New Roman" w:hAnsi="Times New Roman"/>
          <w:noProof/>
          <w:sz w:val="24"/>
          <w:szCs w:val="24"/>
        </w:rPr>
        <w:t xml:space="preserve"> </w:t>
      </w:r>
      <w:r>
        <w:rPr>
          <w:rFonts w:ascii="Times New Roman" w:hAnsi="Times New Roman"/>
          <w:b/>
          <w:noProof/>
          <w:sz w:val="24"/>
          <w:szCs w:val="24"/>
        </w:rPr>
        <w:t>Kolumbiával</w:t>
      </w:r>
      <w:r>
        <w:rPr>
          <w:rFonts w:ascii="Times New Roman" w:hAnsi="Times New Roman"/>
          <w:noProof/>
          <w:sz w:val="24"/>
          <w:szCs w:val="24"/>
        </w:rPr>
        <w:t xml:space="preserve"> arról, hogy az ország jogellenes dömpingellenes vámokat vetett ki a fagyasztott hasábburgonya Belgiumból, Hollandiából és Németországból történő behozatalára. A konzultációk keretében nem sikerült rendezni a vitát. 2020. június 29-én, az EU kérését követően</w:t>
      </w:r>
      <w:r>
        <w:rPr>
          <w:rStyle w:val="FootnoteReference"/>
          <w:noProof/>
          <w:lang w:val="en-GB"/>
        </w:rPr>
        <w:footnoteReference w:id="84"/>
      </w:r>
      <w:r>
        <w:rPr>
          <w:rStyle w:val="FootnoteReference"/>
          <w:noProof/>
        </w:rPr>
        <w:t xml:space="preserve"> </w:t>
      </w:r>
      <w:r>
        <w:rPr>
          <w:noProof/>
        </w:rPr>
        <w:t xml:space="preserve">, </w:t>
      </w:r>
      <w:r>
        <w:rPr>
          <w:rFonts w:ascii="Times New Roman" w:hAnsi="Times New Roman"/>
          <w:noProof/>
          <w:sz w:val="24"/>
          <w:szCs w:val="24"/>
        </w:rPr>
        <w:t>a WTO Vitarendezési Testülete vitarendezési testületet hozott létre.</w:t>
      </w:r>
    </w:p>
    <w:p>
      <w:pPr>
        <w:spacing w:after="120" w:line="240" w:lineRule="auto"/>
        <w:rPr>
          <w:rFonts w:ascii="Times New Roman" w:hAnsi="Times New Roman" w:cs="Times New Roman"/>
          <w:noProof/>
          <w:sz w:val="24"/>
          <w:szCs w:val="24"/>
        </w:rPr>
      </w:pPr>
      <w:r>
        <w:rPr>
          <w:rFonts w:ascii="Times New Roman" w:hAnsi="Times New Roman"/>
          <w:b/>
          <w:noProof/>
          <w:sz w:val="24"/>
          <w:szCs w:val="24"/>
        </w:rPr>
        <w:t>A kereskedelmi megállapodások szerinti uniós jogok érvényesítése</w:t>
      </w:r>
      <w:r>
        <w:rPr>
          <w:rFonts w:ascii="Times New Roman" w:hAnsi="Times New Roman"/>
          <w:noProof/>
          <w:sz w:val="24"/>
          <w:szCs w:val="24"/>
        </w:rPr>
        <w:t xml:space="preserve"> az Európai Bizottság kereskedelempolitikájának az egyik központi doktrínája. Az Európai Bizottság szorosan figyelemmel kíséri az uniós kereskedelmi megállapodások végrehajtását, és mérlegelni fogja a jogérvényesítés alkalmazását, amennyiben szükséges, különösen a gazdaságilag vagy rendszerszinten nagyobb jelentőségű esetekben. Az EU preferenciális kereskedelmi megállapodásai a kötelezettségvállalások határozott érvényesítéséről is rendelkeznek a viták hatékony és időben történő rendezése érdekében, ideértve az olyan kérdéseket illetően felmerült vitákat is, amelyek túlmutatnak a WTO-egyezményen – ilyen például az EU munkajogi vitája Dél-Koreával.</w:t>
      </w:r>
    </w:p>
    <w:p>
      <w:pPr>
        <w:spacing w:after="120" w:line="240" w:lineRule="auto"/>
        <w:rPr>
          <w:rFonts w:ascii="Times New Roman" w:hAnsi="Times New Roman" w:cs="Times New Roman"/>
          <w:noProof/>
          <w:sz w:val="24"/>
          <w:szCs w:val="24"/>
        </w:rPr>
      </w:pPr>
      <w:r>
        <w:rPr>
          <w:rFonts w:ascii="Times New Roman" w:hAnsi="Times New Roman"/>
          <w:noProof/>
          <w:sz w:val="24"/>
          <w:szCs w:val="24"/>
        </w:rPr>
        <w:t>A Covid19-világjárvány összefüggésében fontos szem előtt tartani, hogy a nyitott és szabályokon alapuló kereskedelem támogatni fogja a jövőbeni gazdasági helyreállást. Az Európai Bizottság következésképpen adott esetben továbbra is megteszi a kereskedelmi megállapodásai megfelelő érvényesítésének biztosításához szükséges lépéseket.</w:t>
      </w:r>
    </w:p>
    <w:p>
      <w:pPr>
        <w:spacing w:after="0" w:line="240" w:lineRule="auto"/>
        <w:rPr>
          <w:rFonts w:ascii="Times New Roman" w:hAnsi="Times New Roman" w:cs="Times New Roman"/>
          <w:noProof/>
        </w:rPr>
      </w:pPr>
    </w:p>
    <w:p>
      <w:pPr>
        <w:pStyle w:val="Heading2"/>
        <w:rPr>
          <w:rFonts w:eastAsia="Times New Roman"/>
          <w:noProof/>
        </w:rPr>
      </w:pPr>
      <w:bookmarkStart w:id="31" w:name="_Toc16233945"/>
      <w:bookmarkStart w:id="32" w:name="_Toc55303842"/>
      <w:r>
        <w:rPr>
          <w:noProof/>
        </w:rPr>
        <w:t>8.1.</w:t>
      </w:r>
      <w:r>
        <w:rPr>
          <w:noProof/>
        </w:rPr>
        <w:tab/>
        <w:t>Vitarendezés Dél-Koreával a kereskedelem és a fenntartható fejlődés területén</w:t>
      </w:r>
      <w:bookmarkEnd w:id="31"/>
      <w:bookmarkEnd w:id="32"/>
    </w:p>
    <w:p>
      <w:pPr>
        <w:spacing w:after="120" w:line="240" w:lineRule="auto"/>
        <w:rPr>
          <w:rFonts w:ascii="Times New Roman" w:hAnsi="Times New Roman" w:cs="Times New Roman"/>
          <w:noProof/>
          <w:sz w:val="24"/>
          <w:szCs w:val="24"/>
        </w:rPr>
      </w:pPr>
      <w:r>
        <w:rPr>
          <w:rFonts w:ascii="Times New Roman" w:hAnsi="Times New Roman"/>
          <w:noProof/>
          <w:sz w:val="24"/>
          <w:szCs w:val="24"/>
        </w:rPr>
        <w:t>Az EU–Dél-Korea kereskedelmi megállapodás kereskedelemre és fenntartható fejlődésre vonatkozó fejezetében Dél-Korea kötelezettséget vállalt arra, hogy „jogában és gyakorlatában tiszteletben tartja és érvényesíti” a Nemzetközi Munkaügyi Szervezet (ILO) által képviselt alapvető jogokat, nevezetesen az egyesülési szabadságot és a kollektív tárgyalási jogot. Dél-Korea továbbá vállalta, hogy „további folyamatos erőfeszítéseket tesz” azon ILO-egyezmények megerősítésére, amelyekhez még nem csatlakozott</w:t>
      </w:r>
      <w:r>
        <w:rPr>
          <w:rFonts w:ascii="Times New Roman" w:hAnsi="Times New Roman" w:cs="Times New Roman"/>
          <w:noProof/>
          <w:sz w:val="24"/>
          <w:szCs w:val="24"/>
          <w:vertAlign w:val="superscript"/>
          <w:lang w:val="en-GB"/>
        </w:rPr>
        <w:footnoteReference w:id="85"/>
      </w:r>
      <w:r>
        <w:rPr>
          <w:rFonts w:ascii="Times New Roman" w:hAnsi="Times New Roman"/>
          <w:noProof/>
          <w:sz w:val="24"/>
          <w:szCs w:val="24"/>
        </w:rPr>
        <w:t>.</w:t>
      </w:r>
    </w:p>
    <w:p>
      <w:pPr>
        <w:spacing w:after="120" w:line="240" w:lineRule="auto"/>
        <w:rPr>
          <w:rFonts w:ascii="Times New Roman" w:hAnsi="Times New Roman" w:cs="Times New Roman"/>
          <w:noProof/>
          <w:sz w:val="24"/>
          <w:szCs w:val="24"/>
        </w:rPr>
      </w:pPr>
      <w:r>
        <w:rPr>
          <w:rFonts w:ascii="Times New Roman" w:hAnsi="Times New Roman"/>
          <w:noProof/>
          <w:sz w:val="24"/>
          <w:szCs w:val="24"/>
        </w:rPr>
        <w:t>Előrelépés hiányában 2018. december 17-én az EU úgy határozott, hogy a kereskedelem és fenntartható fejlődés fejezet értelmében konzultációt kezdeményez</w:t>
      </w:r>
      <w:r>
        <w:rPr>
          <w:rFonts w:ascii="Times New Roman" w:hAnsi="Times New Roman" w:cs="Times New Roman"/>
          <w:noProof/>
          <w:sz w:val="24"/>
          <w:szCs w:val="24"/>
          <w:vertAlign w:val="superscript"/>
          <w:lang w:val="en-GB"/>
        </w:rPr>
        <w:footnoteReference w:id="86"/>
      </w:r>
      <w:r>
        <w:rPr>
          <w:rFonts w:ascii="Times New Roman" w:hAnsi="Times New Roman"/>
          <w:noProof/>
          <w:sz w:val="24"/>
          <w:szCs w:val="24"/>
        </w:rPr>
        <w:t xml:space="preserve"> Dél-Koreával. A szóban forgó ILO-egyezmények megerősítésére irányuló érdemi erőfeszítések hiányában az EU 2019. július 4-én szakértői testület felállítását kezdeményezte</w:t>
      </w:r>
      <w:r>
        <w:rPr>
          <w:rFonts w:ascii="Times New Roman" w:hAnsi="Times New Roman" w:cs="Times New Roman"/>
          <w:noProof/>
          <w:sz w:val="24"/>
          <w:szCs w:val="24"/>
          <w:vertAlign w:val="superscript"/>
          <w:lang w:val="en-GB"/>
        </w:rPr>
        <w:footnoteReference w:id="87"/>
      </w:r>
      <w:r>
        <w:rPr>
          <w:rFonts w:ascii="Times New Roman" w:hAnsi="Times New Roman"/>
          <w:noProof/>
          <w:sz w:val="24"/>
          <w:szCs w:val="24"/>
        </w:rPr>
        <w:t>, amely hivatalosan 2019. december 30-án jött létre. Az eljárások folyamatban vannak.</w:t>
      </w:r>
    </w:p>
    <w:p>
      <w:pPr>
        <w:spacing w:after="120" w:line="240" w:lineRule="auto"/>
        <w:rPr>
          <w:rFonts w:ascii="Times New Roman" w:hAnsi="Times New Roman" w:cs="Times New Roman"/>
          <w:i/>
          <w:noProof/>
          <w:sz w:val="24"/>
          <w:szCs w:val="24"/>
        </w:rPr>
      </w:pPr>
    </w:p>
    <w:p>
      <w:pPr>
        <w:pStyle w:val="Heading2"/>
        <w:rPr>
          <w:rFonts w:eastAsia="Times New Roman"/>
          <w:noProof/>
        </w:rPr>
      </w:pPr>
      <w:bookmarkStart w:id="33" w:name="_Toc16233946"/>
      <w:bookmarkStart w:id="34" w:name="_Toc55303843"/>
      <w:r>
        <w:rPr>
          <w:noProof/>
        </w:rPr>
        <w:t>8.2.</w:t>
      </w:r>
      <w:r>
        <w:rPr>
          <w:noProof/>
        </w:rPr>
        <w:tab/>
        <w:t>Vitarendezés Ukrajnával</w:t>
      </w:r>
      <w:bookmarkEnd w:id="33"/>
      <w:bookmarkEnd w:id="34"/>
    </w:p>
    <w:p>
      <w:pPr>
        <w:spacing w:after="120" w:line="240" w:lineRule="auto"/>
        <w:rPr>
          <w:rFonts w:ascii="Times New Roman" w:hAnsi="Times New Roman" w:cs="Times New Roman"/>
          <w:noProof/>
          <w:sz w:val="24"/>
          <w:szCs w:val="24"/>
        </w:rPr>
      </w:pPr>
      <w:r>
        <w:rPr>
          <w:rFonts w:ascii="Times New Roman" w:hAnsi="Times New Roman"/>
          <w:noProof/>
          <w:sz w:val="24"/>
          <w:szCs w:val="24"/>
        </w:rPr>
        <w:t>2019 januárjában az EU úgy határozott, hogy az EU–Ukrajna társulási megállapodás szerinti kétoldalú vitarendezési rendszer keretében konzultációt kezdeményez</w:t>
      </w:r>
      <w:r>
        <w:rPr>
          <w:rStyle w:val="FootnoteReference"/>
          <w:rFonts w:ascii="Times New Roman" w:hAnsi="Times New Roman" w:cs="Times New Roman"/>
          <w:noProof/>
          <w:sz w:val="24"/>
          <w:szCs w:val="24"/>
        </w:rPr>
        <w:footnoteReference w:id="88"/>
      </w:r>
      <w:r>
        <w:rPr>
          <w:rFonts w:ascii="Times New Roman" w:hAnsi="Times New Roman"/>
          <w:noProof/>
          <w:sz w:val="24"/>
          <w:szCs w:val="24"/>
        </w:rPr>
        <w:t xml:space="preserve"> Ukrajnával a fakivitel ukrajnai korlátozásáról. A korlátozás kezdetben tíz fafaj esetében a rönkfát és a fűrészárut érintette, majd 2015-ben kiterjesztették minden feldolgozatlan faanyagra, 2017-től pedig a fenyőre is.</w:t>
      </w:r>
    </w:p>
    <w:p>
      <w:pPr>
        <w:spacing w:after="120" w:line="264" w:lineRule="auto"/>
        <w:rPr>
          <w:rFonts w:ascii="Times New Roman" w:hAnsi="Times New Roman" w:cs="Times New Roman"/>
          <w:noProof/>
          <w:sz w:val="24"/>
          <w:szCs w:val="24"/>
        </w:rPr>
      </w:pPr>
      <w:r>
        <w:rPr>
          <w:rFonts w:ascii="Times New Roman" w:hAnsi="Times New Roman"/>
          <w:noProof/>
          <w:sz w:val="24"/>
          <w:szCs w:val="24"/>
        </w:rPr>
        <w:t>Az EU számos alkalommal felvetette a kérdést Ukrajnának, mivel a kivitel korlátozása összeegyeztethetetlen a társulási megállapodással. 2019-ben Ukrajna nem kísérelte meg hatályon kívül helyezni a tilalmat. Ebből kifolyólag, illetve a 2019. februári kétoldalú vitarendezési konzultációkat követően, amelyek nem vezettek az ügy rendezéséhez, az EU kétoldalú választottbírói testület hivatalos felállítását kérelmezte az ügy rendezésére. A kérelmezésre 2019. júniusában került sor</w:t>
      </w:r>
      <w:r>
        <w:rPr>
          <w:rStyle w:val="FootnoteReference"/>
          <w:rFonts w:ascii="Times New Roman" w:eastAsia="Times New Roman" w:hAnsi="Times New Roman" w:cs="Times New Roman"/>
          <w:noProof/>
          <w:sz w:val="24"/>
          <w:szCs w:val="24"/>
          <w:lang w:val="en-GB"/>
        </w:rPr>
        <w:footnoteReference w:id="89"/>
      </w:r>
      <w:r>
        <w:rPr>
          <w:rFonts w:ascii="Times New Roman" w:hAnsi="Times New Roman"/>
          <w:noProof/>
          <w:sz w:val="24"/>
          <w:szCs w:val="24"/>
        </w:rPr>
        <w:t>, a választottbírói testület, amely az uniós szabadkereskedelmi megállapodások történelmében az első ilyen testület, hivatalosan 2020. január 28-án került felállításra. Az eljárások folyamatban vannak.</w:t>
      </w:r>
    </w:p>
    <w:p>
      <w:pPr>
        <w:spacing w:after="0" w:line="240" w:lineRule="auto"/>
        <w:rPr>
          <w:rFonts w:ascii="Times New Roman" w:eastAsia="Times New Roman" w:hAnsi="Times New Roman" w:cs="Times New Roman"/>
          <w:b/>
          <w:bCs/>
          <w:noProof/>
          <w:sz w:val="26"/>
          <w:szCs w:val="26"/>
        </w:rPr>
      </w:pPr>
      <w:bookmarkStart w:id="35" w:name="_Toc16233947"/>
    </w:p>
    <w:p>
      <w:pPr>
        <w:pStyle w:val="Heading2"/>
        <w:rPr>
          <w:rFonts w:eastAsia="Times New Roman"/>
          <w:noProof/>
        </w:rPr>
      </w:pPr>
      <w:bookmarkStart w:id="36" w:name="_Toc55303844"/>
      <w:r>
        <w:rPr>
          <w:noProof/>
        </w:rPr>
        <w:t>8.3.</w:t>
      </w:r>
      <w:r>
        <w:rPr>
          <w:noProof/>
        </w:rPr>
        <w:tab/>
        <w:t>Vitarendezés a Dél-afrikai Vámunióval</w:t>
      </w:r>
      <w:bookmarkEnd w:id="35"/>
      <w:r>
        <w:rPr>
          <w:noProof/>
        </w:rPr>
        <w:t xml:space="preserve"> (SACU)</w:t>
      </w:r>
      <w:bookmarkEnd w:id="36"/>
    </w:p>
    <w:p>
      <w:pPr>
        <w:spacing w:after="120" w:line="240" w:lineRule="auto"/>
        <w:rPr>
          <w:rFonts w:ascii="Times New Roman" w:hAnsi="Times New Roman" w:cs="Times New Roman"/>
          <w:noProof/>
          <w:sz w:val="24"/>
          <w:szCs w:val="24"/>
        </w:rPr>
      </w:pPr>
      <w:r>
        <w:rPr>
          <w:rFonts w:ascii="Times New Roman" w:hAnsi="Times New Roman"/>
          <w:noProof/>
          <w:sz w:val="24"/>
          <w:szCs w:val="24"/>
        </w:rPr>
        <w:t>2019. június 14-én,</w:t>
      </w:r>
      <w:r>
        <w:rPr>
          <w:noProof/>
        </w:rPr>
        <w:t xml:space="preserve"> </w:t>
      </w:r>
      <w:r>
        <w:rPr>
          <w:rFonts w:ascii="Times New Roman" w:hAnsi="Times New Roman"/>
          <w:noProof/>
          <w:sz w:val="24"/>
          <w:szCs w:val="24"/>
        </w:rPr>
        <w:t>az EU az EU–SADC gazdasági partnerségi megállapodás (EU-SADC GPM) vitamegelőzésre és vitarendezésre vonatkozó része alapján konzultációt kezdeményezett</w:t>
      </w:r>
      <w:r>
        <w:rPr>
          <w:rFonts w:ascii="Times New Roman" w:hAnsi="Times New Roman" w:cs="Times New Roman"/>
          <w:noProof/>
          <w:sz w:val="24"/>
          <w:szCs w:val="24"/>
          <w:vertAlign w:val="superscript"/>
          <w:lang w:val="en-GB"/>
        </w:rPr>
        <w:footnoteReference w:id="90"/>
      </w:r>
      <w:r>
        <w:rPr>
          <w:rFonts w:ascii="Times New Roman" w:hAnsi="Times New Roman"/>
          <w:noProof/>
          <w:sz w:val="24"/>
          <w:szCs w:val="24"/>
        </w:rPr>
        <w:t xml:space="preserve"> a Dél-afrikai Vámunióval (SACU). A megkeresés tárgya a fagyasztott csontos csirkedarabok uniós kivitelével szemben bevezetett védintézkedés volt. Az EU úgy ítéli meg, hogy a Dél-afrikai Vámunió az EU–SADC GPM elveit és szabályait megsértve vezette be az intézkedést. A védintézkedés hatálya 2022. március 11-én jár le. Ugyanakkor további 4 évre meghosszabbítható.</w:t>
      </w:r>
    </w:p>
    <w:p>
      <w:pPr>
        <w:spacing w:after="120"/>
        <w:rPr>
          <w:rFonts w:ascii="Times New Roman" w:hAnsi="Times New Roman" w:cs="Times New Roman"/>
          <w:noProof/>
          <w:sz w:val="24"/>
          <w:szCs w:val="24"/>
        </w:rPr>
      </w:pPr>
      <w:r>
        <w:rPr>
          <w:rFonts w:ascii="Times New Roman" w:hAnsi="Times New Roman"/>
          <w:noProof/>
          <w:sz w:val="24"/>
          <w:szCs w:val="24"/>
        </w:rPr>
        <w:t>A 2019 szeptemberében tartott konzultációk nem vezettek kölcsönösen kielégítő megoldáshoz, viszont megerősítették az EU azon álláspontját, hogy a védintézkedés nem áll összhangban az EU-SADC GPM rendelkezéseivel. 2020. április 21-én az EU választottbírói testület felállítását kérelmezte</w:t>
      </w:r>
      <w:r>
        <w:rPr>
          <w:rStyle w:val="FootnoteReference"/>
          <w:rFonts w:ascii="Times New Roman" w:hAnsi="Times New Roman" w:cs="Times New Roman"/>
          <w:noProof/>
          <w:sz w:val="24"/>
          <w:szCs w:val="24"/>
          <w:lang w:val="en-GB"/>
        </w:rPr>
        <w:footnoteReference w:id="91"/>
      </w:r>
      <w:r>
        <w:rPr>
          <w:rFonts w:ascii="Times New Roman" w:hAnsi="Times New Roman"/>
          <w:noProof/>
          <w:sz w:val="24"/>
          <w:szCs w:val="24"/>
        </w:rPr>
        <w:t xml:space="preserve"> a Dél-afrikai Vámunióval az EU-SADC GPM vitamegelőzésre és vitarendezésre vonatkozó része alapján.</w:t>
      </w:r>
    </w:p>
    <w:p>
      <w:pPr>
        <w:spacing w:after="0"/>
        <w:rPr>
          <w:rFonts w:ascii="Times New Roman" w:hAnsi="Times New Roman" w:cs="Times New Roman"/>
          <w:noProof/>
          <w:sz w:val="24"/>
          <w:szCs w:val="24"/>
        </w:rPr>
      </w:pPr>
    </w:p>
    <w:p>
      <w:pPr>
        <w:pStyle w:val="Heading1"/>
        <w:rPr>
          <w:noProof/>
        </w:rPr>
      </w:pPr>
      <w:bookmarkStart w:id="37" w:name="_Toc55303845"/>
      <w:r>
        <w:rPr>
          <w:noProof/>
        </w:rPr>
        <w:t>9. KÖVETKEZTETÉSEK</w:t>
      </w:r>
      <w:bookmarkEnd w:id="37"/>
    </w:p>
    <w:p>
      <w:pPr>
        <w:spacing w:after="0"/>
        <w:rPr>
          <w:noProof/>
        </w:rPr>
      </w:pPr>
    </w:p>
    <w:p>
      <w:pPr>
        <w:rPr>
          <w:rFonts w:ascii="Times New Roman" w:hAnsi="Times New Roman" w:cs="Times New Roman"/>
          <w:noProof/>
          <w:sz w:val="24"/>
          <w:szCs w:val="24"/>
        </w:rPr>
      </w:pPr>
      <w:r>
        <w:rPr>
          <w:rFonts w:ascii="Times New Roman" w:hAnsi="Times New Roman"/>
          <w:noProof/>
          <w:sz w:val="24"/>
          <w:szCs w:val="24"/>
        </w:rPr>
        <w:t>2019-ben a WTO elhúzódó válsága és a protekcionista tendenciák, valamint a globális kereskedelem és beruházások lassulása ellenére az uniós kereskedelmi megállapodások továbbra is megkönnyítették az áruk és szolgáltatások tisztességes kereskedelmét és a beruházást, erősítették a nemzetközi szabályok keretrendszerét, támogatták a fenntarthatósági célkitűzéseket és hozzájárultak az EU iparpolitikájának nemzetközi dimenziójához</w:t>
      </w:r>
      <w:r>
        <w:rPr>
          <w:rFonts w:ascii="Times New Roman" w:hAnsi="Times New Roman" w:cs="Times New Roman"/>
          <w:noProof/>
          <w:sz w:val="24"/>
          <w:szCs w:val="24"/>
          <w:vertAlign w:val="superscript"/>
          <w:lang w:val="en-GB"/>
        </w:rPr>
        <w:footnoteReference w:id="92"/>
      </w:r>
      <w:r>
        <w:rPr>
          <w:rFonts w:ascii="Times New Roman" w:hAnsi="Times New Roman"/>
          <w:noProof/>
          <w:sz w:val="24"/>
          <w:szCs w:val="24"/>
        </w:rPr>
        <w:t>. Ez azt mutatja, hogy ezek a megállapodások lényegileg tudnak hozzájárulni a Covid19-világjárvány utáni helyreállításhoz, amely a várakozások szerint 2020-ban az EU gazdaságának 8,3 %-os zsugorodását idézi elő</w:t>
      </w:r>
      <w:r>
        <w:rPr>
          <w:rStyle w:val="FootnoteReference"/>
          <w:rFonts w:ascii="Times New Roman" w:hAnsi="Times New Roman" w:cs="Times New Roman"/>
          <w:noProof/>
          <w:sz w:val="24"/>
          <w:szCs w:val="24"/>
          <w:lang w:val="en-GB"/>
        </w:rPr>
        <w:footnoteReference w:id="93"/>
      </w:r>
      <w:r>
        <w:rPr>
          <w:rFonts w:ascii="Times New Roman" w:hAnsi="Times New Roman"/>
          <w:noProof/>
          <w:sz w:val="24"/>
          <w:szCs w:val="24"/>
        </w:rPr>
        <w:t>. Az uniós kereskedelmi megállapodások különösen támogatják az európai értékláncok diverzifikációját, előmozdítják a digitális kereskedelmet és platformokat biztosítanak az uniós kereskedelmi partnerekkel való mélyebb együttműködéshez a multilateralizmus és a tágabb értelemben vett fenntarthatósági kérdések tekintetében. Az e megállapodások végrehajtása és érvényesítése eredményességének javítására irányuló erőfeszítéseket az új kereskedelmi jogérvényesítési főtisztviselő fogja vezetni, szoros együttműködésben más uniós intézményekkel, a tagállamokkal, az érdekelt felekkel és a civil társadalommal.</w:t>
      </w:r>
    </w:p>
    <w:sectPr>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NewRomanPS">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861729"/>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E jelentés a következetesség érdekében az Európai Unió kereskedelmi partnereinek az intézményközi útmutatóban felsorolt rövid neveit használja, amely útmutató a következő honlapon érhető el: </w:t>
      </w:r>
      <w:hyperlink r:id="rId1" w:history="1">
        <w:r>
          <w:rPr>
            <w:rStyle w:val="Hyperlink"/>
            <w:rFonts w:ascii="Times New Roman" w:hAnsi="Times New Roman" w:cs="Times New Roman"/>
          </w:rPr>
          <w:t>https://publications.europa.eu/code/hu/hu-5000500.htm</w:t>
        </w:r>
      </w:hyperlink>
    </w:p>
  </w:footnote>
  <w:footnote w:id="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Ez a megnevezés nem értelmezhető a palesztin állam elismeréseként és nem érinti az egyes tagállamok e kérdésre vonatkozó álláspontját.</w:t>
      </w:r>
    </w:p>
  </w:footnote>
  <w:footnote w:id="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 Ez a megnevezés nem érinti a jogállással kapcsolatos álláspontokat, továbbá összhangban van az 1244 (1999) sz. ENSZ BT-határozattal és a Nemzetközi Bíróságnak a koszovói függetlenségi nyilatkozatról szóló véleményével.</w:t>
      </w:r>
    </w:p>
  </w:footnote>
  <w:footnote w:id="5">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 megállapodás a Comore-szigetek esetében 2019. február 7-étől hatályos.</w:t>
      </w:r>
    </w:p>
  </w:footnote>
  <w:footnote w:id="6">
    <w:p>
      <w:pPr>
        <w:pStyle w:val="FootnoteText"/>
        <w:rPr>
          <w:rFonts w:ascii="Times New Roman" w:hAnsi="Times New Roman" w:cs="Times New Roman"/>
        </w:rPr>
      </w:pPr>
      <w:r>
        <w:rPr>
          <w:rStyle w:val="FootnoteReference"/>
        </w:rPr>
        <w:footnoteRef/>
      </w:r>
      <w:r>
        <w:t xml:space="preserve"> </w:t>
      </w:r>
      <w:r>
        <w:rPr>
          <w:rFonts w:ascii="Times New Roman" w:hAnsi="Times New Roman"/>
        </w:rPr>
        <w:t>A megállapodás hatálya 2018. december 31-étől Szamoára is kiterjed.</w:t>
      </w:r>
    </w:p>
  </w:footnote>
  <w:footnote w:id="7">
    <w:p>
      <w:pPr>
        <w:pStyle w:val="FootnoteText"/>
        <w:rPr>
          <w:rFonts w:ascii="Times New Roman" w:hAnsi="Times New Roman" w:cs="Times New Roman"/>
        </w:rPr>
      </w:pPr>
      <w:r>
        <w:rPr>
          <w:rStyle w:val="FootnoteReference"/>
        </w:rPr>
        <w:footnoteRef/>
      </w:r>
      <w:r>
        <w:t xml:space="preserve"> </w:t>
      </w:r>
      <w:r>
        <w:rPr>
          <w:rFonts w:ascii="Times New Roman" w:hAnsi="Times New Roman"/>
        </w:rPr>
        <w:t xml:space="preserve">A megállapodások betűrendbe sorolt listája elérhető a DG TRADE honlapján: </w:t>
      </w:r>
      <w:hyperlink r:id="rId2" w:history="1">
        <w:r>
          <w:rPr>
            <w:rStyle w:val="Hyperlink"/>
            <w:rFonts w:ascii="Times New Roman" w:hAnsi="Times New Roman"/>
          </w:rPr>
          <w:t>https://ec.europa.eu/trade/policy/countries-and-regions/negotiations-and-agreements/</w:t>
        </w:r>
      </w:hyperlink>
      <w:r>
        <w:rPr>
          <w:rFonts w:ascii="Times New Roman" w:hAnsi="Times New Roman"/>
        </w:rPr>
        <w:t xml:space="preserve"> </w:t>
      </w:r>
    </w:p>
  </w:footnote>
  <w:footnote w:id="8">
    <w:p>
      <w:pPr>
        <w:pStyle w:val="FootnoteText"/>
      </w:pPr>
      <w:r>
        <w:rPr>
          <w:rStyle w:val="FootnoteReference"/>
        </w:rPr>
        <w:footnoteRef/>
      </w:r>
      <w:r>
        <w:t xml:space="preserve"> </w:t>
      </w:r>
      <w:hyperlink r:id="rId3" w:history="1">
        <w:r>
          <w:rPr>
            <w:rStyle w:val="Hyperlink"/>
          </w:rPr>
          <w:t>https://ec.europa.eu/commission/presscorner/detail/hu/IP_20_1409</w:t>
        </w:r>
      </w:hyperlink>
    </w:p>
  </w:footnote>
  <w:footnote w:id="9">
    <w:p>
      <w:pPr>
        <w:pStyle w:val="FootnoteText"/>
        <w:rPr>
          <w:rFonts w:ascii="Times New Roman" w:hAnsi="Times New Roman" w:cs="Times New Roman"/>
        </w:rPr>
      </w:pPr>
      <w:r>
        <w:rPr>
          <w:rStyle w:val="FootnoteReference"/>
        </w:rPr>
        <w:footnoteRef/>
      </w:r>
      <w:r>
        <w:t xml:space="preserve"> </w:t>
      </w:r>
      <w:r>
        <w:rPr>
          <w:rFonts w:ascii="Times New Roman" w:hAnsi="Times New Roman"/>
        </w:rPr>
        <w:t>Az Európai Unió és Szingapúr közötti szabadkereskedelmi megállapodás csak 2019. november 21-én lépett hatályba.</w:t>
      </w:r>
    </w:p>
  </w:footnote>
  <w:footnote w:id="10">
    <w:p>
      <w:pPr>
        <w:pStyle w:val="FootnoteText"/>
        <w:rPr>
          <w:rFonts w:ascii="Times New Roman" w:hAnsi="Times New Roman" w:cs="Times New Roman"/>
        </w:rPr>
      </w:pPr>
      <w:r>
        <w:rPr>
          <w:rStyle w:val="FootnoteReference"/>
        </w:rPr>
        <w:footnoteRef/>
      </w:r>
      <w:r>
        <w:t xml:space="preserve"> </w:t>
      </w:r>
      <w:hyperlink r:id="rId4" w:history="1">
        <w:r>
          <w:rPr>
            <w:rStyle w:val="Hyperlink"/>
            <w:rFonts w:ascii="Times New Roman" w:hAnsi="Times New Roman"/>
          </w:rPr>
          <w:t>https://trade.ec.europa.eu/doclib/docs/2020/september/tradoc_158926.pdf</w:t>
        </w:r>
      </w:hyperlink>
    </w:p>
  </w:footnote>
  <w:footnote w:id="11">
    <w:p>
      <w:pPr>
        <w:pStyle w:val="FootnoteText"/>
        <w:rPr>
          <w:rFonts w:ascii="Times New Roman" w:hAnsi="Times New Roman" w:cs="Times New Roman"/>
        </w:rPr>
      </w:pPr>
      <w:r>
        <w:rPr>
          <w:rStyle w:val="FootnoteReference"/>
        </w:rPr>
        <w:footnoteRef/>
      </w:r>
      <w:r>
        <w:t xml:space="preserve"> </w:t>
      </w:r>
      <w:r>
        <w:rPr>
          <w:rFonts w:ascii="Times New Roman" w:hAnsi="Times New Roman"/>
        </w:rPr>
        <w:t>Az Európai Unió és Szingapúr közötti szabadkereskedelmi megállapodás csak 2019. november 21-én lépett hatályba, ezért ez a jelentés és a kísérő szolgálati munkadokumentum csak az előkészítő munkáról ad áttekintést. A 2021. évi kiadás fog teljes jelentést tartalmazni.</w:t>
      </w:r>
    </w:p>
  </w:footnote>
  <w:footnote w:id="12">
    <w:p>
      <w:pPr>
        <w:pStyle w:val="FootnoteText"/>
      </w:pPr>
      <w:r>
        <w:rPr>
          <w:rStyle w:val="FootnoteReference"/>
        </w:rPr>
        <w:footnoteRef/>
      </w:r>
      <w:r>
        <w:t xml:space="preserve"> </w:t>
      </w:r>
      <w:r>
        <w:rPr>
          <w:rFonts w:ascii="Times New Roman" w:hAnsi="Times New Roman"/>
        </w:rPr>
        <w:t xml:space="preserve">A 15 pontos cselekvési terv elérhető a következő honlapon: </w:t>
      </w:r>
      <w:hyperlink r:id="rId5" w:history="1">
        <w:r>
          <w:rPr>
            <w:rStyle w:val="Hyperlink"/>
            <w:rFonts w:ascii="Times New Roman" w:hAnsi="Times New Roman"/>
          </w:rPr>
          <w:t>https://trade.ec.europa.eu/doclib/docs/2018/february/tradoc_156618.pdf</w:t>
        </w:r>
      </w:hyperlink>
    </w:p>
  </w:footnote>
  <w:footnote w:id="13">
    <w:p>
      <w:pPr>
        <w:pStyle w:val="FootnoteText"/>
        <w:rPr>
          <w:rFonts w:ascii="Times New Roman" w:hAnsi="Times New Roman" w:cs="Times New Roman"/>
        </w:rPr>
      </w:pPr>
      <w:r>
        <w:rPr>
          <w:rStyle w:val="FootnoteReference"/>
        </w:rPr>
        <w:footnoteRef/>
      </w:r>
      <w:r>
        <w:t xml:space="preserve"> </w:t>
      </w:r>
      <w:r>
        <w:rPr>
          <w:rFonts w:ascii="Times New Roman" w:hAnsi="Times New Roman"/>
        </w:rPr>
        <w:t>Lásd például az EU–Dél-Korea szabadkereskedelmi megállapodás utólagos értékelését (végleges jelentés, 10.7. szakasz); a 6 földközi-tengeri országgal kötött társulási megállapodás utólagos értékelését (időközi jelentés, 16., 106., 198–200. oldal); az EU–Cariforum gazdasági partnerségi megállapodás utólagos értékelését (időközijelentés-tervezet, 4.5. szakasz).</w:t>
      </w:r>
    </w:p>
  </w:footnote>
  <w:footnote w:id="14">
    <w:p>
      <w:pPr>
        <w:pStyle w:val="FootnoteText"/>
        <w:rPr>
          <w:rFonts w:ascii="Times New Roman" w:hAnsi="Times New Roman" w:cs="Times New Roman"/>
        </w:rPr>
      </w:pPr>
      <w:r>
        <w:rPr>
          <w:rStyle w:val="FootnoteReference"/>
        </w:rPr>
        <w:footnoteRef/>
      </w:r>
      <w:r>
        <w:t xml:space="preserve"> </w:t>
      </w:r>
      <w:r>
        <w:rPr>
          <w:rFonts w:ascii="Times New Roman" w:hAnsi="Times New Roman"/>
        </w:rPr>
        <w:t>Az agrár-élelmiszeripari termékek kereskedelmének alakulására vonatkozó további információkért lásd a 6. szakaszt.</w:t>
      </w:r>
    </w:p>
  </w:footnote>
  <w:footnote w:id="15">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 w:history="1">
        <w:r>
          <w:rPr>
            <w:rStyle w:val="Hyperlink"/>
            <w:rFonts w:ascii="Times New Roman" w:hAnsi="Times New Roman"/>
          </w:rPr>
          <w:t>https://eur-lex.europa.eu/LexUriServ/LexUriServ.do?uri=COM:2006:0567:FIN:hu:PDF</w:t>
        </w:r>
      </w:hyperlink>
      <w:r>
        <w:rPr>
          <w:rFonts w:ascii="Times New Roman" w:hAnsi="Times New Roman"/>
        </w:rPr>
        <w:t xml:space="preserve"> </w:t>
      </w:r>
    </w:p>
  </w:footnote>
  <w:footnote w:id="16">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Norvégia, Ukrajna, Moldova, Grúzia, Chile, Közép-Amerika, az andoki országok, Mexikó, Kanada, Cariforum, Dél-Korea és Japán.</w:t>
      </w:r>
    </w:p>
  </w:footnote>
  <w:footnote w:id="17">
    <w:p>
      <w:pPr>
        <w:pStyle w:val="FootnoteText"/>
      </w:pPr>
      <w:r>
        <w:rPr>
          <w:rStyle w:val="FootnoteReference"/>
        </w:rPr>
        <w:footnoteRef/>
      </w:r>
      <w:r>
        <w:t xml:space="preserve"> </w:t>
      </w:r>
      <w:r>
        <w:rPr>
          <w:rFonts w:ascii="Times New Roman" w:hAnsi="Times New Roman"/>
        </w:rPr>
        <w:t>Az EU Szingapúrral kötött megállapodása 2019. november 21-én lépett hatályba.</w:t>
      </w:r>
    </w:p>
  </w:footnote>
  <w:footnote w:id="18">
    <w:p>
      <w:pPr>
        <w:pStyle w:val="FootnoteText"/>
        <w:rPr>
          <w:rFonts w:ascii="Times New Roman" w:hAnsi="Times New Roman" w:cs="Times New Roman"/>
        </w:rPr>
      </w:pPr>
      <w:r>
        <w:rPr>
          <w:rStyle w:val="FootnoteReference"/>
        </w:rPr>
        <w:footnoteRef/>
      </w:r>
      <w:r>
        <w:t xml:space="preserve"> </w:t>
      </w:r>
      <w:hyperlink r:id="rId7" w:history="1">
        <w:r>
          <w:rPr>
            <w:rStyle w:val="Hyperlink"/>
            <w:rFonts w:ascii="Times New Roman" w:hAnsi="Times New Roman"/>
          </w:rPr>
          <w:t>https://www.mti.gov.sg/Improving-Trade/Free-Trade-Agreements/CPTPP</w:t>
        </w:r>
      </w:hyperlink>
      <w:r>
        <w:rPr>
          <w:rFonts w:ascii="Times New Roman" w:hAnsi="Times New Roman"/>
        </w:rPr>
        <w:t xml:space="preserve"> </w:t>
      </w:r>
    </w:p>
  </w:footnote>
  <w:footnote w:id="19">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8" w:history="1">
        <w:r>
          <w:rPr>
            <w:rStyle w:val="Hyperlink"/>
            <w:rFonts w:ascii="Times New Roman" w:hAnsi="Times New Roman"/>
          </w:rPr>
          <w:t>https://trade.ec.europa.eu/doclib/docs/2019/march/tradoc_157716.pdf</w:t>
        </w:r>
      </w:hyperlink>
    </w:p>
  </w:footnote>
  <w:footnote w:id="20">
    <w:p>
      <w:pPr>
        <w:pStyle w:val="FootnoteText"/>
        <w:rPr>
          <w:rFonts w:ascii="Times New Roman" w:hAnsi="Times New Roman" w:cs="Times New Roman"/>
        </w:rPr>
      </w:pPr>
      <w:r>
        <w:rPr>
          <w:rStyle w:val="FootnoteReference"/>
        </w:rPr>
        <w:footnoteRef/>
      </w:r>
      <w:r>
        <w:t xml:space="preserve"> </w:t>
      </w:r>
      <w:r>
        <w:rPr>
          <w:rFonts w:ascii="Times New Roman" w:hAnsi="Times New Roman"/>
        </w:rPr>
        <w:t>A függőben lévő vitával kapcsolatos további információkért lásd a 8. (Jogérvényesítés) szakaszt.</w:t>
      </w:r>
    </w:p>
  </w:footnote>
  <w:footnote w:id="21">
    <w:p>
      <w:pPr>
        <w:pStyle w:val="FootnoteText"/>
        <w:rPr>
          <w:rFonts w:ascii="Times New Roman" w:hAnsi="Times New Roman" w:cs="Times New Roman"/>
        </w:rPr>
      </w:pPr>
      <w:r>
        <w:rPr>
          <w:rStyle w:val="FootnoteReference"/>
        </w:rPr>
        <w:footnoteRef/>
      </w:r>
      <w:r>
        <w:t xml:space="preserve"> </w:t>
      </w:r>
      <w:r>
        <w:rPr>
          <w:rFonts w:ascii="Times New Roman" w:hAnsi="Times New Roman"/>
        </w:rPr>
        <w:t xml:space="preserve">A megállapodás első évfordulójának napjáig elért fő eredmények összefoglalása elérhető a következő honlapon: </w:t>
      </w:r>
      <w:hyperlink r:id="rId9" w:history="1">
        <w:r>
          <w:rPr>
            <w:rStyle w:val="Hyperlink"/>
            <w:rFonts w:ascii="Times New Roman" w:hAnsi="Times New Roman"/>
          </w:rPr>
          <w:t>https://trade.ec.europa.eu/doclib/press/index.cfm?id=2107</w:t>
        </w:r>
      </w:hyperlink>
    </w:p>
  </w:footnote>
  <w:footnote w:id="22">
    <w:p>
      <w:pPr>
        <w:pStyle w:val="FootnoteText"/>
        <w:rPr>
          <w:rFonts w:ascii="Times New Roman" w:hAnsi="Times New Roman" w:cs="Times New Roman"/>
        </w:rPr>
      </w:pPr>
      <w:r>
        <w:rPr>
          <w:rStyle w:val="FootnoteReference"/>
        </w:rPr>
        <w:footnoteRef/>
      </w:r>
      <w:r>
        <w:t xml:space="preserve"> </w:t>
      </w:r>
      <w:hyperlink r:id="rId10" w:history="1">
        <w:r>
          <w:rPr>
            <w:rFonts w:ascii="Times New Roman" w:hAnsi="Times New Roman"/>
            <w:color w:val="0000FF"/>
            <w:u w:val="single"/>
          </w:rPr>
          <w:t>https://www.eu-japan.eu/</w:t>
        </w:r>
      </w:hyperlink>
    </w:p>
  </w:footnote>
  <w:footnote w:id="23">
    <w:p>
      <w:pPr>
        <w:pStyle w:val="FootnoteText"/>
        <w:rPr>
          <w:rFonts w:ascii="Times New Roman" w:hAnsi="Times New Roman" w:cs="Times New Roman"/>
        </w:rPr>
      </w:pPr>
      <w:r>
        <w:rPr>
          <w:rStyle w:val="FootnoteReference"/>
        </w:rPr>
        <w:footnoteRef/>
      </w:r>
      <w:r>
        <w:t xml:space="preserve"> </w:t>
      </w:r>
      <w:r>
        <w:rPr>
          <w:rFonts w:ascii="Times New Roman" w:hAnsi="Times New Roman"/>
        </w:rPr>
        <w:t xml:space="preserve">A vámhatóságok által végrehajtandó intézkedések megtekinthetők itt: </w:t>
      </w:r>
      <w:hyperlink r:id="rId11" w:history="1">
        <w:r>
          <w:rPr>
            <w:rStyle w:val="Hyperlink"/>
            <w:rFonts w:ascii="Times New Roman" w:hAnsi="Times New Roman"/>
          </w:rPr>
          <w:t>https://trade.ec.europa.eu/doclib/docs/2019/july/tradoc_157973.pdf</w:t>
        </w:r>
      </w:hyperlink>
      <w:r>
        <w:rPr>
          <w:rFonts w:ascii="Times New Roman" w:hAnsi="Times New Roman"/>
        </w:rPr>
        <w:t xml:space="preserve"> </w:t>
      </w:r>
    </w:p>
  </w:footnote>
  <w:footnote w:id="24">
    <w:p>
      <w:pPr>
        <w:pStyle w:val="FootnoteText"/>
        <w:rPr>
          <w:rFonts w:ascii="Times New Roman" w:hAnsi="Times New Roman" w:cs="Times New Roman"/>
        </w:rPr>
      </w:pPr>
      <w:r>
        <w:rPr>
          <w:rStyle w:val="FootnoteReference"/>
        </w:rPr>
        <w:footnoteRef/>
      </w:r>
      <w:r>
        <w:t xml:space="preserve"> </w:t>
      </w:r>
      <w:r>
        <w:rPr>
          <w:rFonts w:ascii="Times New Roman" w:hAnsi="Times New Roman"/>
        </w:rPr>
        <w:t>A beruházási vitákkal foglalkozó bírósági rendszer rendelkezéseit nem alkalmazzák ideiglenesen, azok csak akkor fognak hatályba lépni, ha már minden EU-tagállam megerősítette a CETA-t.</w:t>
      </w:r>
    </w:p>
  </w:footnote>
  <w:footnote w:id="25">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 javaslatok tárgyát a következők képezik: (1) a fellebbviteli fórumra vonatkozó szabályok, (2) a fórum tagjainak magatartási kódexe, (3) a közvetítésre vonatkozó szabályok és (4) a kötelező értelmezések elfogadásának eljárása.</w:t>
      </w:r>
    </w:p>
  </w:footnote>
  <w:footnote w:id="26">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Ausztrália az EU-val mint harmadik féllel vitatta a behozott szeszes italokra kivetett adót a Kereskedelmi Világszervezetben.</w:t>
      </w:r>
    </w:p>
  </w:footnote>
  <w:footnote w:id="27">
    <w:p>
      <w:pPr>
        <w:pStyle w:val="FootnoteText"/>
        <w:rPr>
          <w:rFonts w:ascii="Times New Roman" w:hAnsi="Times New Roman" w:cs="Times New Roman"/>
        </w:rPr>
      </w:pPr>
      <w:r>
        <w:rPr>
          <w:rStyle w:val="FootnoteReference"/>
        </w:rPr>
        <w:footnoteRef/>
      </w:r>
      <w:r>
        <w:t xml:space="preserve"> </w:t>
      </w:r>
      <w:hyperlink r:id="rId12" w:history="1">
        <w:r>
          <w:rPr>
            <w:rStyle w:val="Hyperlink"/>
            <w:rFonts w:ascii="Times New Roman" w:hAnsi="Times New Roman"/>
          </w:rPr>
          <w:t>https://ec.europa.eu/taxation_customs/sites/taxation/files/ceta_guidance_en.pdf</w:t>
        </w:r>
      </w:hyperlink>
    </w:p>
  </w:footnote>
  <w:footnote w:id="28">
    <w:p>
      <w:pPr>
        <w:pStyle w:val="FootnoteText"/>
        <w:rPr>
          <w:rFonts w:ascii="Times New Roman" w:hAnsi="Times New Roman" w:cs="Times New Roman"/>
        </w:rPr>
      </w:pPr>
      <w:r>
        <w:rPr>
          <w:rStyle w:val="FootnoteReference"/>
        </w:rPr>
        <w:footnoteRef/>
      </w:r>
      <w:r>
        <w:t xml:space="preserve"> </w:t>
      </w:r>
      <w:hyperlink r:id="rId13" w:history="1">
        <w:r>
          <w:rPr>
            <w:rStyle w:val="Hyperlink"/>
            <w:rFonts w:ascii="Times New Roman" w:hAnsi="Times New Roman"/>
          </w:rPr>
          <w:t>https://trade.ec.europa.eu/doclib/docs/2019/november/tradoc_158417.pdf</w:t>
        </w:r>
      </w:hyperlink>
      <w:r>
        <w:rPr>
          <w:rFonts w:ascii="Times New Roman" w:hAnsi="Times New Roman"/>
        </w:rPr>
        <w:t xml:space="preserve"> </w:t>
      </w:r>
    </w:p>
  </w:footnote>
  <w:footnote w:id="29">
    <w:p>
      <w:pPr>
        <w:pStyle w:val="FootnoteText"/>
        <w:rPr>
          <w:rFonts w:ascii="Times New Roman" w:hAnsi="Times New Roman" w:cs="Times New Roman"/>
        </w:rPr>
      </w:pPr>
      <w:r>
        <w:rPr>
          <w:rStyle w:val="FootnoteReference"/>
        </w:rPr>
        <w:footnoteRef/>
      </w:r>
      <w:r>
        <w:t xml:space="preserve"> </w:t>
      </w:r>
      <w:r>
        <w:rPr>
          <w:rFonts w:ascii="Times New Roman" w:hAnsi="Times New Roman"/>
        </w:rPr>
        <w:t>Forrás: IMF DOTS Kereskedelem.</w:t>
      </w:r>
    </w:p>
  </w:footnote>
  <w:footnote w:id="30">
    <w:p>
      <w:pPr>
        <w:pStyle w:val="FootnoteText"/>
        <w:rPr>
          <w:rFonts w:ascii="Times New Roman" w:hAnsi="Times New Roman" w:cs="Times New Roman"/>
        </w:rPr>
      </w:pPr>
      <w:r>
        <w:rPr>
          <w:rStyle w:val="FootnoteReference"/>
        </w:rPr>
        <w:footnoteRef/>
      </w:r>
      <w:r>
        <w:t xml:space="preserve"> </w:t>
      </w:r>
      <w:hyperlink r:id="rId14" w:history="1">
        <w:r>
          <w:rPr>
            <w:rStyle w:val="Hyperlink"/>
            <w:rFonts w:ascii="Times New Roman" w:hAnsi="Times New Roman"/>
          </w:rPr>
          <w:t>http://mneguidelines.oecd.org/rbclac.htm</w:t>
        </w:r>
      </w:hyperlink>
      <w:r>
        <w:rPr>
          <w:rFonts w:ascii="Times New Roman" w:hAnsi="Times New Roman"/>
        </w:rPr>
        <w:t xml:space="preserve"> </w:t>
      </w:r>
    </w:p>
  </w:footnote>
  <w:footnote w:id="3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5" w:history="1">
        <w:r>
          <w:rPr>
            <w:rStyle w:val="Hyperlink"/>
            <w:rFonts w:ascii="Times New Roman" w:hAnsi="Times New Roman"/>
          </w:rPr>
          <w:t>https://www.ilo.org/americas/programas-y-proyectos/WCMS_735906/lang--en/index.htm</w:t>
        </w:r>
      </w:hyperlink>
      <w:r>
        <w:rPr>
          <w:rFonts w:ascii="Times New Roman" w:hAnsi="Times New Roman"/>
        </w:rPr>
        <w:t xml:space="preserve"> </w:t>
      </w:r>
    </w:p>
  </w:footnote>
  <w:footnote w:id="3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6" w:history="1">
        <w:r>
          <w:rPr>
            <w:rStyle w:val="Hyperlink"/>
            <w:rFonts w:ascii="Times New Roman" w:hAnsi="Times New Roman"/>
          </w:rPr>
          <w:t>https://www.ohchr.org/EN/Issues/Business/Pages/JointProjectResponsibleBusinessConduct.aspx</w:t>
        </w:r>
      </w:hyperlink>
      <w:r>
        <w:rPr>
          <w:rFonts w:ascii="Times New Roman" w:hAnsi="Times New Roman"/>
        </w:rPr>
        <w:t xml:space="preserve"> </w:t>
      </w:r>
    </w:p>
  </w:footnote>
  <w:footnote w:id="3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7" w:history="1">
        <w:r>
          <w:rPr>
            <w:rStyle w:val="Hyperlink"/>
            <w:rFonts w:ascii="Times New Roman" w:hAnsi="Times New Roman"/>
          </w:rPr>
          <w:t>https://trade.ec.europa.eu/doclib/press/index.cfm?id=2083</w:t>
        </w:r>
      </w:hyperlink>
      <w:r>
        <w:rPr>
          <w:rFonts w:ascii="Times New Roman" w:hAnsi="Times New Roman"/>
        </w:rPr>
        <w:t xml:space="preserve"> </w:t>
      </w:r>
    </w:p>
  </w:footnote>
  <w:footnote w:id="3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Ez a megnevezés nem értelmezhető a palesztin állam elismeréseként és nem érinti az egyes tagállamok e kérdésre vonatkozó álláspontját.</w:t>
      </w:r>
    </w:p>
  </w:footnote>
  <w:footnote w:id="35">
    <w:p>
      <w:pPr>
        <w:autoSpaceDE w:val="0"/>
        <w:autoSpaceDN w:val="0"/>
        <w:rPr>
          <w:rFonts w:ascii="Times New Roman" w:hAnsi="Times New Roman" w:cs="Times New Roman"/>
          <w:sz w:val="20"/>
          <w:szCs w:val="20"/>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sz w:val="20"/>
          <w:szCs w:val="20"/>
        </w:rPr>
        <w:t>Kizárólag Algéria halaszthatta el 2020. szeptemberig (2017. szeptember helyett) a vámtarifa-lebontás utolsó szakaszát számos olyan ipari termék esetében, amelyekre továbbra is vetettek ki vámokat, noha csökkentett formában.</w:t>
      </w:r>
    </w:p>
  </w:footnote>
  <w:footnote w:id="36">
    <w:p>
      <w:pPr>
        <w:pStyle w:val="FootnoteText"/>
        <w:rPr>
          <w:rFonts w:ascii="Times New Roman" w:hAnsi="Times New Roman" w:cs="Times New Roman"/>
        </w:rPr>
      </w:pPr>
      <w:r>
        <w:rPr>
          <w:rStyle w:val="FootnoteReference"/>
          <w:rFonts w:ascii="Times New Roman" w:hAnsi="Times New Roman" w:cs="Times New Roman"/>
        </w:rPr>
        <w:footnoteRef/>
      </w:r>
      <w:hyperlink r:id="rId18" w:history="1">
        <w:r>
          <w:rPr>
            <w:rStyle w:val="Hyperlink"/>
            <w:rFonts w:ascii="Times New Roman" w:hAnsi="Times New Roman"/>
          </w:rPr>
          <w:t>https://case-research.eu/en/ex-post-evaluation-of-the-impact-of-trade-chapters-of-the-euro-mediterranean-association-agreements-with-six-partners-algeria-egypt-jordan-lebanon-morocco-and-tunisia-interim-technical-report-101329</w:t>
        </w:r>
      </w:hyperlink>
      <w:r>
        <w:rPr>
          <w:rFonts w:ascii="Times New Roman" w:hAnsi="Times New Roman"/>
        </w:rPr>
        <w:t xml:space="preserve"> </w:t>
      </w:r>
    </w:p>
  </w:footnote>
  <w:footnote w:id="37">
    <w:p>
      <w:pPr>
        <w:pStyle w:val="FootnoteText"/>
      </w:pPr>
      <w:r>
        <w:rPr>
          <w:rStyle w:val="FootnoteReference"/>
        </w:rPr>
        <w:footnoteRef/>
      </w:r>
      <w:r>
        <w:t xml:space="preserve"> </w:t>
      </w:r>
      <w:r>
        <w:rPr>
          <w:rFonts w:ascii="Times New Roman" w:hAnsi="Times New Roman"/>
          <w:color w:val="000000" w:themeColor="text1"/>
        </w:rPr>
        <w:t>Mezőgazdasági, feldolgozott mezőgazdasági és halászati termékekre vonatkozó kiegészítő megállapodások már hatályban vannak az EU és Egyiptom, Izrael, Jordánia és Marokkó között, de Tunéziával még nincsenek hatályban ilyen megállapodások.</w:t>
      </w:r>
    </w:p>
  </w:footnote>
  <w:footnote w:id="38">
    <w:p>
      <w:pPr>
        <w:pStyle w:val="FootnoteText"/>
      </w:pPr>
      <w:r>
        <w:rPr>
          <w:rStyle w:val="FootnoteReference"/>
        </w:rPr>
        <w:footnoteRef/>
      </w:r>
      <w:r>
        <w:t xml:space="preserve"> </w:t>
      </w:r>
      <w:r>
        <w:rPr>
          <w:rFonts w:ascii="Times New Roman" w:hAnsi="Times New Roman"/>
        </w:rPr>
        <w:t>Algériának a mutató szerinti pontszáma nagyon alacsony besorolásával azonos szinten maradt, míg a Libanonra és Palesztinára vonatkozó mutató romlott.</w:t>
      </w:r>
    </w:p>
  </w:footnote>
  <w:footnote w:id="39">
    <w:p>
      <w:pPr>
        <w:pStyle w:val="FootnoteText"/>
        <w:rPr>
          <w:rFonts w:ascii="Times New Roman" w:hAnsi="Times New Roman" w:cs="Times New Roman"/>
        </w:rPr>
      </w:pPr>
      <w:r>
        <w:rPr>
          <w:rStyle w:val="FootnoteReference"/>
        </w:rPr>
        <w:footnoteRef/>
      </w:r>
      <w:r>
        <w:t xml:space="preserve"> </w:t>
      </w:r>
      <w:r>
        <w:rPr>
          <w:rFonts w:ascii="Times New Roman" w:hAnsi="Times New Roman"/>
        </w:rPr>
        <w:t>Office des Changes</w:t>
      </w:r>
    </w:p>
  </w:footnote>
  <w:footnote w:id="40">
    <w:p>
      <w:pPr>
        <w:pStyle w:val="FootnoteText"/>
        <w:rPr>
          <w:rFonts w:ascii="Times New Roman" w:hAnsi="Times New Roman" w:cs="Times New Roman"/>
        </w:rPr>
      </w:pPr>
      <w:r>
        <w:rPr>
          <w:rStyle w:val="FootnoteReference"/>
        </w:rPr>
        <w:footnoteRef/>
      </w:r>
      <w:r>
        <w:t xml:space="preserve"> </w:t>
      </w:r>
      <w:r>
        <w:rPr>
          <w:rFonts w:ascii="Times New Roman" w:hAnsi="Times New Roman"/>
        </w:rPr>
        <w:t>OECD befektetéspolitikai felülvizsgálatok: Tunézia 2012</w:t>
      </w:r>
    </w:p>
  </w:footnote>
  <w:footnote w:id="41">
    <w:p>
      <w:pPr>
        <w:pStyle w:val="FootnoteText"/>
      </w:pPr>
      <w:r>
        <w:rPr>
          <w:rStyle w:val="FootnoteReference"/>
        </w:rPr>
        <w:footnoteRef/>
      </w:r>
      <w:r>
        <w:t xml:space="preserve"> </w:t>
      </w:r>
      <w:r>
        <w:rPr>
          <w:rFonts w:ascii="Times New Roman" w:hAnsi="Times New Roman"/>
        </w:rPr>
        <w:t>Egyiptom Befektetésekért és Vámszabad Területekért Felelős Főhatósága.</w:t>
      </w:r>
    </w:p>
  </w:footnote>
  <w:footnote w:id="42">
    <w:p>
      <w:pPr>
        <w:pStyle w:val="FootnoteText"/>
      </w:pPr>
      <w:r>
        <w:rPr>
          <w:rStyle w:val="FootnoteReference"/>
        </w:rPr>
        <w:footnoteRef/>
      </w:r>
      <w:r>
        <w:t xml:space="preserve"> </w:t>
      </w:r>
      <w:r>
        <w:rPr>
          <w:rFonts w:ascii="Times New Roman" w:hAnsi="Times New Roman"/>
        </w:rPr>
        <w:t>Azerbajdzsán, Fehéroroszország, Grúzia, Moldova, Örményország és Ukrajna.</w:t>
      </w:r>
    </w:p>
  </w:footnote>
  <w:footnote w:id="43">
    <w:p>
      <w:pPr>
        <w:pStyle w:val="FootnoteText"/>
        <w:rPr>
          <w:rFonts w:ascii="Times New Roman" w:hAnsi="Times New Roman" w:cs="Times New Roman"/>
        </w:rPr>
      </w:pPr>
      <w:r>
        <w:rPr>
          <w:rStyle w:val="FootnoteReference"/>
        </w:rPr>
        <w:footnoteRef/>
      </w:r>
      <w:r>
        <w:t xml:space="preserve"> </w:t>
      </w:r>
      <w:r>
        <w:rPr>
          <w:rFonts w:ascii="Times New Roman" w:hAnsi="Times New Roman"/>
        </w:rPr>
        <w:t>Csak az ipari termékek kereskedelmére terjed ki. A többi „terméket” (szolgáltatások, szellemitulajdon-jogok, mezőgazdasági termékek kereskedelme) illetően vagy egyáltalán nincsenek szabályok (a WTO-szabályokon felül) vagy különböző megállapodások szabályoznak.</w:t>
      </w:r>
    </w:p>
  </w:footnote>
  <w:footnote w:id="44">
    <w:p>
      <w:pPr>
        <w:pStyle w:val="FootnoteText"/>
        <w:rPr>
          <w:rFonts w:ascii="Times New Roman" w:hAnsi="Times New Roman" w:cs="Times New Roman"/>
        </w:rPr>
      </w:pPr>
      <w:r>
        <w:rPr>
          <w:rStyle w:val="FootnoteReference"/>
        </w:rPr>
        <w:footnoteRef/>
      </w:r>
      <w:r>
        <w:t xml:space="preserve"> </w:t>
      </w:r>
      <w:r>
        <w:rPr>
          <w:rFonts w:ascii="Times New Roman" w:hAnsi="Times New Roman"/>
        </w:rPr>
        <w:t>Erről a vitarendezési ügyről további információ a 8. (Jogérvényesítés) szakaszban található.</w:t>
      </w:r>
    </w:p>
  </w:footnote>
  <w:footnote w:id="45">
    <w:p>
      <w:pPr>
        <w:pStyle w:val="FootnoteText"/>
        <w:rPr>
          <w:rFonts w:ascii="Times New Roman" w:hAnsi="Times New Roman" w:cs="Times New Roman"/>
        </w:rPr>
      </w:pPr>
      <w:r>
        <w:rPr>
          <w:rStyle w:val="FootnoteReference"/>
        </w:rPr>
        <w:footnoteRef/>
      </w:r>
      <w:r>
        <w:rPr>
          <w:rFonts w:ascii="Times New Roman" w:hAnsi="Times New Roman"/>
        </w:rPr>
        <w:t xml:space="preserve"> Salamon-szigetek 2020 májusában írta alá a megállapodást, így ezeknek az országoknak a száma négyre nőtt.</w:t>
      </w:r>
    </w:p>
  </w:footnote>
  <w:footnote w:id="46">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 kivétel Dél-Afrika, amely az EU-SADC GPM részes fele, ahol az EU teljes egészében vagy részben eltörölte a vámokat a dél-afrikai behozatal 98,7 %-án.</w:t>
      </w:r>
    </w:p>
  </w:footnote>
  <w:footnote w:id="4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Comore-szigetek, Madagaszkár, Mauritius, Seychelle-szigetek és Zimbabwe</w:t>
      </w:r>
    </w:p>
  </w:footnote>
  <w:footnote w:id="48">
    <w:p>
      <w:pPr>
        <w:pStyle w:val="FootnoteText"/>
        <w:rPr>
          <w:rFonts w:ascii="Times New Roman" w:hAnsi="Times New Roman" w:cs="Times New Roman"/>
        </w:rPr>
      </w:pPr>
      <w:r>
        <w:rPr>
          <w:rStyle w:val="FootnoteReference"/>
        </w:rPr>
        <w:footnoteRef/>
      </w:r>
      <w:r>
        <w:t xml:space="preserve"> </w:t>
      </w:r>
      <w:r>
        <w:rPr>
          <w:rFonts w:ascii="Times New Roman" w:hAnsi="Times New Roman"/>
        </w:rPr>
        <w:t>A további részleteket lásd a 8. (Jogérvényesítés) szakaszban.</w:t>
      </w:r>
    </w:p>
  </w:footnote>
  <w:footnote w:id="49">
    <w:p>
      <w:pPr>
        <w:pStyle w:val="FootnoteText"/>
        <w:rPr>
          <w:rFonts w:ascii="Times New Roman" w:hAnsi="Times New Roman" w:cs="Times New Roman"/>
        </w:rPr>
      </w:pPr>
      <w:r>
        <w:rPr>
          <w:rStyle w:val="FootnoteReference"/>
        </w:rPr>
        <w:footnoteRef/>
      </w:r>
      <w:r>
        <w:t xml:space="preserve"> </w:t>
      </w:r>
      <w:r>
        <w:rPr>
          <w:rFonts w:ascii="Times New Roman" w:hAnsi="Times New Roman"/>
        </w:rPr>
        <w:t xml:space="preserve">A cselekvési tervnek a 2019. évi végrehajtási munkával kapcsolatos klaszterenkénti részletes információi megtekinthetők a szolgálati munkadokumentumban: </w:t>
      </w:r>
      <w:hyperlink r:id="rId19" w:history="1">
        <w:r>
          <w:rPr>
            <w:rStyle w:val="Hyperlink"/>
            <w:rFonts w:ascii="Times New Roman" w:hAnsi="Times New Roman"/>
          </w:rPr>
          <w:t>https://trade.ec.europa.eu/doclib/docs/2020/september/tradoc_158926.pdf</w:t>
        </w:r>
      </w:hyperlink>
    </w:p>
  </w:footnote>
  <w:footnote w:id="50">
    <w:p>
      <w:pPr>
        <w:pStyle w:val="FootnoteText"/>
        <w:rPr>
          <w:rFonts w:ascii="Times New Roman" w:hAnsi="Times New Roman" w:cs="Times New Roman"/>
        </w:rPr>
      </w:pPr>
      <w:r>
        <w:rPr>
          <w:rStyle w:val="FootnoteReference"/>
        </w:rPr>
        <w:footnoteRef/>
      </w:r>
      <w:r>
        <w:t xml:space="preserve"> </w:t>
      </w:r>
      <w:r>
        <w:rPr>
          <w:rFonts w:ascii="Times New Roman" w:hAnsi="Times New Roman"/>
        </w:rPr>
        <w:t xml:space="preserve">A 15 pontos cselekvési terv elérhető a következő honlapon: </w:t>
      </w:r>
      <w:hyperlink r:id="rId20" w:history="1">
        <w:r>
          <w:rPr>
            <w:rStyle w:val="Hyperlink"/>
            <w:rFonts w:ascii="Times New Roman" w:hAnsi="Times New Roman"/>
          </w:rPr>
          <w:t>https://trade.ec.europa.eu/doclib/docs/2018/february/tradoc_156618.pdf</w:t>
        </w:r>
      </w:hyperlink>
    </w:p>
  </w:footnote>
  <w:footnote w:id="51">
    <w:p>
      <w:pPr>
        <w:pStyle w:val="FootnoteText"/>
        <w:rPr>
          <w:rFonts w:ascii="Times New Roman" w:hAnsi="Times New Roman" w:cs="Times New Roman"/>
        </w:rPr>
      </w:pPr>
      <w:r>
        <w:rPr>
          <w:rStyle w:val="FootnoteReference"/>
        </w:rPr>
        <w:footnoteRef/>
      </w:r>
      <w:r>
        <w:t xml:space="preserve"> </w:t>
      </w:r>
      <w:r>
        <w:rPr>
          <w:rFonts w:ascii="Times New Roman" w:hAnsi="Times New Roman"/>
        </w:rPr>
        <w:t>Két alapvető ILO-egyezmény foglalkozik a gyermekmunkával: az 1973. évi (138. számú) „Egyezmény a foglalkoztatás alsó korhatáráról” és az 1999. évi (182. számú) „Egyezmény a gyermekmunka legrosszabb formáinak betiltásáról és felszámolására irányuló azonnali lépésekről”.</w:t>
      </w:r>
    </w:p>
  </w:footnote>
  <w:footnote w:id="52">
    <w:p>
      <w:pPr>
        <w:pStyle w:val="FootnoteText"/>
        <w:rPr>
          <w:rFonts w:ascii="Times New Roman" w:hAnsi="Times New Roman" w:cs="Times New Roman"/>
        </w:rPr>
      </w:pPr>
      <w:r>
        <w:rPr>
          <w:rStyle w:val="FootnoteReference"/>
        </w:rPr>
        <w:footnoteRef/>
      </w:r>
      <w:r>
        <w:t xml:space="preserve"> </w:t>
      </w:r>
      <w:r>
        <w:rPr>
          <w:rFonts w:ascii="Times New Roman" w:hAnsi="Times New Roman"/>
        </w:rPr>
        <w:t xml:space="preserve">A felmérés a következő címen érhető el: </w:t>
      </w:r>
      <w:hyperlink r:id="rId21" w:history="1">
        <w:r>
          <w:rPr>
            <w:rStyle w:val="Hyperlink"/>
            <w:rFonts w:ascii="Times New Roman" w:hAnsi="Times New Roman"/>
            <w:iCs/>
          </w:rPr>
          <w:t>https://www.government.nl/topics/responsible-business-conduct-rbc/evaluation-and-renewal-of-rbc-policy</w:t>
        </w:r>
      </w:hyperlink>
    </w:p>
    <w:p>
      <w:pPr>
        <w:pStyle w:val="FootnoteText"/>
        <w:rPr>
          <w:rFonts w:ascii="Times New Roman" w:hAnsi="Times New Roman" w:cs="Times New Roman"/>
        </w:rPr>
      </w:pPr>
    </w:p>
  </w:footnote>
  <w:footnote w:id="53">
    <w:p>
      <w:pPr>
        <w:pStyle w:val="FootnoteText"/>
        <w:rPr>
          <w:rFonts w:ascii="Times New Roman" w:hAnsi="Times New Roman" w:cs="Times New Roman"/>
        </w:rPr>
      </w:pPr>
      <w:r>
        <w:rPr>
          <w:rStyle w:val="FootnoteReference"/>
        </w:rPr>
        <w:footnoteRef/>
      </w:r>
      <w:r>
        <w:t xml:space="preserve"> </w:t>
      </w:r>
      <w:r>
        <w:rPr>
          <w:rFonts w:ascii="Times New Roman" w:hAnsi="Times New Roman"/>
        </w:rPr>
        <w:t>A vitával kapcsolatos részletesebb információkért lásd a 8. (Jogérvényesítés) szakaszt.</w:t>
      </w:r>
    </w:p>
  </w:footnote>
  <w:footnote w:id="5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 részletesebb információkért lásd a találkozó jegyzőkönyvét: </w:t>
      </w:r>
      <w:hyperlink r:id="rId22" w:history="1">
        <w:r>
          <w:rPr>
            <w:rStyle w:val="Hyperlink"/>
            <w:rFonts w:ascii="Times New Roman" w:hAnsi="Times New Roman"/>
            <w:sz w:val="18"/>
            <w:szCs w:val="18"/>
          </w:rPr>
          <w:t>https://trade.ec.europa.eu/doclib/docs/2019/november/tradoc_158481.pdf</w:t>
        </w:r>
      </w:hyperlink>
    </w:p>
  </w:footnote>
  <w:footnote w:id="55">
    <w:p>
      <w:pPr>
        <w:pStyle w:val="FootnoteText"/>
        <w:rPr>
          <w:rFonts w:ascii="Times New Roman" w:hAnsi="Times New Roman" w:cs="Times New Roman"/>
        </w:rPr>
      </w:pPr>
      <w:r>
        <w:rPr>
          <w:rStyle w:val="FootnoteReference"/>
        </w:rPr>
        <w:footnoteRef/>
      </w:r>
      <w:r>
        <w:t xml:space="preserve"> </w:t>
      </w:r>
      <w:r>
        <w:rPr>
          <w:rFonts w:ascii="Times New Roman" w:hAnsi="Times New Roman"/>
        </w:rPr>
        <w:t>E jelentés az</w:t>
      </w:r>
      <w:r>
        <w:rPr>
          <w:rFonts w:ascii="Times New Roman" w:hAnsi="Times New Roman"/>
          <w:color w:val="000000"/>
          <w:shd w:val="clear" w:color="auto" w:fill="FFFFFF"/>
        </w:rPr>
        <w:t xml:space="preserve"> „agrár-élelmiszeripari termékek” WTO szerinti fogalommeghatározását használja, azaz olyan mezőgazdasági termékeket kell érteni alattuk, amelyek magukban foglalják a Harmonizált Rendszer 1–24. fejezete szerinti termékeket, valamint </w:t>
      </w:r>
      <w:r>
        <w:rPr>
          <w:rFonts w:ascii="Open Sans" w:hAnsi="Open Sans"/>
          <w:color w:val="000000"/>
          <w:shd w:val="clear" w:color="auto" w:fill="FFFFFF"/>
        </w:rPr>
        <w:t xml:space="preserve">a 33., 35., 38., 41., 43. és 51—53. fejezet számos vámtarifaszáma szerinti terméket, </w:t>
      </w:r>
      <w:r>
        <w:rPr>
          <w:rFonts w:ascii="Times New Roman" w:hAnsi="Times New Roman"/>
          <w:color w:val="000000"/>
          <w:shd w:val="clear" w:color="auto" w:fill="FFFFFF"/>
        </w:rPr>
        <w:t>de nem foglalják magukban a halakat és a halászati termékeket.</w:t>
      </w:r>
    </w:p>
  </w:footnote>
  <w:footnote w:id="56">
    <w:p>
      <w:pPr>
        <w:pStyle w:val="FootnoteText"/>
        <w:rPr>
          <w:rFonts w:ascii="Times New Roman" w:hAnsi="Times New Roman" w:cs="Times New Roman"/>
          <w:bCs/>
        </w:rPr>
      </w:pPr>
      <w:r>
        <w:rPr>
          <w:rStyle w:val="FootnoteReference"/>
        </w:rPr>
        <w:footnoteRef/>
      </w:r>
      <w:r>
        <w:t xml:space="preserve"> </w:t>
      </w:r>
      <w:r>
        <w:rPr>
          <w:rFonts w:ascii="Times New Roman" w:hAnsi="Times New Roman"/>
          <w:bCs/>
        </w:rPr>
        <w:t xml:space="preserve">Tanulmány az uniós minőségrendszerek gazdasági értékéről: </w:t>
      </w:r>
    </w:p>
    <w:p>
      <w:pPr>
        <w:pStyle w:val="FootnoteText"/>
        <w:rPr>
          <w:rFonts w:ascii="Times New Roman" w:hAnsi="Times New Roman" w:cs="Times New Roman"/>
        </w:rPr>
      </w:pPr>
      <w:hyperlink r:id="rId23" w:history="1">
        <w:r>
          <w:rPr>
            <w:rFonts w:ascii="Times New Roman" w:hAnsi="Times New Roman"/>
            <w:color w:val="0000FF"/>
            <w:u w:val="single"/>
          </w:rPr>
          <w:t>https://op.europa.eu/en/publication-detail/-/publication/a7281794-7ebe-11ea-aea8-01aa75ed71a1</w:t>
        </w:r>
      </w:hyperlink>
      <w:r>
        <w:t xml:space="preserve"> </w:t>
      </w:r>
      <w:r>
        <w:fldChar w:fldCharType="begin"/>
      </w:r>
      <w:r>
        <w:rPr>
          <w:rFonts w:ascii="Times New Roman" w:hAnsi="Times New Roman" w:cs="Times New Roman"/>
        </w:rPr>
        <w:instrText xml:space="preserve"> HYPERLINK "https://op.europa.eu/en/publication-detail/-/publication/a7281794-7ebe-11ea-aea8-01aa75ed71a1" </w:instrText>
      </w:r>
      <w:r>
        <w:fldChar w:fldCharType="separate"/>
      </w:r>
      <w:r>
        <w:rPr>
          <w:rFonts w:ascii="Times New Roman" w:hAnsi="Times New Roman"/>
        </w:rPr>
        <w:t xml:space="preserve"> </w:t>
      </w:r>
    </w:p>
    <w:p>
      <w:pPr>
        <w:pStyle w:val="FootnoteText"/>
        <w:rPr>
          <w:rFonts w:ascii="Times New Roman" w:hAnsi="Times New Roman" w:cs="Times New Roman"/>
        </w:rPr>
      </w:pPr>
      <w:r>
        <w:rPr>
          <w:rStyle w:val="Hyperlink"/>
          <w:rFonts w:ascii="Times New Roman" w:hAnsi="Times New Roman" w:cs="Times New Roman"/>
        </w:rPr>
        <w:fldChar w:fldCharType="end"/>
      </w:r>
      <w:r>
        <w:rPr>
          <w:rFonts w:ascii="Times New Roman" w:hAnsi="Times New Roman"/>
        </w:rPr>
        <w:t xml:space="preserve"> </w:t>
      </w:r>
    </w:p>
  </w:footnote>
  <w:footnote w:id="57">
    <w:p>
      <w:pPr>
        <w:pStyle w:val="FootnoteText"/>
      </w:pPr>
      <w:r>
        <w:rPr>
          <w:rStyle w:val="FootnoteReference"/>
        </w:rPr>
        <w:footnoteRef/>
      </w:r>
      <w:r>
        <w:t xml:space="preserve"> </w:t>
      </w:r>
      <w:r>
        <w:rPr>
          <w:rFonts w:ascii="Times New Roman" w:hAnsi="Times New Roman"/>
        </w:rPr>
        <w:t>Noha a tanulmány céljára nem lehetett elkülöníteni a földrajzi árujelzőket és a hagyományos különleges termékeket, az uniós kereskedelmi megállapodások csak az előbbiekre (földrajzi árujelzők) vonatkoznak.</w:t>
      </w:r>
    </w:p>
  </w:footnote>
  <w:footnote w:id="58">
    <w:p>
      <w:pPr>
        <w:pStyle w:val="FootnoteText"/>
        <w:rPr>
          <w:rFonts w:ascii="Times New Roman" w:hAnsi="Times New Roman" w:cs="Times New Roman"/>
        </w:rPr>
      </w:pPr>
      <w:r>
        <w:rPr>
          <w:rStyle w:val="FootnoteReference"/>
        </w:rPr>
        <w:footnoteRef/>
      </w:r>
      <w:r>
        <w:t xml:space="preserve"> </w:t>
      </w:r>
      <w:r>
        <w:rPr>
          <w:rFonts w:ascii="Times New Roman" w:hAnsi="Times New Roman"/>
        </w:rPr>
        <w:t>Chile további négy tagállam (20 engedélyezett tagállam) számára nyitotta meg tej- és tejtermékpiacát, és négy további tagállam számára a marhahúspiacát (14 engedélyezett tagállam). Chile engedélyezte a friss baromfihús behozatalát is (8 engedélyezett tagállam).</w:t>
      </w:r>
    </w:p>
    <w:p>
      <w:pPr>
        <w:pStyle w:val="FootnoteText"/>
        <w:rPr>
          <w:rFonts w:ascii="Times New Roman" w:hAnsi="Times New Roman" w:cs="Times New Roman"/>
        </w:rPr>
      </w:pPr>
    </w:p>
    <w:p>
      <w:pPr>
        <w:pStyle w:val="FootnoteText"/>
        <w:rPr>
          <w:rFonts w:ascii="Times New Roman" w:hAnsi="Times New Roman" w:cs="Times New Roman"/>
        </w:rPr>
      </w:pPr>
    </w:p>
  </w:footnote>
  <w:footnote w:id="59">
    <w:p>
      <w:pPr>
        <w:pStyle w:val="FootnoteText"/>
        <w:rPr>
          <w:rFonts w:ascii="Times New Roman" w:hAnsi="Times New Roman" w:cs="Times New Roman"/>
        </w:rPr>
      </w:pPr>
      <w:r>
        <w:rPr>
          <w:rStyle w:val="FootnoteReference"/>
        </w:rPr>
        <w:footnoteRef/>
      </w:r>
      <w:r>
        <w:t xml:space="preserve"> </w:t>
      </w:r>
      <w:hyperlink r:id="rId24" w:history="1">
        <w:r>
          <w:rPr>
            <w:rFonts w:ascii="Times New Roman" w:hAnsi="Times New Roman"/>
            <w:color w:val="0000FF"/>
            <w:u w:val="single"/>
          </w:rPr>
          <w:t>https://ec.europa.eu/growth/single-market/services_hu</w:t>
        </w:r>
      </w:hyperlink>
    </w:p>
  </w:footnote>
  <w:footnote w:id="60">
    <w:p>
      <w:pPr>
        <w:pStyle w:val="FootnoteText"/>
        <w:rPr>
          <w:rFonts w:ascii="Times New Roman" w:hAnsi="Times New Roman" w:cs="Times New Roman"/>
        </w:rPr>
      </w:pPr>
      <w:r>
        <w:rPr>
          <w:rStyle w:val="FootnoteReference"/>
        </w:rPr>
        <w:footnoteRef/>
      </w:r>
      <w:r>
        <w:t xml:space="preserve"> </w:t>
      </w:r>
      <w:r>
        <w:rPr>
          <w:rFonts w:ascii="Times New Roman" w:hAnsi="Times New Roman"/>
        </w:rPr>
        <w:t>Eurostat, 2012–2017, EU-28</w:t>
      </w:r>
    </w:p>
  </w:footnote>
  <w:footnote w:id="6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Policy Center for the New South (Politikai Központ az Új Délért), </w:t>
      </w:r>
      <w:r>
        <w:rPr>
          <w:rFonts w:ascii="Times New Roman" w:hAnsi="Times New Roman"/>
          <w:i/>
        </w:rPr>
        <w:t>Hasznára vált Marokkónak az Európai Unióval kötött szabadkereskedelmi megállapodás?</w:t>
      </w:r>
      <w:r>
        <w:rPr>
          <w:rFonts w:ascii="Times New Roman" w:hAnsi="Times New Roman"/>
        </w:rPr>
        <w:t>, 2020. február</w:t>
      </w:r>
      <w:r>
        <w:t>.</w:t>
      </w:r>
    </w:p>
  </w:footnote>
  <w:footnote w:id="62">
    <w:p>
      <w:pPr>
        <w:pStyle w:val="FootnoteText"/>
      </w:pPr>
      <w:r>
        <w:rPr>
          <w:rStyle w:val="FootnoteReference"/>
        </w:rPr>
        <w:footnoteRef/>
      </w:r>
      <w:r>
        <w:t xml:space="preserve"> </w:t>
      </w:r>
      <w:r>
        <w:rPr>
          <w:rFonts w:ascii="Times New Roman" w:hAnsi="Times New Roman"/>
        </w:rPr>
        <w:t xml:space="preserve">Forrás: Marokkói Ipari Minisztérium </w:t>
      </w:r>
      <w:hyperlink r:id="rId25" w:history="1">
        <w:r>
          <w:rPr>
            <w:rStyle w:val="Hyperlink"/>
            <w:rFonts w:ascii="Times New Roman" w:hAnsi="Times New Roman"/>
          </w:rPr>
          <w:t>http://www.mcinet.gov.ma/en/content/automotive-0</w:t>
        </w:r>
      </w:hyperlink>
      <w:r>
        <w:t xml:space="preserve"> </w:t>
      </w:r>
    </w:p>
  </w:footnote>
  <w:footnote w:id="63">
    <w:p>
      <w:pPr>
        <w:pStyle w:val="FootnoteText"/>
        <w:rPr>
          <w:rFonts w:ascii="Times New Roman" w:hAnsi="Times New Roman" w:cs="Times New Roman"/>
        </w:rPr>
      </w:pPr>
      <w:r>
        <w:rPr>
          <w:rStyle w:val="FootnoteReference"/>
        </w:rPr>
        <w:footnoteRef/>
      </w:r>
      <w:r>
        <w:t xml:space="preserve"> </w:t>
      </w:r>
      <w:r>
        <w:rPr>
          <w:rFonts w:ascii="Times New Roman" w:hAnsi="Times New Roman"/>
        </w:rPr>
        <w:t xml:space="preserve">Forrás: </w:t>
      </w:r>
      <w:r>
        <w:rPr>
          <w:rFonts w:ascii="Times New Roman" w:hAnsi="Times New Roman"/>
          <w:color w:val="000000"/>
        </w:rPr>
        <w:t>Tenders Electronic Daily (TED) adatbázis (2017).</w:t>
      </w:r>
    </w:p>
  </w:footnote>
  <w:footnote w:id="64">
    <w:p>
      <w:pPr>
        <w:pStyle w:val="FootnoteText"/>
        <w:rPr>
          <w:rFonts w:ascii="Times New Roman" w:hAnsi="Times New Roman" w:cs="Times New Roman"/>
        </w:rPr>
      </w:pPr>
      <w:r>
        <w:rPr>
          <w:rStyle w:val="FootnoteReference"/>
        </w:rPr>
        <w:footnoteRef/>
      </w:r>
      <w:r>
        <w:t xml:space="preserve"> </w:t>
      </w:r>
      <w:r>
        <w:rPr>
          <w:rFonts w:ascii="Times New Roman" w:hAnsi="Times New Roman"/>
        </w:rPr>
        <w:t>1. módozat: Közvetlen, határokon átnyúló nemzetközi közbeszerzés;</w:t>
      </w:r>
      <w:r>
        <w:rPr>
          <w:rFonts w:ascii="Times New Roman" w:hAnsi="Times New Roman"/>
          <w:color w:val="000000"/>
        </w:rPr>
        <w:t xml:space="preserve"> 2. módozat: Kereskedelmi jelenlétre alapuló közbeszerzés; 3. módozat: Közvetett nemzetközi közbeszerzés:</w:t>
      </w:r>
    </w:p>
  </w:footnote>
  <w:footnote w:id="65">
    <w:p>
      <w:pPr>
        <w:pStyle w:val="FootnoteText"/>
        <w:rPr>
          <w:rFonts w:ascii="Times New Roman" w:hAnsi="Times New Roman" w:cs="Times New Roman"/>
        </w:rPr>
      </w:pPr>
      <w:r>
        <w:rPr>
          <w:rStyle w:val="FootnoteReference"/>
        </w:rPr>
        <w:footnoteRef/>
      </w:r>
      <w:r>
        <w:t xml:space="preserve"> </w:t>
      </w:r>
      <w:r>
        <w:rPr>
          <w:rFonts w:ascii="Times New Roman" w:hAnsi="Times New Roman"/>
        </w:rPr>
        <w:t>Lásd még: „</w:t>
      </w:r>
      <w:r>
        <w:rPr>
          <w:rFonts w:ascii="Times New Roman" w:hAnsi="Times New Roman"/>
          <w:i/>
        </w:rPr>
        <w:t>Közbeszerzés</w:t>
      </w:r>
      <w:r>
        <w:rPr>
          <w:rFonts w:ascii="Times New Roman" w:hAnsi="Times New Roman"/>
        </w:rPr>
        <w:t>:</w:t>
      </w:r>
      <w:r>
        <w:rPr>
          <w:rFonts w:ascii="Times New Roman" w:hAnsi="Times New Roman"/>
          <w:i/>
        </w:rPr>
        <w:t xml:space="preserve"> Mennyire nyitott az Európai Unió az amerikai cégek számára és azon túl?”</w:t>
      </w:r>
      <w:r>
        <w:rPr>
          <w:rFonts w:ascii="Times New Roman" w:hAnsi="Times New Roman"/>
        </w:rPr>
        <w:t xml:space="preserve">; Lucian Cernat és Zornitsa Kutlina-Dimitrova cikke (Európai Politikai Tanulmányok Központja, CEPS), 2020. március; </w:t>
      </w:r>
      <w:hyperlink r:id="rId26" w:history="1">
        <w:r>
          <w:rPr>
            <w:rStyle w:val="Hyperlink"/>
            <w:rFonts w:ascii="Times New Roman" w:hAnsi="Times New Roman"/>
          </w:rPr>
          <w:t>https://www.ceps.eu/ceps-publications/public-procurement/</w:t>
        </w:r>
      </w:hyperlink>
    </w:p>
  </w:footnote>
  <w:footnote w:id="66">
    <w:p>
      <w:pPr>
        <w:pStyle w:val="CommentText"/>
      </w:pPr>
      <w:r>
        <w:rPr>
          <w:rStyle w:val="FootnoteReference"/>
        </w:rPr>
        <w:footnoteRef/>
      </w:r>
      <w:r>
        <w:t xml:space="preserve"> Forrás: OECD (2002); lásd még Robert Anderson szolgálati munkadokumentumát a WTO Közbeszerzési Megállapodásáról (2011) és a DG TRADE honlapját:</w:t>
      </w:r>
      <w:r>
        <w:rPr>
          <w:sz w:val="22"/>
          <w:szCs w:val="22"/>
        </w:rPr>
        <w:t xml:space="preserve"> </w:t>
      </w:r>
      <w:hyperlink r:id="rId27" w:history="1">
        <w:r>
          <w:rPr>
            <w:color w:val="0000FF"/>
            <w:u w:val="single"/>
          </w:rPr>
          <w:t>https://ec.europa.eu/trade/policy/accessing-markets/public-procurement/</w:t>
        </w:r>
      </w:hyperlink>
      <w:r>
        <w:t xml:space="preserve"> </w:t>
      </w:r>
    </w:p>
  </w:footnote>
  <w:footnote w:id="67">
    <w:p>
      <w:pPr>
        <w:pStyle w:val="FootnoteText"/>
        <w:rPr>
          <w:rFonts w:ascii="Times New Roman" w:hAnsi="Times New Roman" w:cs="Times New Roman"/>
        </w:rPr>
      </w:pPr>
      <w:r>
        <w:rPr>
          <w:rStyle w:val="FootnoteReference"/>
        </w:rPr>
        <w:footnoteRef/>
      </w:r>
      <w:r>
        <w:t xml:space="preserve"> </w:t>
      </w:r>
      <w:r>
        <w:rPr>
          <w:rFonts w:ascii="Times New Roman" w:hAnsi="Times New Roman"/>
        </w:rPr>
        <w:t xml:space="preserve">A teljes lista elérhető itt: </w:t>
      </w:r>
      <w:hyperlink r:id="rId28" w:anchor="page=11" w:history="1">
        <w:r>
          <w:rPr>
            <w:rFonts w:ascii="Times New Roman" w:hAnsi="Times New Roman"/>
            <w:color w:val="0000FF"/>
            <w:u w:val="single"/>
          </w:rPr>
          <w:t>http://data.consilium.europa.eu/doc/document/ST-10973-2016-ADD-4/en/pdf#page=11</w:t>
        </w:r>
      </w:hyperlink>
    </w:p>
  </w:footnote>
  <w:footnote w:id="68">
    <w:p>
      <w:pPr>
        <w:pStyle w:val="FootnoteText"/>
        <w:rPr>
          <w:rFonts w:ascii="Times New Roman" w:hAnsi="Times New Roman" w:cs="Times New Roman"/>
        </w:rPr>
      </w:pPr>
      <w:r>
        <w:rPr>
          <w:rStyle w:val="FootnoteReference"/>
        </w:rPr>
        <w:footnoteRef/>
      </w:r>
      <w:r>
        <w:t xml:space="preserve"> </w:t>
      </w:r>
      <w:r>
        <w:rPr>
          <w:rFonts w:ascii="Times New Roman" w:hAnsi="Times New Roman"/>
        </w:rPr>
        <w:t>A 2015. évi 922. számú törvényt felváltó, a közbeszerzésről szóló (a 114-IX. számú törvénnyel 2019. szeptember 19-én elfogadott) törvény új kiadása; az új törvény 2020. április 20-án lépett hatályba.</w:t>
      </w:r>
    </w:p>
  </w:footnote>
  <w:footnote w:id="69">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9" w:history="1">
        <w:r>
          <w:rPr>
            <w:rStyle w:val="Hyperlink"/>
            <w:rFonts w:ascii="Times New Roman" w:hAnsi="Times New Roman"/>
          </w:rPr>
          <w:t>https://trade.ec.europa.eu/doclib/docs/2020/february/tradoc_158655.pdf</w:t>
        </w:r>
      </w:hyperlink>
      <w:r>
        <w:rPr>
          <w:rFonts w:ascii="Times New Roman" w:hAnsi="Times New Roman"/>
        </w:rPr>
        <w:t xml:space="preserve"> </w:t>
      </w:r>
    </w:p>
  </w:footnote>
  <w:footnote w:id="70">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Az adatlap és az útmutató a következő honlapon érhető el: </w:t>
      </w:r>
      <w:hyperlink r:id="rId30" w:history="1">
        <w:r>
          <w:rPr>
            <w:rStyle w:val="Hyperlink"/>
            <w:rFonts w:ascii="Times New Roman" w:hAnsi="Times New Roman"/>
          </w:rPr>
          <w:t>https://www.eubusinessinjapan.eu/library/publication/infopack-epa-government-procurement#</w:t>
        </w:r>
      </w:hyperlink>
      <w:r>
        <w:rPr>
          <w:rFonts w:ascii="Times New Roman" w:hAnsi="Times New Roman"/>
        </w:rPr>
        <w:t xml:space="preserve"> </w:t>
      </w:r>
    </w:p>
    <w:p>
      <w:pPr>
        <w:pStyle w:val="FootnoteText"/>
        <w:rPr>
          <w:rFonts w:ascii="Times New Roman" w:hAnsi="Times New Roman" w:cs="Times New Roman"/>
        </w:rPr>
      </w:pPr>
    </w:p>
  </w:footnote>
  <w:footnote w:id="71">
    <w:p>
      <w:pPr>
        <w:pStyle w:val="FootnoteText"/>
      </w:pPr>
      <w:r>
        <w:rPr>
          <w:rStyle w:val="FootnoteReference"/>
        </w:rPr>
        <w:footnoteRef/>
      </w:r>
      <w:r>
        <w:t xml:space="preserve"> </w:t>
      </w:r>
      <w:r>
        <w:rPr>
          <w:rFonts w:ascii="Times New Roman" w:hAnsi="Times New Roman"/>
        </w:rPr>
        <w:t>A 2019. július 24-én elfogadott C(2019) 5494 final, „Iránymutatás a harmadik országbeli ajánlattevők és áruk uniós közbeszerzési piacon való részvételéről”.</w:t>
      </w:r>
    </w:p>
  </w:footnote>
  <w:footnote w:id="72">
    <w:p>
      <w:pPr>
        <w:pStyle w:val="FootnoteText"/>
        <w:rPr>
          <w:rFonts w:ascii="Times New Roman" w:hAnsi="Times New Roman" w:cs="Times New Roman"/>
        </w:rPr>
      </w:pPr>
      <w:r>
        <w:rPr>
          <w:rStyle w:val="FootnoteReference"/>
        </w:rPr>
        <w:footnoteRef/>
      </w:r>
      <w:r>
        <w:t xml:space="preserve"> </w:t>
      </w:r>
      <w:r>
        <w:rPr>
          <w:rFonts w:ascii="Times New Roman" w:hAnsi="Times New Roman"/>
        </w:rPr>
        <w:t>A Nemzetközi Közbeszerzési Kezdeményezés hatálya alá tartozó többi kulcsfontosságú uniós kereskedelmi partner az Amerikai Egyesült Államok, Ausztrália, Brazília, India, Indonézia, Kína, Thaiföld és Új-Zéland.</w:t>
      </w:r>
    </w:p>
  </w:footnote>
  <w:footnote w:id="73">
    <w:p>
      <w:pPr>
        <w:pStyle w:val="FootnoteText"/>
      </w:pPr>
      <w:r>
        <w:rPr>
          <w:rStyle w:val="FootnoteReference"/>
        </w:rPr>
        <w:footnoteRef/>
      </w:r>
      <w:r>
        <w:t xml:space="preserve"> </w:t>
      </w:r>
      <w:r>
        <w:rPr>
          <w:rFonts w:ascii="Times New Roman" w:hAnsi="Times New Roman"/>
        </w:rPr>
        <w:t xml:space="preserve">A szellemitulajdon-jogok védelmére és érvényesítésére vonatkozó részletes információkat lásd az EU Bizottságának a harmadik országokról szóló jelentésében </w:t>
      </w:r>
      <w:hyperlink r:id="rId31" w:history="1">
        <w:r>
          <w:rPr>
            <w:rStyle w:val="Hyperlink"/>
            <w:rFonts w:ascii="Times New Roman" w:hAnsi="Times New Roman"/>
          </w:rPr>
          <w:t>https://trade.ec.europa.eu/doclib/docs/2020/january/tradoc_158561.pdf</w:t>
        </w:r>
      </w:hyperlink>
      <w:r>
        <w:rPr>
          <w:rStyle w:val="Hyperlink"/>
          <w:rFonts w:ascii="Times New Roman" w:hAnsi="Times New Roman"/>
        </w:rPr>
        <w:t xml:space="preserve"> </w:t>
      </w:r>
      <w:r>
        <w:rPr>
          <w:rFonts w:ascii="Times New Roman" w:hAnsi="Times New Roman"/>
        </w:rPr>
        <w:t xml:space="preserve">és az EU termékhamisításra és iparjogvédelmi jog megsértésére vonatkozó figyelőlistájában: </w:t>
      </w:r>
      <w:hyperlink r:id="rId32" w:history="1">
        <w:r>
          <w:rPr>
            <w:rStyle w:val="Hyperlink"/>
            <w:rFonts w:ascii="Times New Roman" w:hAnsi="Times New Roman"/>
          </w:rPr>
          <w:t>https://trade.ec.europa.eu/doclib/docs/2018/december/tradoc_157564.pdf</w:t>
        </w:r>
      </w:hyperlink>
      <w:r>
        <w:rPr>
          <w:rFonts w:ascii="Times New Roman" w:hAnsi="Times New Roman"/>
        </w:rPr>
        <w:t xml:space="preserve"> </w:t>
      </w:r>
    </w:p>
  </w:footnote>
  <w:footnote w:id="74">
    <w:p>
      <w:pPr>
        <w:pStyle w:val="FootnoteText"/>
        <w:rPr>
          <w:rFonts w:ascii="Times New Roman" w:hAnsi="Times New Roman" w:cs="Times New Roman"/>
        </w:rPr>
      </w:pPr>
      <w:r>
        <w:rPr>
          <w:rStyle w:val="FootnoteReference"/>
        </w:rPr>
        <w:footnoteRef/>
      </w:r>
      <w:r>
        <w:t xml:space="preserve"> </w:t>
      </w:r>
      <w:r>
        <w:rPr>
          <w:rFonts w:ascii="Times New Roman" w:hAnsi="Times New Roman"/>
        </w:rPr>
        <w:t>Bizonyos termékek és szolgáltatások egyszerre több szellemitulajdon-jog hatálya alá tartoznak. Ezt kiegészítő oltalomnak nevezik. Példaként szolgálhatnak a gépjárművek, a bútorok, az órák és az élelmiszerek.</w:t>
      </w:r>
    </w:p>
  </w:footnote>
  <w:footnote w:id="75">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 tanulmány itt érhető el: </w:t>
      </w:r>
      <w:hyperlink r:id="rId33" w:history="1">
        <w:r>
          <w:rPr>
            <w:rStyle w:val="Hyperlink"/>
            <w:rFonts w:ascii="Times New Roman" w:hAnsi="Times New Roman"/>
          </w:rPr>
          <w:t>https://www.epo.org/news-events/news/2019/20190925.html</w:t>
        </w:r>
      </w:hyperlink>
    </w:p>
  </w:footnote>
  <w:footnote w:id="76">
    <w:p>
      <w:pPr>
        <w:pStyle w:val="CommentText"/>
      </w:pPr>
      <w:r>
        <w:rPr>
          <w:rStyle w:val="FootnoteReference"/>
        </w:rPr>
        <w:footnoteRef/>
      </w:r>
      <w:r>
        <w:t xml:space="preserve"> A tanulmány 356 fokozott szellemitulajdonjog-igényű iparágat azonosított.</w:t>
      </w:r>
    </w:p>
    <w:p>
      <w:pPr>
        <w:pStyle w:val="FootnoteText"/>
      </w:pPr>
    </w:p>
  </w:footnote>
  <w:footnote w:id="77">
    <w:p>
      <w:pPr>
        <w:pStyle w:val="FootnoteText"/>
        <w:rPr>
          <w:rFonts w:ascii="Times New Roman" w:hAnsi="Times New Roman" w:cs="Times New Roman"/>
        </w:rPr>
      </w:pPr>
      <w:r>
        <w:rPr>
          <w:rStyle w:val="FootnoteReference"/>
        </w:rPr>
        <w:footnoteRef/>
      </w:r>
      <w:r>
        <w:t xml:space="preserve"> </w:t>
      </w:r>
      <w:r>
        <w:rPr>
          <w:rFonts w:ascii="Times New Roman" w:hAnsi="Times New Roman"/>
        </w:rPr>
        <w:t>A kkv-kat általában 250-nél kevesebb munkavállalót foglalkoztató vállalkozásokként határozzák meg.</w:t>
      </w:r>
    </w:p>
  </w:footnote>
  <w:footnote w:id="78">
    <w:p>
      <w:pPr>
        <w:pStyle w:val="FootnoteText"/>
        <w:rPr>
          <w:rFonts w:ascii="Times New Roman" w:hAnsi="Times New Roman" w:cs="Times New Roman"/>
        </w:rPr>
      </w:pPr>
      <w:r>
        <w:rPr>
          <w:rStyle w:val="FootnoteReference"/>
        </w:rPr>
        <w:footnoteRef/>
      </w:r>
      <w:r>
        <w:t xml:space="preserve"> </w:t>
      </w:r>
      <w:r>
        <w:rPr>
          <w:rFonts w:ascii="Times New Roman" w:hAnsi="Times New Roman"/>
        </w:rPr>
        <w:t>Ezek a számok becsült adatok, mivel az EU-tagállamoktól az EU-n kívüli kivitelről kapott adatok nem elhanyagolható számú „ismeretlen” méretű vállalkozást is magukban foglaltak.</w:t>
      </w:r>
    </w:p>
  </w:footnote>
  <w:footnote w:id="79">
    <w:p>
      <w:pPr>
        <w:pStyle w:val="FootnoteText"/>
        <w:rPr>
          <w:rFonts w:ascii="Times New Roman" w:hAnsi="Times New Roman" w:cs="Times New Roman"/>
        </w:rPr>
      </w:pPr>
      <w:r>
        <w:rPr>
          <w:rStyle w:val="FootnoteReference"/>
        </w:rPr>
        <w:footnoteRef/>
      </w:r>
      <w:r>
        <w:t xml:space="preserve"> </w:t>
      </w:r>
      <w:hyperlink r:id="rId34" w:history="1">
        <w:r>
          <w:rPr>
            <w:rStyle w:val="Hyperlink"/>
            <w:rFonts w:ascii="Times New Roman" w:hAnsi="Times New Roman" w:cs="Times New Roman"/>
          </w:rPr>
          <w:t>https://ec.europa.eu/eurostat/web/experimental-statistics/stec</w:t>
        </w:r>
      </w:hyperlink>
    </w:p>
  </w:footnote>
  <w:footnote w:id="80">
    <w:p>
      <w:pPr>
        <w:pStyle w:val="FootnoteText"/>
        <w:rPr>
          <w:rFonts w:ascii="Times New Roman" w:hAnsi="Times New Roman" w:cs="Times New Roman"/>
        </w:rPr>
      </w:pPr>
      <w:r>
        <w:rPr>
          <w:rStyle w:val="FootnoteReference"/>
        </w:rPr>
        <w:footnoteRef/>
      </w:r>
      <w:r>
        <w:t xml:space="preserve"> </w:t>
      </w:r>
      <w:r>
        <w:rPr>
          <w:rFonts w:ascii="Times New Roman" w:hAnsi="Times New Roman"/>
        </w:rPr>
        <w:t xml:space="preserve">Lásd a DG TRADE vezető közgazdászának 2020. május 1-jei jegyzetét (A kkv-k szerepe az EU kivitelében), amely a következő honlapon érhető el: </w:t>
      </w:r>
      <w:hyperlink r:id="rId35" w:history="1">
        <w:r>
          <w:rPr>
            <w:rStyle w:val="Hyperlink"/>
            <w:rFonts w:ascii="Times New Roman" w:hAnsi="Times New Roman"/>
          </w:rPr>
          <w:t>https://trade.ec.europa.eu/doclib/docs/2020/june/tradoc_158778.pdf</w:t>
        </w:r>
      </w:hyperlink>
      <w:r>
        <w:rPr>
          <w:rFonts w:ascii="Times New Roman" w:hAnsi="Times New Roman"/>
        </w:rPr>
        <w:t xml:space="preserve"> </w:t>
      </w:r>
    </w:p>
  </w:footnote>
  <w:footnote w:id="81">
    <w:p>
      <w:pPr>
        <w:pStyle w:val="FootnoteText"/>
        <w:rPr>
          <w:rFonts w:ascii="Times New Roman" w:hAnsi="Times New Roman" w:cs="Times New Roman"/>
        </w:rPr>
      </w:pPr>
      <w:r>
        <w:rPr>
          <w:rStyle w:val="FootnoteReference"/>
        </w:rPr>
        <w:footnoteRef/>
      </w:r>
      <w:r>
        <w:t xml:space="preserve"> </w:t>
      </w:r>
      <w:hyperlink r:id="rId36" w:history="1">
        <w:r>
          <w:rPr>
            <w:rFonts w:ascii="Times New Roman" w:hAnsi="Times New Roman"/>
            <w:color w:val="0000FF"/>
            <w:u w:val="single"/>
          </w:rPr>
          <w:t>https://een.ec.europa.eu/</w:t>
        </w:r>
      </w:hyperlink>
      <w:r>
        <w:rPr>
          <w:rFonts w:ascii="Times New Roman" w:hAnsi="Times New Roman"/>
        </w:rPr>
        <w:t xml:space="preserve"> </w:t>
      </w:r>
    </w:p>
  </w:footnote>
  <w:footnote w:id="82">
    <w:p>
      <w:pPr>
        <w:pStyle w:val="FootnoteText"/>
        <w:rPr>
          <w:rFonts w:ascii="Times New Roman" w:hAnsi="Times New Roman" w:cs="Times New Roman"/>
        </w:rPr>
      </w:pPr>
      <w:r>
        <w:rPr>
          <w:rStyle w:val="FootnoteReference"/>
        </w:rPr>
        <w:footnoteRef/>
      </w:r>
      <w:r>
        <w:t xml:space="preserve"> </w:t>
      </w:r>
      <w:hyperlink r:id="rId37" w:history="1">
        <w:r>
          <w:rPr>
            <w:rFonts w:ascii="Times New Roman" w:hAnsi="Times New Roman"/>
            <w:color w:val="0000FF"/>
            <w:u w:val="single"/>
          </w:rPr>
          <w:t>https://trade.ec.europa.eu/doclib/docs/2019/august/tradoc_158308.pdf</w:t>
        </w:r>
      </w:hyperlink>
    </w:p>
  </w:footnote>
  <w:footnote w:id="8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8" w:history="1">
        <w:r>
          <w:rPr>
            <w:rFonts w:ascii="Times New Roman" w:hAnsi="Times New Roman"/>
            <w:color w:val="0000FF"/>
            <w:u w:val="single"/>
          </w:rPr>
          <w:t>https://trade.ec.europa.eu/doclib/docs/2020/february/tradoc_158645.pdf</w:t>
        </w:r>
      </w:hyperlink>
    </w:p>
  </w:footnote>
  <w:footnote w:id="8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9" w:history="1">
        <w:r>
          <w:rPr>
            <w:rStyle w:val="Hyperlink"/>
            <w:rFonts w:ascii="Times New Roman" w:hAnsi="Times New Roman"/>
          </w:rPr>
          <w:t>WT/DS591 - Colombia – Anti-Dumping Duties on Frozen Fries from Belgium, Germany and the Netherlands</w:t>
        </w:r>
      </w:hyperlink>
    </w:p>
  </w:footnote>
  <w:footnote w:id="85">
    <w:p>
      <w:pPr>
        <w:pStyle w:val="FootnoteText"/>
        <w:rPr>
          <w:rFonts w:ascii="Times New Roman" w:hAnsi="Times New Roman" w:cs="Times New Roman"/>
        </w:rPr>
      </w:pPr>
      <w:r>
        <w:rPr>
          <w:rStyle w:val="FootnoteReference"/>
        </w:rPr>
        <w:footnoteRef/>
      </w:r>
      <w:r>
        <w:t xml:space="preserve"> </w:t>
      </w:r>
      <w:r>
        <w:rPr>
          <w:rFonts w:ascii="Times New Roman" w:hAnsi="Times New Roman"/>
        </w:rPr>
        <w:t>87. sz. egyezmény az egyesülési szabadságról; 98. sz. egyezmény a szervezkedési jog és a kollektív tárgyalási jog elveinek alkalmazásáról; 29. sz. egyezmény a kényszer- vagy kötelező munkáról, valamint 105. sz. egyezmény a kényszermunka felszámolásáról.</w:t>
      </w:r>
    </w:p>
  </w:footnote>
  <w:footnote w:id="86">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0" w:history="1">
        <w:r>
          <w:rPr>
            <w:rStyle w:val="Hyperlink"/>
            <w:rFonts w:ascii="Times New Roman" w:hAnsi="Times New Roman"/>
          </w:rPr>
          <w:t>http://trade.ec.europa.eu/doclib/docs/2018/december/tradoc_157586.pdf</w:t>
        </w:r>
      </w:hyperlink>
      <w:r>
        <w:rPr>
          <w:rFonts w:ascii="Times New Roman" w:hAnsi="Times New Roman"/>
        </w:rPr>
        <w:t xml:space="preserve"> </w:t>
      </w:r>
    </w:p>
  </w:footnote>
  <w:footnote w:id="8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1" w:history="1">
        <w:r>
          <w:rPr>
            <w:rStyle w:val="Hyperlink"/>
            <w:rFonts w:ascii="Times New Roman" w:hAnsi="Times New Roman"/>
          </w:rPr>
          <w:t>http://trade.ec.europa.eu/doclib/docs/2019/july/tradoc_157992.pdf</w:t>
        </w:r>
      </w:hyperlink>
    </w:p>
  </w:footnote>
  <w:footnote w:id="88">
    <w:p>
      <w:pPr>
        <w:pStyle w:val="FootnoteText"/>
      </w:pPr>
      <w:r>
        <w:rPr>
          <w:rStyle w:val="FootnoteReference"/>
        </w:rPr>
        <w:footnoteRef/>
      </w:r>
      <w:r>
        <w:t xml:space="preserve"> </w:t>
      </w:r>
      <w:hyperlink r:id="rId42" w:history="1">
        <w:r>
          <w:rPr>
            <w:color w:val="0000FF"/>
            <w:u w:val="single"/>
          </w:rPr>
          <w:t>http://trade.ec.europa.eu/doclib/docs/2019/january/tradoc_157625.pdf</w:t>
        </w:r>
      </w:hyperlink>
    </w:p>
  </w:footnote>
  <w:footnote w:id="89">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3" w:history="1">
        <w:r>
          <w:rPr>
            <w:rStyle w:val="Hyperlink"/>
            <w:rFonts w:ascii="Times New Roman" w:hAnsi="Times New Roman"/>
          </w:rPr>
          <w:t>https://trade.ec.europa.eu/doclib/docs/2019/june/tradoc_157943.pdf</w:t>
        </w:r>
      </w:hyperlink>
    </w:p>
  </w:footnote>
  <w:footnote w:id="90">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4" w:history="1">
        <w:r>
          <w:rPr>
            <w:rStyle w:val="Hyperlink"/>
            <w:rFonts w:ascii="Times New Roman" w:hAnsi="Times New Roman"/>
          </w:rPr>
          <w:t>https://trade.ec.europa.eu/doclib/docs/2019/june/tradoc_157928.pdf</w:t>
        </w:r>
      </w:hyperlink>
    </w:p>
  </w:footnote>
  <w:footnote w:id="91">
    <w:p>
      <w:pPr>
        <w:pStyle w:val="FootnoteText"/>
        <w:rPr>
          <w:rFonts w:ascii="Times New Roman" w:hAnsi="Times New Roman" w:cs="Times New Roman"/>
        </w:rPr>
      </w:pPr>
      <w:r>
        <w:rPr>
          <w:rStyle w:val="FootnoteReference"/>
        </w:rPr>
        <w:footnoteRef/>
      </w:r>
      <w:r>
        <w:t xml:space="preserve"> </w:t>
      </w:r>
      <w:hyperlink r:id="rId45" w:history="1">
        <w:r>
          <w:rPr>
            <w:rStyle w:val="Hyperlink"/>
            <w:rFonts w:ascii="Times New Roman" w:hAnsi="Times New Roman"/>
          </w:rPr>
          <w:t>https://trade.ec.europa.eu/doclib/docs/2020/april/tradoc_158717.pdf</w:t>
        </w:r>
      </w:hyperlink>
    </w:p>
  </w:footnote>
  <w:footnote w:id="92">
    <w:p>
      <w:pPr>
        <w:pStyle w:val="FootnoteText"/>
        <w:rPr>
          <w:rFonts w:ascii="Times New Roman" w:hAnsi="Times New Roman" w:cs="Times New Roman"/>
        </w:rPr>
      </w:pPr>
      <w:r>
        <w:rPr>
          <w:rStyle w:val="FootnoteReference"/>
        </w:rPr>
        <w:footnoteRef/>
      </w:r>
      <w:r>
        <w:rPr>
          <w:rStyle w:val="FootnoteReference"/>
        </w:rPr>
        <w:t xml:space="preserve"> </w:t>
      </w:r>
      <w:r>
        <w:rPr>
          <w:rFonts w:ascii="Times New Roman" w:hAnsi="Times New Roman"/>
        </w:rPr>
        <w:t>Lásd a COM(2017)479 dokumentumot.</w:t>
      </w:r>
    </w:p>
  </w:footnote>
  <w:footnote w:id="93">
    <w:p>
      <w:pPr>
        <w:pStyle w:val="FootnoteText"/>
        <w:rPr>
          <w:rFonts w:ascii="Times New Roman" w:hAnsi="Times New Roman" w:cs="Times New Roman"/>
        </w:rPr>
      </w:pPr>
      <w:r>
        <w:rPr>
          <w:rStyle w:val="FootnoteReference"/>
        </w:rPr>
        <w:footnoteRef/>
      </w:r>
      <w:r>
        <w:t xml:space="preserve"> </w:t>
      </w:r>
      <w:r>
        <w:rPr>
          <w:rFonts w:ascii="Times New Roman" w:hAnsi="Times New Roman"/>
        </w:rPr>
        <w:t xml:space="preserve">Forrás: A Bizottság 2020. nyári gazdasági előrejelzése: </w:t>
      </w:r>
      <w:hyperlink r:id="rId46" w:history="1">
        <w:r>
          <w:rPr>
            <w:rStyle w:val="Hyperlink"/>
            <w:rFonts w:ascii="Times New Roman" w:hAnsi="Times New Roman"/>
          </w:rPr>
          <w:t>https://ec.europa.eu/info/sites/info/files/economy-finance/ip132_en.pdf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30248"/>
    <w:multiLevelType w:val="hybridMultilevel"/>
    <w:tmpl w:val="74A4440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
    <w:nsid w:val="0A115E30"/>
    <w:multiLevelType w:val="hybridMultilevel"/>
    <w:tmpl w:val="9C48EE78"/>
    <w:lvl w:ilvl="0" w:tplc="1C540FEC">
      <w:start w:val="1"/>
      <w:numFmt w:val="decimal"/>
      <w:lvlText w:val="%1)"/>
      <w:lvlJc w:val="left"/>
      <w:pPr>
        <w:ind w:left="360" w:hanging="360"/>
      </w:pPr>
      <w:rPr>
        <w:rFonts w:ascii="Times New Roman" w:eastAsiaTheme="minorHAnsi" w:hAnsi="Times New Roman" w:cs="Times New Roman"/>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2">
    <w:nsid w:val="0A575FC9"/>
    <w:multiLevelType w:val="hybridMultilevel"/>
    <w:tmpl w:val="DE02A86E"/>
    <w:lvl w:ilvl="0" w:tplc="0809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0AA225DF"/>
    <w:multiLevelType w:val="hybridMultilevel"/>
    <w:tmpl w:val="42A66FF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0D18167A"/>
    <w:multiLevelType w:val="hybridMultilevel"/>
    <w:tmpl w:val="0136B4BC"/>
    <w:lvl w:ilvl="0" w:tplc="D3F4F568">
      <w:start w:val="29"/>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0E050B44"/>
    <w:multiLevelType w:val="hybridMultilevel"/>
    <w:tmpl w:val="D818AD82"/>
    <w:lvl w:ilvl="0" w:tplc="080C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6">
    <w:nsid w:val="149F5594"/>
    <w:multiLevelType w:val="hybridMultilevel"/>
    <w:tmpl w:val="0F9052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7BC4C35"/>
    <w:multiLevelType w:val="hybridMultilevel"/>
    <w:tmpl w:val="2D486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22942E4"/>
    <w:multiLevelType w:val="hybridMultilevel"/>
    <w:tmpl w:val="CB38D89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9">
    <w:nsid w:val="24ED5A0A"/>
    <w:multiLevelType w:val="hybridMultilevel"/>
    <w:tmpl w:val="5332295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28F4469D"/>
    <w:multiLevelType w:val="hybridMultilevel"/>
    <w:tmpl w:val="1A4E9B52"/>
    <w:lvl w:ilvl="0" w:tplc="33187BD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C00426E"/>
    <w:multiLevelType w:val="hybridMultilevel"/>
    <w:tmpl w:val="60B0C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nsid w:val="324C4A7E"/>
    <w:multiLevelType w:val="hybridMultilevel"/>
    <w:tmpl w:val="017897A6"/>
    <w:lvl w:ilvl="0" w:tplc="0809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32B92152"/>
    <w:multiLevelType w:val="hybridMultilevel"/>
    <w:tmpl w:val="A98017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nsid w:val="340C75AF"/>
    <w:multiLevelType w:val="hybridMultilevel"/>
    <w:tmpl w:val="3E4AED7A"/>
    <w:lvl w:ilvl="0" w:tplc="13BC6320">
      <w:start w:val="5"/>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36CE2940"/>
    <w:multiLevelType w:val="hybridMultilevel"/>
    <w:tmpl w:val="129E96CC"/>
    <w:lvl w:ilvl="0" w:tplc="080C0001">
      <w:start w:val="1"/>
      <w:numFmt w:val="bullet"/>
      <w:lvlText w:val=""/>
      <w:lvlJc w:val="left"/>
      <w:pPr>
        <w:ind w:left="766" w:hanging="360"/>
      </w:pPr>
      <w:rPr>
        <w:rFonts w:ascii="Symbol" w:hAnsi="Symbol" w:hint="default"/>
      </w:rPr>
    </w:lvl>
    <w:lvl w:ilvl="1" w:tplc="080C0003">
      <w:start w:val="1"/>
      <w:numFmt w:val="bullet"/>
      <w:lvlText w:val="o"/>
      <w:lvlJc w:val="left"/>
      <w:pPr>
        <w:ind w:left="1486" w:hanging="360"/>
      </w:pPr>
      <w:rPr>
        <w:rFonts w:ascii="Courier New" w:hAnsi="Courier New" w:cs="Courier New" w:hint="default"/>
      </w:rPr>
    </w:lvl>
    <w:lvl w:ilvl="2" w:tplc="080C0005">
      <w:start w:val="1"/>
      <w:numFmt w:val="bullet"/>
      <w:lvlText w:val=""/>
      <w:lvlJc w:val="left"/>
      <w:pPr>
        <w:ind w:left="2206" w:hanging="360"/>
      </w:pPr>
      <w:rPr>
        <w:rFonts w:ascii="Wingdings" w:hAnsi="Wingdings" w:hint="default"/>
      </w:rPr>
    </w:lvl>
    <w:lvl w:ilvl="3" w:tplc="080C0001">
      <w:start w:val="1"/>
      <w:numFmt w:val="bullet"/>
      <w:lvlText w:val=""/>
      <w:lvlJc w:val="left"/>
      <w:pPr>
        <w:ind w:left="2926" w:hanging="360"/>
      </w:pPr>
      <w:rPr>
        <w:rFonts w:ascii="Symbol" w:hAnsi="Symbol" w:hint="default"/>
      </w:rPr>
    </w:lvl>
    <w:lvl w:ilvl="4" w:tplc="080C0003">
      <w:start w:val="1"/>
      <w:numFmt w:val="bullet"/>
      <w:lvlText w:val="o"/>
      <w:lvlJc w:val="left"/>
      <w:pPr>
        <w:ind w:left="3646" w:hanging="360"/>
      </w:pPr>
      <w:rPr>
        <w:rFonts w:ascii="Courier New" w:hAnsi="Courier New" w:cs="Courier New" w:hint="default"/>
      </w:rPr>
    </w:lvl>
    <w:lvl w:ilvl="5" w:tplc="080C0005">
      <w:start w:val="1"/>
      <w:numFmt w:val="bullet"/>
      <w:lvlText w:val=""/>
      <w:lvlJc w:val="left"/>
      <w:pPr>
        <w:ind w:left="4366" w:hanging="360"/>
      </w:pPr>
      <w:rPr>
        <w:rFonts w:ascii="Wingdings" w:hAnsi="Wingdings" w:hint="default"/>
      </w:rPr>
    </w:lvl>
    <w:lvl w:ilvl="6" w:tplc="080C0001">
      <w:start w:val="1"/>
      <w:numFmt w:val="bullet"/>
      <w:lvlText w:val=""/>
      <w:lvlJc w:val="left"/>
      <w:pPr>
        <w:ind w:left="5086" w:hanging="360"/>
      </w:pPr>
      <w:rPr>
        <w:rFonts w:ascii="Symbol" w:hAnsi="Symbol" w:hint="default"/>
      </w:rPr>
    </w:lvl>
    <w:lvl w:ilvl="7" w:tplc="080C0003">
      <w:start w:val="1"/>
      <w:numFmt w:val="bullet"/>
      <w:lvlText w:val="o"/>
      <w:lvlJc w:val="left"/>
      <w:pPr>
        <w:ind w:left="5806" w:hanging="360"/>
      </w:pPr>
      <w:rPr>
        <w:rFonts w:ascii="Courier New" w:hAnsi="Courier New" w:cs="Courier New" w:hint="default"/>
      </w:rPr>
    </w:lvl>
    <w:lvl w:ilvl="8" w:tplc="080C0005">
      <w:start w:val="1"/>
      <w:numFmt w:val="bullet"/>
      <w:lvlText w:val=""/>
      <w:lvlJc w:val="left"/>
      <w:pPr>
        <w:ind w:left="6526" w:hanging="360"/>
      </w:pPr>
      <w:rPr>
        <w:rFonts w:ascii="Wingdings" w:hAnsi="Wingdings" w:hint="default"/>
      </w:rPr>
    </w:lvl>
  </w:abstractNum>
  <w:abstractNum w:abstractNumId="16">
    <w:nsid w:val="389312D6"/>
    <w:multiLevelType w:val="hybridMultilevel"/>
    <w:tmpl w:val="1E2AB1BA"/>
    <w:lvl w:ilvl="0" w:tplc="0809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395078FA"/>
    <w:multiLevelType w:val="hybridMultilevel"/>
    <w:tmpl w:val="AFDC1E2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8">
    <w:nsid w:val="3FB70237"/>
    <w:multiLevelType w:val="hybridMultilevel"/>
    <w:tmpl w:val="3FFE41E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9">
    <w:nsid w:val="40FE0C83"/>
    <w:multiLevelType w:val="hybridMultilevel"/>
    <w:tmpl w:val="749634F6"/>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0">
    <w:nsid w:val="4351415C"/>
    <w:multiLevelType w:val="hybridMultilevel"/>
    <w:tmpl w:val="4F76B95A"/>
    <w:lvl w:ilvl="0" w:tplc="0809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nsid w:val="443C65E4"/>
    <w:multiLevelType w:val="hybridMultilevel"/>
    <w:tmpl w:val="5F583E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nsid w:val="44773F19"/>
    <w:multiLevelType w:val="hybridMultilevel"/>
    <w:tmpl w:val="AC12D0C6"/>
    <w:lvl w:ilvl="0" w:tplc="0809000D">
      <w:start w:val="1"/>
      <w:numFmt w:val="bullet"/>
      <w:lvlText w:val=""/>
      <w:lvlJc w:val="left"/>
      <w:pPr>
        <w:ind w:left="785" w:hanging="360"/>
      </w:pPr>
      <w:rPr>
        <w:rFonts w:ascii="Wingdings" w:hAnsi="Wingdings" w:hint="default"/>
      </w:rPr>
    </w:lvl>
    <w:lvl w:ilvl="1" w:tplc="080C0003" w:tentative="1">
      <w:start w:val="1"/>
      <w:numFmt w:val="bullet"/>
      <w:lvlText w:val="o"/>
      <w:lvlJc w:val="left"/>
      <w:pPr>
        <w:ind w:left="1505" w:hanging="360"/>
      </w:pPr>
      <w:rPr>
        <w:rFonts w:ascii="Courier New" w:hAnsi="Courier New" w:cs="Courier New" w:hint="default"/>
      </w:rPr>
    </w:lvl>
    <w:lvl w:ilvl="2" w:tplc="080C0005" w:tentative="1">
      <w:start w:val="1"/>
      <w:numFmt w:val="bullet"/>
      <w:lvlText w:val=""/>
      <w:lvlJc w:val="left"/>
      <w:pPr>
        <w:ind w:left="2225" w:hanging="360"/>
      </w:pPr>
      <w:rPr>
        <w:rFonts w:ascii="Wingdings" w:hAnsi="Wingdings" w:hint="default"/>
      </w:rPr>
    </w:lvl>
    <w:lvl w:ilvl="3" w:tplc="080C0001" w:tentative="1">
      <w:start w:val="1"/>
      <w:numFmt w:val="bullet"/>
      <w:lvlText w:val=""/>
      <w:lvlJc w:val="left"/>
      <w:pPr>
        <w:ind w:left="2945" w:hanging="360"/>
      </w:pPr>
      <w:rPr>
        <w:rFonts w:ascii="Symbol" w:hAnsi="Symbol" w:hint="default"/>
      </w:rPr>
    </w:lvl>
    <w:lvl w:ilvl="4" w:tplc="080C0003" w:tentative="1">
      <w:start w:val="1"/>
      <w:numFmt w:val="bullet"/>
      <w:lvlText w:val="o"/>
      <w:lvlJc w:val="left"/>
      <w:pPr>
        <w:ind w:left="3665" w:hanging="360"/>
      </w:pPr>
      <w:rPr>
        <w:rFonts w:ascii="Courier New" w:hAnsi="Courier New" w:cs="Courier New" w:hint="default"/>
      </w:rPr>
    </w:lvl>
    <w:lvl w:ilvl="5" w:tplc="080C0005" w:tentative="1">
      <w:start w:val="1"/>
      <w:numFmt w:val="bullet"/>
      <w:lvlText w:val=""/>
      <w:lvlJc w:val="left"/>
      <w:pPr>
        <w:ind w:left="4385" w:hanging="360"/>
      </w:pPr>
      <w:rPr>
        <w:rFonts w:ascii="Wingdings" w:hAnsi="Wingdings" w:hint="default"/>
      </w:rPr>
    </w:lvl>
    <w:lvl w:ilvl="6" w:tplc="080C0001" w:tentative="1">
      <w:start w:val="1"/>
      <w:numFmt w:val="bullet"/>
      <w:lvlText w:val=""/>
      <w:lvlJc w:val="left"/>
      <w:pPr>
        <w:ind w:left="5105" w:hanging="360"/>
      </w:pPr>
      <w:rPr>
        <w:rFonts w:ascii="Symbol" w:hAnsi="Symbol" w:hint="default"/>
      </w:rPr>
    </w:lvl>
    <w:lvl w:ilvl="7" w:tplc="080C0003" w:tentative="1">
      <w:start w:val="1"/>
      <w:numFmt w:val="bullet"/>
      <w:lvlText w:val="o"/>
      <w:lvlJc w:val="left"/>
      <w:pPr>
        <w:ind w:left="5825" w:hanging="360"/>
      </w:pPr>
      <w:rPr>
        <w:rFonts w:ascii="Courier New" w:hAnsi="Courier New" w:cs="Courier New" w:hint="default"/>
      </w:rPr>
    </w:lvl>
    <w:lvl w:ilvl="8" w:tplc="080C0005" w:tentative="1">
      <w:start w:val="1"/>
      <w:numFmt w:val="bullet"/>
      <w:lvlText w:val=""/>
      <w:lvlJc w:val="left"/>
      <w:pPr>
        <w:ind w:left="6545" w:hanging="360"/>
      </w:pPr>
      <w:rPr>
        <w:rFonts w:ascii="Wingdings" w:hAnsi="Wingdings" w:hint="default"/>
      </w:rPr>
    </w:lvl>
  </w:abstractNum>
  <w:abstractNum w:abstractNumId="23">
    <w:nsid w:val="46804E92"/>
    <w:multiLevelType w:val="hybridMultilevel"/>
    <w:tmpl w:val="795A1266"/>
    <w:lvl w:ilvl="0" w:tplc="C9E015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8D837AA"/>
    <w:multiLevelType w:val="hybridMultilevel"/>
    <w:tmpl w:val="6FD0E5D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5">
    <w:nsid w:val="496F787C"/>
    <w:multiLevelType w:val="hybridMultilevel"/>
    <w:tmpl w:val="E8E8991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nsid w:val="4AC944A5"/>
    <w:multiLevelType w:val="hybridMultilevel"/>
    <w:tmpl w:val="6506F0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nsid w:val="4E7A65CF"/>
    <w:multiLevelType w:val="hybridMultilevel"/>
    <w:tmpl w:val="174C1FE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8">
    <w:nsid w:val="4FEF5836"/>
    <w:multiLevelType w:val="hybridMultilevel"/>
    <w:tmpl w:val="CB7E1D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16A109E"/>
    <w:multiLevelType w:val="hybridMultilevel"/>
    <w:tmpl w:val="65061F34"/>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0">
    <w:nsid w:val="61A240BD"/>
    <w:multiLevelType w:val="hybridMultilevel"/>
    <w:tmpl w:val="01A46C4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nsid w:val="70D01E39"/>
    <w:multiLevelType w:val="hybridMultilevel"/>
    <w:tmpl w:val="00E8FFB8"/>
    <w:lvl w:ilvl="0" w:tplc="080C000F">
      <w:start w:val="2"/>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nsid w:val="72DA593D"/>
    <w:multiLevelType w:val="hybridMultilevel"/>
    <w:tmpl w:val="8D3CD66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nsid w:val="758709B7"/>
    <w:multiLevelType w:val="hybridMultilevel"/>
    <w:tmpl w:val="8CFAB8BE"/>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4">
    <w:nsid w:val="77D56671"/>
    <w:multiLevelType w:val="hybridMultilevel"/>
    <w:tmpl w:val="894227E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35">
    <w:nsid w:val="7E706D84"/>
    <w:multiLevelType w:val="hybridMultilevel"/>
    <w:tmpl w:val="86AAA920"/>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24"/>
  </w:num>
  <w:num w:numId="2">
    <w:abstractNumId w:val="35"/>
  </w:num>
  <w:num w:numId="3">
    <w:abstractNumId w:val="5"/>
  </w:num>
  <w:num w:numId="4">
    <w:abstractNumId w:val="28"/>
  </w:num>
  <w:num w:numId="5">
    <w:abstractNumId w:val="24"/>
  </w:num>
  <w:num w:numId="6">
    <w:abstractNumId w:val="35"/>
  </w:num>
  <w:num w:numId="7">
    <w:abstractNumId w:val="5"/>
  </w:num>
  <w:num w:numId="8">
    <w:abstractNumId w:val="32"/>
  </w:num>
  <w:num w:numId="9">
    <w:abstractNumId w:val="11"/>
  </w:num>
  <w:num w:numId="10">
    <w:abstractNumId w:val="21"/>
  </w:num>
  <w:num w:numId="11">
    <w:abstractNumId w:val="25"/>
  </w:num>
  <w:num w:numId="12">
    <w:abstractNumId w:val="9"/>
  </w:num>
  <w:num w:numId="13">
    <w:abstractNumId w:val="17"/>
  </w:num>
  <w:num w:numId="14">
    <w:abstractNumId w:val="0"/>
  </w:num>
  <w:num w:numId="15">
    <w:abstractNumId w:val="1"/>
    <w:lvlOverride w:ilvl="0">
      <w:startOverride w:val="1"/>
    </w:lvlOverride>
    <w:lvlOverride w:ilvl="1"/>
    <w:lvlOverride w:ilvl="2"/>
    <w:lvlOverride w:ilvl="3"/>
    <w:lvlOverride w:ilvl="4"/>
    <w:lvlOverride w:ilvl="5"/>
    <w:lvlOverride w:ilvl="6"/>
    <w:lvlOverride w:ilvl="7"/>
    <w:lvlOverride w:ilvl="8"/>
  </w:num>
  <w:num w:numId="16">
    <w:abstractNumId w:val="18"/>
  </w:num>
  <w:num w:numId="17">
    <w:abstractNumId w:val="10"/>
  </w:num>
  <w:num w:numId="18">
    <w:abstractNumId w:val="8"/>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19"/>
  </w:num>
  <w:num w:numId="24">
    <w:abstractNumId w:val="31"/>
  </w:num>
  <w:num w:numId="25">
    <w:abstractNumId w:val="3"/>
  </w:num>
  <w:num w:numId="26">
    <w:abstractNumId w:val="23"/>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27"/>
  </w:num>
  <w:num w:numId="30">
    <w:abstractNumId w:val="26"/>
  </w:num>
  <w:num w:numId="31">
    <w:abstractNumId w:val="33"/>
  </w:num>
  <w:num w:numId="32">
    <w:abstractNumId w:val="29"/>
  </w:num>
  <w:num w:numId="33">
    <w:abstractNumId w:val="32"/>
  </w:num>
  <w:num w:numId="34">
    <w:abstractNumId w:val="11"/>
  </w:num>
  <w:num w:numId="35">
    <w:abstractNumId w:val="21"/>
  </w:num>
  <w:num w:numId="36">
    <w:abstractNumId w:val="25"/>
  </w:num>
  <w:num w:numId="37">
    <w:abstractNumId w:val="6"/>
  </w:num>
  <w:num w:numId="38">
    <w:abstractNumId w:val="13"/>
  </w:num>
  <w:num w:numId="39">
    <w:abstractNumId w:val="20"/>
  </w:num>
  <w:num w:numId="40">
    <w:abstractNumId w:val="16"/>
  </w:num>
  <w:num w:numId="41">
    <w:abstractNumId w:val="12"/>
  </w:num>
  <w:num w:numId="42">
    <w:abstractNumId w:val="22"/>
  </w:num>
  <w:num w:numId="43">
    <w:abstractNumId w:val="2"/>
  </w:num>
  <w:num w:numId="44">
    <w:abstractNumId w:val="4"/>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revisionView w:markup="0"/>
  <w:documentProtection w:edit="trackedChanges" w:enforcement="0"/>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2"/>
  </w:compat>
  <w:docVars>
    <w:docVar w:name="DocStatus" w:val="Green"/>
    <w:docVar w:name="FigNum" w:val="1"/>
    <w:docVar w:name="LW_CORRIGENDUM" w:val="&lt;UNUSED&gt;"/>
    <w:docVar w:name="LW_COVERPAGE_EXISTS" w:val="True"/>
    <w:docVar w:name="LW_COVERPAGE_GUID" w:val="320C767F-6EB3-42BC-845B-F4E5E5A7C802"/>
    <w:docVar w:name="LW_COVERPAGE_TYPE" w:val="1"/>
    <w:docVar w:name="LW_CROSSREFERENCE" w:val="{SWD(2020) 263 final}"/>
    <w:docVar w:name="LW_DocType" w:val="NORMAL"/>
    <w:docVar w:name="LW_EMISSION" w:val="2020.11.12."/>
    <w:docVar w:name="LW_EMISSION_ISODATE" w:val="2020-11-12"/>
    <w:docVar w:name="LW_EMISSION_LOCATION" w:val="BRX"/>
    <w:docVar w:name="LW_EMISSION_PREFIX" w:val="Brüsszel, "/>
    <w:docVar w:name="LW_EMISSION_SUFFIX" w:val=" "/>
    <w:docVar w:name="LW_ID_DOCTYPE_NONLW" w:val="CP-008"/>
    <w:docVar w:name="LW_LANGUE" w:val="HU"/>
    <w:docVar w:name="LW_LEVEL_OF_SENSITIVITY" w:val="Standard treatment"/>
    <w:docVar w:name="LW_NOM.INST" w:val="EURÓPAI BIZOTTSÁG"/>
    <w:docVar w:name="LW_NOM.INST_JOINTDOC" w:val="&lt;EMPTY&gt;"/>
    <w:docVar w:name="LW_PART_NBR" w:val="1"/>
    <w:docVar w:name="LW_PART_NBR_TOTAL" w:val="1"/>
    <w:docVar w:name="LW_REF.INST.NEW" w:val="COM"/>
    <w:docVar w:name="LW_REF.INST.NEW_ADOPTED" w:val="final"/>
    <w:docVar w:name="LW_REF.INST.NEW_TEXT" w:val="(2020) 70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z EU kereskedelmi megállapodásainak végrehajtásáról_x000d__x000d__x000b__x000d__x000d__x000d_2019. január 1. \u8211? 2019. december 31."/>
    <w:docVar w:name="LW_TYPE.DOC.CP" w:val="A BIZOTTSÁG JELENTÉSE AZ EURÓPAI PARLAMENTNEK, A TANÁCSNAK, AZ EURÓPAI GAZDASÁGI ÉS SZOCIÁLIS BIZOTTSÁGNAK ÉS A RÉGIÓK BIZOTTSÁGÁNAK"/>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style>
  <w:style w:type="paragraph" w:styleId="Heading1">
    <w:name w:val="heading 1"/>
    <w:basedOn w:val="Normal"/>
    <w:next w:val="Normal"/>
    <w:link w:val="Heading1Char"/>
    <w:autoRedefine/>
    <w:uiPriority w:val="9"/>
    <w:qFormat/>
    <w:pPr>
      <w:keepNext/>
      <w:keepLines/>
      <w:spacing w:before="360" w:after="120"/>
      <w:jc w:val="center"/>
      <w:outlineLvl w:val="0"/>
    </w:pPr>
    <w:rPr>
      <w:rFonts w:ascii="Times New Roman" w:eastAsiaTheme="majorEastAsia" w:hAnsi="Times New Roman" w:cs="Times New Roman"/>
      <w:b/>
      <w:caps/>
      <w:sz w:val="24"/>
      <w:szCs w:val="32"/>
    </w:rPr>
  </w:style>
  <w:style w:type="paragraph" w:styleId="Heading2">
    <w:name w:val="heading 2"/>
    <w:aliases w:val="Heading 1.1"/>
    <w:basedOn w:val="Normal"/>
    <w:next w:val="Normal"/>
    <w:link w:val="Heading2Char"/>
    <w:autoRedefine/>
    <w:uiPriority w:val="9"/>
    <w:unhideWhenUsed/>
    <w:qFormat/>
    <w:pPr>
      <w:keepNext/>
      <w:keepLines/>
      <w:spacing w:before="120" w:after="120" w:line="360" w:lineRule="auto"/>
      <w:outlineLvl w:val="1"/>
    </w:pPr>
    <w:rPr>
      <w:rFonts w:ascii="Times New Roman" w:eastAsiaTheme="majorEastAsia" w:hAnsi="Times New Roman" w:cstheme="majorBidi"/>
      <w:b/>
      <w:sz w:val="24"/>
      <w:szCs w:val="26"/>
    </w:rPr>
  </w:style>
  <w:style w:type="paragraph" w:styleId="Heading3">
    <w:name w:val="heading 3"/>
    <w:aliases w:val="Heading 1.1.1"/>
    <w:basedOn w:val="Normal"/>
    <w:next w:val="Normal"/>
    <w:link w:val="Heading3Char"/>
    <w:autoRedefine/>
    <w:uiPriority w:val="9"/>
    <w:unhideWhenUsed/>
    <w:qFormat/>
    <w:pPr>
      <w:keepNext/>
      <w:keepLines/>
      <w:spacing w:before="160" w:after="120"/>
      <w:ind w:left="720"/>
      <w:jc w:val="left"/>
      <w:outlineLvl w:val="2"/>
    </w:pPr>
    <w:rPr>
      <w:rFonts w:ascii="Times New Roman" w:eastAsiaTheme="majorEastAsia" w:hAnsi="Times New Roman" w:cstheme="majorBidi"/>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Footnotes,Footnote ak,ft,fn cafc,fn Char,footnote text Char,Footnotes Char,Footnote ak Char,Footnotes Char Char,fn Char Char,footnote text Char Char Char Ch,Footnote ak Char Char,C,f,footnote citation,Cha,Fußnote,Carattere"/>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n Char1,footnote text Char1,Footnotes Char1,Footnote ak Char1,ft Char,fn cafc Char,fn Char Char1,footnote text Char Char,Footnotes Char Char1,Footnote ak Char Char1,Footnotes Char Char Char,fn Char Char Char,C Char,f Char,Cha Char"/>
    <w:basedOn w:val="DefaultParagraphFont"/>
    <w:link w:val="FootnoteText"/>
    <w:uiPriority w:val="99"/>
    <w:qFormat/>
    <w:rPr>
      <w:sz w:val="20"/>
      <w:szCs w:val="20"/>
    </w:rPr>
  </w:style>
  <w:style w:type="character" w:styleId="FootnoteReference">
    <w:name w:val="footnote reference"/>
    <w:aliases w:val="Ref,de nota al pie,Footnote Reference1,Ref1,de nota al pie1,註腳內容,de nota al pie + (Asian) MS Mincho,11 pt,-E Fußnotenzeichen,16 Point,Superscript 6 Point,註?腳內—e,ftref,(NECG) Footnote Reference,fr,Footnote symbol,BVI fnr,Times 10 Point"/>
    <w:basedOn w:val="DefaultParagraphFont"/>
    <w:link w:val="ftrefCharCharCharCharCharCharCharCharChar"/>
    <w:uiPriority w:val="99"/>
    <w:qFormat/>
    <w:rPr>
      <w:vertAlign w:val="superscript"/>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after="24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hu-HU"/>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pPr>
      <w:spacing w:after="20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hu-HU"/>
    </w:rPr>
  </w:style>
  <w:style w:type="character" w:styleId="Hyperlink">
    <w:name w:val="Hyperlink"/>
    <w:basedOn w:val="DefaultParagraphFont"/>
    <w:uiPriority w:val="99"/>
    <w:unhideWhenUsed/>
    <w:rPr>
      <w:color w:val="0000FF"/>
      <w:u w:val="single"/>
    </w:rPr>
  </w:style>
  <w:style w:type="paragraph" w:styleId="ListParagraph">
    <w:name w:val="List Paragraph"/>
    <w:aliases w:val="Bulleted List,Dot pt,F5 List Paragraph,List Paragraph Char Char Char,Indicator Text,Numbered Para 1,Bullet 1,Bullet Points,List Paragraph2,MAIN CONTENT,Normal numbered,List Paragraph1,Colorful List - Accent 11,Issue Action POC,3,Bullet,L"/>
    <w:basedOn w:val="Normal"/>
    <w:link w:val="ListParagraphChar"/>
    <w:qFormat/>
    <w:pPr>
      <w:spacing w:after="0" w:line="240" w:lineRule="auto"/>
      <w:ind w:left="720"/>
    </w:pPr>
    <w:rPr>
      <w:rFonts w:ascii="Calibri" w:hAnsi="Calibri" w:cs="Calibri"/>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ormal"/>
    <w:link w:val="FootnoteReference"/>
    <w:uiPriority w:val="99"/>
    <w:pPr>
      <w:spacing w:after="160" w:line="240" w:lineRule="exact"/>
    </w:pPr>
    <w:rPr>
      <w:vertAlign w:val="superscript"/>
    </w:rPr>
  </w:style>
  <w:style w:type="paragraph" w:styleId="PlainText">
    <w:name w:val="Plain Text"/>
    <w:basedOn w:val="Normal"/>
    <w:link w:val="PlainTextChar"/>
    <w:uiPriority w:val="99"/>
    <w:semiHidden/>
    <w:unhideWhenUse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Pr>
      <w:rFonts w:ascii="Calibri" w:hAnsi="Calibri"/>
      <w:szCs w:val="21"/>
      <w:lang w:val="hu-HU"/>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style>
  <w:style w:type="character" w:customStyle="1" w:styleId="spellingerror">
    <w:name w:val="spellingerror"/>
    <w:basedOn w:val="DefaultParagraphFont"/>
  </w:style>
  <w:style w:type="paragraph" w:customStyle="1" w:styleId="1">
    <w:name w:val="1"/>
    <w:basedOn w:val="Normal"/>
    <w:uiPriority w:val="99"/>
    <w:qFormat/>
    <w:pPr>
      <w:spacing w:after="160" w:line="240" w:lineRule="exact"/>
    </w:pPr>
    <w:rPr>
      <w:rFonts w:ascii="TimesNewRomanPS" w:hAnsi="TimesNewRomanPS"/>
      <w:position w:val="6"/>
      <w:sz w:val="16"/>
    </w:rPr>
  </w:style>
  <w:style w:type="character" w:customStyle="1" w:styleId="Ninguno">
    <w:name w:val="Ninguno"/>
    <w:rPr>
      <w:lang w:val="hu-HU"/>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harChar6CharCharCharCharCharChar">
    <w:name w:val="Char Char6 Char Char Char Char Char Char"/>
    <w:aliases w:val="Char6 Char Char Char Char Char Char Char"/>
    <w:basedOn w:val="Normal"/>
    <w:uiPriority w:val="99"/>
    <w:pPr>
      <w:spacing w:after="0" w:line="360" w:lineRule="auto"/>
      <w:jc w:val="center"/>
    </w:pPr>
    <w:rPr>
      <w:vertAlign w:val="superscript"/>
    </w:rPr>
  </w:style>
  <w:style w:type="character" w:customStyle="1" w:styleId="ListParagraphChar">
    <w:name w:val="List Paragraph Char"/>
    <w:aliases w:val="Bulleted List Char,Dot pt Char,F5 List Paragraph Char,List Paragraph Char Char Char Char,Indicator Text Char,Numbered Para 1 Char,Bullet 1 Char,Bullet Points Char,List Paragraph2 Char,MAIN CONTENT Char,Normal numbered Char,3 Char"/>
    <w:link w:val="ListParagraph"/>
    <w:qFormat/>
    <w:locked/>
    <w:rPr>
      <w:rFonts w:ascii="Calibri" w:hAnsi="Calibri" w:cs="Calibri"/>
      <w:lang w:val="hu-HU"/>
    </w:rPr>
  </w:style>
  <w:style w:type="paragraph" w:customStyle="1" w:styleId="ChapterHead">
    <w:name w:val="ChapterHead"/>
    <w:basedOn w:val="Normal"/>
    <w:qFormat/>
    <w:pPr>
      <w:spacing w:after="240" w:line="240" w:lineRule="auto"/>
    </w:pPr>
    <w:rPr>
      <w:rFonts w:ascii="Times New Roman" w:hAnsi="Times New Roman" w:cs="Times New Roman"/>
      <w:sz w:val="24"/>
      <w:szCs w:val="24"/>
    </w:rPr>
  </w:style>
  <w:style w:type="character" w:styleId="Emphasis">
    <w:name w:val="Emphasis"/>
    <w:basedOn w:val="DefaultParagraphFont"/>
    <w:uiPriority w:val="20"/>
    <w:qFormat/>
    <w:rPr>
      <w:i/>
      <w:i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Strong">
    <w:name w:val="Strong"/>
    <w:basedOn w:val="DefaultParagraphFont"/>
    <w:uiPriority w:val="22"/>
    <w:qFormat/>
    <w:rPr>
      <w:b/>
      <w:bCs/>
    </w:r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uiPriority w:val="9"/>
    <w:rPr>
      <w:rFonts w:ascii="Times New Roman" w:eastAsiaTheme="majorEastAsia" w:hAnsi="Times New Roman" w:cs="Times New Roman"/>
      <w:b/>
      <w:caps/>
      <w:sz w:val="24"/>
      <w:szCs w:val="32"/>
      <w:lang w:val="hu-HU"/>
    </w:rPr>
  </w:style>
  <w:style w:type="paragraph" w:styleId="TOCHeading">
    <w:name w:val="TOC Heading"/>
    <w:basedOn w:val="Heading1"/>
    <w:next w:val="Normal"/>
    <w:link w:val="TOCHeadingChar"/>
    <w:uiPriority w:val="39"/>
    <w:unhideWhenUsed/>
    <w:qFormat/>
    <w:pPr>
      <w:spacing w:line="259" w:lineRule="auto"/>
      <w:outlineLvl w:val="9"/>
    </w:pPr>
  </w:style>
  <w:style w:type="paragraph" w:styleId="TOC2">
    <w:name w:val="toc 2"/>
    <w:basedOn w:val="Normal"/>
    <w:next w:val="Normal"/>
    <w:autoRedefine/>
    <w:uiPriority w:val="39"/>
    <w:unhideWhenUsed/>
    <w:pPr>
      <w:spacing w:after="100" w:line="259" w:lineRule="auto"/>
      <w:ind w:left="220"/>
    </w:pPr>
    <w:rPr>
      <w:rFonts w:eastAsiaTheme="minorEastAsia" w:cs="Times New Roman"/>
    </w:rPr>
  </w:style>
  <w:style w:type="paragraph" w:styleId="TOC1">
    <w:name w:val="toc 1"/>
    <w:basedOn w:val="Normal"/>
    <w:next w:val="Normal"/>
    <w:autoRedefine/>
    <w:uiPriority w:val="39"/>
    <w:unhideWhenUsed/>
    <w:pPr>
      <w:spacing w:after="100" w:line="259" w:lineRule="auto"/>
    </w:pPr>
    <w:rPr>
      <w:rFonts w:eastAsiaTheme="minorEastAsia" w:cs="Times New Roman"/>
    </w:rPr>
  </w:style>
  <w:style w:type="paragraph" w:styleId="TOC3">
    <w:name w:val="toc 3"/>
    <w:basedOn w:val="Normal"/>
    <w:next w:val="Normal"/>
    <w:autoRedefine/>
    <w:uiPriority w:val="39"/>
    <w:unhideWhenUsed/>
    <w:pPr>
      <w:spacing w:after="100" w:line="259" w:lineRule="auto"/>
      <w:ind w:left="440"/>
    </w:pPr>
    <w:rPr>
      <w:rFonts w:eastAsiaTheme="minorEastAsia" w:cs="Times New Roman"/>
    </w:rPr>
  </w:style>
  <w:style w:type="character" w:customStyle="1" w:styleId="Heading2Char">
    <w:name w:val="Heading 2 Char"/>
    <w:aliases w:val="Heading 1.1 Char"/>
    <w:basedOn w:val="DefaultParagraphFont"/>
    <w:link w:val="Heading2"/>
    <w:uiPriority w:val="9"/>
    <w:rPr>
      <w:rFonts w:ascii="Times New Roman" w:eastAsiaTheme="majorEastAsia" w:hAnsi="Times New Roman" w:cstheme="majorBidi"/>
      <w:b/>
      <w:sz w:val="24"/>
      <w:szCs w:val="26"/>
    </w:rPr>
  </w:style>
  <w:style w:type="character" w:customStyle="1" w:styleId="Heading3Char">
    <w:name w:val="Heading 3 Char"/>
    <w:aliases w:val="Heading 1.1.1 Char"/>
    <w:basedOn w:val="DefaultParagraphFont"/>
    <w:link w:val="Heading3"/>
    <w:uiPriority w:val="9"/>
    <w:rPr>
      <w:rFonts w:ascii="Times New Roman" w:eastAsiaTheme="majorEastAsia" w:hAnsi="Times New Roman" w:cstheme="majorBidi"/>
      <w:b/>
      <w:sz w:val="24"/>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rPr>
      <w:rFonts w:ascii="Times New Roman" w:hAnsi="Times New Roman" w:cs="Times New Roman"/>
      <w:sz w:val="24"/>
    </w:rPr>
  </w:style>
  <w:style w:type="character" w:customStyle="1" w:styleId="TOCHeadingChar">
    <w:name w:val="TOC Heading Char"/>
    <w:basedOn w:val="Heading1Char"/>
    <w:link w:val="TOCHeading"/>
    <w:uiPriority w:val="39"/>
    <w:rPr>
      <w:rFonts w:ascii="Times New Roman" w:eastAsiaTheme="majorEastAsia" w:hAnsi="Times New Roman" w:cstheme="majorBidi"/>
      <w:b/>
      <w:caps/>
      <w:sz w:val="24"/>
      <w:szCs w:val="32"/>
      <w:lang w:val="hu-HU"/>
    </w:rPr>
  </w:style>
  <w:style w:type="character" w:customStyle="1" w:styleId="FooterCoverPageChar">
    <w:name w:val="Footer Cover Page Char"/>
    <w:basedOn w:val="TOCHeadingChar"/>
    <w:link w:val="FooterCoverPage"/>
    <w:rPr>
      <w:rFonts w:ascii="Times New Roman" w:eastAsiaTheme="majorEastAsia" w:hAnsi="Times New Roman" w:cs="Times New Roman"/>
      <w:b w:val="0"/>
      <w:caps w:val="0"/>
      <w:sz w:val="24"/>
      <w:szCs w:val="32"/>
      <w:lang w:val="hu-HU"/>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TOCHeadingChar"/>
    <w:link w:val="FooterSensitivity"/>
    <w:rPr>
      <w:rFonts w:ascii="Times New Roman" w:eastAsiaTheme="majorEastAsia" w:hAnsi="Times New Roman" w:cs="Times New Roman"/>
      <w:b/>
      <w:caps w:val="0"/>
      <w:sz w:val="32"/>
      <w:szCs w:val="32"/>
      <w:lang w:val="hu-HU"/>
    </w:rPr>
  </w:style>
  <w:style w:type="paragraph" w:customStyle="1" w:styleId="HeaderCoverPage">
    <w:name w:val="Header Cover Page"/>
    <w:basedOn w:val="Normal"/>
    <w:link w:val="HeaderCoverPageChar"/>
    <w:pPr>
      <w:tabs>
        <w:tab w:val="center" w:pos="4535"/>
        <w:tab w:val="right" w:pos="9071"/>
      </w:tabs>
      <w:spacing w:after="120" w:line="240" w:lineRule="auto"/>
    </w:pPr>
    <w:rPr>
      <w:rFonts w:ascii="Times New Roman" w:hAnsi="Times New Roman" w:cs="Times New Roman"/>
      <w:sz w:val="24"/>
    </w:rPr>
  </w:style>
  <w:style w:type="character" w:customStyle="1" w:styleId="HeaderCoverPageChar">
    <w:name w:val="Header Cover Page Char"/>
    <w:basedOn w:val="TOCHeadingChar"/>
    <w:link w:val="HeaderCoverPage"/>
    <w:rPr>
      <w:rFonts w:ascii="Times New Roman" w:eastAsiaTheme="majorEastAsia" w:hAnsi="Times New Roman" w:cs="Times New Roman"/>
      <w:b w:val="0"/>
      <w:caps w:val="0"/>
      <w:sz w:val="24"/>
      <w:szCs w:val="32"/>
      <w:lang w:val="hu-HU"/>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TOCHeadingChar"/>
    <w:link w:val="HeaderSensitivity"/>
    <w:rPr>
      <w:rFonts w:ascii="Times New Roman" w:eastAsiaTheme="majorEastAsia" w:hAnsi="Times New Roman" w:cs="Times New Roman"/>
      <w:b/>
      <w:caps w:val="0"/>
      <w:sz w:val="32"/>
      <w:szCs w:val="32"/>
      <w:lang w:val="hu-HU"/>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TOCHeadingChar"/>
    <w:link w:val="HeaderSensitivityRight"/>
    <w:rPr>
      <w:rFonts w:ascii="Times New Roman" w:eastAsiaTheme="majorEastAsia" w:hAnsi="Times New Roman" w:cs="Times New Roman"/>
      <w:b w:val="0"/>
      <w:caps w:val="0"/>
      <w:sz w:val="28"/>
      <w:szCs w:val="32"/>
      <w:lang w:val="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914285">
      <w:bodyDiv w:val="1"/>
      <w:marLeft w:val="0"/>
      <w:marRight w:val="0"/>
      <w:marTop w:val="0"/>
      <w:marBottom w:val="0"/>
      <w:divBdr>
        <w:top w:val="none" w:sz="0" w:space="0" w:color="auto"/>
        <w:left w:val="none" w:sz="0" w:space="0" w:color="auto"/>
        <w:bottom w:val="none" w:sz="0" w:space="0" w:color="auto"/>
        <w:right w:val="none" w:sz="0" w:space="0" w:color="auto"/>
      </w:divBdr>
    </w:div>
    <w:div w:id="309406618">
      <w:bodyDiv w:val="1"/>
      <w:marLeft w:val="0"/>
      <w:marRight w:val="0"/>
      <w:marTop w:val="0"/>
      <w:marBottom w:val="0"/>
      <w:divBdr>
        <w:top w:val="none" w:sz="0" w:space="0" w:color="auto"/>
        <w:left w:val="none" w:sz="0" w:space="0" w:color="auto"/>
        <w:bottom w:val="none" w:sz="0" w:space="0" w:color="auto"/>
        <w:right w:val="none" w:sz="0" w:space="0" w:color="auto"/>
      </w:divBdr>
    </w:div>
    <w:div w:id="337781555">
      <w:bodyDiv w:val="1"/>
      <w:marLeft w:val="0"/>
      <w:marRight w:val="0"/>
      <w:marTop w:val="0"/>
      <w:marBottom w:val="0"/>
      <w:divBdr>
        <w:top w:val="none" w:sz="0" w:space="0" w:color="auto"/>
        <w:left w:val="none" w:sz="0" w:space="0" w:color="auto"/>
        <w:bottom w:val="none" w:sz="0" w:space="0" w:color="auto"/>
        <w:right w:val="none" w:sz="0" w:space="0" w:color="auto"/>
      </w:divBdr>
    </w:div>
    <w:div w:id="373117758">
      <w:bodyDiv w:val="1"/>
      <w:marLeft w:val="0"/>
      <w:marRight w:val="0"/>
      <w:marTop w:val="0"/>
      <w:marBottom w:val="0"/>
      <w:divBdr>
        <w:top w:val="none" w:sz="0" w:space="0" w:color="auto"/>
        <w:left w:val="none" w:sz="0" w:space="0" w:color="auto"/>
        <w:bottom w:val="none" w:sz="0" w:space="0" w:color="auto"/>
        <w:right w:val="none" w:sz="0" w:space="0" w:color="auto"/>
      </w:divBdr>
    </w:div>
    <w:div w:id="374155813">
      <w:bodyDiv w:val="1"/>
      <w:marLeft w:val="0"/>
      <w:marRight w:val="0"/>
      <w:marTop w:val="0"/>
      <w:marBottom w:val="0"/>
      <w:divBdr>
        <w:top w:val="none" w:sz="0" w:space="0" w:color="auto"/>
        <w:left w:val="none" w:sz="0" w:space="0" w:color="auto"/>
        <w:bottom w:val="none" w:sz="0" w:space="0" w:color="auto"/>
        <w:right w:val="none" w:sz="0" w:space="0" w:color="auto"/>
      </w:divBdr>
    </w:div>
    <w:div w:id="599533682">
      <w:bodyDiv w:val="1"/>
      <w:marLeft w:val="0"/>
      <w:marRight w:val="0"/>
      <w:marTop w:val="0"/>
      <w:marBottom w:val="0"/>
      <w:divBdr>
        <w:top w:val="none" w:sz="0" w:space="0" w:color="auto"/>
        <w:left w:val="none" w:sz="0" w:space="0" w:color="auto"/>
        <w:bottom w:val="none" w:sz="0" w:space="0" w:color="auto"/>
        <w:right w:val="none" w:sz="0" w:space="0" w:color="auto"/>
      </w:divBdr>
    </w:div>
    <w:div w:id="601498074">
      <w:bodyDiv w:val="1"/>
      <w:marLeft w:val="0"/>
      <w:marRight w:val="0"/>
      <w:marTop w:val="0"/>
      <w:marBottom w:val="0"/>
      <w:divBdr>
        <w:top w:val="none" w:sz="0" w:space="0" w:color="auto"/>
        <w:left w:val="none" w:sz="0" w:space="0" w:color="auto"/>
        <w:bottom w:val="none" w:sz="0" w:space="0" w:color="auto"/>
        <w:right w:val="none" w:sz="0" w:space="0" w:color="auto"/>
      </w:divBdr>
    </w:div>
    <w:div w:id="763768551">
      <w:bodyDiv w:val="1"/>
      <w:marLeft w:val="0"/>
      <w:marRight w:val="0"/>
      <w:marTop w:val="0"/>
      <w:marBottom w:val="0"/>
      <w:divBdr>
        <w:top w:val="none" w:sz="0" w:space="0" w:color="auto"/>
        <w:left w:val="none" w:sz="0" w:space="0" w:color="auto"/>
        <w:bottom w:val="none" w:sz="0" w:space="0" w:color="auto"/>
        <w:right w:val="none" w:sz="0" w:space="0" w:color="auto"/>
      </w:divBdr>
    </w:div>
    <w:div w:id="782114572">
      <w:bodyDiv w:val="1"/>
      <w:marLeft w:val="0"/>
      <w:marRight w:val="0"/>
      <w:marTop w:val="0"/>
      <w:marBottom w:val="0"/>
      <w:divBdr>
        <w:top w:val="none" w:sz="0" w:space="0" w:color="auto"/>
        <w:left w:val="none" w:sz="0" w:space="0" w:color="auto"/>
        <w:bottom w:val="none" w:sz="0" w:space="0" w:color="auto"/>
        <w:right w:val="none" w:sz="0" w:space="0" w:color="auto"/>
      </w:divBdr>
    </w:div>
    <w:div w:id="833375923">
      <w:bodyDiv w:val="1"/>
      <w:marLeft w:val="0"/>
      <w:marRight w:val="0"/>
      <w:marTop w:val="0"/>
      <w:marBottom w:val="0"/>
      <w:divBdr>
        <w:top w:val="none" w:sz="0" w:space="0" w:color="auto"/>
        <w:left w:val="none" w:sz="0" w:space="0" w:color="auto"/>
        <w:bottom w:val="none" w:sz="0" w:space="0" w:color="auto"/>
        <w:right w:val="none" w:sz="0" w:space="0" w:color="auto"/>
      </w:divBdr>
    </w:div>
    <w:div w:id="894394446">
      <w:bodyDiv w:val="1"/>
      <w:marLeft w:val="0"/>
      <w:marRight w:val="0"/>
      <w:marTop w:val="0"/>
      <w:marBottom w:val="0"/>
      <w:divBdr>
        <w:top w:val="none" w:sz="0" w:space="0" w:color="auto"/>
        <w:left w:val="none" w:sz="0" w:space="0" w:color="auto"/>
        <w:bottom w:val="none" w:sz="0" w:space="0" w:color="auto"/>
        <w:right w:val="none" w:sz="0" w:space="0" w:color="auto"/>
      </w:divBdr>
    </w:div>
    <w:div w:id="1056507790">
      <w:bodyDiv w:val="1"/>
      <w:marLeft w:val="0"/>
      <w:marRight w:val="0"/>
      <w:marTop w:val="0"/>
      <w:marBottom w:val="0"/>
      <w:divBdr>
        <w:top w:val="none" w:sz="0" w:space="0" w:color="auto"/>
        <w:left w:val="none" w:sz="0" w:space="0" w:color="auto"/>
        <w:bottom w:val="none" w:sz="0" w:space="0" w:color="auto"/>
        <w:right w:val="none" w:sz="0" w:space="0" w:color="auto"/>
      </w:divBdr>
    </w:div>
    <w:div w:id="1063407013">
      <w:bodyDiv w:val="1"/>
      <w:marLeft w:val="0"/>
      <w:marRight w:val="0"/>
      <w:marTop w:val="0"/>
      <w:marBottom w:val="0"/>
      <w:divBdr>
        <w:top w:val="none" w:sz="0" w:space="0" w:color="auto"/>
        <w:left w:val="none" w:sz="0" w:space="0" w:color="auto"/>
        <w:bottom w:val="none" w:sz="0" w:space="0" w:color="auto"/>
        <w:right w:val="none" w:sz="0" w:space="0" w:color="auto"/>
      </w:divBdr>
    </w:div>
    <w:div w:id="1075202476">
      <w:bodyDiv w:val="1"/>
      <w:marLeft w:val="0"/>
      <w:marRight w:val="0"/>
      <w:marTop w:val="0"/>
      <w:marBottom w:val="0"/>
      <w:divBdr>
        <w:top w:val="none" w:sz="0" w:space="0" w:color="auto"/>
        <w:left w:val="none" w:sz="0" w:space="0" w:color="auto"/>
        <w:bottom w:val="none" w:sz="0" w:space="0" w:color="auto"/>
        <w:right w:val="none" w:sz="0" w:space="0" w:color="auto"/>
      </w:divBdr>
    </w:div>
    <w:div w:id="1128546851">
      <w:bodyDiv w:val="1"/>
      <w:marLeft w:val="0"/>
      <w:marRight w:val="0"/>
      <w:marTop w:val="0"/>
      <w:marBottom w:val="0"/>
      <w:divBdr>
        <w:top w:val="none" w:sz="0" w:space="0" w:color="auto"/>
        <w:left w:val="none" w:sz="0" w:space="0" w:color="auto"/>
        <w:bottom w:val="none" w:sz="0" w:space="0" w:color="auto"/>
        <w:right w:val="none" w:sz="0" w:space="0" w:color="auto"/>
      </w:divBdr>
    </w:div>
    <w:div w:id="1176113822">
      <w:bodyDiv w:val="1"/>
      <w:marLeft w:val="0"/>
      <w:marRight w:val="0"/>
      <w:marTop w:val="0"/>
      <w:marBottom w:val="0"/>
      <w:divBdr>
        <w:top w:val="none" w:sz="0" w:space="0" w:color="auto"/>
        <w:left w:val="none" w:sz="0" w:space="0" w:color="auto"/>
        <w:bottom w:val="none" w:sz="0" w:space="0" w:color="auto"/>
        <w:right w:val="none" w:sz="0" w:space="0" w:color="auto"/>
      </w:divBdr>
    </w:div>
    <w:div w:id="1187867588">
      <w:bodyDiv w:val="1"/>
      <w:marLeft w:val="0"/>
      <w:marRight w:val="0"/>
      <w:marTop w:val="0"/>
      <w:marBottom w:val="0"/>
      <w:divBdr>
        <w:top w:val="none" w:sz="0" w:space="0" w:color="auto"/>
        <w:left w:val="none" w:sz="0" w:space="0" w:color="auto"/>
        <w:bottom w:val="none" w:sz="0" w:space="0" w:color="auto"/>
        <w:right w:val="none" w:sz="0" w:space="0" w:color="auto"/>
      </w:divBdr>
    </w:div>
    <w:div w:id="1194152266">
      <w:bodyDiv w:val="1"/>
      <w:marLeft w:val="0"/>
      <w:marRight w:val="0"/>
      <w:marTop w:val="0"/>
      <w:marBottom w:val="0"/>
      <w:divBdr>
        <w:top w:val="none" w:sz="0" w:space="0" w:color="auto"/>
        <w:left w:val="none" w:sz="0" w:space="0" w:color="auto"/>
        <w:bottom w:val="none" w:sz="0" w:space="0" w:color="auto"/>
        <w:right w:val="none" w:sz="0" w:space="0" w:color="auto"/>
      </w:divBdr>
    </w:div>
    <w:div w:id="1319577343">
      <w:bodyDiv w:val="1"/>
      <w:marLeft w:val="0"/>
      <w:marRight w:val="0"/>
      <w:marTop w:val="0"/>
      <w:marBottom w:val="0"/>
      <w:divBdr>
        <w:top w:val="none" w:sz="0" w:space="0" w:color="auto"/>
        <w:left w:val="none" w:sz="0" w:space="0" w:color="auto"/>
        <w:bottom w:val="none" w:sz="0" w:space="0" w:color="auto"/>
        <w:right w:val="none" w:sz="0" w:space="0" w:color="auto"/>
      </w:divBdr>
    </w:div>
    <w:div w:id="1498153523">
      <w:bodyDiv w:val="1"/>
      <w:marLeft w:val="0"/>
      <w:marRight w:val="0"/>
      <w:marTop w:val="0"/>
      <w:marBottom w:val="0"/>
      <w:divBdr>
        <w:top w:val="none" w:sz="0" w:space="0" w:color="auto"/>
        <w:left w:val="none" w:sz="0" w:space="0" w:color="auto"/>
        <w:bottom w:val="none" w:sz="0" w:space="0" w:color="auto"/>
        <w:right w:val="none" w:sz="0" w:space="0" w:color="auto"/>
      </w:divBdr>
    </w:div>
    <w:div w:id="1634943374">
      <w:bodyDiv w:val="1"/>
      <w:marLeft w:val="0"/>
      <w:marRight w:val="0"/>
      <w:marTop w:val="0"/>
      <w:marBottom w:val="0"/>
      <w:divBdr>
        <w:top w:val="none" w:sz="0" w:space="0" w:color="auto"/>
        <w:left w:val="none" w:sz="0" w:space="0" w:color="auto"/>
        <w:bottom w:val="none" w:sz="0" w:space="0" w:color="auto"/>
        <w:right w:val="none" w:sz="0" w:space="0" w:color="auto"/>
      </w:divBdr>
    </w:div>
    <w:div w:id="1720546795">
      <w:bodyDiv w:val="1"/>
      <w:marLeft w:val="0"/>
      <w:marRight w:val="0"/>
      <w:marTop w:val="0"/>
      <w:marBottom w:val="0"/>
      <w:divBdr>
        <w:top w:val="none" w:sz="0" w:space="0" w:color="auto"/>
        <w:left w:val="none" w:sz="0" w:space="0" w:color="auto"/>
        <w:bottom w:val="none" w:sz="0" w:space="0" w:color="auto"/>
        <w:right w:val="none" w:sz="0" w:space="0" w:color="auto"/>
      </w:divBdr>
    </w:div>
    <w:div w:id="1884320075">
      <w:bodyDiv w:val="1"/>
      <w:marLeft w:val="0"/>
      <w:marRight w:val="0"/>
      <w:marTop w:val="0"/>
      <w:marBottom w:val="0"/>
      <w:divBdr>
        <w:top w:val="none" w:sz="0" w:space="0" w:color="auto"/>
        <w:left w:val="none" w:sz="0" w:space="0" w:color="auto"/>
        <w:bottom w:val="none" w:sz="0" w:space="0" w:color="auto"/>
        <w:right w:val="none" w:sz="0" w:space="0" w:color="auto"/>
      </w:divBdr>
    </w:div>
    <w:div w:id="1886093266">
      <w:bodyDiv w:val="1"/>
      <w:marLeft w:val="0"/>
      <w:marRight w:val="0"/>
      <w:marTop w:val="0"/>
      <w:marBottom w:val="0"/>
      <w:divBdr>
        <w:top w:val="none" w:sz="0" w:space="0" w:color="auto"/>
        <w:left w:val="none" w:sz="0" w:space="0" w:color="auto"/>
        <w:bottom w:val="none" w:sz="0" w:space="0" w:color="auto"/>
        <w:right w:val="none" w:sz="0" w:space="0" w:color="auto"/>
      </w:divBdr>
    </w:div>
    <w:div w:id="1959990837">
      <w:bodyDiv w:val="1"/>
      <w:marLeft w:val="0"/>
      <w:marRight w:val="0"/>
      <w:marTop w:val="0"/>
      <w:marBottom w:val="0"/>
      <w:divBdr>
        <w:top w:val="none" w:sz="0" w:space="0" w:color="auto"/>
        <w:left w:val="none" w:sz="0" w:space="0" w:color="auto"/>
        <w:bottom w:val="none" w:sz="0" w:space="0" w:color="auto"/>
        <w:right w:val="none" w:sz="0" w:space="0" w:color="auto"/>
      </w:divBdr>
    </w:div>
    <w:div w:id="2040010137">
      <w:bodyDiv w:val="1"/>
      <w:marLeft w:val="0"/>
      <w:marRight w:val="0"/>
      <w:marTop w:val="0"/>
      <w:marBottom w:val="0"/>
      <w:divBdr>
        <w:top w:val="none" w:sz="0" w:space="0" w:color="auto"/>
        <w:left w:val="none" w:sz="0" w:space="0" w:color="auto"/>
        <w:bottom w:val="none" w:sz="0" w:space="0" w:color="auto"/>
        <w:right w:val="none" w:sz="0" w:space="0" w:color="auto"/>
      </w:divBdr>
    </w:div>
    <w:div w:id="20696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9.emf"/><Relationship Id="rId39"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image" Target="media/image8.emf"/><Relationship Id="rId33" Type="http://schemas.openxmlformats.org/officeDocument/2006/relationships/image" Target="media/image16.emf"/><Relationship Id="rId38"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emf"/><Relationship Id="rId29" Type="http://schemas.openxmlformats.org/officeDocument/2006/relationships/image" Target="media/image12.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image" Target="media/image15.emf"/><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6.emf"/><Relationship Id="rId28" Type="http://schemas.openxmlformats.org/officeDocument/2006/relationships/image" Target="media/image11.PNG"/><Relationship Id="rId36"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image" Target="media/image2.emf"/><Relationship Id="rId31" Type="http://schemas.openxmlformats.org/officeDocument/2006/relationships/image" Target="media/image14.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5.emf"/><Relationship Id="rId27" Type="http://schemas.openxmlformats.org/officeDocument/2006/relationships/image" Target="media/image10.emf"/><Relationship Id="rId30" Type="http://schemas.openxmlformats.org/officeDocument/2006/relationships/image" Target="media/image13.emf"/><Relationship Id="rId35" Type="http://schemas.openxmlformats.org/officeDocument/2006/relationships/header" Target="header5.xml"/></Relationships>
</file>

<file path=word/_rels/footnotes.xml.rels><?xml version="1.0" encoding="UTF-8" standalone="yes"?>
<Relationships xmlns="http://schemas.openxmlformats.org/package/2006/relationships"><Relationship Id="rId8" Type="http://schemas.openxmlformats.org/officeDocument/2006/relationships/hyperlink" Target="https://trade.ec.europa.eu/doclib/docs/2019/march/tradoc_157716.pdf" TargetMode="External"/><Relationship Id="rId13" Type="http://schemas.openxmlformats.org/officeDocument/2006/relationships/hyperlink" Target="https://trade.ec.europa.eu/doclib/docs/2019/november/tradoc_158417.pdf" TargetMode="External"/><Relationship Id="rId18" Type="http://schemas.openxmlformats.org/officeDocument/2006/relationships/hyperlink" Target="https://case-research.eu/en/ex-post-evaluation-of-the-impact-of-trade-chapters-of-the-euro-mediterranean-association-agreements-with-six-partners-algeria-egypt-jordan-lebanon-morocco-and-tunisia-interim-technical-report-101329" TargetMode="External"/><Relationship Id="rId26" Type="http://schemas.openxmlformats.org/officeDocument/2006/relationships/hyperlink" Target="https://www.ceps.eu/ceps-publications/public-procurement/" TargetMode="External"/><Relationship Id="rId39" Type="http://schemas.openxmlformats.org/officeDocument/2006/relationships/hyperlink" Target="https://trade.ec.europa.eu/wtodispute/show.cfm?id=792&amp;code=1" TargetMode="External"/><Relationship Id="rId3" Type="http://schemas.openxmlformats.org/officeDocument/2006/relationships/hyperlink" Target="https://ec.europa.eu/commission/presscorner/detail/hu/IP_20_1409" TargetMode="External"/><Relationship Id="rId21" Type="http://schemas.openxmlformats.org/officeDocument/2006/relationships/hyperlink" Target="https://www.government.nl/topics/responsible-business-conduct-rbc/evaluation-and-renewal-of-rbc-policy" TargetMode="External"/><Relationship Id="rId34" Type="http://schemas.openxmlformats.org/officeDocument/2006/relationships/hyperlink" Target="https://ec.europa.eu/eurostat/web/experimental-statistics/stec" TargetMode="External"/><Relationship Id="rId42" Type="http://schemas.openxmlformats.org/officeDocument/2006/relationships/hyperlink" Target="http://trade.ec.europa.eu/doclib/docs/2019/january/tradoc_157625.pdf" TargetMode="External"/><Relationship Id="rId7" Type="http://schemas.openxmlformats.org/officeDocument/2006/relationships/hyperlink" Target="https://www.mti.gov.sg/Improving-Trade/Free-Trade-Agreements/CPTPP" TargetMode="External"/><Relationship Id="rId12" Type="http://schemas.openxmlformats.org/officeDocument/2006/relationships/hyperlink" Target="https://ec.europa.eu/taxation_customs/sites/taxation/files/ceta_guidance_en.pdf" TargetMode="External"/><Relationship Id="rId17" Type="http://schemas.openxmlformats.org/officeDocument/2006/relationships/hyperlink" Target="https://trade.ec.europa.eu/doclib/press/index.cfm?id=2083" TargetMode="External"/><Relationship Id="rId25" Type="http://schemas.openxmlformats.org/officeDocument/2006/relationships/hyperlink" Target="http://www.mcinet.gov.ma/en/content/automotive-0" TargetMode="External"/><Relationship Id="rId33" Type="http://schemas.openxmlformats.org/officeDocument/2006/relationships/hyperlink" Target="https://www.epo.org/news-events/news/2019/20190925.html" TargetMode="External"/><Relationship Id="rId38" Type="http://schemas.openxmlformats.org/officeDocument/2006/relationships/hyperlink" Target="https://trade.ec.europa.eu/doclib/docs/2020/february/tradoc_158645.pdf" TargetMode="External"/><Relationship Id="rId46" Type="http://schemas.openxmlformats.org/officeDocument/2006/relationships/hyperlink" Target="https://ec.europa.eu/info/sites/info/files/economy-finance/ip132_en.pdf" TargetMode="External"/><Relationship Id="rId2" Type="http://schemas.openxmlformats.org/officeDocument/2006/relationships/hyperlink" Target="https://ec.europa.eu/trade/policy/countries-and-regions/negotiations-and-agreements/" TargetMode="External"/><Relationship Id="rId16" Type="http://schemas.openxmlformats.org/officeDocument/2006/relationships/hyperlink" Target="https://www.ohchr.org/EN/Issues/Business/Pages/JointProjectResponsibleBusinessConduct.aspx" TargetMode="External"/><Relationship Id="rId20" Type="http://schemas.openxmlformats.org/officeDocument/2006/relationships/hyperlink" Target="https://trade.ec.europa.eu/doclib/docs/2018/february/tradoc_156618.pdf" TargetMode="External"/><Relationship Id="rId29" Type="http://schemas.openxmlformats.org/officeDocument/2006/relationships/hyperlink" Target="https://trade.ec.europa.eu/doclib/docs/2020/february/tradoc_158655.pdf" TargetMode="External"/><Relationship Id="rId41" Type="http://schemas.openxmlformats.org/officeDocument/2006/relationships/hyperlink" Target="http://trade.ec.europa.eu/doclib/docs/2019/july/tradoc_157992.pdf" TargetMode="External"/><Relationship Id="rId1" Type="http://schemas.openxmlformats.org/officeDocument/2006/relationships/hyperlink" Target="https://publications.europa.eu/code/hu/hu-5000500.htm" TargetMode="External"/><Relationship Id="rId6" Type="http://schemas.openxmlformats.org/officeDocument/2006/relationships/hyperlink" Target="https://eur-lex.europa.eu/LexUriServ/LexUriServ.do?uri=COM:2006:0567:FIN:hu:PDF" TargetMode="External"/><Relationship Id="rId11" Type="http://schemas.openxmlformats.org/officeDocument/2006/relationships/hyperlink" Target="https://trade.ec.europa.eu/doclib/docs/2019/july/tradoc_157973.pdf" TargetMode="External"/><Relationship Id="rId24" Type="http://schemas.openxmlformats.org/officeDocument/2006/relationships/hyperlink" Target="https://ec.europa.eu/growth/single-market/services_hu" TargetMode="External"/><Relationship Id="rId32" Type="http://schemas.openxmlformats.org/officeDocument/2006/relationships/hyperlink" Target="https://trade.ec.europa.eu/doclib/docs/2018/december/tradoc_157564.pdf" TargetMode="External"/><Relationship Id="rId37" Type="http://schemas.openxmlformats.org/officeDocument/2006/relationships/hyperlink" Target="https://trade.ec.europa.eu/doclib/docs/2019/august/tradoc_158308.pdf" TargetMode="External"/><Relationship Id="rId40" Type="http://schemas.openxmlformats.org/officeDocument/2006/relationships/hyperlink" Target="http://trade.ec.europa.eu/doclib/docs/2018/december/tradoc_157586.pdf" TargetMode="External"/><Relationship Id="rId45" Type="http://schemas.openxmlformats.org/officeDocument/2006/relationships/hyperlink" Target="https://trade.ec.europa.eu/doclib/docs/2020/april/tradoc_158717.pdf" TargetMode="External"/><Relationship Id="rId5" Type="http://schemas.openxmlformats.org/officeDocument/2006/relationships/hyperlink" Target="https://trade.ec.europa.eu/doclib/docs/2018/february/tradoc_156618.pdf" TargetMode="External"/><Relationship Id="rId15" Type="http://schemas.openxmlformats.org/officeDocument/2006/relationships/hyperlink" Target="https://www.ilo.org/americas/programas-y-proyectos/WCMS_735906/lang--en/index.htm" TargetMode="External"/><Relationship Id="rId23" Type="http://schemas.openxmlformats.org/officeDocument/2006/relationships/hyperlink" Target="https://op.europa.eu/en/publication-detail/-/publication/a7281794-7ebe-11ea-aea8-01aa75ed71a1" TargetMode="External"/><Relationship Id="rId28" Type="http://schemas.openxmlformats.org/officeDocument/2006/relationships/hyperlink" Target="http://data.consilium.europa.eu/doc/document/ST-10973-2016-ADD-4/en/pdf" TargetMode="External"/><Relationship Id="rId36" Type="http://schemas.openxmlformats.org/officeDocument/2006/relationships/hyperlink" Target="https://een.ec.europa.eu/" TargetMode="External"/><Relationship Id="rId10" Type="http://schemas.openxmlformats.org/officeDocument/2006/relationships/hyperlink" Target="https://www.eu-japan.eu/" TargetMode="External"/><Relationship Id="rId19" Type="http://schemas.openxmlformats.org/officeDocument/2006/relationships/hyperlink" Target="https://trade.ec.europa.eu/doclib/docs/2020/september/tradoc_158926.pdf" TargetMode="External"/><Relationship Id="rId31" Type="http://schemas.openxmlformats.org/officeDocument/2006/relationships/hyperlink" Target="https://trade.ec.europa.eu/doclib/docs/2020/january/tradoc_158561.pdf" TargetMode="External"/><Relationship Id="rId44" Type="http://schemas.openxmlformats.org/officeDocument/2006/relationships/hyperlink" Target="https://trade.ec.europa.eu/doclib/docs/2019/june/tradoc_157928.pdf" TargetMode="External"/><Relationship Id="rId4" Type="http://schemas.openxmlformats.org/officeDocument/2006/relationships/hyperlink" Target="https://trade.ec.europa.eu/doclib/docs/2020/september/tradoc_158926.pdf" TargetMode="External"/><Relationship Id="rId9" Type="http://schemas.openxmlformats.org/officeDocument/2006/relationships/hyperlink" Target="https://trade.ec.europa.eu/doclib/press/index.cfm?id=2107" TargetMode="External"/><Relationship Id="rId14" Type="http://schemas.openxmlformats.org/officeDocument/2006/relationships/hyperlink" Target="http://mneguidelines.oecd.org/rbclac.htm" TargetMode="External"/><Relationship Id="rId22" Type="http://schemas.openxmlformats.org/officeDocument/2006/relationships/hyperlink" Target="https://trade.ec.europa.eu/doclib/docs/2019/november/tradoc_158481.pdf" TargetMode="External"/><Relationship Id="rId27" Type="http://schemas.openxmlformats.org/officeDocument/2006/relationships/hyperlink" Target="https://ec.europa.eu/trade/policy/accessing-markets/public-procurement/" TargetMode="External"/><Relationship Id="rId30" Type="http://schemas.openxmlformats.org/officeDocument/2006/relationships/hyperlink" Target="https://www.eubusinessinjapan.eu/library/publication/infopack-epa-government-procurement" TargetMode="External"/><Relationship Id="rId35" Type="http://schemas.openxmlformats.org/officeDocument/2006/relationships/hyperlink" Target="https://trade.ec.europa.eu/doclib/docs/2020/june/tradoc_158778.pdf" TargetMode="External"/><Relationship Id="rId43" Type="http://schemas.openxmlformats.org/officeDocument/2006/relationships/hyperlink" Target="https://trade.ec.europa.eu/doclib/docs/2019/june/tradoc_15794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Status xmlns="7b883e67-1a29-4712-81ce-4abcb156cfc7">Not Started</EC_Collab_Status>
    <EC_Collab_Reference xmlns="7b883e67-1a29-4712-81ce-4abcb156cfc7" xsi:nil="true"/>
    <EC_Collab_DocumentLanguage xmlns="7b883e67-1a29-4712-81ce-4abcb156cfc7">EN</EC_Collab_DocumentLanguag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5C9093A9498FA84CA06A5E94D7C6D09C" ma:contentTypeVersion="1" ma:contentTypeDescription="Create a new document in this library." ma:contentTypeScope="" ma:versionID="e60087c61f90190b0ef47eb6b18b1daa">
  <xsd:schema xmlns:xsd="http://www.w3.org/2001/XMLSchema" xmlns:xs="http://www.w3.org/2001/XMLSchema" xmlns:p="http://schemas.microsoft.com/office/2006/metadata/properties" xmlns:ns3="7b883e67-1a29-4712-81ce-4abcb156cfc7" targetNamespace="http://schemas.microsoft.com/office/2006/metadata/properties" ma:root="true" ma:fieldsID="2b6153e5acd43337297a4e3edfe99674" ns3:_="">
    <xsd:import namespace="7b883e67-1a29-4712-81ce-4abcb156cfc7"/>
    <xsd:element name="properties">
      <xsd:complexType>
        <xsd:sequence>
          <xsd:element name="documentManagement">
            <xsd:complexType>
              <xsd:all>
                <xsd:element ref="ns3:EC_Collab_Reference"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83e67-1a29-4712-81ce-4abcb156cfc7"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D08E033-075A-429E-AA23-A5C5D6BF5134}">
  <ds:schemaRefs>
    <ds:schemaRef ds:uri="http://schemas.microsoft.com/office/2006/metadata/properties"/>
    <ds:schemaRef ds:uri="http://schemas.microsoft.com/office/infopath/2007/PartnerControls"/>
    <ds:schemaRef ds:uri="7b883e67-1a29-4712-81ce-4abcb156cfc7"/>
  </ds:schemaRefs>
</ds:datastoreItem>
</file>

<file path=customXml/itemProps2.xml><?xml version="1.0" encoding="utf-8"?>
<ds:datastoreItem xmlns:ds="http://schemas.openxmlformats.org/officeDocument/2006/customXml" ds:itemID="{239A9904-5CD9-4ADD-97FE-DDB57DD6AF27}">
  <ds:schemaRefs>
    <ds:schemaRef ds:uri="http://schemas.microsoft.com/sharepoint/v3/contenttype/forms"/>
  </ds:schemaRefs>
</ds:datastoreItem>
</file>

<file path=customXml/itemProps3.xml><?xml version="1.0" encoding="utf-8"?>
<ds:datastoreItem xmlns:ds="http://schemas.openxmlformats.org/officeDocument/2006/customXml" ds:itemID="{F7546A6A-B2B2-4454-9892-EA5D469E5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83e67-1a29-4712-81ce-4abcb156c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C0404D-AD20-4487-A551-7588E7217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61</Pages>
  <Words>14231</Words>
  <Characters>102898</Characters>
  <Application>Microsoft Office Word</Application>
  <DocSecurity>0</DocSecurity>
  <Lines>1744</Lines>
  <Paragraphs>494</Paragraphs>
  <ScaleCrop>false</ScaleCrop>
  <HeadingPairs>
    <vt:vector size="2" baseType="variant">
      <vt:variant>
        <vt:lpstr>Title</vt:lpstr>
      </vt:variant>
      <vt:variant>
        <vt:i4>1</vt:i4>
      </vt:variant>
    </vt:vector>
  </HeadingPairs>
  <TitlesOfParts>
    <vt:vector size="1" baseType="lpstr">
      <vt:lpstr>Draft Report for ARES procedure</vt:lpstr>
    </vt:vector>
  </TitlesOfParts>
  <Manager/>
  <Company/>
  <LinksUpToDate>false</LinksUpToDate>
  <CharactersWithSpaces>116635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Report for ARES procedure</dc:title>
  <dc:subject>FTA Implementation</dc:subject>
  <dc:creator/>
  <cp:keywords/>
  <dc:description/>
  <cp:lastModifiedBy>WES PDFC Administrator</cp:lastModifiedBy>
  <cp:revision>41</cp:revision>
  <cp:lastPrinted>2020-09-03T07:59:00Z</cp:lastPrinted>
  <dcterms:created xsi:type="dcterms:W3CDTF">2020-10-27T11:57:00Z</dcterms:created>
  <dcterms:modified xsi:type="dcterms:W3CDTF">2020-11-04T09:14:00Z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CP-008</vt:lpwstr>
  </property>
  <property fmtid="{D5CDD505-2E9C-101B-9397-08002B2CF9AE}" pid="7" name="Last edited using">
    <vt:lpwstr>LW 7.0.1, Build 20190916</vt:lpwstr>
  </property>
  <property fmtid="{D5CDD505-2E9C-101B-9397-08002B2CF9AE}" pid="8" name="Created using">
    <vt:lpwstr>LW 7.0, Build 20190717</vt:lpwstr>
  </property>
  <property fmtid="{D5CDD505-2E9C-101B-9397-08002B2CF9AE}" pid="9" name="_LW_INVALIDATED__LW_INVALIDATED__LW_INVALIDATED_ContentTypeId">
    <vt:lpwstr>0x010100258AA79CEB83498886A3A08681123250005C9093A9498FA84CA06A5E94D7C6D09C</vt:lpwstr>
  </property>
</Properties>
</file>