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7E538E3-D3AE-4501-AE37-71346E6F7D68" style="width:450.5pt;height:320.5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beforeAutospacing="0" w:after="240" w:afterAutospacing="0"/>
        <w:jc w:val="both"/>
        <w:rPr>
          <w:noProof/>
          <w:sz w:val="24"/>
          <w:szCs w:val="24"/>
        </w:rPr>
      </w:pPr>
      <w:bookmarkStart w:id="1" w:name="_GoBack"/>
      <w:bookmarkEnd w:id="1"/>
      <w:r>
        <w:rPr>
          <w:noProof/>
          <w:sz w:val="24"/>
          <w:szCs w:val="24"/>
        </w:rPr>
        <w:lastRenderedPageBreak/>
        <w:t>ΠΡΟΣ ΤΗΝ ΕΠΙΤΕΥΞΗ ΙΣΟΤΗΤΑΣ ΤΩΝ ΛΟΑΤΚΙ: ΕΛΕΥΘΕΡΙΑ ΤΟΥ ΚΑΘΕΝΑ ΝΑ ΕΙΝΑΙ Ο ΕΑΥΤΟΣ ΤΟΥ ΣΤΗΝ ΕΕ</w:t>
      </w:r>
    </w:p>
    <w:p>
      <w:pPr>
        <w:spacing w:line="240" w:lineRule="auto"/>
        <w:jc w:val="both"/>
        <w:rPr>
          <w:rFonts w:ascii="Times New Roman" w:hAnsi="Times New Roman" w:cs="Times New Roman"/>
          <w:i/>
          <w:noProof/>
          <w:sz w:val="24"/>
          <w:szCs w:val="24"/>
        </w:rPr>
      </w:pPr>
      <w:r>
        <w:rPr>
          <w:rFonts w:ascii="Times New Roman" w:hAnsi="Times New Roman"/>
          <w:i/>
          <w:noProof/>
          <w:sz w:val="24"/>
          <w:szCs w:val="24"/>
        </w:rPr>
        <w:t xml:space="preserve">Δεν θα επαναπαυτώ όσον αφορά το θέμα της οικοδόμησης μιας Ένωσης ισότητας. Μιας Ένωσης στην οποία θα μπορεί ο καθένας να είναι ο εαυτός του και να αγαπάει όποιον θέλει, χωρίς φόβο αντιποίνων και διακρίσεων.   </w:t>
      </w:r>
    </w:p>
    <w:p>
      <w:pPr>
        <w:spacing w:line="240" w:lineRule="auto"/>
        <w:jc w:val="both"/>
        <w:rPr>
          <w:rFonts w:ascii="Times New Roman" w:hAnsi="Times New Roman" w:cs="Times New Roman"/>
          <w:i/>
          <w:noProof/>
          <w:sz w:val="24"/>
          <w:szCs w:val="24"/>
        </w:rPr>
      </w:pPr>
      <w:r>
        <w:rPr>
          <w:rFonts w:ascii="Times New Roman" w:hAnsi="Times New Roman"/>
          <w:i/>
          <w:noProof/>
          <w:sz w:val="24"/>
          <w:szCs w:val="24"/>
        </w:rPr>
        <w:t xml:space="preserve">Διότι το να είσαι ο εαυτός σου δεν είναι η ιδεολογία σου. Είναι η ταυτότητά σου. </w:t>
      </w:r>
    </w:p>
    <w:p>
      <w:pPr>
        <w:spacing w:after="24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Και κανένας, ποτέ, δεν μπορεί να το αρνηθεί αυτό.  </w:t>
      </w:r>
    </w:p>
    <w:p>
      <w:pPr>
        <w:spacing w:after="240" w:line="240" w:lineRule="auto"/>
        <w:jc w:val="right"/>
        <w:rPr>
          <w:rFonts w:ascii="Times New Roman" w:hAnsi="Times New Roman" w:cs="Times New Roman"/>
          <w:i/>
          <w:noProof/>
          <w:sz w:val="24"/>
          <w:szCs w:val="24"/>
        </w:rPr>
      </w:pPr>
      <w:r>
        <w:rPr>
          <w:rFonts w:ascii="Times New Roman" w:hAnsi="Times New Roman"/>
          <w:b/>
          <w:noProof/>
          <w:sz w:val="24"/>
          <w:szCs w:val="24"/>
        </w:rPr>
        <w:t xml:space="preserve">Ursula von der Leyen (Πρόεδρος της Ευρωπαϊκής Επιτροπής) </w:t>
      </w:r>
      <w:r>
        <w:rPr>
          <w:noProof/>
        </w:rPr>
        <w:t xml:space="preserve"> </w:t>
      </w:r>
      <w:r>
        <w:rPr>
          <w:noProof/>
        </w:rPr>
        <w:br/>
      </w:r>
      <w:r>
        <w:rPr>
          <w:rFonts w:ascii="Times New Roman" w:hAnsi="Times New Roman"/>
          <w:i/>
          <w:noProof/>
          <w:sz w:val="24"/>
          <w:szCs w:val="24"/>
        </w:rPr>
        <w:t>Κατάσταση της Ένωσης 2020</w:t>
      </w:r>
    </w:p>
    <w:p>
      <w:pPr>
        <w:spacing w:after="240" w:line="240" w:lineRule="auto"/>
        <w:jc w:val="both"/>
        <w:rPr>
          <w:rFonts w:ascii="Times New Roman" w:hAnsi="Times New Roman" w:cs="Times New Roman"/>
          <w:b/>
          <w:noProof/>
          <w:sz w:val="28"/>
          <w:szCs w:val="28"/>
        </w:rPr>
      </w:pP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Καθένας στην Ευρωπαϊκή Ένωση θα πρέπει να είναι ασφαλής και ελεύθερος να είναι ο εαυτός του. Η κοινωνική, πολιτική και οικονομική μας δύναμη απορρέει από την ενότητα στην πολυμορφία μας: Η ισότητα και η απαγόρευση των διακρίσεων αποτελούν βασικές αξίες και θεμελιώδη δικαιώματα στην ΕΕ, που κατοχυρώνονται στις Συνθήκες και στον Χάρτη των Θεμελιωδών Δικαιωμάτων</w:t>
      </w:r>
      <w:r>
        <w:rPr>
          <w:rFonts w:ascii="Times New Roman" w:hAnsi="Times New Roman" w:cs="Times New Roman"/>
          <w:noProof/>
          <w:vertAlign w:val="superscript"/>
        </w:rPr>
        <w:footnoteReference w:id="1"/>
      </w:r>
      <w:r>
        <w:rPr>
          <w:rFonts w:ascii="Times New Roman" w:hAnsi="Times New Roman"/>
          <w:noProof/>
          <w:sz w:val="24"/>
          <w:szCs w:val="24"/>
        </w:rPr>
        <w:t>. Οι ίσες ευκαιρίες αποτελούν επίσης έναν από τους βασικούς πυλώνες του ευρωπαϊκού πυλώνα κοινωνικών δικαιωμάτων. Η Ευρωπαϊκή Επιτροπή, το Κοινοβούλιο και το Συμβούλιο, από κοινού με τα κράτη μέλη, είναι συνυπεύθυνα για την προστασία των θεμελιωδών δικαιωμάτων και τη διασφάλιση της ίσης μεταχείρισης και της ισότητας για όλους.</w:t>
      </w:r>
    </w:p>
    <w:p>
      <w:pPr>
        <w:spacing w:after="240" w:line="22" w:lineRule="atLeast"/>
        <w:jc w:val="both"/>
        <w:rPr>
          <w:rFonts w:ascii="Times New Roman" w:hAnsi="Times New Roman" w:cs="Times New Roman"/>
          <w:noProof/>
          <w:sz w:val="24"/>
          <w:szCs w:val="24"/>
        </w:rPr>
      </w:pPr>
      <w:r>
        <w:rPr>
          <w:rFonts w:ascii="Times New Roman" w:hAnsi="Times New Roman"/>
          <w:noProof/>
          <w:sz w:val="24"/>
          <w:szCs w:val="24"/>
        </w:rPr>
        <w:t>Τις τελευταίες δεκαετίες, νομοθετικές εξελίξεις, νομολογίες και πρωτοβουλίες πολιτικής έχουν βελτιώσει τη ζωή πολλών ανθρώπων και μας έχουν βοηθήσει να οικοδομήσουμε πιο ισότιμες και φιλόξενες κοινωνίες, μεταξύ άλλων, για λεσβίες, ομοφυλόφιλους, αμφιφυλόφιλους, τρανς, κουίρ, ίντερσεξ (ΛΟΑΤΚΙ</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και μη δυαδικά άτομα. Το 2015 η Επιτροπή παρουσίασε τον «Κατάλογο δράσεων για την προαγωγή της ισότητας των ΛΟΑΤI»</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το πρώτο πλαίσιο πολιτικής ειδικά για την καταπολέμηση των διακρίσεων κατά των ΛΟΑΤΙ ατόμων. Σε εθνικό επίπεδο, 21 κράτη μέλη</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έχουν αναγνωρίσει νομικά τα ομόφυλα ζευγάρια, ενώ τέσσερα έχουν θεσπίσει διαδικασίες νομικής αναγνώρισης του φύλου χωρίς ιατρικές απαιτήσεις</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w:t>
      </w:r>
    </w:p>
    <w:p>
      <w:pPr>
        <w:spacing w:after="240" w:line="22" w:lineRule="atLeast"/>
        <w:jc w:val="both"/>
        <w:rPr>
          <w:rFonts w:ascii="Times New Roman" w:hAnsi="Times New Roman" w:cs="Times New Roman"/>
          <w:noProof/>
          <w:sz w:val="24"/>
          <w:szCs w:val="24"/>
        </w:rPr>
      </w:pPr>
      <w:r>
        <w:rPr>
          <w:rFonts w:ascii="Times New Roman" w:hAnsi="Times New Roman"/>
          <w:noProof/>
          <w:sz w:val="24"/>
          <w:szCs w:val="24"/>
        </w:rPr>
        <w:t xml:space="preserve">Με βάση πρόσφατη έρευνα προκύπτει επίσης ότι, ακόμη και όταν υπάρχει ευρύτερη κοινωνική αποδοχή και στήριξη για ίσα δικαιώματα, αυτή δεν μεταφράζεται πάντοτε σε απτή βελτίωση της ζωής των ΛΟΑΤΚΙ ατόμων.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Σε έρευνα του 2019, ο Οργανισμός Θεμελιωδών Δικαιωμάτων της Ευρωπαϊκής Ένωσης (στο εξής: FRA) διαπίστωσε ότι οι διακρίσεις λόγω γενετήσιου προσανατολισμού, ταυτότητας/έκφρασης φύλου και χαρακτηριστικών φύλου στην πραγματικότητα σημείωναν αύξηση στην ΕΕ: το ποσοστό των ΛΟΑΤ ατόμων που αισθάνθηκαν ότι υπέστησαν διακρίσεις το 2019 ήταν 43 %, έναντι 37 % το 2012</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spacing w:after="240" w:line="240" w:lineRule="auto"/>
        <w:jc w:val="both"/>
        <w:rPr>
          <w:rFonts w:ascii="Times New Roman" w:hAnsi="Times New Roman" w:cs="Times New Roman"/>
          <w:iCs/>
          <w:noProof/>
          <w:sz w:val="24"/>
          <w:szCs w:val="24"/>
        </w:rPr>
      </w:pPr>
      <w:r>
        <w:rPr>
          <w:rFonts w:ascii="Times New Roman" w:hAnsi="Times New Roman"/>
          <w:noProof/>
          <w:sz w:val="24"/>
          <w:szCs w:val="24"/>
        </w:rPr>
        <w:t>Διακρίσεις κατά ΛΟΑΤΚΙ ατόμων συνεχίζουν να υφίστανται σε ολόκληρη την ΕΕ. Για ορισμένα ΛΟΑΤΚΙ άτομα στην ΕΕ εξακολουθεί να μην είναι ασφαλές να εκδηλώνουν τρυφερότητα δημόσια, να εκφράζονται ανοικτά όσον αφορά τον γενετήσιο προσανατολισμό, την ταυτότητα φύλου, την έκφραση φύλου και τα χαρακτηριστικά φύλου τους (στον χώρο του σπιτιού ή της εργασίας), να είναι απλώς ο εαυτός τους χωρίς να νιώθουν ότι απειλούνται. Σημαντικός αριθμός ΛΟΑΤΚΙ ατόμων διατρέχουν επίσης κίνδυνο φτώχειας και κοινωνικού αποκλεισμού. Ορισμένοι δεν αισθάνονται ασφαλείς να καταγγείλουν περιστατικά λεκτικής κακοποίησης ή σωματικής βίας στην αστυνομία.</w:t>
      </w:r>
      <w:r>
        <w:rPr>
          <w:rFonts w:ascii="Times New Roman" w:hAnsi="Times New Roman"/>
          <w:iCs/>
          <w:noProof/>
          <w:sz w:val="24"/>
          <w:szCs w:val="24"/>
        </w:rPr>
        <w:t xml:space="preserve"> </w:t>
      </w:r>
    </w:p>
    <w:p>
      <w:pPr>
        <w:spacing w:after="240" w:line="240" w:lineRule="auto"/>
        <w:jc w:val="both"/>
        <w:rPr>
          <w:rFonts w:ascii="Times New Roman" w:hAnsi="Times New Roman" w:cs="Times New Roman"/>
          <w:iCs/>
          <w:noProof/>
          <w:sz w:val="24"/>
          <w:szCs w:val="24"/>
        </w:rPr>
      </w:pPr>
      <w:r>
        <w:rPr>
          <w:rFonts w:ascii="Times New Roman" w:hAnsi="Times New Roman"/>
          <w:iCs/>
          <w:noProof/>
          <w:sz w:val="24"/>
          <w:szCs w:val="24"/>
        </w:rPr>
        <w:t>Η κρίση της νόσου COVID-19 επέφερε νέες πιέσεις στις πιο ευάλωτες ομάδες και τα ΛΟΑΤΚΙ άτομα δεν αποτελούν εξαίρεση. Οι περιορισμοί κυκλοφορίας έχουν εγκλωβίσει πολλά ΛΟΑΤΚΙ άτομα, νεαρά και ηλικιωμένα, σε εχθρικά περιβάλλοντα, όπου ενδέχεται να διατρέχουν κίνδυνο βίας ή αυξημένου επιπέδου άγχους ή κατάθλιψης</w:t>
      </w:r>
      <w:r>
        <w:rPr>
          <w:rStyle w:val="FootnoteReference"/>
          <w:rFonts w:ascii="Times New Roman" w:hAnsi="Times New Roman" w:cs="Times New Roman"/>
          <w:noProof/>
          <w:sz w:val="24"/>
          <w:szCs w:val="24"/>
        </w:rPr>
        <w:footnoteReference w:id="7"/>
      </w:r>
      <w:r>
        <w:rPr>
          <w:rFonts w:ascii="Times New Roman" w:hAnsi="Times New Roman"/>
          <w:iCs/>
          <w:noProof/>
          <w:sz w:val="24"/>
          <w:szCs w:val="24"/>
        </w:rPr>
        <w:t>. Σε ευρέως διαδεδομένες ψευδείς ειδήσεις τα ΛΟΑΤΚΙ άτομα κατηγορήθηκαν ακόμη και για τη διασπορά του ιού</w:t>
      </w:r>
      <w:r>
        <w:rPr>
          <w:rStyle w:val="FootnoteReference"/>
          <w:rFonts w:ascii="Times New Roman" w:hAnsi="Times New Roman" w:cs="Times New Roman"/>
          <w:iCs/>
          <w:noProof/>
          <w:sz w:val="24"/>
          <w:szCs w:val="24"/>
        </w:rPr>
        <w:footnoteReference w:id="8"/>
      </w:r>
      <w:r>
        <w:rPr>
          <w:rFonts w:ascii="Times New Roman" w:hAnsi="Times New Roman"/>
          <w:iCs/>
          <w:noProof/>
          <w:sz w:val="24"/>
          <w:szCs w:val="24"/>
        </w:rPr>
        <w:t xml:space="preserve">. </w:t>
      </w:r>
    </w:p>
    <w:tbl>
      <w:tblPr>
        <w:tblStyle w:val="TableGrid"/>
        <w:tblW w:w="8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1471"/>
        <w:gridCol w:w="1471"/>
        <w:gridCol w:w="1471"/>
        <w:gridCol w:w="1471"/>
        <w:gridCol w:w="1472"/>
      </w:tblGrid>
      <w:tr>
        <w:tc>
          <w:tcPr>
            <w:tcW w:w="1471" w:type="dxa"/>
          </w:tcPr>
          <w:p>
            <w:pPr>
              <w:jc w:val="center"/>
              <w:rPr>
                <w:rFonts w:ascii="Times New Roman" w:hAnsi="Times New Roman" w:cs="Times New Roman"/>
                <w:noProof/>
                <w:sz w:val="17"/>
                <w:szCs w:val="17"/>
              </w:rPr>
            </w:pPr>
            <w:r>
              <w:rPr>
                <w:rFonts w:ascii="Times New Roman" w:hAnsi="Times New Roman"/>
                <w:noProof/>
                <w:sz w:val="17"/>
                <w:szCs w:val="17"/>
                <w:lang w:val="en-GB" w:eastAsia="en-GB"/>
              </w:rPr>
              <w:drawing>
                <wp:inline distT="0" distB="0" distL="0" distR="0">
                  <wp:extent cx="802800" cy="80280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71" w:type="dxa"/>
          </w:tcPr>
          <w:p>
            <w:pPr>
              <w:rPr>
                <w:rFonts w:ascii="Times New Roman" w:hAnsi="Times New Roman" w:cs="Times New Roman"/>
                <w:noProof/>
                <w:sz w:val="17"/>
                <w:szCs w:val="17"/>
              </w:rPr>
            </w:pPr>
            <w:r>
              <w:rPr>
                <w:rFonts w:ascii="Times New Roman" w:hAnsi="Times New Roman"/>
                <w:noProof/>
                <w:sz w:val="17"/>
                <w:szCs w:val="17"/>
              </w:rPr>
              <w:t xml:space="preserve">Το </w:t>
            </w:r>
            <w:r>
              <w:rPr>
                <w:rFonts w:ascii="Times New Roman" w:hAnsi="Times New Roman"/>
                <w:b/>
                <w:noProof/>
                <w:sz w:val="17"/>
                <w:szCs w:val="17"/>
              </w:rPr>
              <w:t>46 %</w:t>
            </w:r>
            <w:r>
              <w:rPr>
                <w:rFonts w:ascii="Times New Roman" w:hAnsi="Times New Roman"/>
                <w:noProof/>
                <w:sz w:val="17"/>
                <w:szCs w:val="17"/>
              </w:rPr>
              <w:t xml:space="preserve"> όσων απάντησαν στο πλαίσιο έρευνας ανέφεραν ότι </w:t>
            </w:r>
            <w:r>
              <w:rPr>
                <w:rFonts w:ascii="Times New Roman" w:hAnsi="Times New Roman"/>
                <w:b/>
                <w:noProof/>
                <w:sz w:val="17"/>
                <w:szCs w:val="17"/>
              </w:rPr>
              <w:t>δεν θα ένιωθαν άνετα</w:t>
            </w:r>
            <w:r>
              <w:rPr>
                <w:rFonts w:ascii="Times New Roman" w:hAnsi="Times New Roman"/>
                <w:noProof/>
                <w:sz w:val="17"/>
                <w:szCs w:val="17"/>
              </w:rPr>
              <w:t xml:space="preserve"> (εντελώς ή αρκετά) με την </w:t>
            </w:r>
            <w:r>
              <w:rPr>
                <w:rFonts w:ascii="Times New Roman" w:hAnsi="Times New Roman"/>
                <w:b/>
                <w:noProof/>
                <w:sz w:val="17"/>
                <w:szCs w:val="17"/>
              </w:rPr>
              <w:t>εκλογή ενός ίντερσεξ ατόμου</w:t>
            </w:r>
            <w:r>
              <w:rPr>
                <w:rFonts w:ascii="Times New Roman" w:hAnsi="Times New Roman"/>
                <w:noProof/>
                <w:sz w:val="17"/>
                <w:szCs w:val="17"/>
              </w:rPr>
              <w:t xml:space="preserve"> στο ανώτατο πολιτικό αξίωμα.</w:t>
            </w:r>
          </w:p>
        </w:tc>
        <w:tc>
          <w:tcPr>
            <w:tcW w:w="1471" w:type="dxa"/>
          </w:tcPr>
          <w:p>
            <w:pPr>
              <w:jc w:val="center"/>
              <w:rPr>
                <w:rFonts w:ascii="Times New Roman" w:hAnsi="Times New Roman" w:cs="Times New Roman"/>
                <w:noProof/>
                <w:sz w:val="17"/>
                <w:szCs w:val="17"/>
              </w:rPr>
            </w:pPr>
            <w:r>
              <w:rPr>
                <w:rFonts w:ascii="Times New Roman" w:hAnsi="Times New Roman"/>
                <w:noProof/>
                <w:sz w:val="17"/>
                <w:szCs w:val="17"/>
                <w:lang w:val="en-GB" w:eastAsia="en-GB"/>
              </w:rPr>
              <w:drawing>
                <wp:inline distT="0" distB="0" distL="0" distR="0">
                  <wp:extent cx="802800" cy="802800"/>
                  <wp:effectExtent l="0" t="0" r="0" b="0"/>
                  <wp:docPr id="9" name="Picture 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circ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71" w:type="dxa"/>
          </w:tcPr>
          <w:p>
            <w:pPr>
              <w:rPr>
                <w:rFonts w:ascii="Times New Roman" w:hAnsi="Times New Roman" w:cs="Times New Roman"/>
                <w:noProof/>
                <w:sz w:val="17"/>
                <w:szCs w:val="17"/>
              </w:rPr>
            </w:pPr>
            <w:r>
              <w:rPr>
                <w:rFonts w:ascii="Times New Roman" w:hAnsi="Times New Roman"/>
                <w:noProof/>
                <w:sz w:val="17"/>
                <w:szCs w:val="17"/>
              </w:rPr>
              <w:t xml:space="preserve">Το </w:t>
            </w:r>
            <w:r>
              <w:rPr>
                <w:rFonts w:ascii="Times New Roman" w:hAnsi="Times New Roman"/>
                <w:b/>
                <w:noProof/>
                <w:sz w:val="17"/>
                <w:szCs w:val="17"/>
              </w:rPr>
              <w:t>57 %</w:t>
            </w:r>
            <w:r>
              <w:rPr>
                <w:rFonts w:ascii="Times New Roman" w:hAnsi="Times New Roman"/>
                <w:noProof/>
                <w:sz w:val="17"/>
                <w:szCs w:val="17"/>
              </w:rPr>
              <w:t xml:space="preserve"> όσων απάντησαν στην ίδια έρευνα δήλωσαν ότι </w:t>
            </w:r>
            <w:r>
              <w:rPr>
                <w:rFonts w:ascii="Times New Roman" w:hAnsi="Times New Roman"/>
                <w:b/>
                <w:noProof/>
                <w:sz w:val="17"/>
                <w:szCs w:val="17"/>
              </w:rPr>
              <w:t>δεν θα ένιωθαν άνετα</w:t>
            </w:r>
            <w:r>
              <w:rPr>
                <w:rFonts w:ascii="Times New Roman" w:hAnsi="Times New Roman"/>
                <w:noProof/>
                <w:sz w:val="17"/>
                <w:szCs w:val="17"/>
              </w:rPr>
              <w:t xml:space="preserve"> (εντελώς ή αρκετά) αν το παιδί τους διατηρούσε </w:t>
            </w:r>
            <w:r>
              <w:rPr>
                <w:rFonts w:ascii="Times New Roman" w:hAnsi="Times New Roman"/>
                <w:b/>
                <w:noProof/>
                <w:sz w:val="17"/>
                <w:szCs w:val="17"/>
              </w:rPr>
              <w:t>σχέση με τρανς άτομο</w:t>
            </w:r>
            <w:r>
              <w:rPr>
                <w:rFonts w:ascii="Times New Roman" w:hAnsi="Times New Roman"/>
                <w:noProof/>
                <w:sz w:val="17"/>
                <w:szCs w:val="17"/>
              </w:rPr>
              <w:t>.</w:t>
            </w:r>
          </w:p>
        </w:tc>
        <w:tc>
          <w:tcPr>
            <w:tcW w:w="1471" w:type="dxa"/>
          </w:tcPr>
          <w:p>
            <w:pPr>
              <w:rPr>
                <w:rFonts w:ascii="Times New Roman" w:hAnsi="Times New Roman" w:cs="Times New Roman"/>
                <w:i/>
                <w:noProof/>
                <w:sz w:val="17"/>
                <w:szCs w:val="17"/>
              </w:rPr>
            </w:pPr>
            <w:r>
              <w:rPr>
                <w:rFonts w:ascii="Times New Roman" w:hAnsi="Times New Roman"/>
                <w:noProof/>
                <w:sz w:val="24"/>
                <w:szCs w:val="24"/>
                <w:lang w:val="en-GB" w:eastAsia="en-GB"/>
              </w:rPr>
              <w:drawing>
                <wp:inline distT="0" distB="0" distL="0" distR="0">
                  <wp:extent cx="802800" cy="802800"/>
                  <wp:effectExtent l="0" t="0" r="0" b="0"/>
                  <wp:docPr id="10" name="Picture 10"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 circ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r>
              <w:rPr>
                <w:rFonts w:ascii="Times New Roman" w:hAnsi="Times New Roman"/>
                <w:i/>
                <w:noProof/>
                <w:sz w:val="17"/>
                <w:szCs w:val="17"/>
              </w:rPr>
              <w:t xml:space="preserve"> </w:t>
            </w:r>
          </w:p>
        </w:tc>
        <w:tc>
          <w:tcPr>
            <w:tcW w:w="1472" w:type="dxa"/>
          </w:tcPr>
          <w:p>
            <w:pPr>
              <w:rPr>
                <w:rFonts w:ascii="Times New Roman" w:hAnsi="Times New Roman" w:cs="Times New Roman"/>
                <w:noProof/>
                <w:sz w:val="17"/>
                <w:szCs w:val="17"/>
              </w:rPr>
            </w:pPr>
            <w:r>
              <w:rPr>
                <w:rFonts w:ascii="Times New Roman" w:hAnsi="Times New Roman"/>
                <w:b/>
                <w:noProof/>
                <w:sz w:val="17"/>
                <w:szCs w:val="17"/>
              </w:rPr>
              <w:t>Το 62 %</w:t>
            </w:r>
            <w:r>
              <w:rPr>
                <w:rFonts w:ascii="Times New Roman" w:hAnsi="Times New Roman"/>
                <w:noProof/>
                <w:sz w:val="17"/>
                <w:szCs w:val="17"/>
              </w:rPr>
              <w:t xml:space="preserve"> των ίντερσεξ ατόμων που απάντησαν στην έρευνα </w:t>
            </w:r>
            <w:r>
              <w:rPr>
                <w:rFonts w:ascii="Times New Roman" w:hAnsi="Times New Roman"/>
                <w:b/>
                <w:noProof/>
                <w:sz w:val="17"/>
                <w:szCs w:val="17"/>
              </w:rPr>
              <w:t xml:space="preserve">αισθάνθηκαν ότι υπέστησαν διακρίσεις εις βάρος τους </w:t>
            </w:r>
            <w:r>
              <w:rPr>
                <w:rFonts w:ascii="Times New Roman" w:hAnsi="Times New Roman"/>
                <w:noProof/>
                <w:sz w:val="17"/>
                <w:szCs w:val="17"/>
              </w:rPr>
              <w:t xml:space="preserve">τουλάχιστον σε έναν τομέα της ζωής τους κατά τους προηγούμενους 12 μήνες </w:t>
            </w:r>
            <w:r>
              <w:rPr>
                <w:rFonts w:ascii="Times New Roman" w:hAnsi="Times New Roman"/>
                <w:b/>
                <w:noProof/>
                <w:sz w:val="17"/>
                <w:szCs w:val="17"/>
              </w:rPr>
              <w:t>επειδή είναι ίντερσεξ.</w:t>
            </w:r>
          </w:p>
        </w:tc>
      </w:tr>
    </w:tbl>
    <w:p>
      <w:pPr>
        <w:spacing w:after="240" w:line="240" w:lineRule="auto"/>
        <w:jc w:val="both"/>
        <w:rPr>
          <w:rFonts w:ascii="Times New Roman" w:hAnsi="Times New Roman" w:cs="Times New Roman"/>
          <w:noProof/>
          <w:sz w:val="24"/>
          <w:szCs w:val="24"/>
          <w:highlight w:val="cyan"/>
        </w:rPr>
      </w:pP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Οι καθημερινές εμπειρίες των ΛΟΑΤΚΙ ατόμων διαφέρουν επίσης σημαντικά ανά την ΕΕ. Αν και η κοινωνική αποδοχή των ΛΟΑΤΙ ατόμων σημείωσε άνοδο από 71 % το 2015 σε 76 % το 2019, στην πραγματικότητα, σε εννέα κράτη μέλη καταγράφηκε πτώση</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Σε περιοχές της ΕΕ παρατηρείται επίσης μια ανησυχητική τάση αύξησης της συχνότητας περιστατικών κατά ΛΟΑΤΚΙ, για παράδειγμα επιθέσεις σε δημόσιες εκδηλώσεις των ΛΟΑΤΚΙ, όπως πορείες υπερηφάνειας (pride), αποκαλούμενες διακηρύξεις «περιοχών απαλλαγμένων από ιδεολογίες ΛΟΑΤΚΙ» και ομοφοβικός εκφοβισμός σε καρναβαλικές εκδηλώσεις. Οργανώσεις της κοινωνίας των πολιτών για την προστασία και την προαγωγή των δικαιωμάτων των ΛΟΑΤΚΙ ατόμων ολοένα και περισσότερο καταγγέλλουν ότι αντιμετωπίζουν εχθρικότητα, η οποία συμπίπτει με την άνοδο του κινήματος κατά του κοινωνικού φύλου (και κατά των ΛΟΑΤΚΙ)</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t>
      </w:r>
      <w:r>
        <w:rPr>
          <w:rFonts w:ascii="Times New Roman" w:hAnsi="Times New Roman"/>
          <w:noProof/>
          <w:sz w:val="24"/>
          <w:szCs w:val="24"/>
          <w:shd w:val="clear" w:color="auto" w:fill="FFFFFF"/>
        </w:rPr>
        <w:t>Είναι επιτακτική ανάγκη να υπάρξει άμεση αντίδραση από τα κράτη μέλη προκειμένου να αναστραφούν οι εν λόγω νέες εξελίξεις.</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shd w:val="clear" w:color="auto" w:fill="FFFFFF"/>
        </w:rPr>
        <w:t xml:space="preserve">Η Ευρωπαϊκή Ένωση πρέπει να βρίσκεται στην πρώτη γραμμή των προσπαθειών για καλύτερη προστασία των δικαιωμάτων των ΛΟΑΤΚΙ ατόμων.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Με την παρούσα πρώτη στρατηγική για την ισότητα των ΛΟΑΤΚΙ, η Επιτροπή αντιμετωπίζει τις ανισότητες και τις προκλήσεις που επηρεάζουν τα ΛΟΑΤΚΙ άτομα, με στόχο να προχωρήσει προς μια Ένωση ισότητας. Επικεντρώνεται ιδίως στην ετερογένεια των αναγκών των ΛΟΑΤΚΙ ατόμων και στους πιο ευάλωτους, συμπεριλαμβανομένων όσων αντιμετωπίζουν διατομεακές διακρίσεις και των τρανς, μη δυαδικών και ίντερσεξ ατόμων, τα οποία συγκαταλέγονται στις ομάδες με τη μικρότερη κοινωνική αποδοχή και εν γένει βιώνουν περισσότερες διακρίσεις και βία σε σχέση με άλλα άτομα στις κοινότητες ΛΟΑΤΚΙ. Συχνά οι διακρίσεις είναι πολυδιάστατες και μόνο μια διατομεακή</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προσέγγιση είναι ικανή να δημιουργήσει τις προϋποθέσεις για βιώσιμες αλλαγές στην κοινωνία οι οποίες θα χαρακτηρίζονται από τον δέοντα σεβασμό.</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232"/>
        <w:gridCol w:w="2232"/>
        <w:gridCol w:w="2232"/>
      </w:tblGrid>
      <w:tr>
        <w:trPr>
          <w:trHeight w:val="1291"/>
          <w:jc w:val="center"/>
        </w:trPr>
        <w:tc>
          <w:tcPr>
            <w:tcW w:w="2232" w:type="dxa"/>
          </w:tcPr>
          <w:p>
            <w:pPr>
              <w:jc w:val="center"/>
              <w:rPr>
                <w:rFonts w:ascii="Times New Roman" w:hAnsi="Times New Roman" w:cs="Times New Roman"/>
                <w:noProof/>
                <w:sz w:val="17"/>
                <w:szCs w:val="17"/>
              </w:rPr>
            </w:pPr>
            <w:r>
              <w:rPr>
                <w:rFonts w:ascii="Times New Roman" w:hAnsi="Times New Roman"/>
                <w:noProof/>
                <w:sz w:val="17"/>
                <w:szCs w:val="17"/>
                <w:lang w:val="en-GB" w:eastAsia="en-GB"/>
              </w:rPr>
              <w:drawing>
                <wp:inline distT="0" distB="0" distL="0" distR="0">
                  <wp:extent cx="802800" cy="8028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2232" w:type="dxa"/>
          </w:tcPr>
          <w:p>
            <w:pPr>
              <w:rPr>
                <w:rFonts w:ascii="Times New Roman" w:hAnsi="Times New Roman" w:cs="Times New Roman"/>
                <w:noProof/>
                <w:sz w:val="17"/>
                <w:szCs w:val="17"/>
              </w:rPr>
            </w:pPr>
            <w:r>
              <w:rPr>
                <w:rFonts w:ascii="Times New Roman" w:hAnsi="Times New Roman"/>
                <w:b/>
                <w:noProof/>
                <w:sz w:val="17"/>
                <w:szCs w:val="17"/>
              </w:rPr>
              <w:t xml:space="preserve">Το 40 % </w:t>
            </w:r>
            <w:r>
              <w:rPr>
                <w:rFonts w:ascii="Times New Roman" w:hAnsi="Times New Roman"/>
                <w:noProof/>
                <w:sz w:val="17"/>
                <w:szCs w:val="17"/>
              </w:rPr>
              <w:t xml:space="preserve">όσων απάντησαν σε έρευνα υπέδειξαν </w:t>
            </w:r>
            <w:r>
              <w:rPr>
                <w:rFonts w:ascii="Times New Roman" w:hAnsi="Times New Roman"/>
                <w:b/>
                <w:noProof/>
                <w:sz w:val="17"/>
                <w:szCs w:val="17"/>
              </w:rPr>
              <w:t>την εθνοτική καταγωγή ή το μεταναστευτικό υπόβαθρο</w:t>
            </w:r>
            <w:r>
              <w:rPr>
                <w:rFonts w:ascii="Times New Roman" w:hAnsi="Times New Roman"/>
                <w:noProof/>
                <w:sz w:val="17"/>
                <w:szCs w:val="17"/>
              </w:rPr>
              <w:t xml:space="preserve"> ως πρόσθετο λόγο </w:t>
            </w:r>
            <w:r>
              <w:rPr>
                <w:rFonts w:ascii="Times New Roman" w:hAnsi="Times New Roman"/>
                <w:b/>
                <w:noProof/>
                <w:sz w:val="17"/>
                <w:szCs w:val="17"/>
              </w:rPr>
              <w:t>διακρίσεων</w:t>
            </w:r>
            <w:r>
              <w:rPr>
                <w:rFonts w:ascii="Times New Roman" w:hAnsi="Times New Roman"/>
                <w:noProof/>
                <w:sz w:val="17"/>
                <w:szCs w:val="17"/>
              </w:rPr>
              <w:t>, πέραν της ιδιότητας ΛΟΑΤΙ.</w:t>
            </w:r>
          </w:p>
        </w:tc>
        <w:tc>
          <w:tcPr>
            <w:tcW w:w="2232" w:type="dxa"/>
          </w:tcPr>
          <w:p>
            <w:pPr>
              <w:jc w:val="center"/>
              <w:rPr>
                <w:rFonts w:ascii="Times New Roman" w:hAnsi="Times New Roman" w:cs="Times New Roman"/>
                <w:b/>
                <w:noProof/>
                <w:sz w:val="17"/>
                <w:szCs w:val="17"/>
              </w:rPr>
            </w:pPr>
            <w:r>
              <w:rPr>
                <w:rFonts w:ascii="Times New Roman" w:hAnsi="Times New Roman"/>
                <w:b/>
                <w:noProof/>
                <w:sz w:val="17"/>
                <w:szCs w:val="17"/>
                <w:lang w:val="en-GB" w:eastAsia="en-GB"/>
              </w:rPr>
              <w:drawing>
                <wp:inline distT="0" distB="0" distL="0" distR="0">
                  <wp:extent cx="802800" cy="802800"/>
                  <wp:effectExtent l="0" t="0" r="0" b="0"/>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rawing&#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r>
              <w:rPr>
                <w:rFonts w:ascii="Times New Roman" w:hAnsi="Times New Roman"/>
                <w:i/>
                <w:noProof/>
                <w:sz w:val="17"/>
                <w:szCs w:val="17"/>
              </w:rPr>
              <w:t xml:space="preserve"> </w:t>
            </w:r>
          </w:p>
        </w:tc>
        <w:tc>
          <w:tcPr>
            <w:tcW w:w="2232" w:type="dxa"/>
          </w:tcPr>
          <w:p>
            <w:pPr>
              <w:rPr>
                <w:rFonts w:ascii="Times New Roman" w:hAnsi="Times New Roman" w:cs="Times New Roman"/>
                <w:noProof/>
                <w:sz w:val="17"/>
                <w:szCs w:val="17"/>
              </w:rPr>
            </w:pPr>
            <w:r>
              <w:rPr>
                <w:rFonts w:ascii="Times New Roman" w:hAnsi="Times New Roman"/>
                <w:b/>
                <w:noProof/>
                <w:sz w:val="17"/>
                <w:szCs w:val="17"/>
              </w:rPr>
              <w:t>Η γεωγραφική απομόνωση μπορεί να είναι παράγοντας που καθιστά τα άτομα πιο ευάλωτα.</w:t>
            </w:r>
            <w:r>
              <w:rPr>
                <w:rFonts w:ascii="Times New Roman" w:hAnsi="Times New Roman"/>
                <w:noProof/>
                <w:sz w:val="17"/>
                <w:szCs w:val="17"/>
              </w:rPr>
              <w:t xml:space="preserve"> Το </w:t>
            </w:r>
            <w:r>
              <w:rPr>
                <w:rFonts w:ascii="Times New Roman" w:hAnsi="Times New Roman"/>
                <w:b/>
                <w:noProof/>
                <w:sz w:val="17"/>
                <w:szCs w:val="17"/>
              </w:rPr>
              <w:t>47 %</w:t>
            </w:r>
            <w:r>
              <w:rPr>
                <w:rFonts w:ascii="Times New Roman" w:hAnsi="Times New Roman"/>
                <w:noProof/>
                <w:sz w:val="17"/>
                <w:szCs w:val="17"/>
              </w:rPr>
              <w:t xml:space="preserve"> των ΛΟΑΤΙ ατόμων μεταξύ όλων των ομάδων στην ΕΕ που απάντησαν ζουν σε μεγάλη πόλη, </w:t>
            </w:r>
            <w:r>
              <w:rPr>
                <w:rFonts w:ascii="Times New Roman" w:hAnsi="Times New Roman"/>
                <w:b/>
                <w:noProof/>
                <w:sz w:val="17"/>
                <w:szCs w:val="17"/>
              </w:rPr>
              <w:t>11 %</w:t>
            </w:r>
            <w:r>
              <w:rPr>
                <w:rFonts w:ascii="Times New Roman" w:hAnsi="Times New Roman"/>
                <w:noProof/>
                <w:sz w:val="17"/>
                <w:szCs w:val="17"/>
              </w:rPr>
              <w:t xml:space="preserve"> σε προάστια ή περίχωρα μεγάλης πόλης, </w:t>
            </w:r>
            <w:r>
              <w:rPr>
                <w:rFonts w:ascii="Times New Roman" w:hAnsi="Times New Roman"/>
                <w:b/>
                <w:noProof/>
                <w:sz w:val="17"/>
                <w:szCs w:val="17"/>
              </w:rPr>
              <w:t>30 %</w:t>
            </w:r>
            <w:r>
              <w:rPr>
                <w:rFonts w:ascii="Times New Roman" w:hAnsi="Times New Roman"/>
                <w:noProof/>
                <w:sz w:val="17"/>
                <w:szCs w:val="17"/>
              </w:rPr>
              <w:t xml:space="preserve"> σε κωμόπολη ή μικρή πόλη και </w:t>
            </w:r>
            <w:r>
              <w:rPr>
                <w:rFonts w:ascii="Times New Roman" w:hAnsi="Times New Roman"/>
                <w:b/>
                <w:noProof/>
                <w:sz w:val="17"/>
                <w:szCs w:val="17"/>
              </w:rPr>
              <w:t>13 %</w:t>
            </w:r>
            <w:r>
              <w:rPr>
                <w:rFonts w:ascii="Times New Roman" w:hAnsi="Times New Roman"/>
                <w:noProof/>
                <w:sz w:val="17"/>
                <w:szCs w:val="17"/>
              </w:rPr>
              <w:t xml:space="preserve"> σε αγροτική περιοχή.</w:t>
            </w:r>
          </w:p>
        </w:tc>
      </w:tr>
    </w:tbl>
    <w:p>
      <w:pPr>
        <w:spacing w:after="240" w:line="240" w:lineRule="auto"/>
        <w:jc w:val="both"/>
        <w:rPr>
          <w:rFonts w:ascii="Times New Roman" w:hAnsi="Times New Roman" w:cs="Times New Roman"/>
          <w:noProof/>
          <w:sz w:val="24"/>
          <w:szCs w:val="24"/>
          <w:highlight w:val="cyan"/>
        </w:rPr>
      </w:pP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παρούσα στρατηγική αποτελεί συνέχεια αιτημάτων για ανάληψη δράσης που απηύθυναν τα κράτη μέλη</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το Ευρωπαϊκό Κοινοβούλιο</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με τη σθεναρή υποστήριξη της διακομματικής ομάδας για τα δικαιώματα των ΛΟΑΤΙ, και η κοινωνία των πολιτών. Καθορίζει μια σειρά στοχευμένων δράσεων στο πλαίσιο</w:t>
      </w:r>
      <w:r>
        <w:rPr>
          <w:rFonts w:ascii="Times New Roman" w:hAnsi="Times New Roman"/>
          <w:b/>
          <w:noProof/>
          <w:sz w:val="24"/>
          <w:szCs w:val="24"/>
        </w:rPr>
        <w:t xml:space="preserve"> </w:t>
      </w:r>
      <w:r>
        <w:rPr>
          <w:rFonts w:ascii="Times New Roman" w:hAnsi="Times New Roman"/>
          <w:b/>
          <w:bCs/>
          <w:noProof/>
          <w:sz w:val="24"/>
          <w:szCs w:val="24"/>
        </w:rPr>
        <w:t>τεσσάρων πυλώνων</w:t>
      </w:r>
      <w:r>
        <w:rPr>
          <w:rFonts w:ascii="Times New Roman" w:hAnsi="Times New Roman"/>
          <w:noProof/>
          <w:sz w:val="24"/>
          <w:szCs w:val="24"/>
        </w:rPr>
        <w:t>:</w:t>
      </w:r>
    </w:p>
    <w:p>
      <w:pPr>
        <w:pStyle w:val="ListParagraph"/>
        <w:numPr>
          <w:ilvl w:val="0"/>
          <w:numId w:val="14"/>
        </w:numPr>
        <w:spacing w:after="120"/>
        <w:ind w:left="681" w:hanging="397"/>
        <w:contextualSpacing w:val="0"/>
        <w:jc w:val="both"/>
        <w:rPr>
          <w:rFonts w:ascii="Times New Roman" w:hAnsi="Times New Roman" w:cs="Times New Roman"/>
          <w:bCs/>
          <w:noProof/>
          <w:sz w:val="24"/>
          <w:szCs w:val="24"/>
        </w:rPr>
      </w:pPr>
      <w:r>
        <w:rPr>
          <w:rFonts w:ascii="Times New Roman" w:hAnsi="Times New Roman"/>
          <w:noProof/>
          <w:sz w:val="24"/>
          <w:szCs w:val="24"/>
        </w:rPr>
        <w:t>Αντιμετώπιση των διακρίσεων κατά των ΛΟΑΤΚΙ ατόμων·</w:t>
      </w:r>
    </w:p>
    <w:p>
      <w:pPr>
        <w:pStyle w:val="ListParagraph"/>
        <w:numPr>
          <w:ilvl w:val="0"/>
          <w:numId w:val="14"/>
        </w:numPr>
        <w:spacing w:after="120"/>
        <w:ind w:left="681" w:hanging="397"/>
        <w:contextualSpacing w:val="0"/>
        <w:jc w:val="both"/>
        <w:rPr>
          <w:rFonts w:ascii="Times New Roman" w:hAnsi="Times New Roman" w:cs="Times New Roman"/>
          <w:bCs/>
          <w:noProof/>
          <w:sz w:val="24"/>
          <w:szCs w:val="24"/>
        </w:rPr>
      </w:pPr>
      <w:r>
        <w:rPr>
          <w:rFonts w:ascii="Times New Roman" w:hAnsi="Times New Roman"/>
          <w:noProof/>
          <w:sz w:val="24"/>
          <w:szCs w:val="24"/>
        </w:rPr>
        <w:t>Διασφάλιση της προστασίας των ΛΟΑΤΚΙ ατόμων·</w:t>
      </w:r>
    </w:p>
    <w:p>
      <w:pPr>
        <w:pStyle w:val="ListParagraph"/>
        <w:numPr>
          <w:ilvl w:val="0"/>
          <w:numId w:val="14"/>
        </w:numPr>
        <w:spacing w:after="120"/>
        <w:ind w:left="681" w:hanging="397"/>
        <w:contextualSpacing w:val="0"/>
        <w:jc w:val="both"/>
        <w:rPr>
          <w:rFonts w:ascii="Times New Roman" w:hAnsi="Times New Roman" w:cs="Times New Roman"/>
          <w:bCs/>
          <w:noProof/>
          <w:sz w:val="24"/>
          <w:szCs w:val="24"/>
        </w:rPr>
      </w:pPr>
      <w:r>
        <w:rPr>
          <w:rFonts w:ascii="Times New Roman" w:hAnsi="Times New Roman"/>
          <w:noProof/>
          <w:sz w:val="24"/>
          <w:szCs w:val="24"/>
        </w:rPr>
        <w:t xml:space="preserve">Οικοδόμηση κοινωνιών χωρίς αποκλεισμούς των ΛΟΑΤΚΙ· και </w:t>
      </w:r>
    </w:p>
    <w:p>
      <w:pPr>
        <w:pStyle w:val="ListParagraph"/>
        <w:numPr>
          <w:ilvl w:val="0"/>
          <w:numId w:val="14"/>
        </w:numPr>
        <w:spacing w:after="240" w:line="240" w:lineRule="auto"/>
        <w:ind w:left="681" w:hanging="397"/>
        <w:contextualSpacing w:val="0"/>
        <w:jc w:val="both"/>
        <w:rPr>
          <w:rFonts w:ascii="Times New Roman" w:hAnsi="Times New Roman" w:cs="Times New Roman"/>
          <w:bCs/>
          <w:noProof/>
          <w:sz w:val="24"/>
          <w:szCs w:val="24"/>
        </w:rPr>
      </w:pPr>
      <w:r>
        <w:rPr>
          <w:rFonts w:ascii="Times New Roman" w:hAnsi="Times New Roman"/>
          <w:noProof/>
          <w:sz w:val="24"/>
          <w:szCs w:val="24"/>
        </w:rPr>
        <w:t>Ηγετικός ρόλος στο αίτημα υπέρ της ισότητας των ΛΟΑΤΚΙ σε παγκόσμιο επίπεδο</w:t>
      </w:r>
      <w:r>
        <w:rPr>
          <w:rFonts w:ascii="Times New Roman" w:hAnsi="Times New Roman"/>
          <w:bCs/>
          <w:noProof/>
          <w:sz w:val="24"/>
          <w:szCs w:val="24"/>
        </w:rPr>
        <w:t xml:space="preserve">. </w:t>
      </w:r>
    </w:p>
    <w:p>
      <w:pPr>
        <w:spacing w:after="240" w:line="240" w:lineRule="auto"/>
        <w:jc w:val="both"/>
        <w:rPr>
          <w:rFonts w:ascii="Times New Roman" w:hAnsi="Times New Roman" w:cs="Times New Roman"/>
          <w:bCs/>
          <w:noProof/>
          <w:sz w:val="24"/>
          <w:szCs w:val="24"/>
        </w:rPr>
      </w:pPr>
      <w:r>
        <w:rPr>
          <w:rFonts w:ascii="Times New Roman" w:hAnsi="Times New Roman"/>
          <w:noProof/>
          <w:sz w:val="24"/>
          <w:szCs w:val="24"/>
        </w:rPr>
        <w:t xml:space="preserve">Οι εν λόγω </w:t>
      </w:r>
      <w:r>
        <w:rPr>
          <w:rFonts w:ascii="Times New Roman" w:hAnsi="Times New Roman"/>
          <w:bCs/>
          <w:noProof/>
          <w:sz w:val="24"/>
          <w:szCs w:val="24"/>
        </w:rPr>
        <w:t>στοχευμένες δράσεις</w:t>
      </w:r>
      <w:r>
        <w:rPr>
          <w:rFonts w:ascii="Times New Roman" w:hAnsi="Times New Roman"/>
          <w:noProof/>
          <w:sz w:val="24"/>
          <w:szCs w:val="24"/>
        </w:rPr>
        <w:t xml:space="preserve"> θα συνδυαστούν με επικέντρωση σε συγκεκριμένα ζητήματα των ΛΟΑΤΚΙ, στο πλαίσιο ενισχυμένης </w:t>
      </w:r>
      <w:r>
        <w:rPr>
          <w:rFonts w:ascii="Times New Roman" w:hAnsi="Times New Roman"/>
          <w:b/>
          <w:bCs/>
          <w:noProof/>
          <w:sz w:val="24"/>
          <w:szCs w:val="24"/>
        </w:rPr>
        <w:t>ενσωμάτωσης</w:t>
      </w:r>
      <w:r>
        <w:rPr>
          <w:rFonts w:ascii="Times New Roman" w:hAnsi="Times New Roman"/>
          <w:noProof/>
          <w:sz w:val="24"/>
          <w:szCs w:val="24"/>
        </w:rPr>
        <w:t xml:space="preserve"> της ισότητας σε όλες τις πολιτικές, τις νομοθετικές πράξεις και τα προγράμματα χρηματοδότησης της ΕΕ.</w:t>
      </w:r>
    </w:p>
    <w:p>
      <w:pPr>
        <w:jc w:val="both"/>
        <w:rPr>
          <w:rFonts w:ascii="Times New Roman" w:hAnsi="Times New Roman" w:cs="Times New Roman"/>
          <w:b/>
          <w:bCs/>
          <w:noProof/>
          <w:sz w:val="24"/>
          <w:szCs w:val="24"/>
        </w:rPr>
      </w:pPr>
      <w:r>
        <w:rPr>
          <w:rFonts w:ascii="Times New Roman" w:hAnsi="Times New Roman"/>
          <w:noProof/>
          <w:sz w:val="24"/>
          <w:szCs w:val="24"/>
        </w:rPr>
        <w:t>Στόχος της παρούσας στρατηγικής είναι να συμβάλει στο να ακουστούν οι φωνές των ΛΟΑΤΚΙ ατόμων και να φέρει σε επαφή τα κράτη μέλη και τους παράγοντες όλων των επιπέδων στο πλαίσιο ενός κοινού εγχειρήματος για αποτελεσματική αντιμετώπιση των διακρίσεων κατά των ΛΟΑΤΚΙ. Εκδίδεται σε μια περίοδο κατά την οποία γινόμαστε μάρτυρες της διάβρωσης ή υποχώρησης των θεμελιωδών δικαιωμάτων σε ορισμένα κράτη μέλη. Αν και τα πρότυπα της ΕΕ στον τομέα των θεμελιωδών δικαιωμάτων είναι πολύ υψηλά, δεν εφαρμόζονται πάντοτε στον ίδιο βαθμό. Η παρούσα στρατηγική συμπληρώνει υφιστάμενες και προσεχείς πρωτοβουλίες για την προώθηση της ενωσιακής διάστασης της ισότητας γενικότερα</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w:t>
      </w:r>
      <w:r>
        <w:rPr>
          <w:rFonts w:ascii="Times New Roman" w:hAnsi="Times New Roman"/>
          <w:noProof/>
          <w:sz w:val="24"/>
          <w:szCs w:val="24"/>
        </w:rPr>
        <w:br w:type="page"/>
      </w:r>
    </w:p>
    <w:p>
      <w:pPr>
        <w:pStyle w:val="ListParagraph"/>
        <w:numPr>
          <w:ilvl w:val="0"/>
          <w:numId w:val="5"/>
        </w:numPr>
        <w:spacing w:after="240" w:line="240" w:lineRule="auto"/>
        <w:ind w:left="397" w:hanging="397"/>
        <w:contextualSpacing w:val="0"/>
        <w:jc w:val="both"/>
        <w:rPr>
          <w:rFonts w:ascii="Times New Roman" w:hAnsi="Times New Roman" w:cs="Times New Roman"/>
          <w:b/>
          <w:bCs/>
          <w:noProof/>
          <w:sz w:val="24"/>
          <w:szCs w:val="24"/>
        </w:rPr>
      </w:pPr>
      <w:r>
        <w:rPr>
          <w:rFonts w:ascii="Times New Roman" w:hAnsi="Times New Roman"/>
          <w:b/>
          <w:bCs/>
          <w:noProof/>
          <w:sz w:val="24"/>
          <w:szCs w:val="24"/>
        </w:rPr>
        <w:t xml:space="preserve">ΑΝΤΙΜΕΤΩΠΙΣΗ ΤΩΝ ΔΙΑΚΡΙΣΕΩΝ ΚΑΤΑ ΛΟΑΤΚΙ ΑΤΟΜΩΝ </w:t>
      </w:r>
    </w:p>
    <w:p>
      <w:pPr>
        <w:spacing w:after="240" w:line="240" w:lineRule="auto"/>
        <w:jc w:val="both"/>
        <w:rPr>
          <w:rFonts w:ascii="Times New Roman" w:hAnsi="Times New Roman" w:cs="Times New Roman"/>
          <w:b/>
          <w:bCs/>
          <w:noProof/>
          <w:sz w:val="10"/>
          <w:szCs w:val="1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c>
          <w:tcPr>
            <w:tcW w:w="1488" w:type="dxa"/>
          </w:tcPr>
          <w:p>
            <w:pPr>
              <w:ind w:left="-142" w:firstLine="142"/>
              <w:rPr>
                <w:rFonts w:ascii="Times New Roman" w:eastAsia="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hAnsi="Times New Roman" w:cs="Times New Roman"/>
                <w:noProof/>
                <w:sz w:val="16"/>
                <w:szCs w:val="16"/>
              </w:rPr>
            </w:pPr>
            <w:r>
              <w:rPr>
                <w:rFonts w:ascii="Times New Roman" w:hAnsi="Times New Roman"/>
                <w:iCs/>
                <w:noProof/>
                <w:sz w:val="16"/>
                <w:szCs w:val="16"/>
              </w:rPr>
              <w:t xml:space="preserve">Το </w:t>
            </w:r>
            <w:r>
              <w:rPr>
                <w:rFonts w:ascii="Times New Roman" w:hAnsi="Times New Roman"/>
                <w:b/>
                <w:iCs/>
                <w:noProof/>
                <w:sz w:val="16"/>
                <w:szCs w:val="16"/>
              </w:rPr>
              <w:t>19 %</w:t>
            </w:r>
            <w:r>
              <w:rPr>
                <w:rFonts w:ascii="Times New Roman" w:hAnsi="Times New Roman"/>
                <w:iCs/>
                <w:noProof/>
                <w:sz w:val="16"/>
                <w:szCs w:val="16"/>
              </w:rPr>
              <w:t xml:space="preserve"> των λεσβιών, ομοφυλόφιλων και αμφιφυλόφιλων ατόμων, το </w:t>
            </w:r>
            <w:r>
              <w:rPr>
                <w:rFonts w:ascii="Times New Roman" w:hAnsi="Times New Roman"/>
                <w:b/>
                <w:iCs/>
                <w:noProof/>
                <w:sz w:val="16"/>
                <w:szCs w:val="16"/>
              </w:rPr>
              <w:t>35 %</w:t>
            </w:r>
            <w:r>
              <w:rPr>
                <w:rFonts w:ascii="Times New Roman" w:hAnsi="Times New Roman"/>
                <w:iCs/>
                <w:noProof/>
                <w:sz w:val="16"/>
                <w:szCs w:val="16"/>
              </w:rPr>
              <w:t xml:space="preserve"> των τρανς και το </w:t>
            </w:r>
            <w:r>
              <w:rPr>
                <w:rFonts w:ascii="Times New Roman" w:hAnsi="Times New Roman"/>
                <w:b/>
                <w:iCs/>
                <w:noProof/>
                <w:sz w:val="16"/>
                <w:szCs w:val="16"/>
              </w:rPr>
              <w:t>32 %</w:t>
            </w:r>
            <w:r>
              <w:rPr>
                <w:rFonts w:ascii="Times New Roman" w:hAnsi="Times New Roman"/>
                <w:iCs/>
                <w:noProof/>
                <w:sz w:val="16"/>
                <w:szCs w:val="16"/>
              </w:rPr>
              <w:t xml:space="preserve"> των ίντερσεξ ατόμων αισθάνθηκαν ότι </w:t>
            </w:r>
            <w:r>
              <w:rPr>
                <w:rFonts w:ascii="Times New Roman" w:hAnsi="Times New Roman"/>
                <w:b/>
                <w:iCs/>
                <w:noProof/>
                <w:sz w:val="16"/>
                <w:szCs w:val="16"/>
              </w:rPr>
              <w:t>υπέστησαν διακρίσεις εις βάρος τους στον χώρο εργασίας</w:t>
            </w:r>
            <w:r>
              <w:rPr>
                <w:rFonts w:ascii="Times New Roman" w:hAnsi="Times New Roman"/>
                <w:iCs/>
                <w:noProof/>
                <w:sz w:val="16"/>
                <w:szCs w:val="16"/>
              </w:rPr>
              <w:t xml:space="preserve"> κατά το προηγούμενο έτος.</w:t>
            </w:r>
          </w:p>
        </w:tc>
        <w:tc>
          <w:tcPr>
            <w:tcW w:w="1488" w:type="dxa"/>
          </w:tcPr>
          <w:p>
            <w:pPr>
              <w:rPr>
                <w:rFonts w:ascii="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rPr>
            </w:pPr>
            <w:r>
              <w:rPr>
                <w:rFonts w:ascii="Times New Roman" w:hAnsi="Times New Roman"/>
                <w:iCs/>
                <w:noProof/>
                <w:sz w:val="16"/>
                <w:szCs w:val="16"/>
              </w:rPr>
              <w:t xml:space="preserve">Το </w:t>
            </w:r>
            <w:r>
              <w:rPr>
                <w:rFonts w:ascii="Times New Roman" w:hAnsi="Times New Roman"/>
                <w:b/>
                <w:iCs/>
                <w:noProof/>
                <w:sz w:val="16"/>
                <w:szCs w:val="16"/>
              </w:rPr>
              <w:t xml:space="preserve">46 % </w:t>
            </w:r>
            <w:r>
              <w:rPr>
                <w:rFonts w:ascii="Times New Roman" w:hAnsi="Times New Roman"/>
                <w:iCs/>
                <w:noProof/>
                <w:sz w:val="16"/>
                <w:szCs w:val="16"/>
              </w:rPr>
              <w:t xml:space="preserve">των ΛΟΑΤΙ ατόμων δεν αναφέρουν </w:t>
            </w:r>
            <w:r>
              <w:rPr>
                <w:rFonts w:ascii="Times New Roman" w:hAnsi="Times New Roman"/>
                <w:b/>
                <w:iCs/>
                <w:noProof/>
                <w:sz w:val="16"/>
                <w:szCs w:val="16"/>
              </w:rPr>
              <w:t>ποτέ ανοικτά</w:t>
            </w:r>
            <w:r>
              <w:rPr>
                <w:rFonts w:ascii="Times New Roman" w:hAnsi="Times New Roman"/>
                <w:iCs/>
                <w:noProof/>
                <w:sz w:val="16"/>
                <w:szCs w:val="16"/>
              </w:rPr>
              <w:t xml:space="preserve"> στο ιατρικό προσωπικό ή τους παρόχους υγειονομικής περίθαλψης </w:t>
            </w:r>
            <w:r>
              <w:rPr>
                <w:rFonts w:ascii="Times New Roman" w:hAnsi="Times New Roman"/>
                <w:b/>
                <w:iCs/>
                <w:noProof/>
                <w:sz w:val="16"/>
                <w:szCs w:val="16"/>
              </w:rPr>
              <w:t>ότι είναι ΛΟΑΤΙ</w:t>
            </w:r>
            <w:r>
              <w:rPr>
                <w:rFonts w:ascii="Times New Roman" w:hAnsi="Times New Roman"/>
                <w:iCs/>
                <w:noProof/>
                <w:sz w:val="16"/>
                <w:szCs w:val="16"/>
              </w:rPr>
              <w:t>.</w:t>
            </w:r>
            <w:r>
              <w:rPr>
                <w:rFonts w:ascii="Times New Roman" w:hAnsi="Times New Roman"/>
                <w:noProof/>
                <w:sz w:val="16"/>
                <w:szCs w:val="16"/>
              </w:rPr>
              <w:t xml:space="preserve"> </w:t>
            </w:r>
          </w:p>
          <w:p>
            <w:pPr>
              <w:rPr>
                <w:rFonts w:ascii="Times New Roman" w:hAnsi="Times New Roman" w:cs="Times New Roman"/>
                <w:noProof/>
                <w:sz w:val="16"/>
                <w:szCs w:val="16"/>
              </w:rPr>
            </w:pPr>
          </w:p>
        </w:tc>
        <w:tc>
          <w:tcPr>
            <w:tcW w:w="1488" w:type="dxa"/>
          </w:tcPr>
          <w:p>
            <w:pPr>
              <w:rPr>
                <w:rFonts w:ascii="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rPr>
            </w:pPr>
            <w:r>
              <w:rPr>
                <w:rFonts w:ascii="Times New Roman" w:hAnsi="Times New Roman"/>
                <w:iCs/>
                <w:noProof/>
                <w:sz w:val="16"/>
                <w:szCs w:val="16"/>
              </w:rPr>
              <w:t xml:space="preserve">Το </w:t>
            </w:r>
            <w:r>
              <w:rPr>
                <w:rFonts w:ascii="Times New Roman" w:hAnsi="Times New Roman"/>
                <w:b/>
                <w:iCs/>
                <w:noProof/>
                <w:sz w:val="16"/>
                <w:szCs w:val="16"/>
              </w:rPr>
              <w:t>51 %</w:t>
            </w:r>
            <w:r>
              <w:rPr>
                <w:rFonts w:ascii="Times New Roman" w:hAnsi="Times New Roman"/>
                <w:iCs/>
                <w:noProof/>
                <w:sz w:val="16"/>
                <w:szCs w:val="16"/>
              </w:rPr>
              <w:t xml:space="preserve"> των ίντερσεξ και το </w:t>
            </w:r>
            <w:r>
              <w:rPr>
                <w:rFonts w:ascii="Times New Roman" w:hAnsi="Times New Roman"/>
                <w:b/>
                <w:iCs/>
                <w:noProof/>
                <w:sz w:val="16"/>
                <w:szCs w:val="16"/>
              </w:rPr>
              <w:t>48 %</w:t>
            </w:r>
            <w:r>
              <w:rPr>
                <w:rFonts w:ascii="Times New Roman" w:hAnsi="Times New Roman"/>
                <w:iCs/>
                <w:noProof/>
                <w:sz w:val="16"/>
                <w:szCs w:val="16"/>
              </w:rPr>
              <w:t xml:space="preserve"> των τρανς ατόμων, το </w:t>
            </w:r>
            <w:r>
              <w:rPr>
                <w:rFonts w:ascii="Times New Roman" w:hAnsi="Times New Roman"/>
                <w:b/>
                <w:iCs/>
                <w:noProof/>
                <w:sz w:val="16"/>
                <w:szCs w:val="16"/>
              </w:rPr>
              <w:t>35 %</w:t>
            </w:r>
            <w:r>
              <w:rPr>
                <w:rFonts w:ascii="Times New Roman" w:hAnsi="Times New Roman"/>
                <w:iCs/>
                <w:noProof/>
                <w:sz w:val="16"/>
                <w:szCs w:val="16"/>
              </w:rPr>
              <w:t xml:space="preserve"> των λεσβιών και το </w:t>
            </w:r>
            <w:r>
              <w:rPr>
                <w:rFonts w:ascii="Times New Roman" w:hAnsi="Times New Roman"/>
                <w:b/>
                <w:iCs/>
                <w:noProof/>
                <w:sz w:val="16"/>
                <w:szCs w:val="16"/>
              </w:rPr>
              <w:t>31 %</w:t>
            </w:r>
            <w:r>
              <w:rPr>
                <w:rFonts w:ascii="Times New Roman" w:hAnsi="Times New Roman"/>
                <w:iCs/>
                <w:noProof/>
                <w:sz w:val="16"/>
                <w:szCs w:val="16"/>
              </w:rPr>
              <w:t xml:space="preserve"> των ομοφυλόφιλων ανδρών</w:t>
            </w:r>
            <w:r>
              <w:rPr>
                <w:rStyle w:val="FootnoteReference"/>
                <w:rFonts w:ascii="Times New Roman" w:hAnsi="Times New Roman"/>
                <w:iCs/>
                <w:noProof/>
                <w:sz w:val="16"/>
                <w:szCs w:val="16"/>
              </w:rPr>
              <w:t xml:space="preserve"> </w:t>
            </w:r>
            <w:r>
              <w:rPr>
                <w:rFonts w:ascii="Times New Roman" w:hAnsi="Times New Roman"/>
                <w:iCs/>
                <w:noProof/>
                <w:sz w:val="16"/>
                <w:szCs w:val="16"/>
              </w:rPr>
              <w:t xml:space="preserve">ζουν σε νοικοκυριά που </w:t>
            </w:r>
            <w:r>
              <w:rPr>
                <w:rFonts w:ascii="Times New Roman" w:hAnsi="Times New Roman"/>
                <w:b/>
                <w:iCs/>
                <w:noProof/>
                <w:sz w:val="16"/>
                <w:szCs w:val="16"/>
              </w:rPr>
              <w:t>δυσκολεύονται να αντεπεξέλθουν στις οικονομικές υποχρεώσεις τους</w:t>
            </w:r>
            <w:r>
              <w:rPr>
                <w:rFonts w:ascii="Times New Roman" w:hAnsi="Times New Roman"/>
                <w:iCs/>
                <w:noProof/>
                <w:sz w:val="16"/>
                <w:szCs w:val="16"/>
              </w:rPr>
              <w:t>.</w:t>
            </w:r>
            <w:r>
              <w:rPr>
                <w:rFonts w:ascii="Times New Roman" w:hAnsi="Times New Roman"/>
                <w:noProof/>
                <w:sz w:val="16"/>
                <w:szCs w:val="16"/>
              </w:rPr>
              <w:t xml:space="preserve"> </w:t>
            </w:r>
          </w:p>
        </w:tc>
      </w:tr>
    </w:tbl>
    <w:p>
      <w:pPr>
        <w:spacing w:after="240" w:line="240" w:lineRule="auto"/>
        <w:jc w:val="both"/>
        <w:rPr>
          <w:rFonts w:ascii="Times New Roman" w:hAnsi="Times New Roman" w:cs="Times New Roman"/>
          <w:b/>
          <w:bCs/>
          <w:noProof/>
          <w:sz w:val="24"/>
          <w:szCs w:val="24"/>
        </w:rPr>
      </w:pPr>
    </w:p>
    <w:p>
      <w:pPr>
        <w:spacing w:after="240" w:line="240" w:lineRule="auto"/>
        <w:contextualSpacing/>
        <w:jc w:val="both"/>
        <w:rPr>
          <w:rFonts w:ascii="Times New Roman" w:hAnsi="Times New Roman" w:cs="Times New Roman"/>
          <w:noProof/>
          <w:sz w:val="24"/>
          <w:szCs w:val="24"/>
        </w:rPr>
      </w:pPr>
      <w:r>
        <w:rPr>
          <w:rFonts w:ascii="Times New Roman" w:hAnsi="Times New Roman"/>
          <w:noProof/>
          <w:sz w:val="24"/>
          <w:szCs w:val="24"/>
        </w:rPr>
        <w:t>Οι διακρίσεις επηρεάζουν τα ΛΟΑΤΚΙ άτομα σε κάθε στάδιο της ζωής. Από νεαρή ηλικία, τα παιδιά και οι νεαροί ΛΟΑΤΚΙ, καθώς και τα παιδιά που προέρχονται από οικογένειες ΛΟΑΤΚΙ ή «ουράνιο τόξο» των οποίων ένα μέλος είναι ΛΟΑΤΚΙ, συχνά στιγματίζονται, με αποτέλεσμα να γίνονται στόχοι διακρίσεων και εκφοβισμού, γεγονός που επηρεάζει τις εκπαιδευτικές επιδόσεις και τις επαγγελματικές προοπτικές τους, την καθημερινή ζωή και την προσωπική και οικογενειακή ευημερία τους</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w:t>
      </w:r>
    </w:p>
    <w:p>
      <w:pPr>
        <w:spacing w:after="240" w:line="240" w:lineRule="auto"/>
        <w:contextualSpacing/>
        <w:jc w:val="both"/>
        <w:rPr>
          <w:rFonts w:ascii="Times New Roman" w:hAnsi="Times New Roman" w:cs="Times New Roman"/>
          <w:noProof/>
          <w:sz w:val="24"/>
          <w:szCs w:val="24"/>
        </w:rPr>
      </w:pPr>
    </w:p>
    <w:p>
      <w:pPr>
        <w:spacing w:after="240" w:line="240" w:lineRule="auto"/>
        <w:contextualSpacing/>
        <w:jc w:val="both"/>
        <w:rPr>
          <w:rFonts w:ascii="Times New Roman" w:hAnsi="Times New Roman" w:cs="Times New Roman"/>
          <w:bCs/>
          <w:noProof/>
          <w:sz w:val="24"/>
          <w:szCs w:val="24"/>
        </w:rPr>
      </w:pPr>
      <w:r>
        <w:rPr>
          <w:rFonts w:ascii="Times New Roman" w:hAnsi="Times New Roman"/>
          <w:noProof/>
          <w:sz w:val="24"/>
          <w:szCs w:val="24"/>
        </w:rPr>
        <w:t xml:space="preserve">Στον τομέα της απασχόλησης, τα ΛΟΑΤΚΙ άτομα εξακολουθούν να βιώνουν διακρίσεις κατά την πρόσληψη, στον χώρο εργασίας και στο τέλος της σταδιοδρομίας τους, οι οποίες αντιβαίνουν στη νομοθεσία της ΕΕ στον συγκεκριμένο τομέα. Πολλοί αντιμετωπίζουν εξαρχής εμπόδια στην εύρεση ικανοποιητικών και σταθερών θέσεων εργασίας, τα οποία μπορεί να εντείνουν τον κίνδυνο φτώχειας, κοινωνικού αποκλεισμού και έλλειψης στέγης. </w:t>
      </w:r>
      <w:r>
        <w:rPr>
          <w:rFonts w:ascii="Times New Roman" w:hAnsi="Times New Roman"/>
          <w:bCs/>
          <w:noProof/>
          <w:sz w:val="24"/>
          <w:szCs w:val="24"/>
        </w:rPr>
        <w:t>Πρόσφατες έρευνες έχουν δείξει ότι τα τρανς άτομα αντιμετωπίζουν πρόσθετα εμπόδια όταν επιδιώκουν την πρόσβαση στην αγορά εργασίας</w:t>
      </w:r>
      <w:r>
        <w:rPr>
          <w:rStyle w:val="FootnoteReference"/>
          <w:rFonts w:ascii="Times New Roman" w:hAnsi="Times New Roman" w:cs="Times New Roman"/>
          <w:noProof/>
          <w:sz w:val="24"/>
          <w:szCs w:val="24"/>
        </w:rPr>
        <w:footnoteReference w:id="16"/>
      </w:r>
      <w:r>
        <w:rPr>
          <w:rFonts w:ascii="Times New Roman" w:hAnsi="Times New Roman"/>
          <w:bCs/>
          <w:noProof/>
          <w:sz w:val="24"/>
          <w:szCs w:val="24"/>
        </w:rPr>
        <w:t xml:space="preserve">. </w:t>
      </w:r>
    </w:p>
    <w:p>
      <w:pPr>
        <w:spacing w:after="240" w:line="240" w:lineRule="auto"/>
        <w:contextualSpacing/>
        <w:jc w:val="both"/>
        <w:rPr>
          <w:rFonts w:ascii="Times New Roman" w:hAnsi="Times New Roman" w:cs="Times New Roman"/>
          <w:bCs/>
          <w:noProof/>
          <w:sz w:val="24"/>
          <w:szCs w:val="24"/>
        </w:rPr>
      </w:pPr>
    </w:p>
    <w:p>
      <w:pPr>
        <w:spacing w:after="240" w:line="240" w:lineRule="auto"/>
        <w:contextualSpacing/>
        <w:jc w:val="both"/>
        <w:rPr>
          <w:rFonts w:ascii="Times New Roman" w:hAnsi="Times New Roman" w:cs="Times New Roman"/>
          <w:noProof/>
          <w:sz w:val="24"/>
          <w:szCs w:val="24"/>
        </w:rPr>
      </w:pPr>
      <w:r>
        <w:rPr>
          <w:rFonts w:ascii="Times New Roman" w:hAnsi="Times New Roman"/>
          <w:bCs/>
          <w:noProof/>
          <w:sz w:val="24"/>
          <w:szCs w:val="24"/>
        </w:rPr>
        <w:t>Στα ΛΟΑΤΙ άτομα σημειώνονται υψηλά ποσοστά έλλειψης στέγης</w:t>
      </w:r>
      <w:r>
        <w:rPr>
          <w:rStyle w:val="FootnoteReference"/>
          <w:rFonts w:ascii="Times New Roman" w:hAnsi="Times New Roman" w:cs="Times New Roman"/>
          <w:bCs/>
          <w:noProof/>
          <w:sz w:val="24"/>
          <w:szCs w:val="24"/>
        </w:rPr>
        <w:footnoteReference w:id="17"/>
      </w:r>
      <w:r>
        <w:rPr>
          <w:rFonts w:ascii="Times New Roman" w:hAnsi="Times New Roman"/>
          <w:bCs/>
          <w:noProof/>
          <w:sz w:val="24"/>
          <w:szCs w:val="24"/>
        </w:rPr>
        <w:t>.</w:t>
      </w:r>
      <w:r>
        <w:rPr>
          <w:rFonts w:ascii="Times New Roman" w:hAnsi="Times New Roman"/>
          <w:noProof/>
          <w:sz w:val="24"/>
          <w:szCs w:val="24"/>
        </w:rPr>
        <w:t xml:space="preserve"> Ο εξοβελισμός τους από την οικογενειακή εστία και οι διακρίσεις που αντιμετωπίζουν ως προς την πρόσβαση σε στέγαση είναι οι κύριες κινητήριες δυνάμεις που μπορούν να τους καταστήσουν άστεγους, ιδίως αν πρόκειται για νεαρά ΛΟΑΤΚΙ άτομα</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Ποσοστό που εκτιμάται σε 25-40 % των άστεγων νέων διαπιστώνεται ότι είναι ΛΟΑΤΙ</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w:t>
      </w:r>
    </w:p>
    <w:p>
      <w:pPr>
        <w:spacing w:after="240" w:line="240" w:lineRule="auto"/>
        <w:contextualSpacing/>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Οι διακρίσεις λόγω γενετήσιου προσανατολισμού, ταυτότητας/έκφρασης φύλου και χαρακτηριστικών φύλου ενδέχεται επίσης να έχουν σημαντικές επιπτώσεις στη σωματική, ψυχική και σεξουαλική υγεία και στην ευημερία των ΛΟΑΤΚΙ ατόμων. </w:t>
      </w:r>
      <w:r>
        <w:rPr>
          <w:rFonts w:ascii="Times New Roman" w:hAnsi="Times New Roman"/>
          <w:bCs/>
          <w:noProof/>
          <w:sz w:val="24"/>
          <w:szCs w:val="24"/>
        </w:rPr>
        <w:t>Έρευνα της ΕΕ κατέδειξε σημαντικές ανισότητες υγείας μεταξύ της κοινότητας ΛΟΑΤΚΙ και του συνολικού πληθυσμού</w:t>
      </w:r>
      <w:r>
        <w:rPr>
          <w:rStyle w:val="FootnoteReference"/>
          <w:noProof/>
        </w:rPr>
        <w:footnoteReference w:id="20"/>
      </w:r>
      <w:r>
        <w:rPr>
          <w:rFonts w:ascii="Times New Roman" w:hAnsi="Times New Roman"/>
          <w:bCs/>
          <w:noProof/>
          <w:sz w:val="24"/>
          <w:szCs w:val="24"/>
        </w:rPr>
        <w:t>.</w:t>
      </w:r>
      <w:r>
        <w:rPr>
          <w:rFonts w:ascii="Times New Roman" w:hAnsi="Times New Roman"/>
          <w:noProof/>
          <w:sz w:val="24"/>
          <w:szCs w:val="24"/>
        </w:rPr>
        <w:t xml:space="preserve"> Επιπλέον, τα ΛΟΑΤΚΙ άτομα συχνά διστάζουν να αναζητήσουν υγειονομική περίθαλψη, διότι έχουν βιώσει ή φοβούνται ότι θα αντιμετωπίσουν εχθρική αντίδραση από τους επαγγελματίες της υγείας και συνεχίζουν να καταβάλλουν μεγάλες προσπάθειες για πρόσβαση σε ποιοτική και οικονομικά προσιτή αγωγή και περίθαλψη, συμπεριλαμβανομένης της κοινοτικής και κοινωνικής περίθαλψης. Όσοι έχουν αναπηρίες, είναι ηλικιωμένοι, μετανάστες ή προέρχονται από εθνοτική ή θρησκευτική μειονότητα είναι ιδιαίτερα ευάλωτοι σε διακρίσεις. Η κρίση της νόσου COVID-19 κατέστησε τη θέση τους ακόμη πιο ευάλωτη</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w:t>
      </w:r>
    </w:p>
    <w:p>
      <w:pPr>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1.1 </w:t>
      </w:r>
      <w:r>
        <w:rPr>
          <w:noProof/>
        </w:rPr>
        <w:tab/>
      </w:r>
      <w:r>
        <w:rPr>
          <w:rFonts w:ascii="Times New Roman" w:hAnsi="Times New Roman"/>
          <w:b/>
          <w:noProof/>
          <w:sz w:val="24"/>
          <w:szCs w:val="24"/>
        </w:rPr>
        <w:t>Επιβολή και βελτίωση της νομικής προστασίας κατά των διακρίσεων</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Το δίκαιο της ΕΕ που διασφαλίζει νομική προστασία κατά των διακρίσεων είναι καθοριστικής σημασίας για την προαγωγή της ισότητας των ΛΟΑΤΚΙ, όπως είναι και η νομολογία του Δικαστηρίου της Ευρωπαϊκής Ένωσης (στο εξής: ΔΕΕ). Η προστασία αυτή εμπίπτει σε διαφορετικά νομικά πλαίσια αναλόγως του κατά πόσο οι διακρίσεις που ενδεχομένως βιώνουν τα ΛΟΑΤΚΙ άτομα οφείλονται στον γενετήσιο προσανατολισμό (πλαίσιο για την καταπολέμηση των διακρίσεων) ή στο φύλο, συμπεριλαμβανομένης της αλλαγής φύλου</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(πλαίσιο για την ισότητα των φύλων).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οδηγία για την ισότητα στην απασχόληση</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κατοχυρώνει το δικαίωμα κάποιου να μην υφίσταται διακρίσεις ούτε παρενόχληση στο πλαίσιο της εργασίας λόγω γενετήσιου προσανατολισμού. Σε πρόσφατη απόφαση, το ΔΕΕ </w:t>
      </w:r>
      <w:r>
        <w:rPr>
          <w:rFonts w:ascii="Times New Roman" w:hAnsi="Times New Roman"/>
          <w:noProof/>
          <w:sz w:val="24"/>
          <w:szCs w:val="24"/>
          <w:shd w:val="clear" w:color="auto" w:fill="FFFFFF"/>
        </w:rPr>
        <w:t xml:space="preserve">διευκρίνισε </w:t>
      </w:r>
      <w:r>
        <w:rPr>
          <w:rFonts w:ascii="Times New Roman" w:hAnsi="Times New Roman"/>
          <w:noProof/>
          <w:sz w:val="24"/>
          <w:szCs w:val="24"/>
        </w:rPr>
        <w:t>ότι η δημόσια δήλωση ενός προσώπου περί μη πρόσληψης ενός ατόμου ορισμένου γενετήσιου προσανατολισμού συνιστά διάκριση που απαγορεύεται</w:t>
      </w:r>
      <w:r>
        <w:rPr>
          <w:rStyle w:val="FootnoteReference"/>
          <w:rFonts w:ascii="Times New Roman" w:hAnsi="Times New Roman" w:cs="Times New Roman"/>
          <w:noProof/>
          <w:sz w:val="24"/>
          <w:szCs w:val="24"/>
        </w:rPr>
        <w:footnoteReference w:id="24"/>
      </w:r>
      <w:r>
        <w:rPr>
          <w:noProof/>
        </w:rPr>
        <w:t>.</w:t>
      </w:r>
      <w:r>
        <w:rPr>
          <w:rFonts w:ascii="Times New Roman" w:hAnsi="Times New Roman"/>
          <w:noProof/>
          <w:sz w:val="24"/>
          <w:szCs w:val="24"/>
        </w:rPr>
        <w:t xml:space="preserve"> Αν και η συγκεκριμένη οδηγία καθορίζει μια ισχυρή γραμμή βάσης, ο αντίκτυπος των διατάξεών της περιορίζεται κατά δύο τρόπους: λόγω δυσκολιών εφαρμογής και λόγω περιορισμών στο πεδίο εφαρμογής, δεδομένου ότι η νομοθεσία δεν επεκτείνεται πέρα από τα όρια του τομέα της απασχόλησης.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διασφαλίσει την αυστηρή εφαρμογή των δικαιωμάτων που καλύπτει η οδηγία για την ισότητα στην απασχόληση από τα κράτη μέλη και θα υποβάλει έκθεση σχετικά με την εφαρμογή της οδηγίας το 2021</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Στην έκθεση θα εξετάζεται επίσης αν τα κράτη μέλη έχουν τηρήσει τη σύσταση της Επιτροπής να </w:t>
      </w:r>
      <w:r>
        <w:rPr>
          <w:rFonts w:ascii="Times New Roman" w:hAnsi="Times New Roman"/>
          <w:iCs/>
          <w:noProof/>
          <w:sz w:val="24"/>
          <w:szCs w:val="24"/>
        </w:rPr>
        <w:t>εξετάσουν το ενδεχόμενο ορισμού φορέα ισότητας για την αντιμετώπιση διακρίσεων λόγω θρησκείας ή πεποιθήσεων, αναπηρίας, ηλικίας και γενετήσιου προσανατολισμού στο πλαίσιο του πεδίου εφαρμογής της οδηγίας</w:t>
      </w:r>
      <w:r>
        <w:rPr>
          <w:rStyle w:val="FootnoteReference"/>
          <w:rFonts w:ascii="Times New Roman" w:hAnsi="Times New Roman" w:cs="Times New Roman"/>
          <w:iCs/>
          <w:noProof/>
          <w:sz w:val="24"/>
          <w:szCs w:val="24"/>
        </w:rPr>
        <w:footnoteReference w:id="26"/>
      </w:r>
      <w:r>
        <w:rPr>
          <w:rFonts w:ascii="Times New Roman" w:hAnsi="Times New Roman"/>
          <w:i/>
          <w:iCs/>
          <w:noProof/>
          <w:sz w:val="24"/>
          <w:szCs w:val="24"/>
        </w:rPr>
        <w:t xml:space="preserve">. </w:t>
      </w:r>
      <w:r>
        <w:rPr>
          <w:rFonts w:ascii="Times New Roman" w:hAnsi="Times New Roman"/>
          <w:noProof/>
          <w:sz w:val="24"/>
          <w:szCs w:val="24"/>
        </w:rPr>
        <w:t>Έως το 2022, η Επιτροπή θα εισηγηθεί τις νομοθετικές προτάσεις που απαιτούνται εν προκειμένω, ιδίως όσον αφορά τον ρόλο των φορέων ισότητας.</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οδηγία για την ισότητα των φύλων</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κατοχυρώνει το δικαίωμα κάποιου να μην υφίσταται διακρίσεις ούτε παρενόχληση στο πλαίσιο της πρόσβασης στην απασχόληση, των όρων εργασίας (συμπεριλαμβανομένης της αμοιβής) και των επαγγελματικών συστημάτων κοινωνικής ασφάλισης λόγω φύλου, συμπεριλαμβανομένης της αλλαγής φύλου. Η αρχή της ίσης μεταχείρισης ανδρών και γυναικών αποκλείει την απόλυση για λόγους που σχετίζονται με την αλλαγή φύλου</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Το δίκαιο της ΕΕ, όπως επιβεβαιώθηκε από το Δικαστήριο της Ευρωπαϊκής Ένωσης (ΔΕΕ), προβλέπει επίσης το δικαίωμα κάποιου να μην υφίσταται διακρίσεις λόγω φύλου, συμπεριλαμβανομένης επίσης της αλλαγής φύλου, όσον αφορά την πρόσβαση σε αγαθά και υπηρεσίες τα οποία διατίθενται στο κοινό</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και στα εκ του νόμου συστήματα κοινωνικής ασφάλισης</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Το συγκεκριμένο νομικό πλαίσιο δεν περιλαμβάνει προς το παρόν ρητή αναφορά στην απαγόρευση των διακρίσεων λόγω χαρακτηριστικών φύλου.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Το 2008 η Επιτροπή υπέβαλε πρόταση οδηγίας για την ίση μεταχείριση, η οποία επρόκειτο να επεκτείνει τη νομική προστασία της ΕΕ κατά των διακρίσεων για λόγους, μεταξύ άλλων, γενετήσιου προσανατολισμού πέραν του τομέα της απασχόλησης και της επαγγελματικής εκπαίδευσης</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καλεί το Συμβούλιο να εγκρίνει την πρόταση προκειμένου να καλυφθούν τα κενά στη νομοθεσία της ΕΕ για την προστασία απέναντι σε διακρίσεις λόγω γενετήσιου προσανατολισμού.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Έρευνα που διενεργήθηκε με τη στήριξη της Επιτροπής, του Συμβουλίου της Ευρώπης και της κοινωνίας των πολιτών</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κατέδειξε ότι τα κράτη μέλη υιοθετούν αποκλίνουσες προσεγγίσεις όσον αφορά την προστασία των ΛΟΑΤΚΙ ατόμων, ιδίως των μη δυαδικών, ίντερσεξ και κουίρ, έναντι διακρίσεων. Η Επιτροπή θα στηρίξει επίσης τα κράτη μέλη ώστε να ενισχύσουν τις ανταλλαγές βέλτιστων πρακτικών στον τομέα της νομικής προστασίας κατά διακρίσεων για λόγους γενετήσιου προσανατολισμού, ταυτότητας/έκφρασης φύλου και χαρακτηριστικών φύλου σε διάφορα πεδία. Ενώ ορισμένα κράτη μέλη έχουν συμπεριλάβει στην οικεία εθνική νομοθεσία περί ισότητας τα χαρακτηριστικά φύλου ως λόγο διακρίσεων, άλλα έχουν χρησιμοποιήσει ευρεία ερμηνεία του όρου «φύλο»</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Ομοίως, η έκφραση φύλου εμφανίζεται ως λόγος στο πλαίσιο της νομοθεσίας κατά των διακρίσεων λίγων, μόνο, κρατών μελών. Η Επιτροπή εξετάζει τον τρόπο με τον οποίο μπορεί να επιτευχθεί καλύτερη προστασία των μη δυαδικών, ίντερσεξ και κουίρ ατόμων έναντι των διακρίσεων.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Οι νέες τεχνολογίες προσφέρουν νέες ευκαιρίες για τη βελτίωση της ζωής των Ευρωπαίων, αλλά θέτουν και καινούριες προκλήσεις. Η τεχνητή νοημοσύνη (στο εξής: ΤΝ), μολονότι μπορεί να χρησιμοποιηθεί για την αντιμετώπιση πολλών κοινωνικών ζητημάτων, είναι επίσης πιθανό να εντείνει τις διακρίσεις στην πραγματική ζωή, μεταξύ άλλων κατά ΛΟΑΤΚΙ ατόμων, και τις ανισότητες λόγω φύλου. Ειδικότερα, όπως υπογραμμίστηκε σε πρόσφατη επανεξέταση πολιτικής που διενήργησε η Επιτροπή, μια από τις προκλήσεις που αναδύονται στο πεδίο των συστημάτων ΤΝ αναγνώρισης προσώπου είναι η ταυτοποίηση τρανς ατόμων, ιδίως στη διάρκεια των περιόδων μετάβασης</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Η Επιτροπή σχεδιάζει να προτείνει ένα κανονιστικό πλαίσιο που θα αντιμετωπίζει ειδικά τις προκαταλήψεις και τις αδικαιολόγητες διακρίσεις που είναι εγγενείς στα συστήματα ΤΝ υψηλού κινδύνου, συμπεριλαμβανομένων των βιομετρικών συστημάτων. Θα προτείνει ειδικές απαιτήσεις, μεταξύ άλλων όσον αφορά την τεκμηρίωση, σε σχέση με την ποιότητα των συνόλων δεδομένων κατάρτισης και των διαδικασιών δοκιμής για τον εντοπισμό και τη διόρθωση της προκατάληψης. Οι εν λόγω απαιτήσεις θα συμβάλουν στην έγκαιρη πρόληψη των δυσμενών επιπτώσεων των διακρίσεων και στη δυνατότητα συνεχούς παρακολούθησης και επαγρύπνησης για τη συμμόρφωση με την υφιστάμενη νομοθεσία για την ισότητα καθ’ όλη τη διάρκεια του κύκλου ζωής της ΤΝ. </w:t>
      </w:r>
    </w:p>
    <w:p>
      <w:pPr>
        <w:spacing w:after="0" w:line="240" w:lineRule="auto"/>
        <w:jc w:val="both"/>
        <w:rPr>
          <w:rFonts w:ascii="Times New Roman" w:hAnsi="Times New Roman" w:cs="Times New Roman"/>
          <w:noProof/>
          <w:sz w:val="24"/>
          <w:szCs w:val="24"/>
        </w:rPr>
      </w:pPr>
    </w:p>
    <w:p>
      <w:pPr>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1.2 </w:t>
      </w:r>
      <w:r>
        <w:rPr>
          <w:noProof/>
        </w:rPr>
        <w:tab/>
      </w:r>
      <w:r>
        <w:rPr>
          <w:rFonts w:ascii="Times New Roman" w:hAnsi="Times New Roman"/>
          <w:b/>
          <w:noProof/>
          <w:sz w:val="24"/>
          <w:szCs w:val="24"/>
        </w:rPr>
        <w:t>Προώθηση της ένταξης και της πολυμορφίας στον χώρο εργασίας</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Πέραν της απαγόρευσης των διακρίσεων, ένα περιβάλλον εργασίας που χαρακτηρίζεται από πολυμορφία και απουσία αποκλεισμών συμβάλλει στη δημιουργία ίσων ευκαιριών στην αγορά εργασίας και στη βελτίωση των αποτελεσμάτων των επιχειρήσεων. Η πολυμορφία και η ένταξη είναι καθοριστικής σημασίας προκειμένου να δοθεί έναυσμα για νέες ιδέες και να προωθηθεί μια καινοτόμος και ακμάζουσα κοινωνία. Για παράδειγμα, υπάρχει αποδεδειγμένος συσχετισμός μεταξύ της ένταξης των ΛΟΑΤΚΙ και της απόδοσης των στοιχείων ενεργητικού, καινοτομίας και παραγωγικότητας</w:t>
      </w:r>
      <w:r>
        <w:rPr>
          <w:rStyle w:val="FootnoteReference"/>
          <w:noProof/>
        </w:rPr>
        <w:footnoteReference w:id="35"/>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Επιτροπή προωθεί τη διαχείριση της πολυμορφίας μέσω της ενωσιακής πλατφόρμας χαρτών πολυμορφίας</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Οι υπογράφοντες έχουν θεσπίσει πολιτικές πολυμορφίας και ένταξης, συνέστησαν εσωτερικά δίκτυα ΛΟΑΤΚΙ, παρείχαν κατάρτιση στο προσωπικό τους, συμμετείχαν στον εορτασμό της Διεθνούς Ημέρας κατά της Ομοφοβίας, της Τρανσφοβίας και της Αμφιφοβίας (IDAHOT) και στις εθνικές εκδηλώσεις «υπερηφάνειας». Οι ΛΟΑΤΚΙ εργαζόμενοι μπορούν να επωφελούνται από τον βελτιωμένο συντονισμό μεταξύ της ενωσιακής πλατφόρμας, των εθνικών χαρτών πολυμορφίας και των επιμέρους επιχειρήσεων. Η Επιτροπή θα συνεχίσει να προωθεί τη σύσταση εθνικών χαρτών πολυμορφίας και να συμμετέχει σε συγκεκριμένες προσπάθειες για την προαγωγή της ισότητας των ΛΟΑΤΚΙ, μέσω ειδικών δράσεων στο πλαίσιο της ενωσιακής πλατφόρμας χαρτών πολυμορφίας.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προωθήσει τη χρήση του Ευρωπαϊκού Κοινωνικού Ταμείου+ (ΕΚΤ+)</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με στόχο τη βελτίωση της κοινωνικοοικονομικής θέσης των πλέον περιθωριοποιημένων ΛΟΑΤΚΙ ατόμων και την ανάπτυξη πρωτοβουλιών που εστιάζουν σε συγκεκριμένες ομάδες, όπως οι ομοφυλόφιλοι, οι λεσβίες, οι αμφιφυλόφιλοι, οι τρανς και οι ίντερσεξ. Η Επιτροπή θα συγκεντρώσει στοιχεία σχετικά με τα εμπόδια που αντιμετωπίζονται όσον αφορά την πλήρη ισότητα στην απασχόληση, αλλά και σε άλλους τομείς, όπως η κοινωνική προστασία. Το έργο αυτό θα τροφοδοτήσει την κατάρτιση καθοδήγησης για τα κράτη μέλη και τις επιχειρήσεις σχετικά με την ενίσχυση της συμμετοχής τρανς και ίντερσεξ ατόμων στην αγορά εργασίας. Η Επιτροπή θα προωθήσει την ανταλλαγή βέλτιστων πρακτικών μεταξύ των κρατών μελών και θα παράσχει αξιόπιστα και συγκρίσιμα δεδομένα για τον συγκεκριμένο τομέα, με τη στήριξη του FRA. Η Επιτροπή θα συνεχίσει να στηρίζει μέτρα στο πλαίσιο της στρατηγικής για την ισότητα των φύλων</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που αποσκοπούν στη βελτίωση της κοινωνικοοικονομικής θέσης των γυναικών, συμπεριλαμβανομένων εκείνων που αφορούν τις ΛΑΤΚΙ γυναίκες</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Οι κοινωνικές επιχειρήσεις, και η κοινωνική οικονομία εν γένει, είναι σε θέση να πρωταγωνιστήσουν</w:t>
      </w:r>
      <w:r>
        <w:rPr>
          <w:rFonts w:ascii="Times New Roman" w:hAnsi="Times New Roman"/>
          <w:noProof/>
          <w:sz w:val="24"/>
          <w:szCs w:val="24"/>
          <w:shd w:val="clear" w:color="auto" w:fill="FFFFFF"/>
        </w:rPr>
        <w:t xml:space="preserve"> στην αντιμετώπιση των διακρίσεων κατά των ΛΟΑΤΚΙ. Μπορούν να αναπτύξουν ειδικά προγράμματα, καταρτίσεις και συστήματα που θα οδηγήσουν σε αυξημένη ένταξη των ΛΟΑΤΚΙ ατόμων. Το 2021 η Επιτροπή θα δημοσιεύσει ένα ευρωπαϊκό σχέδιο δράσης για την κοινωνική οικονομία, το οποίο θα προωθεί την ανάπτυξη των εν λόγω επιχειρήσεων και οργανισμών, </w:t>
      </w:r>
      <w:r>
        <w:rPr>
          <w:rFonts w:ascii="Times New Roman" w:hAnsi="Times New Roman"/>
          <w:noProof/>
          <w:sz w:val="24"/>
          <w:szCs w:val="24"/>
        </w:rPr>
        <w:t>και θα πραγματεύεται τρόπους για τη βελτίωση της ένταξης συγκεκριμένων περιθωριοποιημένων ομάδων στην κοινωνία, συμπεριλαμβανομένων των ΛΟΑΤΚΙ ατόμων.</w:t>
      </w:r>
      <w:r>
        <w:rPr>
          <w:rFonts w:ascii="Times New Roman" w:hAnsi="Times New Roman"/>
          <w:noProof/>
          <w:sz w:val="24"/>
          <w:szCs w:val="24"/>
          <w:shd w:val="clear" w:color="auto" w:fill="FFFFF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θα δώσει το παράδειγμα ως εργοδότης. Στο πλαίσιο της νέας στρατηγικής της για τους ανθρώπινους πόρους, θα συνεχίσει να καταβάλλει προσπάθειες για ένα εργασιακό περιβάλλον χωρίς αποκλεισμούς, παρέχοντας ειδικότερα πιο στοχευμένη στήριξη και καθοδήγηση στο ΛΟΑΤΚΙ προσωπικό, καθώς και βελτιώνοντας σημαντικά τη χρήση γλώσσας συμπεριληπτικής ως προς το φύλο σε κάθε επικοινωνία. Η Επιτροπή καλεί τα άλλα θεσμικά όργανα της ΕΕ να λάβουν μέτρα για την προώθηση της πολυμορφίας και της ένταξης στους αντίστοιχους χώρους εργασίας τους. </w:t>
      </w:r>
    </w:p>
    <w:p>
      <w:pPr>
        <w:spacing w:after="0" w:line="240" w:lineRule="auto"/>
        <w:contextualSpacing/>
        <w:jc w:val="both"/>
        <w:rPr>
          <w:rFonts w:ascii="Times New Roman" w:hAnsi="Times New Roman" w:cs="Times New Roman"/>
          <w:noProof/>
          <w:sz w:val="24"/>
          <w:szCs w:val="24"/>
        </w:rPr>
      </w:pPr>
    </w:p>
    <w:p>
      <w:pPr>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1.3 </w:t>
      </w:r>
      <w:r>
        <w:rPr>
          <w:noProof/>
        </w:rPr>
        <w:tab/>
      </w:r>
      <w:r>
        <w:rPr>
          <w:rFonts w:ascii="Times New Roman" w:hAnsi="Times New Roman"/>
          <w:b/>
          <w:noProof/>
          <w:sz w:val="24"/>
          <w:szCs w:val="24"/>
        </w:rPr>
        <w:t>Καταπολέμηση των ανισοτήτων στην εκπαίδευση, την υγεία, τον πολιτισμό και τον αθλητισμό</w:t>
      </w:r>
    </w:p>
    <w:p>
      <w:pPr>
        <w:spacing w:line="240" w:lineRule="auto"/>
        <w:jc w:val="both"/>
        <w:rPr>
          <w:rFonts w:ascii="Times New Roman" w:hAnsi="Times New Roman" w:cs="Times New Roman"/>
          <w:iCs/>
          <w:noProof/>
          <w:sz w:val="24"/>
          <w:szCs w:val="24"/>
        </w:rPr>
      </w:pPr>
      <w:r>
        <w:rPr>
          <w:rFonts w:ascii="Times New Roman" w:hAnsi="Times New Roman"/>
          <w:noProof/>
          <w:sz w:val="24"/>
          <w:szCs w:val="24"/>
        </w:rPr>
        <w:t>Η Επιτροπή θα στηρίξει την προώθηση της ανταλλαγής ορθών πρακτικών μεταξύ κρατών μελών και εμπειρογνωμόνων όσον αφορά τη διασφάλιση ασφαλούς και χωρίς αποκλεισμούς εκπαίδευσης για όλα τα παιδιά, τους νέους και τους ενήλικες. Για παράδειγμα, μια νέα ομάδα εμπειρογνωμόνων</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η οποία καταρτίζει προτάσεις σχετικά με στρατηγικές για τη δημιουργία υποστηρικτικών περιβαλλόντων μάθησης για ομάδες που διατρέχουν κίνδυνο χαμηλών επιδόσεων και για τη στήριξη της ευημερίας στο σχολείο θα αντιμετωπίσει τα στερεότυπα φύλου στην εκπαίδευση, τον εκφοβισμό και τη σεξουαλική παρενόχληση. </w:t>
      </w:r>
      <w:r>
        <w:rPr>
          <w:rFonts w:ascii="Times New Roman" w:hAnsi="Times New Roman"/>
          <w:iCs/>
          <w:noProof/>
          <w:sz w:val="24"/>
          <w:szCs w:val="24"/>
        </w:rPr>
        <w:t>Επιπλέον, η επικείμενη ολοκληρωμένη στρατηγική της Επιτροπής για τα δικαιώματα του παιδιού θα διασφαλίσει την άνευ διακρίσεων πρόσβαση σε δικαιώματα, προστασία και υπηρεσίες, μεταξύ άλλων για τα ΛΟΑΤΚΙ παιδιά. Η προώθηση μιας περισσότερο ενταξιακής εκπαίδευσης</w:t>
      </w:r>
      <w:r>
        <w:rPr>
          <w:rFonts w:ascii="Times New Roman" w:hAnsi="Times New Roman"/>
          <w:noProof/>
          <w:sz w:val="24"/>
          <w:szCs w:val="24"/>
        </w:rPr>
        <w:t xml:space="preserve"> είναι προς το συμφέρον όλων των μαθητών και των πολιτών, καθώς συμβάλλει στην καταπολέμηση των στερεοτύπων και στην οικοδόμηση μιας δικαιότερης κοινωνίας για όλους. </w:t>
      </w:r>
    </w:p>
    <w:p>
      <w:pPr>
        <w:spacing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Δεν υπάρχουν αρκετές </w:t>
      </w:r>
      <w:r>
        <w:rPr>
          <w:rFonts w:ascii="Times New Roman" w:hAnsi="Times New Roman"/>
          <w:noProof/>
          <w:sz w:val="24"/>
          <w:szCs w:val="24"/>
        </w:rPr>
        <w:t>έρευνες σχετικά με διατομεακές εμπειρίες ΛΟΑΤΚΙ ατόμων, όπως αυτών που είναι ηλικιωμένοι ή έχουν αναπηρίες.</w:t>
      </w:r>
      <w:r>
        <w:rPr>
          <w:rFonts w:ascii="Times New Roman" w:hAnsi="Times New Roman"/>
          <w:iCs/>
          <w:noProof/>
          <w:sz w:val="24"/>
          <w:szCs w:val="24"/>
        </w:rPr>
        <w:t xml:space="preserve"> Το πρόγραμμα «Ορίζων Ευρώπη» θα στηρίξει τις μελέτες σε θέματα φύλου και τη διατομεακή έρευνα σχετικά με ΛΟΑΤΚΙ άτομα, μεταξύ άλλων στον τομέα της υγείας. </w:t>
      </w:r>
      <w:r>
        <w:rPr>
          <w:rFonts w:ascii="Times New Roman" w:hAnsi="Times New Roman"/>
          <w:noProof/>
          <w:sz w:val="24"/>
          <w:szCs w:val="24"/>
        </w:rPr>
        <w:t xml:space="preserve">Η Επιτροπή θα κοινοποιήσει τα αποτελέσματα των ερευνών, συμπεριλαμβανομένων των σχετικών συστάσεων και καθοδήγησης πολιτικής, και θα οργανώσει διάσκεψη σε επίπεδο ΕΕ </w:t>
      </w:r>
      <w:r>
        <w:rPr>
          <w:rFonts w:ascii="Times New Roman" w:hAnsi="Times New Roman"/>
          <w:iCs/>
          <w:noProof/>
          <w:sz w:val="24"/>
          <w:szCs w:val="24"/>
        </w:rPr>
        <w:t>μέσω της πλατφόρμας για την πολιτική της υγείας της ΕΕ</w:t>
      </w:r>
      <w:r>
        <w:rPr>
          <w:rFonts w:ascii="Times New Roman" w:hAnsi="Times New Roman"/>
          <w:noProof/>
          <w:sz w:val="24"/>
          <w:szCs w:val="24"/>
        </w:rPr>
        <w:t>. Θα προτείνει επίσης να ληφθούν υπόψη από τη συντονιστική ομάδα για την προαγωγή της υγείας και την πρόληψη των ασθενειών (SGPP) αποδεδειγμένα ορθές πρακτικές σε σχέση με την υγεία στον συγκεκριμένο τομέα, τις οποίες θα μπορούσαν να εφαρμόσουν τα κράτη μέλη.</w:t>
      </w:r>
    </w:p>
    <w:p>
      <w:pPr>
        <w:spacing w:after="240" w:line="240" w:lineRule="auto"/>
        <w:jc w:val="both"/>
        <w:rPr>
          <w:noProof/>
        </w:rPr>
      </w:pPr>
      <w:r>
        <w:rPr>
          <w:rFonts w:ascii="Times New Roman" w:hAnsi="Times New Roman"/>
          <w:noProof/>
          <w:sz w:val="24"/>
          <w:szCs w:val="24"/>
        </w:rPr>
        <w:t>Τα κράτη μέλη θα ενθαρρυνθούν να οργανώσουν καταρτίσεις για επαγγελματίες της υγείας, με στόχο την ευαισθητοποίηση όσον αφορά τις ανάγκες υγείας των ομοφυλόφιλων και αμφιφυλόφιλων ανδρών, των λεσβιών και των αμφιφυλόφιλων γυναικών, των ίντερσεξ και τρανς ατόμων, καθώς και την αποτροπή των διακρίσεων και του στιγματισμού στην πρόσβαση σε υπηρεσίες υγείας. Θα υπάρξει ευρύτερη διάδοση και διανομή του υλικού κατάρτισης του έργου HEALTH4LGBTI</w:t>
      </w:r>
      <w:r>
        <w:rPr>
          <w:rStyle w:val="FootnoteReference"/>
          <w:rFonts w:ascii="Times New Roman" w:eastAsia="Times New Roman" w:hAnsi="Times New Roman" w:cs="Times New Roman"/>
          <w:noProof/>
          <w:sz w:val="24"/>
          <w:szCs w:val="24"/>
          <w:lang w:eastAsia="en-GB"/>
        </w:rPr>
        <w:footnoteReference w:id="41"/>
      </w:r>
      <w:r>
        <w:rPr>
          <w:rFonts w:ascii="Times New Roman" w:hAnsi="Times New Roman"/>
          <w:noProof/>
          <w:sz w:val="24"/>
          <w:szCs w:val="24"/>
        </w:rPr>
        <w:t xml:space="preserve"> στα κράτη μέλη. Η Επιτροπή θα ενθαρρύνει και θα διευκολύνει τις ανταλλαγές βέλτιστων πρακτικών μεταξύ των κρατών μελών όσον αφορά την αντιμετώπιση των προκλήσεων ψυχικής υγείας που βιώνει σημαντικός αριθμός ΛΟΑΤΚΙ ατόμων.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Οι προκαταλήψεις και άλλα στερεότυπα λόγω φύλου συγκαταλέγονται μεταξύ των κύριων κινητήριων δυνάμεων που οδηγούν σε αρνητικές ή εχθρικές συμπεριφορές απέναντι σε ΛΟΑΤΚΙ άτομα σε πολλές κοινότητες. Ειδικότερα, μπορούν να οδηγήσουν σε αποκλεισμό και στιγματισμό οποιουδήποτε δεν συμμορφώνεται με τα παγιωμένα πρότυπα/εικόνες της γυναίκας και του άνδρα, όπως των μη δυαδικών και κουίρ ατόμων. Οι τομείς των μέσων μαζικής επικοινωνίας, του πολιτισμού και του αθλητισμού αποτελούν ισχυρά εργαλεία για την αλλαγή συμπεριφορών και την αμφισβήτηση προκαταλήψεων και άλλων στερεοτύπων λόγω φύλου.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στηρίξει έργα που χρησιμοποιούν την πολιτιστική έκφραση για την αντιμετώπιση των διακρίσεων, την οικοδόμηση εμπιστοσύνης και αποδοχής και την προώθηση της πλήρους ένταξης των ΛΟΑΤΚΙ ατόμων. Η Επιτροπή θα ενισχύσει την ενσωμάτωση της ισότητας των ΛΟΑΤΚΙ σε σχετικές πρωτοβουλίες για την απασχόληση, την εκπαίδευση και την υγεία (ιδίως σε πρωτοβουλίες για την ψυχική υγεία και την πρόληψη του ιού HIV/AIDS) και σε προγράμματα ενωσιακής χρηματοδότησης (π.χ. EU4Health και Erasmus+). Το μελλοντικό ευρωπαϊκό σχέδιο για την καταπολέμηση του καρκίνου θα λάβει υπόψη την κατάσταση των ευάλωτων ομάδων, συμπεριλαμβανομένων των ΛΟΑΤΚΙ ατόμων. Μέσω του προγράμματος «Πολίτες, ισότητα, δικαιώματα και αξίες» μπορούν να χρηματοδοτηθούν έργα τα οποία αντιμετωπίζουν τις διατομεακές διακρίσεις και ανισότητες που βιώνουν τα ΛΟΑΤΚΙ άτομα, τις προκαταλήψεις και άλλα στερεότυπα λόγω φύλου</w:t>
      </w:r>
      <w:r>
        <w:rPr>
          <w:rStyle w:val="FootnoteReference"/>
          <w:rFonts w:ascii="Times New Roman" w:hAnsi="Times New Roman" w:cs="Times New Roman"/>
          <w:noProof/>
          <w:sz w:val="24"/>
          <w:szCs w:val="24"/>
        </w:rPr>
        <w:footnoteReference w:id="42"/>
      </w:r>
      <w:r>
        <w:rPr>
          <w:noProof/>
        </w:rPr>
        <w:t>.</w:t>
      </w:r>
      <w:r>
        <w:rPr>
          <w:rFonts w:ascii="Times New Roman" w:hAnsi="Times New Roman"/>
          <w:noProof/>
          <w:sz w:val="24"/>
          <w:szCs w:val="24"/>
        </w:rPr>
        <w:t xml:space="preserve"> </w:t>
      </w:r>
    </w:p>
    <w:p>
      <w:pPr>
        <w:spacing w:after="240" w:line="240" w:lineRule="auto"/>
        <w:jc w:val="both"/>
        <w:rPr>
          <w:rStyle w:val="CommentReference"/>
          <w:noProof/>
        </w:rPr>
      </w:pPr>
      <w:r>
        <w:rPr>
          <w:rFonts w:ascii="Times New Roman" w:hAnsi="Times New Roman"/>
          <w:iCs/>
          <w:noProof/>
          <w:sz w:val="24"/>
          <w:szCs w:val="24"/>
        </w:rPr>
        <w:t>Το πρόγραμμα Erasmus+ χρηματοδοτεί έργα τα οποία ευνοούν και ενδυναμώνουν νέους που αντιμετωπίζουν διακρίσεις λόγω του φύλου ή του γενετήσιου προσανατολισμού τους, καθώς και άλλους κοινωνικούς φραγμούς. Ομοίως, το Ευρωπαϊκό Σώμα Αλληλεγγύης μπορεί να προωθήσει δραστηριότητες αλληλεγγύης που αποσκοπούν στην αντιμετώπιση του ρατσισμού και των διακρίσεων, καθώς και να διευρύνει τη συμμετοχή.</w:t>
      </w:r>
      <w:r>
        <w:rPr>
          <w:rFonts w:ascii="Times New Roman" w:hAnsi="Times New Roman"/>
          <w:noProof/>
          <w:sz w:val="24"/>
          <w:szCs w:val="24"/>
        </w:rPr>
        <w:t xml:space="preserve"> Για τη νέα περίοδο προγραμματισμού, θα δοθεί ιδιαίτερη προσοχή στην ένταξη, την ισότητα και την πολυμορφία στο πλαίσιο των προγραμμάτων Erasmus+ και «Ευρωπαϊκό Σώμα Αλληλεγγύης». Θα καθοριστεί μια πολύπλευρη προσέγγιση, προκειμένου να καταστεί το πρόγραμμα πιο ενταξιακό και να βελτιωθεί η προσέγγιση των ατόμων με λιγότερες ευκαιρίες, μεταξύ άλλων μέσω της καθιέρωσης πιο ευέλικτων και προσβάσιμων μορφοτύπων· μέτρων στήριξης για την προετοιμασία και την καθοδήγηση των συμμετεχόντων· και χρηματοδοτικών μέτρων για την αντιμετώπιση των εμποδίων που αντιμετωπίζουν οι υποεκπροσωπούμενες ομάδες κατά τη συμμετοχή τους στα προγράμματα.</w:t>
      </w:r>
      <w:r>
        <w:rPr>
          <w:noProof/>
        </w:rPr>
        <w:t xml:space="preserve"> </w:t>
      </w:r>
    </w:p>
    <w:p>
      <w:pPr>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1.4 </w:t>
      </w:r>
      <w:r>
        <w:rPr>
          <w:noProof/>
        </w:rPr>
        <w:tab/>
      </w:r>
      <w:r>
        <w:rPr>
          <w:rFonts w:ascii="Times New Roman" w:hAnsi="Times New Roman"/>
          <w:b/>
          <w:noProof/>
          <w:sz w:val="24"/>
          <w:szCs w:val="24"/>
        </w:rPr>
        <w:t>Στήριξη των δικαιωμάτων των ΛΟΑΤΚΙ αιτούντων διεθνή προστασία</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Το κοινό ευρωπαϊκό σύστημα ασύλου αντιμετωπίζει τις ειδικές καταστάσεις και ανάγκες ευάλωτων (συμπεριλαμβανομένων ΛΟΑΤΚΙ) αιτούντων διεθνή προστασία</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Η Επιτροπή έχει υποβάλει προτάσεις μεταρρύθμισης του κοινού ευρωπαϊκού συστήματος ασύλου, ώστε αυτό να καταστεί πιο ανθεκτικό και αποτελεσματικό και, παράλληλα, να σέβεται τις ανάγκες προστασίας των εν λόγω αιτούντων</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προωθήσει την ανταλλαγή ορθών πρακτικών μεταξύ των κρατών μελών όσον αφορά την αντιμετώπιση των αναγκών ΛΟΑΤΚΙ αιτούντων διεθνή προστασία, με έμφαση στα εξής:</w:t>
      </w:r>
    </w:p>
    <w:p>
      <w:pPr>
        <w:pStyle w:val="ListParagraph"/>
        <w:numPr>
          <w:ilvl w:val="0"/>
          <w:numId w:val="19"/>
        </w:numPr>
        <w:spacing w:line="240" w:lineRule="auto"/>
        <w:jc w:val="both"/>
        <w:rPr>
          <w:rFonts w:ascii="Times New Roman" w:hAnsi="Times New Roman" w:cs="Times New Roman"/>
          <w:noProof/>
          <w:sz w:val="24"/>
          <w:szCs w:val="24"/>
        </w:rPr>
      </w:pPr>
      <w:r>
        <w:rPr>
          <w:rFonts w:ascii="Times New Roman" w:hAnsi="Times New Roman"/>
          <w:noProof/>
          <w:sz w:val="24"/>
          <w:szCs w:val="24"/>
        </w:rPr>
        <w:t>τρόπους ώστε να διασφαλίζονται ασφαλείς και κατάλληλες συνθήκες υποδοχής, συμπεριλαμβανομένης της διαμονής, για ΛΟΑΤΚΙ αιτούντες διεθνή προστασία·</w:t>
      </w:r>
    </w:p>
    <w:p>
      <w:pPr>
        <w:pStyle w:val="ListParagraph"/>
        <w:numPr>
          <w:ilvl w:val="0"/>
          <w:numId w:val="19"/>
        </w:numPr>
        <w:spacing w:after="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πρότυπα προστασίας που εφαρμόζονται κατά την κράτησή τους (κατά περίπτωση)· και</w:t>
      </w:r>
    </w:p>
    <w:p>
      <w:pPr>
        <w:pStyle w:val="ListParagraph"/>
        <w:numPr>
          <w:ilvl w:val="0"/>
          <w:numId w:val="19"/>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τρόπους πρόληψης ώστε η εξέταση των αιτήσεών τους να μην επηρεάζεται από διακρίσεις και/ή στερεότυπα κατά ΛΟΑΤΚΙ.</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Ευρωπαϊκή Υπηρεσία Υποστήριξης για το Άσυλο θα βελτιώσει την κατάρτιση των υπευθύνων προστασίας και των διερμηνέων, ώστε να διασφαλιστεί ότι η εξέταση των αιτήσεων παροχής διεθνούς προστασίας των ΛΟΑΤΚΙ ατόμων δεν επηρεάζεται από στερεότυπα και συνάδει με τη διεθνή/ενωσιακή νομοθεσία και άλλες σχετικές πράξεις</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Στις συνομιλίες με τα κράτη μέλη σχετικά με τις χρηματοδοτικές προτεραιότητες του Ταμείου Ασύλου και Μετανάστευσης, η Επιτροπή θα επισημάνει την ανάγκη ανάπτυξης ικανοτήτων για την υποστήριξη των δικαιωμάτων των αιτούντων διεθνή προστασία και άλλων μεταναστών. </w:t>
      </w:r>
    </w:p>
    <w:p>
      <w:pPr>
        <w:jc w:val="both"/>
        <w:rPr>
          <w:rFonts w:ascii="Times New Roman" w:hAnsi="Times New Roman" w:cs="Times New Roman"/>
          <w:noProof/>
          <w:sz w:val="24"/>
          <w:szCs w:val="24"/>
        </w:rPr>
      </w:pPr>
      <w:r>
        <w:rPr>
          <w:rFonts w:ascii="Times New Roman" w:hAnsi="Times New Roman"/>
          <w:noProof/>
          <w:sz w:val="24"/>
          <w:szCs w:val="24"/>
        </w:rPr>
        <w:t>Η Ευρωπαϊκή Επιτροπή θα εξασφαλίσει συνέργεια στην εφαρμογή της στρατηγικής για την ισότητα των ΛΟΑΤΚΙ και του σχεδίου δράσης της ΕΕ για την ενσωμάτωση και την ένταξη. Μία από τις βασικές αρχές του νέου σχεδίου δράσης θα είναι η «ένταξη για όλους». Θα λαμβάνει υπόψη τις προκλήσεις που προκύπτουν από την αλληλεπικάλυψη του καθεστώτος μετανάστη με άλλους παράγοντες διακρίσεων, όπως ο γενετήσιος προσανατολισμός και το φύλο.</w:t>
      </w:r>
    </w:p>
    <w:tbl>
      <w:tblPr>
        <w:tblStyle w:val="TableGrid"/>
        <w:tblW w:w="0" w:type="auto"/>
        <w:tblLook w:val="04A0" w:firstRow="1" w:lastRow="0" w:firstColumn="1" w:lastColumn="0" w:noHBand="0" w:noVBand="1"/>
      </w:tblPr>
      <w:tblGrid>
        <w:gridCol w:w="9060"/>
      </w:tblGrid>
      <w:tr>
        <w:tc>
          <w:tcPr>
            <w:tcW w:w="9060" w:type="dxa"/>
          </w:tcPr>
          <w:p>
            <w:pPr>
              <w:pStyle w:val="NoSpacing"/>
              <w:spacing w:after="120"/>
              <w:jc w:val="both"/>
              <w:rPr>
                <w:rFonts w:ascii="Times New Roman" w:hAnsi="Times New Roman" w:cs="Times New Roman"/>
                <w:b/>
                <w:noProof/>
              </w:rPr>
            </w:pPr>
            <w:r>
              <w:rPr>
                <w:rFonts w:ascii="Times New Roman" w:hAnsi="Times New Roman"/>
                <w:b/>
                <w:noProof/>
              </w:rPr>
              <w:t xml:space="preserve">Βασικές δράσεις της Ευρωπαϊκής Επιτροπής:  </w:t>
            </w:r>
          </w:p>
          <w:p>
            <w:pPr>
              <w:pStyle w:val="ListParagraph"/>
              <w:numPr>
                <w:ilvl w:val="0"/>
                <w:numId w:val="15"/>
              </w:numPr>
              <w:spacing w:after="120" w:line="240" w:lineRule="auto"/>
              <w:contextualSpacing w:val="0"/>
              <w:jc w:val="both"/>
              <w:rPr>
                <w:rFonts w:ascii="Times New Roman" w:hAnsi="Times New Roman" w:cs="Times New Roman"/>
                <w:noProof/>
              </w:rPr>
            </w:pPr>
            <w:r>
              <w:rPr>
                <w:rFonts w:ascii="Times New Roman" w:hAnsi="Times New Roman"/>
                <w:noProof/>
              </w:rPr>
              <w:t>πρόταση έως το 2022 νομοθεσίας για τη συνέχεια της επικείμενης έκθεσης σχετικά με την εφαρμογή της οδηγίας για την ισότητα στην απασχόληση, ιδίως για την ενίσχυση του ρόλου των φορέων ισότητας·</w:t>
            </w:r>
          </w:p>
          <w:p>
            <w:pPr>
              <w:pStyle w:val="ListParagraph"/>
              <w:numPr>
                <w:ilvl w:val="0"/>
                <w:numId w:val="15"/>
              </w:numPr>
              <w:spacing w:after="120" w:line="240" w:lineRule="auto"/>
              <w:contextualSpacing w:val="0"/>
              <w:jc w:val="both"/>
              <w:rPr>
                <w:rFonts w:ascii="Times New Roman" w:hAnsi="Times New Roman" w:cs="Times New Roman"/>
                <w:noProof/>
              </w:rPr>
            </w:pPr>
            <w:r>
              <w:rPr>
                <w:rFonts w:ascii="Times New Roman" w:hAnsi="Times New Roman"/>
                <w:noProof/>
              </w:rPr>
              <w:t>διασφάλιση επαρκούς προστασίας των ευάλωτων (συμπεριλαμβανομένων των ΛΟΑΤΚΙ) αιτούντων στο πλαίσιο του κοινού ευρωπαϊκού συστήματος ασύλου και της μεταρρύθμισής του·</w:t>
            </w:r>
          </w:p>
          <w:p>
            <w:pPr>
              <w:pStyle w:val="NoSpacing"/>
              <w:numPr>
                <w:ilvl w:val="0"/>
                <w:numId w:val="15"/>
              </w:numPr>
              <w:spacing w:after="120"/>
              <w:jc w:val="both"/>
              <w:rPr>
                <w:rFonts w:ascii="Times New Roman" w:hAnsi="Times New Roman" w:cs="Times New Roman"/>
                <w:noProof/>
              </w:rPr>
            </w:pPr>
            <w:r>
              <w:rPr>
                <w:rFonts w:ascii="Times New Roman" w:hAnsi="Times New Roman"/>
                <w:noProof/>
              </w:rPr>
              <w:t>διασφάλιση της στήριξης της ισότητας των ΛΟΑΤΚΙ στο πλαίσιο του Ταμείου Ασύλου και Μετανάστευσης·</w:t>
            </w:r>
          </w:p>
          <w:p>
            <w:pPr>
              <w:pStyle w:val="NoSpacing"/>
              <w:numPr>
                <w:ilvl w:val="0"/>
                <w:numId w:val="15"/>
              </w:numPr>
              <w:spacing w:after="120"/>
              <w:jc w:val="both"/>
              <w:rPr>
                <w:rFonts w:ascii="Times New Roman" w:hAnsi="Times New Roman" w:cs="Times New Roman"/>
                <w:noProof/>
              </w:rPr>
            </w:pPr>
            <w:r>
              <w:rPr>
                <w:rFonts w:ascii="Times New Roman" w:hAnsi="Times New Roman"/>
                <w:iCs/>
                <w:noProof/>
              </w:rPr>
              <w:t>στήριξη της έρευνας στον τομέα της υγείας σχετικά με τα ΛΟΑΤΚΙ άτομα, συμπεριλαμβανομένων των τρανς και ίντερσεξ κοινοτήτων, μέσω του προγράμματος «Ορίζων Ευρώπη»</w:t>
            </w:r>
            <w:r>
              <w:rPr>
                <w:rFonts w:ascii="Times New Roman" w:hAnsi="Times New Roman"/>
                <w:noProof/>
              </w:rPr>
              <w:t>.</w:t>
            </w:r>
          </w:p>
        </w:tc>
      </w:tr>
      <w:tr>
        <w:tc>
          <w:tcPr>
            <w:tcW w:w="9060" w:type="dxa"/>
          </w:tcPr>
          <w:p>
            <w:pPr>
              <w:pStyle w:val="NoSpacing"/>
              <w:spacing w:after="120"/>
              <w:jc w:val="both"/>
              <w:rPr>
                <w:rFonts w:ascii="Times New Roman" w:hAnsi="Times New Roman" w:cs="Times New Roman"/>
                <w:b/>
                <w:noProof/>
              </w:rPr>
            </w:pPr>
            <w:r>
              <w:rPr>
                <w:rFonts w:ascii="Times New Roman" w:hAnsi="Times New Roman"/>
                <w:b/>
                <w:noProof/>
              </w:rPr>
              <w:t xml:space="preserve">Η Ευρωπαϊκή Επιτροπή θα στηρίξει τα κράτη μέλη με στόχο: </w:t>
            </w:r>
          </w:p>
          <w:p>
            <w:pPr>
              <w:pStyle w:val="NoSpacing"/>
              <w:numPr>
                <w:ilvl w:val="0"/>
                <w:numId w:val="32"/>
              </w:numPr>
              <w:spacing w:after="120"/>
              <w:jc w:val="both"/>
              <w:rPr>
                <w:rFonts w:ascii="Times New Roman" w:hAnsi="Times New Roman" w:cs="Times New Roman"/>
                <w:noProof/>
              </w:rPr>
            </w:pPr>
            <w:r>
              <w:rPr>
                <w:rFonts w:ascii="Times New Roman" w:hAnsi="Times New Roman"/>
                <w:noProof/>
              </w:rPr>
              <w:t xml:space="preserve">να διασφαλίσουν νομική προστασία έναντι διακρίσεων για λόγους γενετήσιου προσανατολισμού, ταυτότητας/έκφρασης φύλου και χαρακτηριστικών φύλου σε διάφορους τομείς·  </w:t>
            </w:r>
          </w:p>
          <w:p>
            <w:pPr>
              <w:pStyle w:val="NoSpacing"/>
              <w:numPr>
                <w:ilvl w:val="0"/>
                <w:numId w:val="32"/>
              </w:numPr>
              <w:spacing w:after="120"/>
              <w:jc w:val="both"/>
              <w:rPr>
                <w:rFonts w:ascii="Times New Roman" w:hAnsi="Times New Roman" w:cs="Times New Roman"/>
                <w:noProof/>
              </w:rPr>
            </w:pPr>
            <w:r>
              <w:rPr>
                <w:rFonts w:ascii="Times New Roman" w:hAnsi="Times New Roman"/>
                <w:noProof/>
              </w:rPr>
              <w:t>να ενισχύσουν την ασφαλή και χωρίς αποκλεισμούς εκπαίδευση ΛΟΑΤΚΙ παιδιών και νέων·</w:t>
            </w:r>
          </w:p>
          <w:p>
            <w:pPr>
              <w:pStyle w:val="NoSpacing"/>
              <w:numPr>
                <w:ilvl w:val="0"/>
                <w:numId w:val="32"/>
              </w:numPr>
              <w:spacing w:after="120"/>
              <w:jc w:val="both"/>
              <w:rPr>
                <w:rFonts w:ascii="Times New Roman" w:hAnsi="Times New Roman" w:cs="Times New Roman"/>
                <w:noProof/>
              </w:rPr>
            </w:pPr>
            <w:r>
              <w:rPr>
                <w:rFonts w:ascii="Times New Roman" w:hAnsi="Times New Roman"/>
                <w:noProof/>
              </w:rPr>
              <w:t>να αντιμετωπίσουν τις ιδιαίτερες ανάγκες των ΛΟΑΤΚΙ αιτούντων διεθνή προστασία και παράλληλα να διασφαλίσουν ασφαλείς συνθήκες υποδοχής, κράτησης και διαμονής·</w:t>
            </w:r>
          </w:p>
          <w:p>
            <w:pPr>
              <w:pStyle w:val="ListParagraph"/>
              <w:numPr>
                <w:ilvl w:val="0"/>
                <w:numId w:val="32"/>
              </w:numPr>
              <w:spacing w:after="120" w:line="240" w:lineRule="auto"/>
              <w:jc w:val="both"/>
              <w:rPr>
                <w:rFonts w:ascii="Times New Roman" w:hAnsi="Times New Roman" w:cs="Times New Roman"/>
                <w:noProof/>
              </w:rPr>
            </w:pPr>
            <w:r>
              <w:rPr>
                <w:rFonts w:ascii="Times New Roman" w:hAnsi="Times New Roman"/>
                <w:noProof/>
              </w:rPr>
              <w:t>να βελτιώσουν την κατάρτιση των υπευθύνων προστασίας και των διερμηνέων που ασχολούνται με αιτήματα ασύλου ΛΟΑΤΚΙ ατόμων.</w:t>
            </w:r>
          </w:p>
        </w:tc>
      </w:tr>
    </w:tbl>
    <w:p>
      <w:pPr>
        <w:spacing w:line="240" w:lineRule="auto"/>
        <w:rPr>
          <w:rFonts w:ascii="Times New Roman" w:hAnsi="Times New Roman" w:cs="Times New Roman"/>
          <w:b/>
          <w:noProof/>
          <w:sz w:val="24"/>
          <w:szCs w:val="24"/>
        </w:rPr>
      </w:pPr>
    </w:p>
    <w:p>
      <w:pPr>
        <w:rPr>
          <w:rFonts w:ascii="Times New Roman" w:hAnsi="Times New Roman" w:cs="Times New Roman"/>
          <w:b/>
          <w:noProof/>
          <w:sz w:val="24"/>
          <w:szCs w:val="24"/>
        </w:rPr>
      </w:pPr>
      <w:r>
        <w:rPr>
          <w:noProof/>
        </w:rPr>
        <w:br w:type="page"/>
      </w:r>
    </w:p>
    <w:p>
      <w:pPr>
        <w:pStyle w:val="ListParagraph"/>
        <w:numPr>
          <w:ilvl w:val="0"/>
          <w:numId w:val="5"/>
        </w:numPr>
        <w:spacing w:before="240" w:after="240" w:line="240" w:lineRule="auto"/>
        <w:ind w:left="567" w:hanging="56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ΔΙΑΣΦΑΛΙΣΗ ΤΗΣ ΑΣΦΑΛΕΙΑΣ ΤΩΝ ΛΟΑΤΚΙ ΑΤΟΜΩΝ </w:t>
      </w:r>
    </w:p>
    <w:p>
      <w:pPr>
        <w:spacing w:before="240" w:after="240" w:line="240" w:lineRule="auto"/>
        <w:jc w:val="both"/>
        <w:rPr>
          <w:rFonts w:ascii="Times New Roman" w:hAnsi="Times New Roman" w:cs="Times New Roman"/>
          <w:b/>
          <w:noProof/>
          <w:sz w:val="10"/>
          <w:szCs w:val="1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rPr>
          <w:trHeight w:val="2093"/>
        </w:trPr>
        <w:tc>
          <w:tcPr>
            <w:tcW w:w="1488" w:type="dxa"/>
          </w:tcPr>
          <w:p>
            <w:pPr>
              <w:ind w:left="-142" w:firstLine="142"/>
              <w:rPr>
                <w:rFonts w:ascii="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17" name="Picture 1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circ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rPr>
            </w:pPr>
            <w:r>
              <w:rPr>
                <w:rFonts w:ascii="Times New Roman" w:hAnsi="Times New Roman"/>
                <w:iCs/>
                <w:noProof/>
                <w:sz w:val="16"/>
                <w:szCs w:val="16"/>
              </w:rPr>
              <w:t xml:space="preserve">Το </w:t>
            </w:r>
            <w:r>
              <w:rPr>
                <w:rFonts w:ascii="Times New Roman" w:hAnsi="Times New Roman"/>
                <w:b/>
                <w:iCs/>
                <w:noProof/>
                <w:sz w:val="16"/>
                <w:szCs w:val="16"/>
              </w:rPr>
              <w:t>38 %</w:t>
            </w:r>
            <w:r>
              <w:rPr>
                <w:rFonts w:ascii="Times New Roman" w:hAnsi="Times New Roman"/>
                <w:iCs/>
                <w:noProof/>
                <w:sz w:val="16"/>
                <w:szCs w:val="16"/>
              </w:rPr>
              <w:t xml:space="preserve"> των ΛΟΑΤΙ ατόμων έχουν βιώσει </w:t>
            </w:r>
            <w:r>
              <w:rPr>
                <w:rFonts w:ascii="Times New Roman" w:hAnsi="Times New Roman"/>
                <w:b/>
                <w:iCs/>
                <w:noProof/>
                <w:sz w:val="16"/>
                <w:szCs w:val="16"/>
              </w:rPr>
              <w:t>παρενόχληση υποκινούμενη από μίσος</w:t>
            </w:r>
            <w:r>
              <w:rPr>
                <w:rFonts w:ascii="Times New Roman" w:hAnsi="Times New Roman"/>
                <w:iCs/>
                <w:noProof/>
                <w:sz w:val="16"/>
                <w:szCs w:val="16"/>
              </w:rPr>
              <w:t xml:space="preserve"> επειδή είναι ΛΟΑΤΙ κατά το διάστημα των 12 μηνών που προηγήθηκαν της έρευνας.</w:t>
            </w:r>
            <w:r>
              <w:rPr>
                <w:rFonts w:ascii="Times New Roman" w:hAnsi="Times New Roman"/>
                <w:noProof/>
                <w:sz w:val="16"/>
                <w:szCs w:val="16"/>
              </w:rPr>
              <w:t xml:space="preserve"> </w:t>
            </w:r>
          </w:p>
        </w:tc>
        <w:tc>
          <w:tcPr>
            <w:tcW w:w="1488" w:type="dxa"/>
          </w:tcPr>
          <w:p>
            <w:pPr>
              <w:rPr>
                <w:rFonts w:ascii="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rPr>
            </w:pPr>
            <w:r>
              <w:rPr>
                <w:rFonts w:ascii="Times New Roman" w:hAnsi="Times New Roman"/>
                <w:iCs/>
                <w:noProof/>
                <w:sz w:val="16"/>
                <w:szCs w:val="16"/>
              </w:rPr>
              <w:t xml:space="preserve">Το </w:t>
            </w:r>
            <w:r>
              <w:rPr>
                <w:rFonts w:ascii="Times New Roman" w:hAnsi="Times New Roman"/>
                <w:b/>
                <w:iCs/>
                <w:noProof/>
                <w:sz w:val="16"/>
                <w:szCs w:val="16"/>
              </w:rPr>
              <w:t>22 %</w:t>
            </w:r>
            <w:r>
              <w:rPr>
                <w:rFonts w:ascii="Times New Roman" w:hAnsi="Times New Roman"/>
                <w:iCs/>
                <w:noProof/>
                <w:sz w:val="16"/>
                <w:szCs w:val="16"/>
              </w:rPr>
              <w:t xml:space="preserve"> των ίντερσεξ ατόμων έχουν υποστεί </w:t>
            </w:r>
            <w:r>
              <w:rPr>
                <w:rFonts w:ascii="Times New Roman" w:hAnsi="Times New Roman"/>
                <w:b/>
                <w:iCs/>
                <w:noProof/>
                <w:sz w:val="16"/>
                <w:szCs w:val="16"/>
              </w:rPr>
              <w:t>σωματική και/ή σεξουαλική επίθεση</w:t>
            </w:r>
            <w:r>
              <w:rPr>
                <w:rFonts w:ascii="Times New Roman" w:hAnsi="Times New Roman"/>
                <w:iCs/>
                <w:noProof/>
                <w:sz w:val="16"/>
                <w:szCs w:val="16"/>
              </w:rPr>
              <w:t xml:space="preserve"> επειδή είναι ίντερσεξ κατά τα τελευταία 5 έτη.</w:t>
            </w:r>
            <w:r>
              <w:rPr>
                <w:rFonts w:ascii="Times New Roman" w:hAnsi="Times New Roman"/>
                <w:noProof/>
                <w:sz w:val="16"/>
                <w:szCs w:val="16"/>
              </w:rPr>
              <w:t xml:space="preserve"> </w:t>
            </w:r>
          </w:p>
        </w:tc>
        <w:tc>
          <w:tcPr>
            <w:tcW w:w="1488" w:type="dxa"/>
          </w:tcPr>
          <w:p>
            <w:pPr>
              <w:ind w:right="-678"/>
              <w:rPr>
                <w:rFonts w:ascii="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rPr>
            </w:pPr>
            <w:r>
              <w:rPr>
                <w:rFonts w:ascii="Times New Roman" w:hAnsi="Times New Roman"/>
                <w:b/>
                <w:bCs/>
                <w:iCs/>
                <w:noProof/>
                <w:sz w:val="16"/>
                <w:szCs w:val="16"/>
              </w:rPr>
              <w:t>Μόλις 21 %</w:t>
            </w:r>
            <w:r>
              <w:rPr>
                <w:rFonts w:ascii="Times New Roman" w:hAnsi="Times New Roman"/>
                <w:bCs/>
                <w:iCs/>
                <w:noProof/>
                <w:sz w:val="16"/>
                <w:szCs w:val="16"/>
              </w:rPr>
              <w:t xml:space="preserve"> των ΛΟΑΤΙ θυμάτων </w:t>
            </w:r>
            <w:r>
              <w:rPr>
                <w:rFonts w:ascii="Times New Roman" w:hAnsi="Times New Roman"/>
                <w:b/>
                <w:bCs/>
                <w:iCs/>
                <w:noProof/>
                <w:sz w:val="16"/>
                <w:szCs w:val="16"/>
              </w:rPr>
              <w:t>υποκινούμενης από μίσος σωματικής ή σεξουαλικής βίας</w:t>
            </w:r>
            <w:r>
              <w:rPr>
                <w:rFonts w:ascii="Times New Roman" w:hAnsi="Times New Roman"/>
                <w:bCs/>
                <w:iCs/>
                <w:noProof/>
                <w:sz w:val="16"/>
                <w:szCs w:val="16"/>
              </w:rPr>
              <w:t xml:space="preserve"> κατά τα τελευταία 5 έτη </w:t>
            </w:r>
            <w:r>
              <w:rPr>
                <w:rFonts w:ascii="Times New Roman" w:hAnsi="Times New Roman"/>
                <w:b/>
                <w:bCs/>
                <w:iCs/>
                <w:noProof/>
                <w:sz w:val="16"/>
                <w:szCs w:val="16"/>
              </w:rPr>
              <w:t>κατέθεσαν καταγγελία</w:t>
            </w:r>
            <w:r>
              <w:rPr>
                <w:rFonts w:ascii="Times New Roman" w:hAnsi="Times New Roman"/>
                <w:bCs/>
                <w:iCs/>
                <w:noProof/>
                <w:sz w:val="16"/>
                <w:szCs w:val="16"/>
              </w:rPr>
              <w:t xml:space="preserve"> σε κάποιον οργανισμό, συμπεριλαμβανομένων της αστυνομίας και των φορέων ισότητας</w:t>
            </w:r>
            <w:r>
              <w:rPr>
                <w:rFonts w:ascii="Times New Roman" w:hAnsi="Times New Roman"/>
                <w:iCs/>
                <w:noProof/>
                <w:sz w:val="16"/>
                <w:szCs w:val="16"/>
              </w:rPr>
              <w:t>.</w:t>
            </w:r>
            <w:r>
              <w:rPr>
                <w:rFonts w:ascii="Times New Roman" w:hAnsi="Times New Roman"/>
                <w:noProof/>
                <w:sz w:val="16"/>
                <w:szCs w:val="16"/>
              </w:rPr>
              <w:t xml:space="preserve"> </w:t>
            </w:r>
          </w:p>
        </w:tc>
      </w:tr>
    </w:tbl>
    <w:p>
      <w:pPr>
        <w:spacing w:after="240" w:line="240" w:lineRule="auto"/>
        <w:contextualSpacing/>
        <w:jc w:val="both"/>
        <w:rPr>
          <w:rFonts w:ascii="Times New Roman" w:hAnsi="Times New Roman" w:cs="Times New Roman"/>
          <w:noProof/>
          <w:sz w:val="24"/>
          <w:szCs w:val="24"/>
        </w:rPr>
      </w:pPr>
    </w:p>
    <w:p>
      <w:pPr>
        <w:spacing w:after="240" w:line="240" w:lineRule="auto"/>
        <w:contextualSpacing/>
        <w:jc w:val="both"/>
        <w:rPr>
          <w:rFonts w:ascii="Times New Roman" w:hAnsi="Times New Roman" w:cs="Times New Roman"/>
          <w:noProof/>
          <w:sz w:val="24"/>
          <w:szCs w:val="24"/>
        </w:rPr>
      </w:pPr>
      <w:r>
        <w:rPr>
          <w:rFonts w:ascii="Times New Roman" w:hAnsi="Times New Roman"/>
          <w:noProof/>
          <w:sz w:val="24"/>
          <w:szCs w:val="24"/>
        </w:rPr>
        <w:t>Όλοι έχουν δικαίωμα στην ασφάλεια, είτε στον χώρο του σπιτιού, στον δημόσιο χώρο ή στο διαδίκτυο. Τα ΛΟΑΤΚΙ άτομα πλήττονται δυσανάλογα από εγκλήματα μίσους, ρητορική μίσους και βία</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Για την καταπολέμηση της ρητορικής μίσους στο διαδίκτυο, το 2016 η Επιτροπή κατέληξε σε συμφωνία με εταιρείες ΤΠ σχετικά με έναν εθελοντικό κώδικα δεοντολογίας</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Από τις αξιολογήσεις της εφαρμογής του κώδικα δεοντολογίας προκύπτει ότι ο γενετήσιος προσανατολισμός είναι ο πιο συχνά αναφερόμενος λόγος της ρητορικής μίσους (33,1 %)</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Η κρίση της νόσου COVID-19 οδήγησε σε ακόμη υψηλότερα επίπεδα μίσους, βίας και διακρίσεων κατά ΛΟΑΤΚΙ ατόμων και στην πόλωση της κοινωνίας στο σύνολό της</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pStyle w:val="footnotetext0"/>
        <w:spacing w:before="0" w:beforeAutospacing="0" w:after="240" w:afterAutospacing="0"/>
        <w:jc w:val="both"/>
        <w:rPr>
          <w:noProof/>
        </w:rPr>
      </w:pPr>
      <w:r>
        <w:rPr>
          <w:noProof/>
        </w:rPr>
        <w:t>Ταυτόχρονα, η πλημμελής καταγγελία εγκλημάτων μίσους στην αστυνομία ή άλλους οργανισμούς εξακολουθεί να αποτελεί σοβαρό πρόβλημα, το οποίο απορρέει από την έλλειψη εμπιστοσύνης στην επιβολή του νόμου, την ανησυχία για φοβικές αντιδράσεις κατά ΛΟΑΤΚΙ</w:t>
      </w:r>
      <w:r>
        <w:rPr>
          <w:rStyle w:val="FootnoteReference"/>
          <w:noProof/>
          <w:lang w:val="en-GB"/>
        </w:rPr>
        <w:footnoteReference w:id="50"/>
      </w:r>
      <w:r>
        <w:rPr>
          <w:noProof/>
        </w:rPr>
        <w:t xml:space="preserve"> ή ενοχοποίηση των θυμάτων, προηγούμενες αρνητικές εμπειρίες κατά την επαφή με την αστυνομία ή επειδή δεν προσδοκάται αντίδραση από αυτήν.</w:t>
      </w:r>
    </w:p>
    <w:p>
      <w:pPr>
        <w:spacing w:after="120" w:line="240" w:lineRule="auto"/>
        <w:ind w:right="-3"/>
        <w:jc w:val="both"/>
        <w:rPr>
          <w:rFonts w:ascii="Times New Roman" w:hAnsi="Times New Roman" w:cs="Times New Roman"/>
          <w:noProof/>
          <w:sz w:val="24"/>
          <w:szCs w:val="24"/>
        </w:rPr>
      </w:pPr>
      <w:r>
        <w:rPr>
          <w:rFonts w:ascii="Times New Roman" w:hAnsi="Times New Roman"/>
          <w:noProof/>
          <w:sz w:val="24"/>
          <w:szCs w:val="24"/>
        </w:rPr>
        <w:t>Οι υπερασπιστές δικαιωμάτων δέχονται απειλές και οι ειρηνικές πορείες αντιμετωπίζονται με μίσος.</w:t>
      </w:r>
      <w:r>
        <w:rPr>
          <w:rStyle w:val="FootnoteReference"/>
          <w:rFonts w:ascii="Times New Roman" w:hAnsi="Times New Roman"/>
          <w:noProof/>
          <w:sz w:val="24"/>
          <w:szCs w:val="24"/>
        </w:rPr>
        <w:t xml:space="preserve"> </w:t>
      </w:r>
      <w:r>
        <w:rPr>
          <w:rFonts w:ascii="Times New Roman" w:hAnsi="Times New Roman"/>
          <w:noProof/>
          <w:sz w:val="24"/>
          <w:szCs w:val="24"/>
        </w:rPr>
        <w:t>Πολύ συχνά, τα ΛΟΑΤΚΙ άτομα εξυβρίζονται και χρησιμοποιούνται ως εξιλαστήρια θύματα στον πολιτικό διάλογο, μεταξύ άλλων κατά τη διάρκεια εκλογικών εκστρατειών. Ψηφίσματα για «περιοχές απαλλαγμένες από ΛΟΑΤ» στοχεύουν στη στέρηση των θεμελιωδών δικαιωμάτων και ελευθεριών της κοινότητας ΛΟΑΤΚΙ. Ο χαρακτηρισμός των ΛΟΑΤΚΙ ως «ιδεολογία» εξαπλώνεται στη διαδικτυακή και μη επικοινωνία</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και το ίδιο ισχύει όσον αφορά την υπό εξέλιξη εκστρατεία κατά της αποκαλούμενης «ιδεολογίας της κοινωνικού φύλου». Οι «περιοχές απαλλαγμένες από ΛΟΑΤΚΙ» είναι περιοχές απαλλαγμένες από την ανθρωπιά και δεν έχουν θέση στην Ένωσή μας.</w:t>
      </w:r>
    </w:p>
    <w:p>
      <w:pPr>
        <w:spacing w:before="24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 xml:space="preserve">Ενίσχυση </w:t>
      </w:r>
      <w:r>
        <w:rPr>
          <w:rFonts w:ascii="Times New Roman" w:hAnsi="Times New Roman"/>
          <w:b/>
          <w:noProof/>
          <w:sz w:val="24"/>
          <w:szCs w:val="24"/>
        </w:rPr>
        <w:t>της νομικής προστασίας των ΛΟΑΤΚΙ ατόμων έναντι εγκλημάτων μίσους, ρητορικής μίσους και βίας</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νομική προστασία έναντι εγκλημάτων μίσους και ρητορικής μίσους κατά ΛΟΑΤΚΙ παρουσιάζει σημαντικές διαφοροποιήσεις μεταξύ των κρατών μελών</w:t>
      </w:r>
      <w:r>
        <w:rPr>
          <w:rStyle w:val="FootnoteReference"/>
          <w:noProof/>
        </w:rPr>
        <w:footnoteReference w:id="52"/>
      </w:r>
      <w:r>
        <w:rPr>
          <w:rFonts w:ascii="Times New Roman" w:hAnsi="Times New Roman"/>
          <w:noProof/>
          <w:sz w:val="24"/>
          <w:szCs w:val="24"/>
        </w:rPr>
        <w:t>. Μέσω της ομάδας υψηλού επιπέδου της ΕΕ για την καταπολέμηση του ρατσισμού, της ξενοφοβίας και άλλων μορφών μισαλλοδοξίας, η Επιτροπή θα οργανώσει στοχευμένες συζητήσεις με τις εθνικές αρχές και την κοινωνία των πολιτών, με στόχο την ανταλλαγή βέλτιστων πρακτικών όσον αφορά την εφαρμογή της εθνικής νομοθεσίας στους εν λόγω τομείς.</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Σε ευρωπαϊκό επίπεδο, αν και η ΕΕ έχει θεσπίσει νομοθεσία που ποινικοποιεί το έγκλημα μίσους και τη ρητορική μίσους που βασίζονται στον ρατσισμό και την ξενοφοβία</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δεν υφίστανται ειδικές κυρώσεις σε επίπεδο ΕΕ για τη ρητορική και το έγκλημα μίσους κατά ΛΟΑΤΚΙ. Στο πλαίσιο ενός πρώτου σημαντικού βήματος, </w:t>
      </w:r>
      <w:r>
        <w:rPr>
          <w:rFonts w:ascii="Times New Roman" w:hAnsi="Times New Roman"/>
          <w:bCs/>
          <w:iCs/>
          <w:noProof/>
          <w:sz w:val="24"/>
          <w:szCs w:val="24"/>
        </w:rPr>
        <w:t>το 2021 η Επιτροπή θα παρουσιάσει πρωτοβουλία για την επέκταση του καταλόγου των «εγκλημάτων της ΕΕ» βάσει του άρθρου 83 παράγραφος 1 της Συνθήκης για τη λειτουργία της Ευρωπαϊκής Ένωσης (στο εξής: ΣΛΕΕ), προκειμένου να καλύπτει τα εγκλήματα μίσους και τη ρητορική μίσους, όταν, μεταξύ άλλων, στοχοποιούν ΛΟΑΤΚΙ άτομα.</w:t>
      </w:r>
    </w:p>
    <w:p>
      <w:pPr>
        <w:spacing w:after="240" w:line="240" w:lineRule="auto"/>
        <w:jc w:val="both"/>
        <w:rPr>
          <w:rFonts w:ascii="Times New Roman" w:hAnsi="Times New Roman" w:cs="Times New Roman"/>
          <w:bCs/>
          <w:iCs/>
          <w:noProof/>
          <w:sz w:val="24"/>
          <w:szCs w:val="24"/>
        </w:rPr>
      </w:pPr>
      <w:r>
        <w:rPr>
          <w:rFonts w:ascii="Times New Roman" w:hAnsi="Times New Roman"/>
          <w:noProof/>
          <w:sz w:val="24"/>
          <w:szCs w:val="24"/>
        </w:rPr>
        <w:t>Η Επιτροπή θα λάβει επίσης μέτρα για την αντιμετώπιση της βίας με βάση το φύλο, όπως ανακοινώθηκε στη στρατηγική για την ισότητα των φύλων. Το πρόγραμμα «Πολίτες, ισότητα, δικαιώματα και αξίες» αναμένεται να χρηματοδοτήσει έργα που στοχεύουν στην πρόληψη και την καταπολέμηση εγκλημάτων μίσους, ρητορικής μίσους και βίας κατά ΛΟΑΤΚΙ, ενώ το πρόγραμμα «Δικαιοσύνη» θα παράσχει ευκαιρίες χρηματοδότησης για την προαγωγή των δικαιωμάτων των θυμάτων εγκλημάτων, συμπεριλαμβανομένων των ΛΟΑΤΚΙ ατόμων.</w:t>
      </w:r>
    </w:p>
    <w:p>
      <w:pPr>
        <w:spacing w:before="24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2.2 </w:t>
      </w:r>
      <w:r>
        <w:rPr>
          <w:noProof/>
        </w:rPr>
        <w:tab/>
      </w:r>
      <w:r>
        <w:rPr>
          <w:rFonts w:ascii="Times New Roman" w:hAnsi="Times New Roman"/>
          <w:b/>
          <w:noProof/>
          <w:sz w:val="24"/>
          <w:szCs w:val="24"/>
        </w:rPr>
        <w:t xml:space="preserve">Ενίσχυση των μέτρων για την καταπολέμηση της ρητορικής μίσους κατά ΛΟΑΤΚΙ στο διαδίκτυο και της παραπληροφόρησης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θα προτείνει νόμο για τις ψηφιακές υπηρεσίες πριν από το τέλος του 2020. Αν και η πρόταση δεν θα ορίζει τι θεωρείται παράνομη ρητορική, θα στοχεύει στην αποτελεσματικότερη αντιμετώπιση όλων των ειδών παράνομου περιεχομένου που φιλοξενείται σε διάφορους τύπους πλατφορμών, με παράλληλη διασφάλιση του σεβασμού των θεμελιωδών δικαιωμάτων, συμπεριλαμβανομένης της ελευθερίας έκφρασης. Η Επιτροπή θα επεκτείνει επίσης </w:t>
      </w:r>
      <w:r>
        <w:rPr>
          <w:rFonts w:ascii="Times New Roman" w:hAnsi="Times New Roman"/>
          <w:bCs/>
          <w:noProof/>
          <w:sz w:val="24"/>
          <w:szCs w:val="24"/>
        </w:rPr>
        <w:t>τη δέσμευση και τη συνεργασία της με εταιρείες</w:t>
      </w:r>
      <w:r>
        <w:rPr>
          <w:rFonts w:ascii="Times New Roman" w:hAnsi="Times New Roman"/>
          <w:noProof/>
          <w:sz w:val="24"/>
          <w:szCs w:val="24"/>
        </w:rPr>
        <w:t xml:space="preserve"> και πλατφόρμες ΤΠ, μεταξύ άλλων στο πλαίσιο της εφαρμογής του κώδικα δεοντολογίας.</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θα διασφαλίσει την ορθή μεταφορά στο εθνικό δίκαιο και την αυστηρή εφαρμογή της αναθεωρημένης </w:t>
      </w:r>
      <w:r>
        <w:rPr>
          <w:rFonts w:ascii="Times New Roman" w:hAnsi="Times New Roman"/>
          <w:bCs/>
          <w:noProof/>
          <w:sz w:val="24"/>
          <w:szCs w:val="24"/>
        </w:rPr>
        <w:t xml:space="preserve">οδηγίας για τις υπηρεσίες οπτικοακουστικών μέσων, η οποία ενισχύει την προστασία κατά περιεχομένου που προτρέπει σε μίσος ή βία και απαγορεύει οπτικοακουστικές εμπορικές ανακοινώσεις οι οποίες περιλαμβάνουν ή προωθούν οποιαδήποτε διάκριση, συμπεριλαμβανομένων των διακρίσεων για λόγους φύλου και γενετήσιου προσανατολισμού. Το 2020 </w:t>
      </w:r>
      <w:r>
        <w:rPr>
          <w:rFonts w:ascii="Times New Roman" w:hAnsi="Times New Roman"/>
          <w:noProof/>
          <w:sz w:val="24"/>
          <w:szCs w:val="24"/>
        </w:rPr>
        <w:t xml:space="preserve">η Επιτροπή θα θεσπίσει ένα ευρωπαϊκό σχέδιο δράσης για τη δημοκρατία, προκειμένου να αντιμετωπίσει βασικές προκλήσεις, όπως η καταπολέμηση της παραπληροφόρησης, η προστασία από εξωτερικές παρεμβάσεις και χειραγώγηση των εκλογών, η ελευθερία και η πολυφωνία στα μέσα ενημέρωσης. </w:t>
      </w:r>
    </w:p>
    <w:p>
      <w:pPr>
        <w:spacing w:before="24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2.3 </w:t>
      </w:r>
      <w:r>
        <w:rPr>
          <w:noProof/>
        </w:rPr>
        <w:tab/>
      </w:r>
      <w:r>
        <w:rPr>
          <w:rFonts w:ascii="Times New Roman" w:hAnsi="Times New Roman"/>
          <w:b/>
          <w:noProof/>
          <w:sz w:val="24"/>
          <w:szCs w:val="24"/>
        </w:rPr>
        <w:t>Καταγγελία των εγκλημάτων μίσους κατά ΛΟΑΤΚΙ και ανταλλαγή ορθών πρακτικών</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θα εξακολουθήσει να προωθεί ένα ασφαλές περιβάλλον εντός του οποίου τα ΛΟΑΤΚΙ θύματα θα μπορούν να καταγγέλλουν εγκλήματα, καθώς και την καλύτερη προστασία και στήριξη των θυμάτων έμφυλης βίας, ενδοοικογενειακής βίας και εγκλημάτων μίσους κατά ΛΟΑΤΚΙ. Στο πλαίσιο της </w:t>
      </w:r>
      <w:r>
        <w:rPr>
          <w:rFonts w:ascii="Times New Roman" w:hAnsi="Times New Roman"/>
          <w:bCs/>
          <w:noProof/>
          <w:sz w:val="24"/>
          <w:szCs w:val="24"/>
        </w:rPr>
        <w:t>στρατηγικής της ΕΕ για τα δικαιώματα των θυμάτων (2020-2025)</w:t>
      </w:r>
      <w:r>
        <w:rPr>
          <w:rStyle w:val="FootnoteReference"/>
          <w:rFonts w:ascii="Times New Roman" w:hAnsi="Times New Roman" w:cs="Times New Roman"/>
          <w:noProof/>
          <w:sz w:val="24"/>
          <w:szCs w:val="24"/>
        </w:rPr>
        <w:footnoteReference w:id="54"/>
      </w:r>
      <w:r>
        <w:rPr>
          <w:rFonts w:ascii="Times New Roman" w:hAnsi="Times New Roman"/>
          <w:bCs/>
          <w:noProof/>
          <w:sz w:val="24"/>
          <w:szCs w:val="24"/>
        </w:rPr>
        <w:t xml:space="preserve">, </w:t>
      </w:r>
      <w:r>
        <w:rPr>
          <w:rFonts w:ascii="Times New Roman" w:hAnsi="Times New Roman"/>
          <w:noProof/>
          <w:sz w:val="24"/>
          <w:szCs w:val="24"/>
        </w:rPr>
        <w:t>θα βοηθήσει τα κράτη μέλη να διασφαλίσουν ότι οι υπηρεσίες στήριξης θυμάτων, συμπεριλαμβανομένων των ασφαλών χώρων φιλοξενίας, είναι διαθέσιμες και προσβάσιμες σε ΛΟΑΤΚΙ άτομα. Η Επιτροπή θα προωθήσει επίσης την ολοκληρωμένη και στοχευμένη στήριξη των θυμάτων με ειδικές ανάγκες, συμπεριλαμβανομένων των ΛΟΑΤΚΙ θυμάτων εγκλημάτων μίσους, μέσω των δυνατοτήτων χρηματοδότησης της ΕΕ.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συνεχίσει να συνεργάζεται με τα κράτη μέλη για να εξασφαλίσει την πλήρη και ορθή εφαρμογή της οδηγίας για τα δικαιώματα των θυμάτων, σε συνέχεια της έκθεσης υλοποίησης του Μαΐου του 2020</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Η Επιτροπή θα αυξήσει την ευαισθητοποίηση σχετικά με τα δικαιώματα των θυμάτων μέσω μιας πανευρωπαϊκής εκστρατείας επικοινωνίας και θα διευκολύνει την ανταλλαγή ορθών πρακτικών (όπως η σύσταση «γραφείων του ουράνιου τόξου» σε τοπικά αστυνομικά τμήματα</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Μέσω στενότερης </w:t>
      </w:r>
      <w:r>
        <w:rPr>
          <w:rFonts w:ascii="Times New Roman" w:hAnsi="Times New Roman"/>
          <w:bCs/>
          <w:noProof/>
          <w:sz w:val="24"/>
          <w:szCs w:val="24"/>
        </w:rPr>
        <w:t>συνεργασίας με τον οργανισμό της ΕΕ για την κατάρτιση στον τομέα της επιβολής του νόμου (CEPOL) και με το Συμβούλιο της Ευρώπης, τα κράτη μέλη και την κοινωνία των πολιτών, στο πλαίσιο</w:t>
      </w:r>
      <w:r>
        <w:rPr>
          <w:rFonts w:ascii="Times New Roman" w:hAnsi="Times New Roman"/>
          <w:noProof/>
          <w:sz w:val="24"/>
          <w:szCs w:val="24"/>
        </w:rPr>
        <w:t xml:space="preserve"> μιας νέας ομάδας εργασίας για την κατάρτιση σε θέματα εγκλημάτων μίσους και την ανάπτυξη ικανοτήτων για την επιβολή του νόμου, η Επιτροπή θα στηρίξει την κατάρτιση προκειμένου να βοηθήσει το προσωπικό επιβολής του νόμου στον εντοπισμό και την καταγραφή φοβικών προκαταλήψεων κατά ΛΟΑΤΚΙ, και να αυξήσει την καταγγελία εγκλημάτων.</w:t>
      </w:r>
    </w:p>
    <w:p>
      <w:pPr>
        <w:pStyle w:val="ListParagraph"/>
        <w:numPr>
          <w:ilvl w:val="1"/>
          <w:numId w:val="5"/>
        </w:numPr>
        <w:spacing w:after="240" w:line="240" w:lineRule="auto"/>
        <w:ind w:left="709" w:hanging="709"/>
        <w:jc w:val="both"/>
        <w:rPr>
          <w:rFonts w:ascii="Times New Roman" w:hAnsi="Times New Roman" w:cs="Times New Roman"/>
          <w:b/>
          <w:noProof/>
          <w:sz w:val="24"/>
          <w:szCs w:val="24"/>
        </w:rPr>
      </w:pPr>
      <w:r>
        <w:rPr>
          <w:rFonts w:ascii="Times New Roman" w:hAnsi="Times New Roman"/>
          <w:b/>
          <w:noProof/>
          <w:sz w:val="24"/>
          <w:szCs w:val="24"/>
        </w:rPr>
        <w:t>Προστασία και προαγωγή της σωματικής και ψυχικής υγείας των ΛΟΑΤΚΙ ατόμων</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Επιβλαβείς πρακτικές, όπως οι εγχειρήσεις που δεν είναι ζωτικής σημασίας ή η ιατρική επέμβαση σε ίντερσεξ βρέφη και έφηβους χωρίς την προσωπική και εν πλήρη γνώσει συγκατάθεσή τους (ακρωτηριασμός γεννητικών οργάνων ίντερσεξ ατόμων)</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η αναγκαστική ιατρικοποίηση των τρανς και οι πρακτικές μετατροπής που στοχοποιούν ΛΟΑΤΚΙ άτομα</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ενδέχεται να έχουν σοβαρές επιπτώσεις στη σωματική και ψυχική υγεία. Η Επιτροπή θα ενισχύσει την ανταλλαγή ορθών πρακτικών μεταξύ των κρατών μελών με στόχο τον τερματισμό των εν λόγω πρακτικών. Η αναγκαστική άμβλωση και η αναγκαστική στείρωση και άλλες επιβλαβείς πρακτικές κατά των γυναικών και των κοριτσιών αποτελούν μορφές έμφυλης βίας και σοβαρές παραβιάσεις των δικαιωμάτων των γυναικών και των παιδιών. Επίσης, η Επιτροπή θα συμπεριλάβει μια διατομεακή οπτική στη σύσταση σχετικά με τις επιβλαβείς πρακτικές κατά των γυναικών και των κοριτσιών που ανακοινώθηκε στη στρατηγική για την ισότητα των φύλων 2020-2025.</w:t>
      </w:r>
    </w:p>
    <w:tbl>
      <w:tblPr>
        <w:tblStyle w:val="TableGrid"/>
        <w:tblW w:w="0" w:type="auto"/>
        <w:tblLook w:val="04A0" w:firstRow="1" w:lastRow="0" w:firstColumn="1" w:lastColumn="0" w:noHBand="0" w:noVBand="1"/>
      </w:tblPr>
      <w:tblGrid>
        <w:gridCol w:w="9060"/>
      </w:tblGrid>
      <w:tr>
        <w:tc>
          <w:tcPr>
            <w:tcW w:w="9060" w:type="dxa"/>
          </w:tcPr>
          <w:p>
            <w:pPr>
              <w:pStyle w:val="NoSpacing"/>
              <w:spacing w:after="120"/>
              <w:jc w:val="both"/>
              <w:rPr>
                <w:rFonts w:ascii="Times New Roman" w:hAnsi="Times New Roman" w:cs="Times New Roman"/>
                <w:b/>
                <w:noProof/>
              </w:rPr>
            </w:pPr>
            <w:r>
              <w:rPr>
                <w:rFonts w:ascii="Times New Roman" w:hAnsi="Times New Roman"/>
                <w:b/>
                <w:noProof/>
              </w:rPr>
              <w:t xml:space="preserve">Βασικές δράσεις της Ευρωπαϊκής Επιτροπής:  </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rPr>
            </w:pPr>
            <w:r>
              <w:rPr>
                <w:rFonts w:ascii="Times New Roman" w:hAnsi="Times New Roman"/>
                <w:bCs/>
                <w:iCs/>
                <w:noProof/>
              </w:rPr>
              <w:t>παρουσίαση πρωτοβουλίας το 2021 για τη διεύρυνση του καταλόγου των «εγκλημάτων της ΕΕ» (άρθρο 83 της ΣΛΕΕ), ώστε να καλύπτει τα εγκλήματα μίσους και τη ρητορική μίσους, όταν, μεταξύ άλλων, στοχοποιούν ΛΟΑΤΚΙ άτομα·</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rPr>
            </w:pPr>
            <w:r>
              <w:rPr>
                <w:rFonts w:ascii="Times New Roman" w:hAnsi="Times New Roman"/>
                <w:noProof/>
              </w:rPr>
              <w:t>παροχή ευκαιριών χρηματοδότησης σε πρωτοβουλίες που στοχεύουν στην καταπολέμηση των εγκλημάτων μίσους, της ρητορικής μίσους, της βίας και των επιβλαβών πρακτικών κατά ΛΟΑΤΚΙ ατόμων (πρόγραμμα «Πολίτες, ισότητα, δικαιώματα και αξίες») και προώθηση των δικαιωμάτων των θυμάτων εγκλημάτων, συμπεριλαμβανομένων των ΛΟΑΤΚΙ ατόμων (πρόγραμμα «Δικαιοσύνη»)</w:t>
            </w:r>
            <w:r>
              <w:rPr>
                <w:rFonts w:ascii="Times New Roman" w:hAnsi="Times New Roman"/>
                <w:noProof/>
                <w:sz w:val="24"/>
                <w:szCs w:val="24"/>
              </w:rPr>
              <w:t>·</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rPr>
            </w:pPr>
            <w:r>
              <w:rPr>
                <w:rFonts w:ascii="Times New Roman" w:hAnsi="Times New Roman"/>
                <w:noProof/>
              </w:rPr>
              <w:t>υποβολή σύστασης σχετικά με την πρόληψη επιβλαβών πρακτικών κατά των γυναικών και των κοριτσιών.</w:t>
            </w:r>
          </w:p>
        </w:tc>
      </w:tr>
      <w:tr>
        <w:tc>
          <w:tcPr>
            <w:tcW w:w="9060" w:type="dxa"/>
          </w:tcPr>
          <w:p>
            <w:pPr>
              <w:pStyle w:val="NoSpacing"/>
              <w:spacing w:after="120"/>
              <w:jc w:val="both"/>
              <w:rPr>
                <w:rFonts w:ascii="Times New Roman" w:hAnsi="Times New Roman" w:cs="Times New Roman"/>
                <w:b/>
                <w:noProof/>
              </w:rPr>
            </w:pPr>
            <w:r>
              <w:rPr>
                <w:rFonts w:ascii="Times New Roman" w:hAnsi="Times New Roman"/>
                <w:b/>
                <w:noProof/>
              </w:rPr>
              <w:t xml:space="preserve">Η Ευρωπαϊκή Επιτροπή θα στηρίξει τα κράτη μέλη με στόχο: </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rPr>
            </w:pPr>
            <w:r>
              <w:rPr>
                <w:rFonts w:ascii="Times New Roman" w:hAnsi="Times New Roman"/>
                <w:noProof/>
              </w:rPr>
              <w:t xml:space="preserve">να ανταλλάσσουν βέλτιστες πρακτικές σχετικά με την προστασία κατά της ρητορικής μίσους και των εγκλημάτων μίσους εναντίον ΛΟΑΤΚΙ ατόμων·  </w:t>
            </w:r>
          </w:p>
          <w:p>
            <w:pPr>
              <w:pStyle w:val="ListParagraph"/>
              <w:numPr>
                <w:ilvl w:val="0"/>
                <w:numId w:val="16"/>
              </w:numPr>
              <w:spacing w:after="120" w:line="240" w:lineRule="auto"/>
              <w:ind w:left="284" w:hanging="284"/>
              <w:contextualSpacing w:val="0"/>
              <w:jc w:val="both"/>
              <w:rPr>
                <w:rFonts w:ascii="Times New Roman" w:hAnsi="Times New Roman" w:cs="Times New Roman"/>
                <w:bCs/>
                <w:iCs/>
                <w:noProof/>
              </w:rPr>
            </w:pPr>
            <w:r>
              <w:rPr>
                <w:rFonts w:ascii="Times New Roman" w:hAnsi="Times New Roman"/>
                <w:noProof/>
              </w:rPr>
              <w:t>να προωθήσουν τη διαμόρφωση ασφαλούς και υποστηρικτικού περιβάλλοντος για ΛΟΑΤΚΙ που υπήρξαν θύματα εγκλημάτων·</w:t>
            </w:r>
            <w:r>
              <w:rPr>
                <w:rFonts w:ascii="Times New Roman" w:hAnsi="Times New Roman"/>
                <w:bCs/>
                <w:iCs/>
                <w:noProof/>
              </w:rPr>
              <w:t xml:space="preserve"> </w:t>
            </w:r>
          </w:p>
          <w:p>
            <w:pPr>
              <w:pStyle w:val="NoSpacing"/>
              <w:numPr>
                <w:ilvl w:val="0"/>
                <w:numId w:val="32"/>
              </w:numPr>
              <w:spacing w:after="240"/>
              <w:ind w:left="284" w:hanging="284"/>
              <w:contextualSpacing/>
              <w:jc w:val="both"/>
              <w:rPr>
                <w:rFonts w:ascii="Times New Roman" w:hAnsi="Times New Roman" w:cs="Times New Roman"/>
                <w:b/>
                <w:noProof/>
              </w:rPr>
            </w:pPr>
            <w:r>
              <w:rPr>
                <w:rFonts w:ascii="Times New Roman" w:hAnsi="Times New Roman"/>
                <w:noProof/>
              </w:rPr>
              <w:t>να βελτιώσουν την κατάρτιση και την ανάπτυξη ικανοτήτων για την επιβολή του νόμου, με στόχο τον αποτελεσματικότερο εντοπισμό και την καταγραφή φοβικών προκαταλήψεων κατά ΛΟΑΤΚΙ και την αύξηση των καταγγελιών εγκλημάτων.</w:t>
            </w:r>
          </w:p>
        </w:tc>
      </w:tr>
    </w:tbl>
    <w:p>
      <w:pPr>
        <w:pStyle w:val="ListParagraph"/>
        <w:spacing w:before="240" w:after="240" w:line="240" w:lineRule="auto"/>
        <w:ind w:left="567"/>
        <w:contextualSpacing w:val="0"/>
        <w:jc w:val="both"/>
        <w:rPr>
          <w:rFonts w:ascii="Times New Roman" w:hAnsi="Times New Roman" w:cs="Times New Roman"/>
          <w:b/>
          <w:bCs/>
          <w:noProof/>
          <w:sz w:val="24"/>
          <w:szCs w:val="24"/>
        </w:rPr>
      </w:pPr>
    </w:p>
    <w:p>
      <w:pPr>
        <w:pStyle w:val="ListParagraph"/>
        <w:numPr>
          <w:ilvl w:val="0"/>
          <w:numId w:val="5"/>
        </w:numPr>
        <w:spacing w:before="240" w:after="240" w:line="240" w:lineRule="auto"/>
        <w:ind w:left="567" w:hanging="567"/>
        <w:contextualSpacing w:val="0"/>
        <w:jc w:val="both"/>
        <w:rPr>
          <w:rFonts w:ascii="Times New Roman" w:hAnsi="Times New Roman" w:cs="Times New Roman"/>
          <w:b/>
          <w:bCs/>
          <w:noProof/>
          <w:sz w:val="24"/>
          <w:szCs w:val="24"/>
        </w:rPr>
      </w:pPr>
      <w:r>
        <w:rPr>
          <w:rFonts w:ascii="Times New Roman" w:hAnsi="Times New Roman"/>
          <w:b/>
          <w:bCs/>
          <w:noProof/>
          <w:sz w:val="24"/>
          <w:szCs w:val="24"/>
        </w:rPr>
        <w:t>ΟΙΚΟΔΟΜΗΣΗ ΚΟΙΝΩΝΙΩΝ ΧΩΡΙΣ ΑΠΟΚΛΕΙΣΜΟΥΣ ΤΩΝ ΛΟΑΤΚΙ</w:t>
      </w:r>
    </w:p>
    <w:p>
      <w:pPr>
        <w:spacing w:before="240" w:after="240" w:line="240" w:lineRule="auto"/>
        <w:jc w:val="both"/>
        <w:rPr>
          <w:rFonts w:ascii="Times New Roman" w:hAnsi="Times New Roman" w:cs="Times New Roman"/>
          <w:b/>
          <w:bCs/>
          <w:noProof/>
          <w:sz w:val="10"/>
          <w:szCs w:val="1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1488"/>
        <w:gridCol w:w="1489"/>
      </w:tblGrid>
      <w:tr>
        <w:trPr>
          <w:trHeight w:val="1701"/>
        </w:trPr>
        <w:tc>
          <w:tcPr>
            <w:tcW w:w="1488" w:type="dxa"/>
          </w:tcPr>
          <w:p>
            <w:pPr>
              <w:rPr>
                <w:rFonts w:ascii="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26" name="Picture 2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ircl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rPr>
            </w:pPr>
            <w:r>
              <w:rPr>
                <w:rFonts w:ascii="Times New Roman" w:hAnsi="Times New Roman"/>
                <w:iCs/>
                <w:noProof/>
                <w:sz w:val="16"/>
                <w:szCs w:val="16"/>
              </w:rPr>
              <w:t xml:space="preserve">Το </w:t>
            </w:r>
            <w:r>
              <w:rPr>
                <w:rFonts w:ascii="Times New Roman" w:hAnsi="Times New Roman"/>
                <w:b/>
                <w:iCs/>
                <w:noProof/>
                <w:sz w:val="16"/>
                <w:szCs w:val="16"/>
              </w:rPr>
              <w:t>53 %</w:t>
            </w:r>
            <w:r>
              <w:rPr>
                <w:rFonts w:ascii="Times New Roman" w:hAnsi="Times New Roman"/>
                <w:iCs/>
                <w:noProof/>
                <w:sz w:val="16"/>
                <w:szCs w:val="16"/>
              </w:rPr>
              <w:t xml:space="preserve"> των ΛΟΑΤΙ ατόμων </w:t>
            </w:r>
            <w:r>
              <w:rPr>
                <w:rFonts w:ascii="Times New Roman" w:hAnsi="Times New Roman"/>
                <w:b/>
                <w:iCs/>
                <w:noProof/>
                <w:sz w:val="16"/>
                <w:szCs w:val="16"/>
              </w:rPr>
              <w:t>δεν αναφέρουν ανοικτά σχεδόν ποτέ ή σπάνια</w:t>
            </w:r>
            <w:r>
              <w:rPr>
                <w:rFonts w:ascii="Times New Roman" w:hAnsi="Times New Roman"/>
                <w:iCs/>
                <w:noProof/>
                <w:sz w:val="16"/>
                <w:szCs w:val="16"/>
              </w:rPr>
              <w:t xml:space="preserve"> ότι είναι ΛΟΑΤΙ.</w:t>
            </w:r>
            <w:r>
              <w:rPr>
                <w:rFonts w:ascii="Times New Roman" w:hAnsi="Times New Roman"/>
                <w:noProof/>
                <w:sz w:val="16"/>
                <w:szCs w:val="16"/>
              </w:rPr>
              <w:t xml:space="preserve"> </w:t>
            </w:r>
          </w:p>
        </w:tc>
        <w:tc>
          <w:tcPr>
            <w:tcW w:w="1488" w:type="dxa"/>
          </w:tcPr>
          <w:p>
            <w:pPr>
              <w:ind w:hanging="14"/>
              <w:rPr>
                <w:rFonts w:ascii="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25" name="Picture 25"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 venn diagram&#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spacing w:line="276" w:lineRule="auto"/>
              <w:rPr>
                <w:rFonts w:ascii="Times New Roman" w:hAnsi="Times New Roman" w:cs="Times New Roman"/>
                <w:iCs/>
                <w:noProof/>
                <w:sz w:val="16"/>
                <w:szCs w:val="16"/>
              </w:rPr>
            </w:pPr>
            <w:r>
              <w:rPr>
                <w:rFonts w:ascii="Times New Roman" w:hAnsi="Times New Roman"/>
                <w:b/>
                <w:iCs/>
                <w:noProof/>
                <w:sz w:val="16"/>
                <w:szCs w:val="16"/>
              </w:rPr>
              <w:t xml:space="preserve">21 </w:t>
            </w:r>
            <w:r>
              <w:rPr>
                <w:rFonts w:ascii="Times New Roman" w:hAnsi="Times New Roman"/>
                <w:iCs/>
                <w:noProof/>
                <w:sz w:val="16"/>
                <w:szCs w:val="16"/>
              </w:rPr>
              <w:t xml:space="preserve">κράτη μέλη αναγνωρίζουν την </w:t>
            </w:r>
            <w:r>
              <w:rPr>
                <w:rFonts w:ascii="Times New Roman" w:hAnsi="Times New Roman"/>
                <w:b/>
                <w:iCs/>
                <w:noProof/>
                <w:sz w:val="16"/>
                <w:szCs w:val="16"/>
              </w:rPr>
              <w:t>ένωση</w:t>
            </w:r>
            <w:r>
              <w:rPr>
                <w:rFonts w:ascii="Times New Roman" w:hAnsi="Times New Roman"/>
                <w:iCs/>
                <w:noProof/>
                <w:sz w:val="16"/>
                <w:szCs w:val="16"/>
              </w:rPr>
              <w:t xml:space="preserve"> ομόφυλων ζευγαριών, ενώ </w:t>
            </w:r>
            <w:r>
              <w:rPr>
                <w:rFonts w:ascii="Times New Roman" w:hAnsi="Times New Roman"/>
                <w:b/>
                <w:iCs/>
                <w:noProof/>
                <w:sz w:val="16"/>
                <w:szCs w:val="16"/>
              </w:rPr>
              <w:t>15 κράτη μέλη</w:t>
            </w:r>
            <w:r>
              <w:rPr>
                <w:rFonts w:ascii="Times New Roman" w:hAnsi="Times New Roman"/>
                <w:iCs/>
                <w:noProof/>
                <w:sz w:val="16"/>
                <w:szCs w:val="16"/>
              </w:rPr>
              <w:t xml:space="preserve"> προβλέπουν δικαίωμα </w:t>
            </w:r>
            <w:r>
              <w:rPr>
                <w:rFonts w:ascii="Times New Roman" w:hAnsi="Times New Roman"/>
                <w:b/>
                <w:iCs/>
                <w:noProof/>
                <w:sz w:val="16"/>
                <w:szCs w:val="16"/>
              </w:rPr>
              <w:t>υιοθεσίας</w:t>
            </w:r>
            <w:r>
              <w:rPr>
                <w:rFonts w:ascii="Times New Roman" w:hAnsi="Times New Roman"/>
                <w:iCs/>
                <w:noProof/>
                <w:sz w:val="16"/>
                <w:szCs w:val="16"/>
              </w:rPr>
              <w:t xml:space="preserve"> από ομόφυλα ζευγάρια.</w:t>
            </w:r>
          </w:p>
        </w:tc>
        <w:tc>
          <w:tcPr>
            <w:tcW w:w="1488" w:type="dxa"/>
          </w:tcPr>
          <w:p>
            <w:pPr>
              <w:rPr>
                <w:rFonts w:ascii="Times New Roman" w:hAnsi="Times New Roman" w:cs="Times New Roman"/>
                <w:noProof/>
                <w:sz w:val="16"/>
                <w:szCs w:val="16"/>
              </w:rPr>
            </w:pPr>
            <w:r>
              <w:rPr>
                <w:rFonts w:ascii="Times New Roman" w:hAnsi="Times New Roman"/>
                <w:noProof/>
                <w:sz w:val="16"/>
                <w:szCs w:val="16"/>
                <w:lang w:val="en-GB" w:eastAsia="en-GB"/>
              </w:rPr>
              <w:drawing>
                <wp:inline distT="0" distB="0" distL="0" distR="0">
                  <wp:extent cx="802800" cy="802800"/>
                  <wp:effectExtent l="0" t="0" r="0" b="0"/>
                  <wp:docPr id="24" name="Picture 24"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ircl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inline>
              </w:drawing>
            </w:r>
          </w:p>
        </w:tc>
        <w:tc>
          <w:tcPr>
            <w:tcW w:w="1489" w:type="dxa"/>
          </w:tcPr>
          <w:p>
            <w:pPr>
              <w:rPr>
                <w:rFonts w:ascii="Times New Roman" w:eastAsia="Times New Roman" w:hAnsi="Times New Roman" w:cs="Times New Roman"/>
                <w:noProof/>
                <w:sz w:val="16"/>
                <w:szCs w:val="16"/>
              </w:rPr>
            </w:pPr>
            <w:r>
              <w:rPr>
                <w:rFonts w:ascii="Times New Roman" w:hAnsi="Times New Roman"/>
                <w:b/>
                <w:iCs/>
                <w:noProof/>
                <w:sz w:val="16"/>
                <w:szCs w:val="16"/>
              </w:rPr>
              <w:t>Η νομική αναγνώριση φύλου</w:t>
            </w:r>
            <w:r>
              <w:rPr>
                <w:rFonts w:ascii="Times New Roman" w:hAnsi="Times New Roman"/>
                <w:iCs/>
                <w:noProof/>
                <w:sz w:val="16"/>
                <w:szCs w:val="16"/>
              </w:rPr>
              <w:t xml:space="preserve"> βάσει αυτοπροσδιορισμού ισχύει σε </w:t>
            </w:r>
            <w:r>
              <w:rPr>
                <w:rFonts w:ascii="Times New Roman" w:hAnsi="Times New Roman"/>
                <w:b/>
                <w:iCs/>
                <w:noProof/>
                <w:sz w:val="16"/>
                <w:szCs w:val="16"/>
              </w:rPr>
              <w:t>4</w:t>
            </w:r>
            <w:r>
              <w:rPr>
                <w:rFonts w:ascii="Times New Roman" w:hAnsi="Times New Roman"/>
                <w:iCs/>
                <w:noProof/>
                <w:sz w:val="16"/>
                <w:szCs w:val="16"/>
              </w:rPr>
              <w:t xml:space="preserve"> κράτη μέλη.</w:t>
            </w:r>
            <w:r>
              <w:rPr>
                <w:rFonts w:ascii="Times New Roman" w:hAnsi="Times New Roman"/>
                <w:noProof/>
                <w:sz w:val="16"/>
                <w:szCs w:val="16"/>
              </w:rPr>
              <w:t xml:space="preserve"> </w:t>
            </w:r>
          </w:p>
        </w:tc>
      </w:tr>
    </w:tbl>
    <w:p>
      <w:pPr>
        <w:spacing w:after="240" w:line="240" w:lineRule="auto"/>
        <w:contextualSpacing/>
        <w:jc w:val="both"/>
        <w:rPr>
          <w:rFonts w:ascii="Times New Roman" w:hAnsi="Times New Roman" w:cs="Times New Roman"/>
          <w:noProof/>
          <w:sz w:val="24"/>
          <w:szCs w:val="24"/>
        </w:rPr>
      </w:pPr>
    </w:p>
    <w:p>
      <w:pPr>
        <w:spacing w:line="240" w:lineRule="auto"/>
        <w:contextualSpacing/>
        <w:jc w:val="both"/>
        <w:rPr>
          <w:rFonts w:ascii="Times New Roman" w:hAnsi="Times New Roman" w:cs="Times New Roman"/>
          <w:noProof/>
          <w:sz w:val="18"/>
          <w:szCs w:val="18"/>
        </w:rPr>
      </w:pPr>
      <w:r>
        <w:rPr>
          <w:rFonts w:ascii="Times New Roman" w:hAnsi="Times New Roman"/>
          <w:noProof/>
          <w:sz w:val="24"/>
          <w:szCs w:val="24"/>
        </w:rPr>
        <w:t>Ο Χάρτης των Θεμελιωδών Δικαιωμάτων κατοχυρώνει το δικαίωμα του σεβασμού της ιδιωτικής και οικογενειακής ζωής, καθώς και το δικαίωμα των παιδιών στην προστασία και τη φροντίδα που απαιτούνται για την καλή διαβίωσή τους. Στην ΕΕ υπάρχει ευρύ φάσμα μοντέλων οικογένειας, συμπεριλαμβανομένων των οικογενειών «ουράνιο τόξο» με ένα ή περισσότερα μέλη ΛΟΑΤΚΙ. Λόγω διαφορών στο οικογενειακό δίκαιο μεταξύ των κρατών μελών, οι οικογενειακοί δεσμοί ενδέχεται να πάψουν να αναγνωρίζονται όταν οικογένειες «ουράνιο τόξο» διασχίζουν τα εσωτερικά σύνορα της ΕΕ. Η κατάσταση αυτή έχει επιδεινωθεί εξαιτίας των περιοριστικών μέτρων που επιβλήθηκαν λόγω της νόσου COVID-19. Οι δυσκολίες που αντιμετώπισαν ορισμένες οικογένειες «ουράνιο τόξο» όσον αφορά τη νομική αναγνώριση των εγγράφων και των σχέσεών τους οδήγησαν σε πρόσθετα προβλήματα στη διάρκεια της πανδημίας, δεδομένου του κλεισίματος των συνόρων από πολλές χώρες. Σε ορισμένες περιπτώσεις, άτομα εγκλωβίστηκαν στα σύνορα και τους απαγορεύτηκε η επανένωση με τις οικογένειές τους στη διάρκεια των περιοριστικών μέτρων</w:t>
      </w:r>
      <w:r>
        <w:rPr>
          <w:rStyle w:val="FootnoteReference"/>
          <w:rFonts w:ascii="Times New Roman" w:hAnsi="Times New Roman" w:cs="Times New Roman"/>
          <w:noProof/>
          <w:sz w:val="24"/>
          <w:szCs w:val="24"/>
        </w:rPr>
        <w:footnoteReference w:id="59"/>
      </w:r>
      <w:r>
        <w:rPr>
          <w:rFonts w:ascii="Times New Roman" w:hAnsi="Times New Roman"/>
          <w:noProof/>
          <w:sz w:val="18"/>
          <w:szCs w:val="18"/>
        </w:rPr>
        <w:t>.</w:t>
      </w:r>
    </w:p>
    <w:p>
      <w:pPr>
        <w:spacing w:after="240" w:line="240" w:lineRule="auto"/>
        <w:contextualSpacing/>
        <w:jc w:val="both"/>
        <w:rPr>
          <w:rFonts w:ascii="Times New Roman" w:hAnsi="Times New Roman" w:cs="Times New Roman"/>
          <w:noProof/>
          <w:sz w:val="24"/>
          <w:szCs w:val="24"/>
        </w:rPr>
      </w:pPr>
    </w:p>
    <w:p>
      <w:pPr>
        <w:spacing w:after="240" w:line="240" w:lineRule="auto"/>
        <w:contextualSpacing/>
        <w:jc w:val="both"/>
        <w:rPr>
          <w:rFonts w:ascii="Times New Roman" w:hAnsi="Times New Roman" w:cs="Times New Roman"/>
          <w:noProof/>
          <w:sz w:val="24"/>
          <w:szCs w:val="24"/>
        </w:rPr>
      </w:pPr>
      <w:r>
        <w:rPr>
          <w:rFonts w:ascii="Times New Roman" w:hAnsi="Times New Roman"/>
          <w:noProof/>
          <w:sz w:val="24"/>
          <w:szCs w:val="24"/>
        </w:rPr>
        <w:t>Συχνά τα τρανς, μη δυαδικά και ίντερσεξ άτομα δεν αναγνωρίζονται βάσει νόμου ή στην πράξη, με αποτέλεσμα να προκύπτουν νομικές δυσκολίες στην ιδιωτική και οικογενειακή ζωή τους, μεταξύ άλλων, σε καταστάσεις με διασυνοριακή διάσταση.</w:t>
      </w:r>
    </w:p>
    <w:p>
      <w:pPr>
        <w:spacing w:after="240" w:line="240" w:lineRule="auto"/>
        <w:contextualSpacing/>
        <w:jc w:val="both"/>
        <w:rPr>
          <w:rFonts w:ascii="Times New Roman" w:hAnsi="Times New Roman" w:cs="Times New Roman"/>
          <w:noProof/>
          <w:sz w:val="24"/>
          <w:szCs w:val="24"/>
        </w:rPr>
      </w:pPr>
    </w:p>
    <w:p>
      <w:pPr>
        <w:spacing w:before="24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3.1 </w:t>
      </w:r>
      <w:r>
        <w:rPr>
          <w:noProof/>
        </w:rPr>
        <w:tab/>
      </w:r>
      <w:r>
        <w:rPr>
          <w:rFonts w:ascii="Times New Roman" w:hAnsi="Times New Roman"/>
          <w:b/>
          <w:noProof/>
          <w:sz w:val="24"/>
          <w:szCs w:val="24"/>
        </w:rPr>
        <w:t>Διασφάλιση των δικαιωμάτων των ΛΟΑΤΚΙ ατόμων σε καταστάσεις με διασυνοριακή διάσταση</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νομοθεσία της ΕΕ για την ελεύθερη κυκλοφορία, ιδίως η οδηγία για την ελεύθερη κυκλοφορία</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αναγνωρίζει το δικαίωμα όλων των πολιτών της ΕΕ και των μελών των οικογενειών τους, συμπεριλαμβανομένων των καταχωρισμένων συντρόφων και των οικογενειών «ουράνιο τόξο», να κυκλοφορούν και να διαμένουν ελεύθερα στην ΕΕ</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θα εξακολουθήσει να διασφαλίζει την ορθή εφαρμογή της νομοθεσίας για την ελεύθερη κυκλοφορία, προκειμένου να αντιμετωπίσει, μεταξύ άλλων, ειδικές δυσκολίες που εμποδίζουν τα ΛΟΑΤΚΙ άτομα και τις οικογένειές τους να απολαμβάνουν τα δικαιώματά τους. Στο πλαίσιο αυτό περιλαμβάνονται ειδικοί διάλογοι με τα κράτη μέλη όσον αφορά την εκτέλεση της απόφασης στην υπόθεση </w:t>
      </w:r>
      <w:r>
        <w:rPr>
          <w:rFonts w:ascii="Times New Roman" w:hAnsi="Times New Roman"/>
          <w:i/>
          <w:iCs/>
          <w:noProof/>
          <w:sz w:val="24"/>
          <w:szCs w:val="24"/>
        </w:rPr>
        <w:t>Coman</w:t>
      </w:r>
      <w:r>
        <w:rPr>
          <w:rFonts w:ascii="Times New Roman" w:hAnsi="Times New Roman"/>
          <w:noProof/>
          <w:sz w:val="24"/>
          <w:szCs w:val="24"/>
        </w:rPr>
        <w:t>, στην οποία το ΔΕΕ διευκρίνισε ότι ο όρος «σύζυγος», όπως χρησιμοποιείται στην οδηγία για την ελεύθερη κυκλοφορία, ισχύει επίσης για συντρόφους του ίδιου φύλου</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Αν χρειαστεί, η Επιτροπή θα αναλάβει νομική δράση. </w:t>
      </w:r>
    </w:p>
    <w:p>
      <w:pPr>
        <w:spacing w:after="240"/>
        <w:jc w:val="both"/>
        <w:rPr>
          <w:rFonts w:ascii="Times New Roman" w:hAnsi="Times New Roman" w:cs="Times New Roman"/>
          <w:bCs/>
          <w:noProof/>
          <w:sz w:val="24"/>
          <w:szCs w:val="24"/>
        </w:rPr>
      </w:pPr>
      <w:r>
        <w:rPr>
          <w:rFonts w:ascii="Times New Roman" w:hAnsi="Times New Roman"/>
          <w:noProof/>
          <w:sz w:val="24"/>
          <w:szCs w:val="24"/>
        </w:rPr>
        <w:t>Προκειμένου να βελτιωθεί η ασφάλεια δικαίου για τους πολίτες της ΕΕ που ασκούν το οικείο δικαίωμα της ελεύθερης κυκλοφορίας και να διασφαλιστεί πιο αποτελεσματική και ενιαία εφαρμογή της νομοθεσίας για την ελεύθερη κυκλοφορία σε ολόκληρη την ΕΕ, το 2022 η Επιτροπή θα αναθεωρήσει τις κατευθυντήριες γραμμές του 2009 για την ελεύθερη κυκλοφορία. Οι αναθεωρημένες κατευθυντήριες γραμμές θα αποτυπώνουν την πολυμορφία των οικογενειών και, συνεπώς, θα συμβάλουν στη διευκόλυνση της άσκησης των δικαιωμάτων ελεύθερης κυκλοφορίας από όλες τις οικογένειες, συμπεριλαμβανομένων των οικογενειών «ουράνιο τόξο»</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Η Επιτροπή θα εξακολουθήσει να συγκεντρώνει στοιχεία όσον αφορά τα ζητήματα που αντιμετωπίζουν στην πράξη ΛΟΑΤΚΙ άτομα και οι οικογένειές τους σε καταστάσεις με διασυνοριακή διάσταση. </w:t>
      </w:r>
    </w:p>
    <w:p>
      <w:pPr>
        <w:spacing w:after="240" w:line="240" w:lineRule="auto"/>
        <w:jc w:val="both"/>
        <w:rPr>
          <w:rFonts w:ascii="Times New Roman" w:hAnsi="Times New Roman" w:cs="Times New Roman"/>
          <w:bCs/>
          <w:noProof/>
          <w:sz w:val="24"/>
          <w:szCs w:val="24"/>
        </w:rPr>
      </w:pPr>
      <w:r>
        <w:rPr>
          <w:rFonts w:ascii="Times New Roman" w:hAnsi="Times New Roman"/>
          <w:bCs/>
          <w:noProof/>
          <w:sz w:val="24"/>
          <w:szCs w:val="24"/>
        </w:rPr>
        <w:t>Το ουσιαστικό οικογενειακό δίκαιο εμπίπτει στην αρμοδιότητα των κρατών μελών. Οι διατάξεις οικογενειακού δικαίου της ΕΕ εφαρμόζονται σε διασυνοριακές υποθέσεις ή υποθέσεις με διασυνοριακές επιπτώσεις και καλύπτουν τα ΛΟΑΤΚΙ άτομα. Σε αυτές περιλαμβάνονται κανόνες με στόχο να διευκολύνουν τη μεταξύ των κρατών μελών αναγνώριση των αποφάσεων διαζυγίου, των γονικών υποχρεώσεων και δικαιωμάτων (συμπεριλαμβανομένης της επιμέλειας των τέκνων και των δικαιωμάτων επικοινωνίας), της διατροφής (για ζευγάρια και τέκνα), της περιουσίας που κατέχεται στο πλαίσιο γάμου και σχέσεων καταχωρισμένης συμβίωσης και θεμάτων κληρονομικής διαδοχής (για ζευγάρια και τέκνα).</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θα διασφαλίσει την αυστηρή εφαρμογή του διασυνοριακού οικογενειακού δικαίου όσον αφορά οικογένειες «ουράνιο τόξο», ενισχύοντας την εστίασή της στη συγκεκριμένη ομάδα κατά την παρακολούθηση της εφαρμογής του. </w:t>
      </w:r>
    </w:p>
    <w:p>
      <w:pPr>
        <w:spacing w:before="24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3.2 </w:t>
      </w:r>
      <w:r>
        <w:rPr>
          <w:noProof/>
        </w:rPr>
        <w:tab/>
      </w:r>
      <w:r>
        <w:rPr>
          <w:rFonts w:ascii="Times New Roman" w:hAnsi="Times New Roman"/>
          <w:b/>
          <w:noProof/>
          <w:sz w:val="24"/>
          <w:szCs w:val="24"/>
        </w:rPr>
        <w:t>Βελτίωση της νομικής προστασίας για οικογένειες «ουράνιο τόξο» σε καταστάσεις με διασυνοριακή διάσταση</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εθνική νομοθεσία των μισών και πλέον κρατών μελών περιλαμβάνει διατάξεις που έχουν ισχύ για γονείς οικογενειών «ουράνιο τόξο». Ωστόσο, και παρά το υφιστάμενο δίκαιο της ΕΕ όπως αυτό ερμηνεύεται από το Δικαστήριο, όταν οι εν λόγω οικογένειες ταξιδεύουν ή μετακινούνται σε άλλα κράτη μέλη, υπάρχει ενίοτε κίνδυνος διάρρηξης της σχέσης παιδιού με τον ΛΟΑΤΚΙ γονέα ή γονείς του, γεγονός με ενδεχόμενες επιπτώσεις στα δικαιώματα του παιδιού</w:t>
      </w:r>
      <w:r>
        <w:rPr>
          <w:rStyle w:val="FootnoteReference"/>
          <w:rFonts w:ascii="Times New Roman" w:hAnsi="Times New Roman" w:cs="Times New Roman"/>
          <w:noProof/>
        </w:rPr>
        <w:footnoteReference w:id="64"/>
      </w:r>
      <w:r>
        <w:rPr>
          <w:rFonts w:ascii="Times New Roman" w:hAnsi="Times New Roman"/>
          <w:noProof/>
          <w:sz w:val="24"/>
          <w:szCs w:val="24"/>
        </w:rPr>
        <w:t>. Οι παντρεμένοι και οι καταχωρισμένοι σύντροφοι μπορεί επίσης να αντιμετωπίσουν προβλήματα στα ταξίδια και στις μετακινήσεις τους σε άλλο κράτος μέλος.</w:t>
      </w:r>
    </w:p>
    <w:p>
      <w:pPr>
        <w:jc w:val="both"/>
        <w:rPr>
          <w:rFonts w:ascii="Times New Roman" w:hAnsi="Times New Roman" w:cs="Times New Roman"/>
          <w:noProof/>
          <w:sz w:val="24"/>
          <w:szCs w:val="24"/>
        </w:rPr>
      </w:pPr>
      <w:r>
        <w:rPr>
          <w:rFonts w:ascii="Times New Roman" w:hAnsi="Times New Roman"/>
          <w:noProof/>
          <w:sz w:val="24"/>
          <w:szCs w:val="24"/>
        </w:rPr>
        <w:t xml:space="preserve">Η Επιτροπή θα προωθήσει την αμοιβαία αναγνώριση των οικογενειακών σχέσεων στην ΕΕ. Αν κάποιος είναι γονέας σε μία χώρα, είναι γονέας σε κάθε χώρα. Το 2022 η Επιτροπή θα προτείνει μια οριζόντια νομοθετική πρωτοβουλία για τη στήριξη της αμοιβαίας αναγνώρισης της ιδιότητας του γονέα μεταξύ των κρατών μελών, λόγου χάρη, της αναγνώρισης από ένα κράτος μέλος της ιδιότητας του γονέα που βασίμως αποδόθηκε σε άλλο κράτος μέλος.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Επιπλέον, η Επιτροπή θα εξακολουθήσει να στηρίζει τις προσπάθειες των κρατών μελών για σεβασμό των δικαιωμάτων των οικογενειών «ουράνιο τόξο» τα οποία κατοχυρώνονται στον Χάρτη των Θεμελιωδών Δικαιωμάτων της ΕΕ (ιδίως το δικαίωμα της ιδιωτικής και οικογενειακής ζωής και τα δικαιώματα του παιδιού), ο οποίος ισχύει στο πλαίσιο της εφαρμογής του δικαίου της ΕΕ. Θα διερευνήσει πιθανά μέτρα για να στηρίξει την αμοιβαία αναγνώριση του νομικού καθεστώτος των ομόφυλων συζύγων και καταχωρισμένων συντρόφων σε καταστάσεις με διασυνοριακή διάσταση. </w:t>
      </w:r>
    </w:p>
    <w:p>
      <w:pPr>
        <w:spacing w:before="240" w:after="24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3.3 </w:t>
      </w:r>
      <w:r>
        <w:rPr>
          <w:noProof/>
        </w:rPr>
        <w:tab/>
      </w:r>
      <w:r>
        <w:rPr>
          <w:rFonts w:ascii="Times New Roman" w:hAnsi="Times New Roman"/>
          <w:b/>
          <w:noProof/>
          <w:sz w:val="24"/>
          <w:szCs w:val="24"/>
        </w:rPr>
        <w:t>Βελτίωση της αναγνώρισης των ταυτοτήτων τρανς και μη δυαδικών ατόμων και των ίντερσεξ</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Οι απαιτήσεις που ισχύουν για άτομα τα οποία επιθυμούν να αλλάξουν το νομικό φύλο τους διαφέρουν σημαντικά μεταξύ των κρατών μελών. Τα τελευταία έτη, ολοένα και μεγαλύτερος αριθμός κρατών μελών έχουν προβεί σε σημαντικές τροποποιήσεις της οικείας νομοθεσίας όσον αφορά την αναγνώριση φύλου, προς την κατεύθυνση του μοντέλου του προσωπικού αυτοπροσδιορισμού. Άλλα διατηρούν ορισμένες απαιτήσεις προκειμένου να αναγνωρίσουν το φύλο τρανς και μη δυαδικών ατόμων. Οι εν λόγω απαιτήσεις μπορεί να μην είναι αναλογικές και, ενδεχομένως, να παραβιάζουν πρότυπα για τα ανθρώπινα δικαιώματα, όπως αποφάνθηκε το Ευρωπαϊκό Δικαστήριο των Δικαιωμάτων του Ανθρώπου σε περίπτωση απαιτήσεων για χειρουργικές επεμβάσεις</w:t>
      </w:r>
      <w:r>
        <w:rPr>
          <w:rStyle w:val="FootnoteReference"/>
          <w:noProof/>
          <w:szCs w:val="24"/>
        </w:rPr>
        <w:footnoteReference w:id="65"/>
      </w:r>
      <w:r>
        <w:rPr>
          <w:rFonts w:ascii="Times New Roman" w:hAnsi="Times New Roman"/>
          <w:noProof/>
          <w:sz w:val="24"/>
          <w:szCs w:val="24"/>
        </w:rPr>
        <w:t xml:space="preserve"> και στείρωση</w:t>
      </w:r>
      <w:r>
        <w:rPr>
          <w:rStyle w:val="FootnoteReference"/>
          <w:noProof/>
          <w:szCs w:val="24"/>
        </w:rPr>
        <w:footnoteReference w:id="66"/>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προωθήσει την ανταλλαγή βέλτιστων πρακτικών μεταξύ των κρατών μελών όσον αφορά τον τρόπο θέσπισης προσβάσιμης νομοθεσίας και διαδικασιών νομικής αναγνώρισης φύλου, βάσει της αρχής του αυτοπροσδιορισμού και χωρίς ηλικιακούς περιορισμούς.</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θα δρομολογήσει διατομεακό διάλογο με διάφορα ενδιαφερόμενα μέρη, συμπεριλαμβανομένων των κρατών μελών, των επιχειρήσεων και των επαγγελματιών υγειονομικής περίθαλψης, με στόχο την ευαισθητοποίηση σχετικά με τις ταυτότητες τρανς και μη δυαδικών ατόμων και τους ίντερσεξ, καθώς και την ενθάρρυνση της χωρίς αποκλεισμούς συμμετοχής σε όλες τις σχετικές δράσεις και διαδικασίες, και εντός της Επιτροπής. </w:t>
      </w:r>
    </w:p>
    <w:p>
      <w:pPr>
        <w:spacing w:after="24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3.4 </w:t>
      </w:r>
      <w:r>
        <w:rPr>
          <w:noProof/>
        </w:rPr>
        <w:tab/>
      </w:r>
      <w:r>
        <w:rPr>
          <w:rFonts w:ascii="Times New Roman" w:hAnsi="Times New Roman"/>
          <w:b/>
          <w:noProof/>
          <w:sz w:val="24"/>
          <w:szCs w:val="24"/>
        </w:rPr>
        <w:t>Προώθηση ενός ευνοϊκού περιβάλλοντος για την κοινωνία των πολιτών</w:t>
      </w:r>
    </w:p>
    <w:p>
      <w:pPr>
        <w:spacing w:after="240" w:line="240" w:lineRule="auto"/>
        <w:jc w:val="both"/>
        <w:rPr>
          <w:rFonts w:ascii="Times New Roman" w:hAnsi="Times New Roman" w:cs="Times New Roman"/>
          <w:noProof/>
          <w:sz w:val="24"/>
          <w:szCs w:val="24"/>
        </w:rPr>
      </w:pPr>
      <w:r>
        <w:rPr>
          <w:rFonts w:ascii="Times New Roman" w:hAnsi="Times New Roman"/>
          <w:bCs/>
          <w:noProof/>
          <w:sz w:val="24"/>
          <w:szCs w:val="24"/>
        </w:rPr>
        <w:t>Η Επιτροπή θα χορηγήσει χρηματοδότηση για την προώθηση ενός</w:t>
      </w:r>
      <w:r>
        <w:rPr>
          <w:rFonts w:ascii="Times New Roman" w:hAnsi="Times New Roman"/>
          <w:noProof/>
          <w:sz w:val="24"/>
          <w:szCs w:val="24"/>
        </w:rPr>
        <w:t xml:space="preserve"> </w:t>
      </w:r>
      <w:r>
        <w:rPr>
          <w:rFonts w:ascii="Times New Roman" w:hAnsi="Times New Roman"/>
          <w:bCs/>
          <w:noProof/>
          <w:sz w:val="24"/>
          <w:szCs w:val="24"/>
        </w:rPr>
        <w:t>ευνοϊκού, βιώσιμου περιβάλλοντος για τις οργανώσεις της κοινωνίας των πολιτών στον τομέα των ΛΟΑΤΚΙ. Η παρούσα στρατηγική αφορά τα σχετικά προγράμματα χρηματοδότησης της ΕΕ και τις χρηματοδοτικές τους προτεραιότητες για την ισότητα των ΛΟΑΤΚΙ. Πέραν της χρηματοδότησης που βασίζεται σε έργα,</w:t>
      </w:r>
      <w:r>
        <w:rPr>
          <w:rFonts w:ascii="Times New Roman" w:hAnsi="Times New Roman"/>
          <w:noProof/>
          <w:sz w:val="24"/>
          <w:szCs w:val="24"/>
        </w:rPr>
        <w:t xml:space="preserve"> το πρόγραμμα «Πολίτες, ισότητα, δικαιώματα και αξίες» για την περίοδο 2021-2027 θα αυξήσει τις ευκαιρίες χρηματοδότησης για μικρομεσαίους οργανισμούς και θα διαθέσει επιχορηγήσεις λειτουργίας σε δίκτυα που προωθούν την ισότητα των ΛΟΑΤΚΙ. Είναι ανάγκη τα κονδύλια της ΕΕ να συνεισφέρουν στην οικοδόμηση μιας κοινωνίας χωρίς διακρίσεις και να στηρίζουν τις προσπάθειες της Επιτροπής για τη διασφάλιση μιας Ένωσης ισότητας.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Επιπλέον, η </w:t>
      </w:r>
      <w:r>
        <w:rPr>
          <w:rFonts w:ascii="Times New Roman" w:hAnsi="Times New Roman"/>
          <w:bCs/>
          <w:noProof/>
          <w:sz w:val="24"/>
          <w:szCs w:val="24"/>
        </w:rPr>
        <w:t xml:space="preserve">Επιτροπή θα συνεχίσει και θα ενθαρρύνει τη διεξαγωγή διαρθρωμένου, ανοικτού διαλόγου και διαβουλεύσεων με την κοινωνία των πολιτών όσον αφορά τη θέσπιση νομοθεσίας και τη χάραξη πολιτικής, ιδίως </w:t>
      </w:r>
      <w:r>
        <w:rPr>
          <w:rFonts w:ascii="Times New Roman" w:hAnsi="Times New Roman"/>
          <w:noProof/>
          <w:sz w:val="24"/>
          <w:szCs w:val="24"/>
        </w:rPr>
        <w:t xml:space="preserve">για να συζητήσει την εφαρμογή της στρατηγικής. Θα προαγάγει τον διάλογο με τα κράτη μέλη, τους οργανισμούς της ΕΕ, τους κοινωνικούς εταίρους και τον ιδιωτικό τομέα, προκειμένου να συμβάλει στη στήριξη της περαιτέρω ανάπτυξης πολιτικών για την αντιμετώπιση των διακρίσεων κατά ΛΟΑΤΚΙ ατόμων. Η Επιτροπή θα συνεχίσει τις δράσεις </w:t>
      </w:r>
      <w:r>
        <w:rPr>
          <w:rFonts w:ascii="Times New Roman" w:hAnsi="Times New Roman"/>
          <w:bCs/>
          <w:noProof/>
          <w:sz w:val="24"/>
          <w:szCs w:val="24"/>
        </w:rPr>
        <w:t>ευαισθητοποίησης για την ανάγκη ισότητας και απαγόρευσης των διακρίσεων κατά ΛΟΑΤΚΙ και θα συμμετέχει</w:t>
      </w:r>
      <w:r>
        <w:rPr>
          <w:rFonts w:ascii="Times New Roman" w:hAnsi="Times New Roman"/>
          <w:noProof/>
          <w:sz w:val="24"/>
          <w:szCs w:val="24"/>
        </w:rPr>
        <w:t xml:space="preserve"> σε δημόσιες εκδηλώσεις που αποτελούν ορόσημο για την κοινότητα ΛΟΑΤΚΙ.</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Οι νέοι διαδραματίζουν καθοριστικό ρόλο στην οικοδόμηση κοινωνιών χωρίς αποκλεισμούς. Σε συνεργασία με τα κράτη μέλη, η Επιτροπή συγκέντρωσε τις απόψεις τους στο πλαίσιο της διαδικασίας διαλόγου της ΕΕ για τη νεολαία, από την οποία προέκυψαν 11 ευρωπαϊκοί στόχοι για τη νεολαία</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οι οποίοι επιδιώκουν (μεταξύ άλλων) ισότητα όλων των φύλων και κοινωνίες χωρίς αποκλεισμούς. Οι εν λόγω στόχοι για τη νεολαία αποτυπώνουν τις απόψεις των Ευρωπαίων νέων και παρουσιάζουν το όραμα για μια Ευρώπη που τους επιτρέπει να αξιοποιήσουν πλήρως τις δυνατότητές τους και παράλληλα βοηθά να μειωθούν τα εμπόδια που αποτρέπουν τη συμμετοχή στην κοινωνική και οικονομική ζωή για όσους διαθέτουν λιγότερες ευκαιρίες.</w:t>
      </w:r>
    </w:p>
    <w:tbl>
      <w:tblPr>
        <w:tblStyle w:val="TableGrid"/>
        <w:tblW w:w="0" w:type="auto"/>
        <w:tblLook w:val="04A0" w:firstRow="1" w:lastRow="0" w:firstColumn="1" w:lastColumn="0" w:noHBand="0" w:noVBand="1"/>
      </w:tblPr>
      <w:tblGrid>
        <w:gridCol w:w="9060"/>
      </w:tblGrid>
      <w:tr>
        <w:tc>
          <w:tcPr>
            <w:tcW w:w="9060" w:type="dxa"/>
          </w:tcPr>
          <w:p>
            <w:pPr>
              <w:pStyle w:val="NoSpacing"/>
              <w:spacing w:after="120"/>
              <w:jc w:val="both"/>
              <w:rPr>
                <w:rFonts w:ascii="Times New Roman" w:hAnsi="Times New Roman" w:cs="Times New Roman"/>
                <w:b/>
                <w:noProof/>
              </w:rPr>
            </w:pPr>
            <w:r>
              <w:rPr>
                <w:rFonts w:ascii="Times New Roman" w:hAnsi="Times New Roman"/>
                <w:b/>
                <w:noProof/>
              </w:rPr>
              <w:t xml:space="preserve">Βασικές δράσεις της Ευρωπαϊκής Επιτροπής:  </w:t>
            </w:r>
          </w:p>
          <w:p>
            <w:pPr>
              <w:pStyle w:val="NoSpacing"/>
              <w:numPr>
                <w:ilvl w:val="0"/>
                <w:numId w:val="17"/>
              </w:numPr>
              <w:spacing w:after="120"/>
              <w:ind w:left="310" w:hanging="310"/>
              <w:jc w:val="both"/>
              <w:rPr>
                <w:rFonts w:ascii="Times New Roman" w:hAnsi="Times New Roman" w:cs="Times New Roman"/>
                <w:noProof/>
              </w:rPr>
            </w:pPr>
            <w:r>
              <w:rPr>
                <w:rFonts w:ascii="Times New Roman" w:hAnsi="Times New Roman"/>
                <w:noProof/>
              </w:rPr>
              <w:t>αναθεώρηση, το 2022, των κατευθυντήριων γραμμών του 2009 για την ελεύθερη κυκλοφορία, ώστε να αποτυπώνουν την πολυμορφία των οικογενειών και να συμβάλουν στη διευκόλυνση της άσκησης των δικαιωμάτων ελεύθερης κυκλοφορίας από όλες τις οικογένειες, συμπεριλαμβανομένων των οικογενειών «ουράνιο τόξο»·</w:t>
            </w:r>
          </w:p>
          <w:p>
            <w:pPr>
              <w:pStyle w:val="NoSpacing"/>
              <w:numPr>
                <w:ilvl w:val="0"/>
                <w:numId w:val="17"/>
              </w:numPr>
              <w:spacing w:after="120"/>
              <w:ind w:left="310" w:hanging="310"/>
              <w:jc w:val="both"/>
              <w:rPr>
                <w:rFonts w:ascii="Times New Roman" w:hAnsi="Times New Roman" w:cs="Times New Roman"/>
                <w:noProof/>
              </w:rPr>
            </w:pPr>
            <w:r>
              <w:rPr>
                <w:rFonts w:ascii="Times New Roman" w:hAnsi="Times New Roman"/>
                <w:noProof/>
              </w:rPr>
              <w:t>πρόταση οριζόντιας νομοθετικής πρωτοβουλίας για τη στήριξη της αμοιβαίας αναγνώρισης της ιδιότητας του γονέα μεταξύ των κρατών μελών·</w:t>
            </w:r>
          </w:p>
          <w:p>
            <w:pPr>
              <w:pStyle w:val="NoSpacing"/>
              <w:numPr>
                <w:ilvl w:val="0"/>
                <w:numId w:val="17"/>
              </w:numPr>
              <w:spacing w:after="120"/>
              <w:ind w:left="310" w:hanging="310"/>
              <w:jc w:val="both"/>
              <w:rPr>
                <w:rFonts w:ascii="Times New Roman" w:hAnsi="Times New Roman" w:cs="Times New Roman"/>
                <w:noProof/>
              </w:rPr>
            </w:pPr>
            <w:r>
              <w:rPr>
                <w:rFonts w:ascii="Times New Roman" w:hAnsi="Times New Roman"/>
                <w:noProof/>
              </w:rPr>
              <w:t>διερεύνηση πιθανών μέτρων για τη στήριξη της αμοιβαίας αναγνώρισης των ομόφυλων σχέσεων μεταξύ των κρατών μελών·</w:t>
            </w:r>
          </w:p>
          <w:p>
            <w:pPr>
              <w:pStyle w:val="NoSpacing"/>
              <w:numPr>
                <w:ilvl w:val="0"/>
                <w:numId w:val="17"/>
              </w:numPr>
              <w:spacing w:after="120"/>
              <w:ind w:left="310" w:hanging="310"/>
              <w:jc w:val="both"/>
              <w:rPr>
                <w:rFonts w:ascii="Times New Roman" w:hAnsi="Times New Roman" w:cs="Times New Roman"/>
                <w:noProof/>
                <w:sz w:val="24"/>
                <w:szCs w:val="24"/>
              </w:rPr>
            </w:pPr>
            <w:r>
              <w:rPr>
                <w:rFonts w:ascii="Times New Roman" w:hAnsi="Times New Roman"/>
                <w:noProof/>
              </w:rPr>
              <w:t>διάθεση ευκαιριών χρηματοδότησης, ιδίως μέσω του προγράμματος «Πολίτες, ισότητα, δικαιώματα και αξίες».</w:t>
            </w:r>
          </w:p>
        </w:tc>
      </w:tr>
      <w:tr>
        <w:tc>
          <w:tcPr>
            <w:tcW w:w="9060" w:type="dxa"/>
          </w:tcPr>
          <w:p>
            <w:pPr>
              <w:spacing w:after="120"/>
              <w:jc w:val="both"/>
              <w:rPr>
                <w:rFonts w:ascii="Times New Roman" w:hAnsi="Times New Roman" w:cs="Times New Roman"/>
                <w:b/>
                <w:noProof/>
              </w:rPr>
            </w:pPr>
            <w:r>
              <w:rPr>
                <w:rFonts w:ascii="Times New Roman" w:hAnsi="Times New Roman"/>
                <w:b/>
                <w:noProof/>
              </w:rPr>
              <w:t xml:space="preserve">Η Ευρωπαϊκή Επιτροπή θα στηρίξει τα κράτη μέλη με στόχο: </w:t>
            </w:r>
          </w:p>
          <w:p>
            <w:pPr>
              <w:pStyle w:val="NoSpacing"/>
              <w:numPr>
                <w:ilvl w:val="0"/>
                <w:numId w:val="17"/>
              </w:numPr>
              <w:spacing w:after="120"/>
              <w:ind w:left="284" w:hanging="284"/>
              <w:jc w:val="both"/>
              <w:rPr>
                <w:rFonts w:ascii="Times New Roman" w:hAnsi="Times New Roman" w:cs="Times New Roman"/>
                <w:noProof/>
              </w:rPr>
            </w:pPr>
            <w:r>
              <w:rPr>
                <w:rFonts w:ascii="Times New Roman" w:hAnsi="Times New Roman"/>
                <w:noProof/>
              </w:rPr>
              <w:t xml:space="preserve">να θεσπίσουν προσβάσιμη νομοθεσία και διαδικασίες νομικής αναγνώρισης φύλου· </w:t>
            </w:r>
          </w:p>
          <w:p>
            <w:pPr>
              <w:pStyle w:val="NoSpacing"/>
              <w:numPr>
                <w:ilvl w:val="0"/>
                <w:numId w:val="17"/>
              </w:numPr>
              <w:spacing w:after="120"/>
              <w:ind w:left="284" w:hanging="284"/>
              <w:jc w:val="both"/>
              <w:rPr>
                <w:rFonts w:ascii="Times New Roman" w:hAnsi="Times New Roman" w:cs="Times New Roman"/>
                <w:noProof/>
              </w:rPr>
            </w:pPr>
            <w:r>
              <w:rPr>
                <w:rFonts w:ascii="Times New Roman" w:hAnsi="Times New Roman"/>
                <w:noProof/>
              </w:rPr>
              <w:t xml:space="preserve">να βελτιώσουν την ένταξη τρανς, μη δυαδικών και ίντερσεξ ατόμων στα σχετικά δικαιολογητικά έγγραφα, αιτήσεις, έρευνες και διαδικασίες· </w:t>
            </w:r>
          </w:p>
          <w:p>
            <w:pPr>
              <w:pStyle w:val="ListParagraph"/>
              <w:numPr>
                <w:ilvl w:val="0"/>
                <w:numId w:val="33"/>
              </w:numPr>
              <w:spacing w:after="120" w:line="240" w:lineRule="auto"/>
              <w:ind w:left="284" w:hanging="284"/>
              <w:jc w:val="both"/>
              <w:rPr>
                <w:rFonts w:ascii="Times New Roman" w:hAnsi="Times New Roman" w:cs="Times New Roman"/>
                <w:b/>
                <w:noProof/>
              </w:rPr>
            </w:pPr>
            <w:r>
              <w:rPr>
                <w:rFonts w:ascii="Times New Roman" w:hAnsi="Times New Roman"/>
                <w:noProof/>
              </w:rPr>
              <w:t xml:space="preserve">να εφαρμόσουν αυστηρά το δικαίωμα της ελεύθερης κυκλοφορίας και τους κανόνες της ΕΕ για το οικογενειακό δίκαιο. </w:t>
            </w:r>
          </w:p>
        </w:tc>
      </w:tr>
    </w:tbl>
    <w:p>
      <w:pPr>
        <w:spacing w:before="240" w:after="240" w:line="240" w:lineRule="auto"/>
        <w:jc w:val="both"/>
        <w:rPr>
          <w:rFonts w:ascii="Times New Roman" w:hAnsi="Times New Roman" w:cs="Times New Roman"/>
          <w:b/>
          <w:bCs/>
          <w:noProof/>
          <w:sz w:val="24"/>
          <w:szCs w:val="24"/>
        </w:rPr>
      </w:pPr>
    </w:p>
    <w:p>
      <w:pPr>
        <w:pStyle w:val="ListParagraph"/>
        <w:numPr>
          <w:ilvl w:val="0"/>
          <w:numId w:val="5"/>
        </w:numPr>
        <w:spacing w:before="240" w:after="240" w:line="240" w:lineRule="auto"/>
        <w:ind w:left="567" w:hanging="567"/>
        <w:contextualSpacing w:val="0"/>
        <w:jc w:val="both"/>
        <w:rPr>
          <w:rFonts w:ascii="Times New Roman" w:hAnsi="Times New Roman" w:cs="Times New Roman"/>
          <w:b/>
          <w:bCs/>
          <w:noProof/>
          <w:sz w:val="24"/>
          <w:szCs w:val="24"/>
        </w:rPr>
      </w:pPr>
      <w:r>
        <w:rPr>
          <w:rFonts w:ascii="Times New Roman" w:hAnsi="Times New Roman"/>
          <w:b/>
          <w:bCs/>
          <w:noProof/>
          <w:sz w:val="24"/>
          <w:szCs w:val="24"/>
        </w:rPr>
        <w:t xml:space="preserve">ΗΓΕΤΙΚΟΣ ΡΟΛΟΣ ΣΤΟ ΑΙΤΗΜΑ ΥΠΕΡ ΤΗΣ ΙΣΟΤΗΤΑΣ ΤΩΝ ΛΟΑΤΚΙ ΣΕ ΠΑΓΚΟΣΜΙΟ ΕΠΙΠΕΔΟ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Τα δικαιώματα των ΛΟΑΤΚΙ είναι ανθρώπινα δικαιώματα και τα ΛΟΑΤΚΙ άτομα θα πρέπει να μπορούν να απολαμβάνουν πλήρως τα δικαιώματά τους παντού και ανά πάσα στιγμή.</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Ωστόσο, σε διάφορα μέρη του κόσμου η κατάσταση των ΛΟΑΤΚΙ εξακολουθεί να είναι επισφαλής, καθώς τα άτομα αυτά αντιμετωπίζουν σοβαρές παραβιάσεις δικαιωμάτων και κακοποίηση χωρίς να έχουν πρόσβαση στη δικαιοσύνη. Πολλοί αντιμετωπίζουν διακρίσεις, παρενόχληση, διώξεις, φυλάκιση ή ακόμα και φόνο ή θανατική ποινή</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απλώς επειδή είναι αυτοί που είναι. Η Επιτροπή και η Ευρωπαϊκή Υπηρεσία Εξωτερικής Δράσης (ΕΥΕΔ) δεσμεύονται να προστατεύουν τα εν λόγω άτομα και να τους δίνουν τη δυνατότητα να διεκδικούν τα δικαιώματά τους. Η κατάσταση των ΛΟΑΤΚΙ ατόμων διαφέρει επίσης σημαντικά μεταξύ των χωρών. Προκειμένου να μεγιστοποιηθεί ο αντίκτυπος της στήριξης της ΕΕ, απαιτείται ειδικά προσαρμοσμένη προσέγγιση, με χρήση όλων των μέσων που έχουμε στη διάθεσή μας. Η ΕΕ διεξάγει πολιτικό διάλογο με χώρες εταίρους με θέμα τους νόμους, τις πολιτικές και τις πρακτικές που εισάγουν διακρίσεις κατά των ΛΟΑΤΚΙ και την αποποινικοποίηση των ομόφυλων σχέσεων και των ταυτοτήτων τρανς. Θα δώσει το παράδειγμα, επιδεικνύοντας αλληλεγγύη και ενισχύοντας την ανθεκτικότητα στην προστασία και την προαγωγή των δικαιωμάτων των ΛΟΑΤΚΙ σε παγκόσμιο επίπεδο και συμβάλλοντας σε μια παγκόσμια ανάκαμψη που ενδυναμώνει όλους τους ανθρώπους να ευημερούν από κοινωνική, οικονομική και πολιτική άποψη και δεν αφήνει κανέναν στο περιθώριο.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Όλο και περισσότερο, οι υπερασπιστές των ανθρώπινων δικαιωμάτων θέτουν σε κίνδυνο τη ζωή τους για να προωθήσουν την ισότητα των ΛΟΑΤΚΙ. Εχθρικές ή απειλητικές για τη ζωή συνθήκες εξαναγκάζουν συχνά τα ΛΟΑΤΚΙ άτομα να διαφύγουν από τις χώρες καταγωγής τους. Η σθεναρή δέσμευση για προαγωγή και προστασία των ανθρώπινων δικαιωμάτων βρίσκεται στο επίκεντρο όλων των δραστηριοτήτων της ΕΕ. Είναι σημαντικό οι εσωτερικές και εξωτερικές δράσεις της ΕΕ στον συγκεκριμένο τομέα να είναι συνεπείς και αλληλοενισχυόμενες. Η ΕΕ θα προαγάγει τον ηγετικό της ρόλο παγκοσμίως όσον αφορά την προστασία του καθολικού και αδιαίρετου χαρακτήρα των ανθρώπινων δικαιωμάτων για όλους, συμπεριλαμβανομένων των ΛΟΑΤΚΙ ατόμων.</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Τα ΛΟΑΤΚΙ άτομα που αιτούνται άσυλο, ανεξαρτήτως των κινήτρων που τους οδηγούν στο αίτημα χορήγησης ασύλου, είναι συχνά εκτεθειμένα σε πρόσθετους κινδύνους κατά την άφιξή τους στην ΕΕ και οι ανάγκες τους μπορεί να διαφέρουν από αυτές άλλων αιτούντων άσυλο</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w:t>
      </w:r>
    </w:p>
    <w:p>
      <w:pPr>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szCs w:val="24"/>
        </w:rPr>
        <w:t xml:space="preserve">4.1 </w:t>
      </w:r>
      <w:r>
        <w:rPr>
          <w:noProof/>
        </w:rPr>
        <w:tab/>
      </w:r>
      <w:r>
        <w:rPr>
          <w:rFonts w:ascii="Times New Roman" w:hAnsi="Times New Roman"/>
          <w:b/>
          <w:noProof/>
          <w:sz w:val="24"/>
          <w:szCs w:val="24"/>
        </w:rPr>
        <w:t>Ενίσχυση της δέσμευσης της ΕΕ σε θέματα ΛΟΑΤΚΙ σε όλες τις εξωτερικές σχέσεις της</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ΕΕ θα ισχυροποιήσει τη δέσμευσή της όσον αφορά τα θέματα ΛΟΑΤΚΙ στο πλαίσιο των εξωτερικών σχέσεών της, τόσο σε πολιτικό όσο και σε τεχνικό επίπεδο. Θα καταβάλει ιδιαίτερες προσπάθειες για την καταπολέμηση της βίας, του μίσους και των διακρίσεων και τη διασφάλιση της στήριξης των δικαιωμάτων των ΛΟΑΤΚΙ στις χώρες εταίρους.</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Όσον αφορά τις υποψήφιες χώρες ή δυνάμει υποψήφιες χώρες, στο πλαίσιο των διαπραγματεύσεων προσχώρησης και της διαδικασίας σταθεροποίησης και σύνδεσης, μεταξύ άλλων, η Επιτροπή θα ασκήσει πίεση υπέρ της ισότητας των ΛΟΑΤΚΙ στον πολιτικό διάλογο και θα στηρίξει μέτρα για την αντιμετώπιση της βίας, του μίσους και των διακρίσεων κατά ΛΟΑΤΚΙ ατόμων, συμπεριλαμβανομένης της παροχής στήριξης σε οργανώσεις της κοινωνίας των πολιτών μέσω του Μηχανισμού Προενταξιακής Βοήθειας (ΜΠΒ). Επίσης, θα στηρίξει την παρακολούθηση και τη συλλογή δεδομένων σχετικά με την κατάσταση των ΛΟΑΤΚΙ ατόμων στην περιοχή και θα συνεχίσει να παρακολουθεί και να υποβάλλει εκθέσεις σχετικά με την κατάστασή τους στο πλαίσιο των ετήσιων εκθέσεων ανά χώρα της δέσμης μέτρων για τη διεύρυνση.</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ανταλλάξει βέλτιστες πρακτικές για την αντιμετώπιση των διακρίσεων και την προαγωγή των δικαιωμάτων των ΛΟΑΤΚΙ εκτός των συνόρων της ΕΕ, μέσω της συνεργασίας και της δέσμευσής της με το Συμβούλιο της Ευρώπης, τα Ηνωμένα Έθνη και άλλους σχετικούς διεθνείς και περιφερειακούς φορείς.</w:t>
      </w:r>
    </w:p>
    <w:p>
      <w:pPr>
        <w:spacing w:after="240" w:line="240" w:lineRule="auto"/>
        <w:jc w:val="both"/>
        <w:rPr>
          <w:rFonts w:ascii="Times New Roman" w:hAnsi="Times New Roman" w:cs="Times New Roman"/>
          <w:noProof/>
          <w:sz w:val="24"/>
          <w:szCs w:val="24"/>
        </w:rPr>
      </w:pPr>
      <w:r>
        <w:rPr>
          <w:rFonts w:ascii="Times New Roman" w:hAnsi="Times New Roman"/>
          <w:bCs/>
          <w:noProof/>
          <w:sz w:val="24"/>
          <w:szCs w:val="24"/>
        </w:rPr>
        <w:t>Το σχέδιο δράσης για τα ανθρώπινα δικαιώματα και τη δημοκρατία 2020-2024</w:t>
      </w:r>
      <w:r>
        <w:rPr>
          <w:rStyle w:val="FootnoteReference"/>
          <w:rFonts w:ascii="Times New Roman" w:hAnsi="Times New Roman" w:cs="Times New Roman"/>
          <w:bCs/>
          <w:noProof/>
          <w:sz w:val="24"/>
          <w:szCs w:val="24"/>
        </w:rPr>
        <w:footnoteReference w:id="70"/>
      </w:r>
      <w:r>
        <w:rPr>
          <w:rFonts w:ascii="Times New Roman" w:hAnsi="Times New Roman"/>
          <w:bCs/>
          <w:noProof/>
          <w:sz w:val="24"/>
          <w:szCs w:val="24"/>
        </w:rPr>
        <w:t xml:space="preserve"> ανανεώνει τη δέσμευση της ΕΕ και καλεί σε δράση </w:t>
      </w:r>
      <w:r>
        <w:rPr>
          <w:rFonts w:ascii="Times New Roman" w:hAnsi="Times New Roman"/>
          <w:noProof/>
          <w:sz w:val="24"/>
          <w:szCs w:val="24"/>
        </w:rPr>
        <w:t>για την καταπολέμηση όλων των μορφών διακρίσεων, με ιδιαίτερη έμφαση σε πολλαπλές και διατομεακές μορφές διακρίσεων. Καταδικάζει νόμους, πολιτικές και πρακτικές που εισάγουν διακρίσεις, συμπεριλαμβανομένης της ποινικοποίησης των ομόφυλων σχέσεων. Η ΕΕ θα αναλάβει δράση για την ισότητα των ΛΟΑΤΚΙ σε διεθνή φόρουμ, θα οικοδομήσει διεθνείς εταιρικές σχέσεις με βάση τις αρχές της ισότητας και της απαγόρευσης των διακρίσεων και θα ανταλλάσσει τακτικά απόψεις με χώρες εταίρους σε διαλόγους για θέματα πολιτικής και ανθρώπινων δικαιωμάτων σύμφωνα με</w:t>
      </w:r>
      <w:r>
        <w:rPr>
          <w:rFonts w:ascii="Times New Roman" w:hAnsi="Times New Roman"/>
          <w:bCs/>
          <w:noProof/>
          <w:sz w:val="24"/>
          <w:szCs w:val="24"/>
        </w:rPr>
        <w:t xml:space="preserve"> τις κατευθυντήριες γραμμές της για προαγωγή και προστασία των ανθρώπινων δικαιωμάτων των ΛΟΑΤΙ ατόμων</w:t>
      </w:r>
      <w:r>
        <w:rPr>
          <w:rStyle w:val="FootnoteReference"/>
          <w:rFonts w:ascii="Times New Roman" w:hAnsi="Times New Roman" w:cs="Times New Roman"/>
          <w:noProof/>
          <w:sz w:val="24"/>
          <w:szCs w:val="24"/>
        </w:rPr>
        <w:footnoteReference w:id="71"/>
      </w:r>
      <w:r>
        <w:rPr>
          <w:rFonts w:ascii="Times New Roman" w:hAnsi="Times New Roman"/>
          <w:bCs/>
          <w:noProof/>
          <w:sz w:val="24"/>
          <w:szCs w:val="24"/>
        </w:rPr>
        <w:t xml:space="preserve"> και  τις κατευθυντήριες γραμμές της για τα ανθρώπινα δικαιώματα όσον αφορά την απαγόρευση των διακρίσεων στην εξωτερική δράση</w:t>
      </w:r>
      <w:r>
        <w:rPr>
          <w:rStyle w:val="FootnoteReference"/>
          <w:rFonts w:ascii="Times New Roman" w:hAnsi="Times New Roman" w:cs="Times New Roman"/>
          <w:bCs/>
          <w:noProof/>
          <w:sz w:val="24"/>
          <w:szCs w:val="24"/>
        </w:rPr>
        <w:footnoteReference w:id="72"/>
      </w:r>
      <w:r>
        <w:rPr>
          <w:rFonts w:ascii="Times New Roman" w:hAnsi="Times New Roman"/>
          <w:bCs/>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Οι τοπικές οργανώσεις της κοινωνίας των πολιτών που εργάζονται στην πρώτη γραμμή για την προαγωγή και προστασία των δικαιωμάτων των ΛΟΑΤΚΙ θα έχουν τη στήριξη της χρηματοδότησης της ΕΕ.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εξακολουθήσει να στηρίζει εθνικά, περιφερειακά και παγκόσμια προγράμματα υπέρ των υπερασπιστών των ανθρώπινων δικαιωμάτων των ΛΟΑΤΚΙ και των οργανώσεών τους. Για παράδειγμα, παρέχεται στήριξη για την ενίσχυση ικανοτήτων με στόχο:</w:t>
      </w:r>
    </w:p>
    <w:p>
      <w:pPr>
        <w:pStyle w:val="ListParagraph"/>
        <w:numPr>
          <w:ilvl w:val="0"/>
          <w:numId w:val="4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την ανάπτυξη ισχυρών κινημάτων σε όλο τον κόσμο·</w:t>
      </w:r>
    </w:p>
    <w:p>
      <w:pPr>
        <w:pStyle w:val="ListParagraph"/>
        <w:numPr>
          <w:ilvl w:val="0"/>
          <w:numId w:val="4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την ενίσχυση τοπικών, εθνικών και περιφερειακών πρωτοβουλιών για τα ανθρώπινα δικαιώματα· και </w:t>
      </w:r>
    </w:p>
    <w:p>
      <w:pPr>
        <w:pStyle w:val="ListParagraph"/>
        <w:numPr>
          <w:ilvl w:val="0"/>
          <w:numId w:val="4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τη δημιουργία συμμαχιών στις περιοχές της διεύρυνσης και της γειτονίας, στην Αφρική, στην Ασία και στον Ειρηνικό και στη Λατινική Αμερική και Καραϊβική.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ΕΕ θα εξακολουθήσει να ανταποκρίνεται άμεσα προκειμένου να προστατεύει μεμονωμένους υπερασπιστές των δικαιωμάτων των ΛΟΑΤΚΙ. Η Επιτροπή θα συνεχίσει να καταβάλλει κάθε προσπάθεια για να διασφαλίσει ότι η ανθρωπιστική βοήθεια εξακολουθεί να λαμβάνει υπόψη τη διάσταση του φύλου και της ηλικίας, προσαρμόζεται στις ανάγκες των διαφορετικών φύλων και ηλικιακών ομάδων (συμπεριλαμβανομένων των ΛΟΑΤΚΙ κοινοτήτων/ατόμων) και συνάδει με τις ανθρωπιστικές αρχές, συμπεριλαμβανομένης της αρχής της αμεροληψίας (απαγόρευση των διακρίσεων). Τέλος, το σχέδιο δράσης της ΕΕ για την ισότητα των φύλων και την ενδυνάμωση των γυναικών στις εξωτερικές σχέσεις (2021-2025) (GAP ΙΙΙ) θα βασιστεί, μεταξύ άλλων, στην αρχή της διατομεακότητας και προάγει την ισότητα ανδρών και γυναικών σε όλη την πολυμορφία τους.</w:t>
      </w:r>
    </w:p>
    <w:p>
      <w:pPr>
        <w:spacing w:after="240" w:line="240" w:lineRule="auto"/>
        <w:jc w:val="both"/>
        <w:rPr>
          <w:rFonts w:ascii="Times New Roman" w:hAnsi="Times New Roman" w:cs="Times New Roman"/>
          <w:bCs/>
          <w:noProof/>
          <w:sz w:val="24"/>
          <w:szCs w:val="24"/>
        </w:rPr>
      </w:pPr>
      <w:r>
        <w:rPr>
          <w:rFonts w:ascii="Times New Roman" w:hAnsi="Times New Roman"/>
          <w:bCs/>
          <w:noProof/>
          <w:sz w:val="24"/>
          <w:szCs w:val="24"/>
        </w:rPr>
        <w:t>Η κρίση της νόσου COVID-19 έχει επίσης εντείνει τις διακρίσεις και τη βία κατά ΛΟΑΤΚΙ ατόμων πέραν των συνόρων της Ευρώπης. Στο πλαίσιο της παγκόσμιας αντίδρασής της στην πανδημία COVID-19 μέσω της «Ομάδας Ευρώπη» στις 8 Απριλίου 2020, η ΕΕ υιοθέτησε μια προσέγγιση με βάση τα ανθρώπινα δικαιώματα και στόχο την «καλύτερη αποκατάσταση» και τη στήριξη δικαιότερων, πιο ενταξιακών και βιώσιμων κοινωνιών και την εφαρμογή του θεματολογίου του 2030, χωρίς να μένει κανείς στο περιθώριο</w:t>
      </w:r>
      <w:r>
        <w:rPr>
          <w:rStyle w:val="FootnoteReference"/>
          <w:rFonts w:ascii="Times New Roman" w:hAnsi="Times New Roman" w:cs="Times New Roman"/>
          <w:bCs/>
          <w:noProof/>
          <w:sz w:val="24"/>
          <w:szCs w:val="24"/>
        </w:rPr>
        <w:footnoteReference w:id="73"/>
      </w:r>
      <w:r>
        <w:rPr>
          <w:rFonts w:ascii="Times New Roman" w:hAnsi="Times New Roman"/>
          <w:bCs/>
          <w:noProof/>
          <w:sz w:val="24"/>
          <w:szCs w:val="24"/>
        </w:rPr>
        <w:t>. Η ΕΕ θέτει ως προτεραιότητα τα υγειονομικά και κοινωνικοοικονομικά μέτρα, διασφαλίζοντας, για παράδειγμα, ότι οι υπηρεσίες στήριξης και οι βασικές κοινωνικές υπηρεσίες εξακολουθούν να είναι διαθέσιμες για όλους, και θα συνεχίσει να προάγει και να στηρίζει τα ανθρώπινα δικαιώματα, την ισότητα, την απαγόρευση των διακρίσεων, τις αξιοπρεπείς συνθήκες εργασίας, την καταπολέμηση της βίας, καθώς και τις θεμελιώδεις αξίες στο πλαίσιο αυτό.</w:t>
      </w:r>
    </w:p>
    <w:p>
      <w:pPr>
        <w:spacing w:after="24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8918"/>
      </w:tblGrid>
      <w:tr>
        <w:trPr>
          <w:trHeight w:val="699"/>
        </w:trPr>
        <w:tc>
          <w:tcPr>
            <w:tcW w:w="8918" w:type="dxa"/>
          </w:tcPr>
          <w:p>
            <w:pPr>
              <w:spacing w:after="120"/>
              <w:jc w:val="both"/>
              <w:rPr>
                <w:rFonts w:ascii="Times New Roman" w:hAnsi="Times New Roman" w:cs="Times New Roman"/>
                <w:b/>
                <w:bCs/>
                <w:noProof/>
              </w:rPr>
            </w:pPr>
            <w:r>
              <w:rPr>
                <w:rFonts w:ascii="Times New Roman" w:hAnsi="Times New Roman"/>
                <w:b/>
                <w:bCs/>
                <w:noProof/>
              </w:rPr>
              <w:t xml:space="preserve">Βασικές δράσεις της Ευρωπαϊκής Επιτροπής:  </w:t>
            </w:r>
          </w:p>
          <w:p>
            <w:pPr>
              <w:pStyle w:val="ListParagraph"/>
              <w:numPr>
                <w:ilvl w:val="0"/>
                <w:numId w:val="20"/>
              </w:numPr>
              <w:spacing w:after="120" w:line="240" w:lineRule="auto"/>
              <w:ind w:left="284" w:hanging="284"/>
              <w:contextualSpacing w:val="0"/>
              <w:jc w:val="both"/>
              <w:rPr>
                <w:rFonts w:ascii="Times New Roman" w:hAnsi="Times New Roman" w:cs="Times New Roman"/>
                <w:noProof/>
              </w:rPr>
            </w:pPr>
            <w:r>
              <w:rPr>
                <w:rFonts w:ascii="Times New Roman" w:hAnsi="Times New Roman"/>
                <w:noProof/>
              </w:rPr>
              <w:t>υλοποίηση δράσεων για τη στήριξη των δικαιωμάτων των ΛΟΑΤΚΙ σύμφωνα με το σχέδιο δράσης της ΕΕ για τα ανθρώπινα δικαιώματα και τη δημοκρατία 2020-2024 και τις κατευθυντήριες γραμμές της ΕΕ για προαγωγή και προστασία της άσκησης όλων των ανθρώπινων δικαιωμάτων από τα ΛΟΑΤΙ άτομα·</w:t>
            </w:r>
          </w:p>
          <w:p>
            <w:pPr>
              <w:pStyle w:val="ListParagraph"/>
              <w:numPr>
                <w:ilvl w:val="0"/>
                <w:numId w:val="20"/>
              </w:numPr>
              <w:spacing w:after="120" w:line="240" w:lineRule="auto"/>
              <w:ind w:left="284" w:hanging="284"/>
              <w:contextualSpacing w:val="0"/>
              <w:jc w:val="both"/>
              <w:rPr>
                <w:noProof/>
                <w:sz w:val="24"/>
                <w:szCs w:val="24"/>
              </w:rPr>
            </w:pPr>
            <w:r>
              <w:rPr>
                <w:rFonts w:ascii="Times New Roman" w:hAnsi="Times New Roman"/>
                <w:noProof/>
              </w:rPr>
              <w:t>διασφάλιση της στήριξης της ισότητας των ΛΟΑΤΚΙ στο πλαίσιο του Μηχανισμού Γειτονίας, Ανάπτυξης και Διεθνούς Συνεργασίας και του Μηχανισμού Προενταξιακής Βοήθειας</w:t>
            </w:r>
            <w:r>
              <w:rPr>
                <w:rFonts w:ascii="Times New Roman" w:hAnsi="Times New Roman"/>
                <w:noProof/>
                <w:sz w:val="24"/>
                <w:szCs w:val="24"/>
              </w:rPr>
              <w:t>.</w:t>
            </w:r>
          </w:p>
        </w:tc>
      </w:tr>
    </w:tbl>
    <w:p>
      <w:pPr>
        <w:pStyle w:val="ListParagraph"/>
        <w:spacing w:after="240" w:line="240" w:lineRule="auto"/>
        <w:ind w:left="567"/>
        <w:jc w:val="both"/>
        <w:rPr>
          <w:rFonts w:ascii="Times New Roman" w:hAnsi="Times New Roman" w:cs="Times New Roman"/>
          <w:b/>
          <w:noProof/>
          <w:sz w:val="24"/>
          <w:szCs w:val="28"/>
        </w:rPr>
      </w:pPr>
    </w:p>
    <w:p>
      <w:pPr>
        <w:pStyle w:val="ListParagraph"/>
        <w:spacing w:after="240" w:line="240" w:lineRule="auto"/>
        <w:ind w:left="567"/>
        <w:jc w:val="both"/>
        <w:rPr>
          <w:rFonts w:ascii="Times New Roman" w:hAnsi="Times New Roman" w:cs="Times New Roman"/>
          <w:b/>
          <w:noProof/>
          <w:sz w:val="24"/>
          <w:szCs w:val="28"/>
        </w:rPr>
      </w:pPr>
    </w:p>
    <w:p>
      <w:pPr>
        <w:pStyle w:val="ListParagraph"/>
        <w:numPr>
          <w:ilvl w:val="0"/>
          <w:numId w:val="5"/>
        </w:numPr>
        <w:spacing w:after="240" w:line="240" w:lineRule="auto"/>
        <w:ind w:left="567" w:hanging="567"/>
        <w:jc w:val="both"/>
        <w:rPr>
          <w:rFonts w:ascii="Times New Roman" w:hAnsi="Times New Roman" w:cs="Times New Roman"/>
          <w:b/>
          <w:noProof/>
          <w:sz w:val="24"/>
          <w:szCs w:val="28"/>
        </w:rPr>
      </w:pPr>
      <w:r>
        <w:rPr>
          <w:rFonts w:ascii="Times New Roman" w:hAnsi="Times New Roman"/>
          <w:b/>
          <w:noProof/>
          <w:sz w:val="24"/>
          <w:szCs w:val="28"/>
        </w:rPr>
        <w:t>ΥΛΟΠΟΙΗΣΗ ΤΗΣ ΣΤΡΑΤΗΓΙΚΗΣ: ΠΛΗΡΗΣ ΑΞΙΟΠΟΙΗΣΗ ΤΩΝ ΠΡΩΤΟΒΟΥΛΙΩΝ ΤΗΣ ΕΕ</w:t>
      </w:r>
    </w:p>
    <w:p>
      <w:pPr>
        <w:pStyle w:val="CommentText"/>
        <w:jc w:val="both"/>
        <w:rPr>
          <w:rFonts w:ascii="Times New Roman" w:hAnsi="Times New Roman" w:cs="Times New Roman"/>
          <w:noProof/>
          <w:sz w:val="24"/>
          <w:szCs w:val="24"/>
        </w:rPr>
      </w:pPr>
      <w:r>
        <w:rPr>
          <w:rFonts w:ascii="Times New Roman" w:hAnsi="Times New Roman"/>
          <w:noProof/>
          <w:sz w:val="24"/>
          <w:szCs w:val="24"/>
        </w:rPr>
        <w:t xml:space="preserve">Για την επίτευξη των στόχων που τίθενται στη στρατηγική, η Επιτροπή θα συνδυάσει τις στοχευμένες δράσεις που περιγράφονται ανωτέρω με ενισχυμένη ενσωμάτωση της ισότητας. Η Επιτροπή θα διασφαλίσει ότι η καταπολέμηση των διακρίσεων που πλήττουν ΛΟΑΤΚΙ άτομα, καθώς και η προώθηση της ισότητας, ενσωματώνονται στο σύνολο των πολιτικών, νομοθεσιών και προγραμμάτων χρηματοδότησης της ΕΕ, τόσο εσωτερικών όσο και εξωτερικών. Σε αυτό θα συνεισφέρουν η πρώτη Ευρωπαία Επίτροπος Ισότητας και η ειδική ομάδα για την ισότητα.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Η παρούσα στρατηγική θα υλοποιηθεί με εφαρμογή της </w:t>
      </w:r>
      <w:r>
        <w:rPr>
          <w:rFonts w:ascii="Times New Roman" w:hAnsi="Times New Roman"/>
          <w:bCs/>
          <w:noProof/>
          <w:sz w:val="24"/>
          <w:szCs w:val="24"/>
        </w:rPr>
        <w:t>διατομεακότητας</w:t>
      </w:r>
      <w:r>
        <w:rPr>
          <w:rFonts w:ascii="Times New Roman" w:hAnsi="Times New Roman"/>
          <w:noProof/>
          <w:sz w:val="24"/>
          <w:szCs w:val="24"/>
        </w:rPr>
        <w:t xml:space="preserve"> ως οριζόντιας αρχής: ο γενετήσιος προσανατολισμός, η έκφραση/ταυτότητα φύλου και/ή τα χαρακτηριστικά φύλου </w:t>
      </w:r>
      <w:r>
        <w:rPr>
          <w:rFonts w:ascii="Times New Roman" w:hAnsi="Times New Roman"/>
          <w:bCs/>
          <w:noProof/>
          <w:sz w:val="24"/>
          <w:szCs w:val="24"/>
        </w:rPr>
        <w:t>θα λαμβάνονται υπόψη σε συνδυασμό</w:t>
      </w:r>
      <w:r>
        <w:rPr>
          <w:rFonts w:ascii="Times New Roman" w:hAnsi="Times New Roman"/>
          <w:noProof/>
          <w:sz w:val="24"/>
          <w:szCs w:val="24"/>
        </w:rPr>
        <w:t xml:space="preserve"> με άλλα προσωπικά χαρακτηριστικά ή ταυτότητες, όπως φύλο, φυλετική/εθνοτική καταγωγή, θρησκεία/πεποιθήσεις, αναπηρία και ηλικία. Η συγκεκριμένη αρχή βοηθά στην εξήγηση του ρόλου που διαδραματίζουν οι εν λόγω αλληλεπιδράσεις σε εμπειρίες διακρίσεων και στην ευάλωτη θέση των ατόμων. Οι ΛΑΤΚΙ γυναίκες μπορεί να βιώνουν διακρίσεις αφενός ως γυναίκες και, αφετέρου, ως ΛΑΤΚΙ άτομα. Τα ΛΟΑΤΚΙ άτομα με αναπηρία μπορεί να αντιμετωπίζουν πρόσθετες δυσκολίες να λάβουν στήριξη και ενημέρωση, καθώς και να συμμετάσχουν πλήρως στην κοινότητα ΛΟΑΤΚΙ και στην κοινωνία γενικότερα, εξαιτίας της έλλειψης προσβασιμότητας, με αποτέλεσμα να επιδεινώνεται ο αποκλεισμός τους</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Τα ΛΟΑΤΚΙ άτομα με αναπηρία χρειάζονται πρόσβαση σε προσβάσιμες και εναλλακτικές μορφές ενημέρωσης σχετικά με τη στήριξη και τα δικαιώματα, καθώς και δυνατότητα πρόσβασης σε χώρους, μέρη και δίκτυα στήριξης ΛΟΑΤΚΙ. </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Η στρατηγική αντιμετωπίζει επίσης τις ανισότητες που ανέδειξε η κρίση της νόσου COVID-19, η οποία έπληξε δυσανάλογα τα ευάλωτα ΛΟΑΤΚΙ άτομα. Ως μέρος των εργασιών της, η Επιτροπή θα ενθαρρύνει τα κράτη μέλη να αξιοποιήσουν στο έπακρο τις ευκαιρίες που προσφέρει το μέσο ανάκαμψης Next Generation EU για τον μετριασμό των δυσανάλογων επιπτώσεων της κρίσης και την προαγωγή της ισότητας των ΛΟΑΤΚΙ. Επιπλέον, η Ευρωπαϊκή Επιτροπή θα είναι σε ετοιμότητα προκειμένου να βοηθήσει τα κράτη μέλη στην ενσωμάτωση της ισότητας κατά τον σχεδιασμό και την υλοποίηση μεταρρυθμίσεων μέσω του Μέσου Τεχνικής Υποστήριξης</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Η χρηματοδότηση της ΕΕ είναι καθοριστική για τη στήριξη της υλοποίησης των πολιτικών της ΕΕ στα κράτη μέλη. Τα κονδύλια της ΕΕ που διαχειρίζονται τα κράτη μέλη πρέπει να παρέχουν οφέλη σε όλους τους πολίτες της ΕΕ, χωρίς καμία μορφή διάκρισης για λόγους φύλου, φυλετικής ή εθνοτικής καταγωγής, θρησκείας ή πεποιθήσεων, αναπηρίας, ηλικίας ή γενετήσιου προσανατολισμού. Στο πλαίσιο αυστηρής παρακολούθησης, η Επιτροπή και τα κράτη μέλη πρέπει να διασφαλίσουν ότι τα κονδύλια της ΕΕ συμβάλλουν στην ισότητα και ότι όλα τα χρηματοδοτούμενα από την ΕΕ έργα συμμορφώνονται με το δίκαιο της ΕΕ, συμπεριλαμβανομένων των Συνθηκών και του Χάρτη των Θεμελιωδών Δικαιωμάτων. Εάν τα έργα παραβιάζουν τους κανόνες απαγόρευσης των διακρίσεων της ΕΕ, η χρηματοδότηση μπορεί να αναστέλλεται ή να ανακαλείται. Η πρόταση της Επιτροπής για νέο κανονισμό περί κοινών διατάξεων (ΚΚΔ)</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που θεσπίζει κανόνες για την περίοδο προγραμματισμού 2021-2027 περιλαμβάνει έναν «αναγκαίο πρόσφορο όρο»</w:t>
      </w:r>
      <w:r>
        <w:rPr>
          <w:rFonts w:ascii="Times New Roman" w:hAnsi="Times New Roman" w:cs="Times New Roman"/>
          <w:noProof/>
          <w:sz w:val="24"/>
          <w:szCs w:val="24"/>
          <w:vertAlign w:val="superscript"/>
        </w:rPr>
        <w:footnoteReference w:id="77"/>
      </w:r>
      <w:r>
        <w:rPr>
          <w:rFonts w:ascii="Times New Roman" w:hAnsi="Times New Roman"/>
          <w:noProof/>
          <w:sz w:val="24"/>
          <w:szCs w:val="24"/>
        </w:rPr>
        <w:t xml:space="preserve"> σε σχέση με τον Χάρτη. Επιπλέον, τα κράτη μέλη υποχρεούνται να θεσπίζουν και να εφαρμόζουν κριτήρια και διαδικασίες για την επιλογή έργων που δεν εισάγουν διακρίσεις και λαμβάνουν υπόψη τον Χάρτη.  </w:t>
      </w:r>
    </w:p>
    <w:p>
      <w:pPr>
        <w:jc w:val="both"/>
        <w:rPr>
          <w:rFonts w:ascii="Times New Roman" w:hAnsi="Times New Roman" w:cs="Times New Roman"/>
          <w:noProof/>
          <w:sz w:val="24"/>
          <w:szCs w:val="24"/>
        </w:rPr>
      </w:pPr>
      <w:r>
        <w:rPr>
          <w:rFonts w:ascii="Times New Roman" w:hAnsi="Times New Roman"/>
          <w:noProof/>
          <w:sz w:val="24"/>
          <w:szCs w:val="24"/>
        </w:rPr>
        <w:t>Η ύπαρξη αξιόπιστων και συγκρίσιμων δεδομένων σχετικά με την ισότητα θα είναι καθοριστικής σημασίας για την αξιολόγηση της κατάστασης των ΛΟΑΤΚΙ ατόμων και την αποτελεσματική αντιμετώπιση των ανισοτήτων. Η Επιτροπή θα καλέσει τον Οργανισμό Θεμελιωδών Δικαιωμάτων (FRA) και το Ευρωπαϊκό Ινστιτούτο για την Ισότητα των Φύλων (στο εξής: EIGE) να συνεχίσουν να παρέχουν τεχνική βοήθεια και μεθοδολογική υποστήριξη στα κράτη μέλη για τον σχεδιασμό και την υλοποίηση διαδικασιών συλλογής δεδομένων σχετικά με τα ΛΟΑΤΚΙ άτομα, τόσο για ειδικά όσο και για διατομεακά ζητήματα. Θα υποστηρίξει επίσης τη συλλογή διεξοδικών διατομεακών δεδομένων από τον FRA, το EIGE και τα κράτη μέλη, ιδίως μέσω της υποομάδας δεδομένων για την ισότητα της ομάδας υψηλού επιπέδου για την καταπολέμηση των διακρίσεων, την ισότητα και την πολυμορφία.</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Επιπλέον, η Επιτροπή θα διοργανώσει συζήτηση στρογγυλής τραπέζης σχετικά με τα δεδομένα για την ισότητα, στην οποία θα συμμετάσχουν βασικοί ενδιαφερόμενοι φορείς προκειμένου να εξετάσουν τα εμπόδια για τη συλλογή δεδομένων σχετικά με τη φυλετική ή εθνοτική καταγωγή και να εντοπίσουν τρόπους για μια πιο εναρμονισμένη προσέγγιση, μεταξύ άλλων όσον αφορά τα διατομεακά δεδομένα, για παράδειγμα, σχετικά με τη φυλετική ή εθνοτική καταγωγή και τον γενετήσιο προσανατολισμό.</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(Eurostat) θα συνεχίσει το έργο της σε σχέση με τα δεδομένα για την ισότητα εν γένει, αντιμετωπίζοντας το ζήτημα σε απευθείας συνεργασία με τα κράτη μέλη στο πλαίσιο συνεδριάσεων τεχνικού χαρακτήρα με τις εθνικές στατιστικές υπηρεσίες, εφόσον κριθεί σκόπιμο. Η Eurostat θα παράσχει μεθοδολογική υποστήριξη στις υπηρεσίες της Επιτροπής για την αξιολόγηση της δυνατότητας συλλογής στατιστικών δεδομένων για τα ΛΟΑΤΚΙ άτομα, τα οποία θα διατίθενται από τα κράτη μέλη σε εθελοντική βάση.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Νέο Ευρωβαρόμετρο σχετικά με τις διακρίσεις στην ΕΕ θα δημοσιευτεί το 2023. Η Επιτροπή θα ενθαρρύνει επίσης τον FRA να διενεργήσει ολοκληρωμένη έρευνα για τους ΛΟΑΤΚΙ το 2024.</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Τα κράτη μέλη ενθαρρύνονται να βασιστούν στις υπάρχουσες βέλτιστες πρακτικές</w:t>
      </w:r>
      <w:r>
        <w:rPr>
          <w:noProof/>
          <w:vertAlign w:val="superscript"/>
        </w:rPr>
        <w:footnoteReference w:id="78"/>
      </w:r>
      <w:r>
        <w:rPr>
          <w:rFonts w:ascii="Times New Roman" w:hAnsi="Times New Roman"/>
          <w:noProof/>
          <w:sz w:val="24"/>
          <w:szCs w:val="24"/>
        </w:rPr>
        <w:t xml:space="preserve"> και να αναπτύξουν τα δικά τους σχέδια δράσης για την ισότητα των ΛΟΑΤΚΙ. Στόχος θα είναι να ενισχυθεί η προστασία έναντι διακρίσεων κατά ΛΟΑΤΚΙ, να διασφαλιστεί η παρακολούθηση των στόχων και των δράσεων που καθορίζει η παρούσα στρατηγική σε εθνικό επίπεδο και να συμπληρωθούν με μέτρα για την προαγωγή της ισότητας των ΛΟΑΤΚΙ σε τομείς αρμοδιότητας των κρατών μελών. Επίσης, η Επιτροπή θα συνεχίσει να στηρίζει και να προβάλλει προσπάθειες πόλεων να θεσπίσουν ισχυρές πολιτικές ένταξης σε τοπικό επίπεδο μέσω, μεταξύ άλλων, της ανακήρυξης μίας ή περισσοτέρων ευρωπαϊκών πρωτευουσών ένταξης και πολυμορφίας κάθε έτος.</w:t>
      </w:r>
    </w:p>
    <w:p>
      <w:pPr>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Πέραν της υλοποίησης των βασικών δράσεων που καθορίζονται στην παρούσα στρατηγική, η Επιτροπή θα συστήσει μια υποομάδα για την ισότητα των ΛΟΑΤΚΙ στο πλαίσιο της ομάδας υψηλού επιπέδου για την καταπολέμηση των διακρίσεων, την ισότητα και την πολυμορφία, η οποία θα στηρίζει και θα παρακολουθεί την πρόοδο των κρατών μελών, μεταξύ άλλων, όσον αφορά την ανάπτυξη εθνικών σχεδίων δράσης για την ισότητα των ΛΟΑΤΚΙ. Θα διοργανώνει τακτικές συνεδριάσεις, σε πολιτικό επίπεδο και επίπεδο εμπειρογνωμόνων, με την κοινωνία των πολιτών και τα κράτη μέλη, και θα συμμετέχει στις εργασίες του δικτύου κυβερνητικών σημείων επαφής του Συμβουλίου της Ευρώπης για τα ΛΟΑΤΙ άτομα. Θα παρακολουθεί σε τακτική βάση την υλοποίηση των δράσεων που εκτίθενται στην παρούσα στρατηγική και θα παρουσιάσει μια ενδιάμεση επανεξέταση το 2023. </w:t>
      </w:r>
    </w:p>
    <w:p>
      <w:pPr>
        <w:spacing w:after="120" w:line="240" w:lineRule="auto"/>
        <w:contextualSpacing/>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60"/>
      </w:tblGrid>
      <w:tr>
        <w:trPr>
          <w:trHeight w:val="699"/>
        </w:trPr>
        <w:tc>
          <w:tcPr>
            <w:tcW w:w="9060" w:type="dxa"/>
          </w:tcPr>
          <w:p>
            <w:pPr>
              <w:spacing w:after="120"/>
              <w:jc w:val="both"/>
              <w:rPr>
                <w:rFonts w:ascii="Times New Roman" w:hAnsi="Times New Roman" w:cs="Times New Roman"/>
                <w:b/>
                <w:bCs/>
                <w:noProof/>
                <w:sz w:val="24"/>
                <w:szCs w:val="24"/>
              </w:rPr>
            </w:pPr>
            <w:r>
              <w:rPr>
                <w:rFonts w:ascii="Times New Roman" w:hAnsi="Times New Roman"/>
                <w:b/>
                <w:bCs/>
                <w:noProof/>
                <w:sz w:val="24"/>
                <w:szCs w:val="24"/>
              </w:rPr>
              <w:t xml:space="preserve">Βασικές δράσεις της Ευρωπαϊκής Επιτροπής:  </w:t>
            </w:r>
          </w:p>
          <w:p>
            <w:pPr>
              <w:pStyle w:val="ListParagraph"/>
              <w:numPr>
                <w:ilvl w:val="0"/>
                <w:numId w:val="20"/>
              </w:numPr>
              <w:spacing w:after="120" w:line="240" w:lineRule="auto"/>
              <w:ind w:left="315" w:hanging="284"/>
              <w:contextualSpacing w:val="0"/>
              <w:jc w:val="both"/>
              <w:rPr>
                <w:rFonts w:ascii="Times New Roman" w:hAnsi="Times New Roman" w:cs="Times New Roman"/>
                <w:noProof/>
              </w:rPr>
            </w:pPr>
            <w:r>
              <w:rPr>
                <w:rFonts w:ascii="Times New Roman" w:hAnsi="Times New Roman"/>
                <w:noProof/>
              </w:rPr>
              <w:t>αξιολόγηση και παρακολούθηση της εκπλήρωσης του αναγκαίου πρόσφορου όρου που σχετίζεται με τον Χάρτη των Θεμελιωδών Δικαιωμάτων, όπως προβλέπεται στην πρόταση της Επιτροπής για νέο κανονισμό περί κοινών διατάξεων (ΚΚΔ)·</w:t>
            </w:r>
          </w:p>
          <w:p>
            <w:pPr>
              <w:pStyle w:val="ListParagraph"/>
              <w:numPr>
                <w:ilvl w:val="0"/>
                <w:numId w:val="20"/>
              </w:numPr>
              <w:spacing w:after="120" w:line="240" w:lineRule="auto"/>
              <w:ind w:left="315" w:hanging="284"/>
              <w:contextualSpacing w:val="0"/>
              <w:jc w:val="both"/>
              <w:rPr>
                <w:rFonts w:ascii="Times New Roman" w:hAnsi="Times New Roman" w:cs="Times New Roman"/>
                <w:noProof/>
              </w:rPr>
            </w:pPr>
            <w:r>
              <w:rPr>
                <w:rFonts w:ascii="Times New Roman" w:hAnsi="Times New Roman"/>
                <w:noProof/>
              </w:rPr>
              <w:t>παρακολούθηση της υλοποίησης των προγραμμάτων με χρηματοδότηση της ΕΕ, ώστε να διασφαλιστεί ότι σέβονται τις αρχές της ισότητας και συμμορφώνονται με το δίκαιο της ΕΕ, συμπεριλαμβανομένων των Συνθηκών και του Χάρτη των Θεμελιωδών Δικαιωμάτων·</w:t>
            </w:r>
          </w:p>
          <w:p>
            <w:pPr>
              <w:pStyle w:val="ListParagraph"/>
              <w:numPr>
                <w:ilvl w:val="0"/>
                <w:numId w:val="20"/>
              </w:numPr>
              <w:spacing w:after="120"/>
              <w:ind w:left="315" w:hanging="284"/>
              <w:contextualSpacing w:val="0"/>
              <w:jc w:val="both"/>
              <w:rPr>
                <w:rFonts w:ascii="Times New Roman" w:hAnsi="Times New Roman" w:cs="Times New Roman"/>
                <w:noProof/>
                <w:sz w:val="24"/>
                <w:szCs w:val="24"/>
              </w:rPr>
            </w:pPr>
            <w:r>
              <w:rPr>
                <w:rFonts w:ascii="Times New Roman" w:hAnsi="Times New Roman"/>
                <w:noProof/>
              </w:rPr>
              <w:t>πρόσκληση στον FRA και στο EIGE να συνεχίσουν να παρέχουν τεχνική βοήθεια και μεθοδολογική υποστήριξη στα κράτη μέλη όσον αφορά τον σχεδιασμό και την υλοποίηση διαδικασιών συλλογής δεδομένων για τα ΛΟΑΤΚΙ άτομα.</w:t>
            </w:r>
          </w:p>
        </w:tc>
      </w:tr>
      <w:tr>
        <w:trPr>
          <w:trHeight w:val="699"/>
        </w:trPr>
        <w:tc>
          <w:tcPr>
            <w:tcW w:w="9060" w:type="dxa"/>
          </w:tcPr>
          <w:p>
            <w:pPr>
              <w:pStyle w:val="NoSpacing"/>
              <w:spacing w:after="240"/>
              <w:contextualSpacing/>
              <w:jc w:val="both"/>
              <w:rPr>
                <w:rFonts w:ascii="Times New Roman" w:hAnsi="Times New Roman" w:cs="Times New Roman"/>
                <w:b/>
                <w:noProof/>
                <w:sz w:val="24"/>
                <w:szCs w:val="24"/>
              </w:rPr>
            </w:pPr>
            <w:r>
              <w:rPr>
                <w:rFonts w:ascii="Times New Roman" w:hAnsi="Times New Roman"/>
                <w:b/>
                <w:noProof/>
                <w:sz w:val="24"/>
                <w:szCs w:val="24"/>
              </w:rPr>
              <w:t xml:space="preserve">Η Επιτροπή θα υποστηρίξει τα κράτη μέλη με στόχο: </w:t>
            </w:r>
          </w:p>
          <w:p>
            <w:pPr>
              <w:pStyle w:val="ListParagraph"/>
              <w:numPr>
                <w:ilvl w:val="0"/>
                <w:numId w:val="34"/>
              </w:numPr>
              <w:spacing w:after="0"/>
              <w:ind w:left="315" w:hanging="284"/>
              <w:jc w:val="both"/>
              <w:rPr>
                <w:rFonts w:ascii="Times New Roman" w:hAnsi="Times New Roman" w:cs="Times New Roman"/>
                <w:noProof/>
              </w:rPr>
            </w:pPr>
            <w:r>
              <w:rPr>
                <w:rFonts w:ascii="Times New Roman" w:hAnsi="Times New Roman"/>
                <w:noProof/>
              </w:rPr>
              <w:t xml:space="preserve"> να αναπτύξουν εθνικά σχέδια για την ισότητα των ΛΟΑΤΚΙ.</w:t>
            </w:r>
          </w:p>
        </w:tc>
      </w:tr>
    </w:tbl>
    <w:p>
      <w:pPr>
        <w:spacing w:after="120" w:line="240" w:lineRule="auto"/>
        <w:contextualSpacing/>
        <w:jc w:val="both"/>
        <w:rPr>
          <w:rFonts w:ascii="Times New Roman" w:hAnsi="Times New Roman" w:cs="Times New Roman"/>
          <w:noProof/>
          <w:sz w:val="24"/>
          <w:szCs w:val="24"/>
        </w:rPr>
      </w:pPr>
    </w:p>
    <w:p>
      <w:pPr>
        <w:spacing w:after="120" w:line="240" w:lineRule="auto"/>
        <w:contextualSpacing/>
        <w:jc w:val="both"/>
        <w:rPr>
          <w:rFonts w:ascii="Times New Roman" w:hAnsi="Times New Roman" w:cs="Times New Roman"/>
          <w:noProof/>
          <w:sz w:val="24"/>
          <w:szCs w:val="24"/>
        </w:rPr>
      </w:pPr>
    </w:p>
    <w:p>
      <w:pPr>
        <w:pStyle w:val="Heading1"/>
        <w:spacing w:before="240" w:beforeAutospacing="0" w:after="240" w:afterAutospacing="0"/>
        <w:ind w:left="567" w:hanging="567"/>
        <w:jc w:val="both"/>
        <w:rPr>
          <w:noProof/>
          <w:sz w:val="24"/>
          <w:szCs w:val="24"/>
        </w:rPr>
      </w:pPr>
      <w:r>
        <w:rPr>
          <w:noProof/>
          <w:sz w:val="24"/>
          <w:szCs w:val="24"/>
        </w:rPr>
        <w:t xml:space="preserve">6. </w:t>
      </w:r>
      <w:r>
        <w:rPr>
          <w:noProof/>
        </w:rPr>
        <w:tab/>
      </w:r>
      <w:r>
        <w:rPr>
          <w:noProof/>
          <w:sz w:val="24"/>
          <w:szCs w:val="24"/>
        </w:rPr>
        <w:t>ΣΥΜΠΕΡΑΣΜΑ: ΣΥΝΕΡΓΑΣΙΑ ΓΙΑ ΤΗΝ ΙΣΟΤΗΤΑ ΤΩΝ ΛΟΑΤΚΙ</w:t>
      </w:r>
    </w:p>
    <w:p>
      <w:pPr>
        <w:spacing w:before="24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Η παρούσα στρατηγική βασίζεται στο όραμα μιας Ευρώπης όπου τα άτομα, σε όλη την πολυμορφία τους, είναι ίσα — είναι ελεύθερα να ζήσουν ανεξαρτήτως του γενετήσιου προσανατολισμού, της ταυτότητας/έκφρασης φύλου ή των χαρακτηριστικών φύλου τους. </w:t>
      </w:r>
    </w:p>
    <w:p>
      <w:pPr>
        <w:spacing w:before="240" w:line="240" w:lineRule="auto"/>
        <w:contextualSpacing/>
        <w:jc w:val="both"/>
        <w:rPr>
          <w:rFonts w:ascii="Times New Roman" w:hAnsi="Times New Roman" w:cs="Times New Roman"/>
          <w:noProof/>
          <w:sz w:val="24"/>
          <w:szCs w:val="24"/>
        </w:rPr>
      </w:pPr>
    </w:p>
    <w:p>
      <w:pPr>
        <w:spacing w:before="24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Αν και η Ευρώπη έχει επιτύχει βαθμιαία πρόοδο κατά τα τελευταία έτη, η παρούσα στρατηγική για την ισότητα των ΛΟΑΤΚΙ σηματοδοτεί μια νέα φάση στις προσπάθειές μας για προαγωγή της ισότητας λεσβιών, ομοφυλόφιλων, αμφιφυλόφιλων, τρανς, μη δυαδικών, ίντερσεξ και κουίρ ατόμων, παράλληλα με την επικέντρωση στους τομείς προτεραιότητας. Επιπλέον, δίνει έμφαση στην ανάγκη ενσωμάτωσης της αντίληψης για την ισότητα των ΛΟΑΤΚΙ σε όλες τις πολιτικές της ΕΕ, καθώς επίσης και στα προγράμματα χρηματοδότησης της ΕΕ. </w:t>
      </w:r>
    </w:p>
    <w:p>
      <w:pPr>
        <w:spacing w:before="240" w:line="240" w:lineRule="auto"/>
        <w:contextualSpacing/>
        <w:jc w:val="both"/>
        <w:rPr>
          <w:rFonts w:ascii="Times New Roman" w:hAnsi="Times New Roman" w:cs="Times New Roman"/>
          <w:noProof/>
          <w:sz w:val="24"/>
          <w:szCs w:val="24"/>
        </w:rPr>
      </w:pPr>
    </w:p>
    <w:p>
      <w:pPr>
        <w:spacing w:before="24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Η καταπολέμηση των ανισοτήτων στην ΕΕ αποτελεί συνευθύνη, απαιτεί κοινές προσπάθειες και δράση σε όλα τα επίπεδα. Τα θεσμικά όργανα και οι οργανισμοί της ΕΕ, τα κράτη μέλη, συμπεριλαμβανομένων των περιφερειακών και τοπικών αρχών, οι φορείς ισότητας, η κοινωνία των πολιτών και ο επιχειρηματικός κόσμος πρέπει να ενισχύσουν τη δέσμευσή τους για επίτευξη των στόχων της στρατηγικής. </w:t>
      </w:r>
    </w:p>
    <w:p>
      <w:pPr>
        <w:spacing w:before="240" w:line="240" w:lineRule="auto"/>
        <w:contextualSpacing/>
        <w:jc w:val="both"/>
        <w:rPr>
          <w:rFonts w:ascii="Times New Roman" w:hAnsi="Times New Roman" w:cs="Times New Roman"/>
          <w:noProof/>
          <w:sz w:val="24"/>
          <w:szCs w:val="24"/>
        </w:rPr>
      </w:pPr>
    </w:p>
    <w:p>
      <w:pPr>
        <w:spacing w:before="24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Όλα τα θεσμικά όργανα θα πρέπει να καθορίσουν σαφή δέσμευση για την επιδίωξη κοινής στρατηγικής. Η Επιτροπή καλεί το Ευρωπαϊκό Κοινοβούλιο να ανανεώσει τη δέσμευση και τη στήριξή του για την υλοποίηση της στρατηγικής και το Συμβούλιο να εκδώσει συμπεράσματα σε συνέχεια της στρατηγικής. Καλεί την Επιτροπή των Περιφερειών και την Ευρωπαϊκή Οικονομική και Κοινωνική Επιτροπή να προαγάγουν τον διάλογο με τις τοπικές και περιφερειακές αρχές και την κοινωνία των πολιτών, συμπεριλαμβανομένων των κοινωνικών εταίρων, σχετικά με τον τρόπο προαγωγής της ισότητας των ΛΟΑΤΚΙ. Μέσω της τακτικής διενέργειας ερευνών, της παροχής τεχνικής βοήθειας και μεθοδολογικής υποστήριξης στα κράτη μέλη, ο Οργανισμός Θεμελιωδών Δικαιωμάτων της Ευρωπαϊκής Ένωσης και το Ευρωπαϊκό Ινστιτούτο για την Ισότητα των Φύλων θα συνεχίσουν να υποστηρίζουν την ισότητα των ΛΟΑΤΚΙ. </w:t>
      </w:r>
    </w:p>
    <w:p>
      <w:pPr>
        <w:spacing w:before="240" w:line="240" w:lineRule="auto"/>
        <w:contextualSpacing/>
        <w:jc w:val="both"/>
        <w:rPr>
          <w:rFonts w:ascii="Times New Roman" w:hAnsi="Times New Roman" w:cs="Times New Roman"/>
          <w:noProof/>
          <w:sz w:val="24"/>
          <w:szCs w:val="24"/>
        </w:rPr>
      </w:pPr>
    </w:p>
    <w:p>
      <w:pPr>
        <w:spacing w:before="24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Οι διακρίσεις, η βία και το μίσος κατά ΛΟΑΤΚΙ ατόμων αντιβαίνουν στις θεμελιώδεις αξίες της Ευρωπαϊκής Ένωσης και πρέπει να εκλείψουν. Από κοινού, μπορούμε να εξαλείψουμε τα εμπόδια για την ισότητα των ΛΟΑΤΚΙ και να επιτύχουμε σαφή πρόοδο έως το 2025, προς μια Ευρώπη στην οποία τα ΛΟΑΤΚΙ άτομα, σε όλη την πολυμορφία τους, είναι ασφαλή και διαθέτουν ίσες ευκαιρίες για πλήρη συμμετοχή στην κοινωνία και, συνεπώς, για αξιοποίηση όλων των δυνατοτήτων τους.  </w:t>
      </w:r>
    </w:p>
    <w:p>
      <w:pPr>
        <w:spacing w:after="120" w:line="240" w:lineRule="auto"/>
        <w:contextualSpacing/>
        <w:jc w:val="both"/>
        <w:rPr>
          <w:rFonts w:ascii="Times New Roman" w:hAnsi="Times New Roman" w:cs="Times New Roman"/>
          <w:b/>
          <w:noProof/>
          <w:sz w:val="24"/>
          <w:szCs w:val="24"/>
        </w:rPr>
      </w:pPr>
      <w:r>
        <w:rPr>
          <w:rFonts w:ascii="Times New Roman" w:hAnsi="Times New Roman"/>
          <w:noProof/>
          <w:sz w:val="24"/>
          <w:szCs w:val="24"/>
        </w:rPr>
        <w:t xml:space="preserve"> </w:t>
      </w:r>
    </w:p>
    <w:sectPr>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560" w:header="34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axline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316020"/>
      <w:docPartObj>
        <w:docPartGallery w:val="Page Numbers (Bottom of Page)"/>
        <w:docPartUnique/>
      </w:docPartObj>
    </w:sdtPr>
    <w:sdtEndPr>
      <w:rPr>
        <w:rFonts w:ascii="Times New Roman" w:hAnsi="Times New Roman" w:cs="Times New Roman"/>
        <w:sz w:val="20"/>
        <w:szCs w:val="20"/>
      </w:rPr>
    </w:sdtEndPr>
    <w:sdtContent>
      <w:p>
        <w:pPr>
          <w:pStyle w:val="Footer"/>
          <w:spacing w:before="12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CoverPage"/>
      <w:spacing w:before="0"/>
      <w:ind w:left="0"/>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Βλ. ιδίως άρθρο 2 της Συνθήκης για την Ευρωπαϊκή Ένωση και άρθρο 23 του Χάρτη των Θεμελιωδών Δικαιωμάτων. Ο τελευταίος αποτέλεσε τον πρώτο διεθνή χάρτη ανθρώπινων δικαιωμάτων που απαγόρευσε ρητά τις διακρίσεις λόγω «γενετήσιου προσανατολισμού».  </w:t>
      </w:r>
    </w:p>
  </w:footnote>
  <w:footnote w:id="2">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Οι ΛΟΑΤΚΙ είναι άτομα:</w:t>
      </w:r>
    </w:p>
    <w:p>
      <w:pPr>
        <w:pStyle w:val="NoSpacing"/>
        <w:numPr>
          <w:ilvl w:val="0"/>
          <w:numId w:val="22"/>
        </w:numPr>
        <w:ind w:left="426" w:hanging="143"/>
        <w:jc w:val="both"/>
        <w:rPr>
          <w:rFonts w:ascii="Times New Roman" w:hAnsi="Times New Roman" w:cs="Times New Roman"/>
          <w:sz w:val="20"/>
          <w:szCs w:val="20"/>
        </w:rPr>
      </w:pPr>
      <w:r>
        <w:rPr>
          <w:rFonts w:ascii="Times New Roman" w:hAnsi="Times New Roman"/>
          <w:sz w:val="20"/>
          <w:szCs w:val="20"/>
        </w:rPr>
        <w:t xml:space="preserve">τα οποία έλκονται από άλλα άτομα του ίδιου φύλου (λεσβίες, ομοφυλόφιλοι) ή οποιουδήποτε φύλου (αμφιφυλόφιλοι)· </w:t>
      </w:r>
    </w:p>
    <w:p>
      <w:pPr>
        <w:pStyle w:val="NoSpacing"/>
        <w:numPr>
          <w:ilvl w:val="0"/>
          <w:numId w:val="22"/>
        </w:numPr>
        <w:ind w:left="426" w:hanging="143"/>
        <w:jc w:val="both"/>
        <w:rPr>
          <w:rFonts w:ascii="Times New Roman" w:hAnsi="Times New Roman" w:cs="Times New Roman"/>
          <w:sz w:val="20"/>
          <w:szCs w:val="20"/>
        </w:rPr>
      </w:pPr>
      <w:r>
        <w:rPr>
          <w:rFonts w:ascii="Times New Roman" w:hAnsi="Times New Roman"/>
          <w:sz w:val="20"/>
          <w:szCs w:val="20"/>
        </w:rPr>
        <w:t xml:space="preserve">των οποίων η ταυτότητα και/ή </w:t>
      </w:r>
      <w:r>
        <w:rPr>
          <w:rFonts w:ascii="Times New Roman" w:hAnsi="Times New Roman"/>
          <w:iCs/>
          <w:sz w:val="20"/>
          <w:szCs w:val="20"/>
        </w:rPr>
        <w:t>έκφραση</w:t>
      </w:r>
      <w:r>
        <w:rPr>
          <w:rFonts w:ascii="Times New Roman" w:hAnsi="Times New Roman"/>
          <w:sz w:val="20"/>
          <w:szCs w:val="20"/>
        </w:rPr>
        <w:t xml:space="preserve"> φύλου δεν αντιστοιχούν στο φύλο που τους αποδόθηκε κατά τη γέννηση (τρανς, μη δυαδικά άτομα)· </w:t>
      </w:r>
    </w:p>
    <w:p>
      <w:pPr>
        <w:pStyle w:val="NoSpacing"/>
        <w:numPr>
          <w:ilvl w:val="0"/>
          <w:numId w:val="22"/>
        </w:numPr>
        <w:ind w:left="426" w:hanging="143"/>
        <w:jc w:val="both"/>
        <w:rPr>
          <w:rFonts w:ascii="Times New Roman" w:hAnsi="Times New Roman" w:cs="Times New Roman"/>
          <w:sz w:val="20"/>
          <w:szCs w:val="20"/>
        </w:rPr>
      </w:pPr>
      <w:r>
        <w:rPr>
          <w:rFonts w:ascii="Times New Roman" w:hAnsi="Times New Roman"/>
          <w:sz w:val="20"/>
          <w:szCs w:val="20"/>
        </w:rPr>
        <w:t xml:space="preserve">τα οποία γεννήθηκαν με χαρακτηριστικά φύλου που δεν ανταποκρίνονται στον τυπικό ορισμό του άνδρα ή της γυναίκας (ίντερσεξ)· και </w:t>
      </w:r>
    </w:p>
    <w:p>
      <w:pPr>
        <w:pStyle w:val="NoSpacing"/>
        <w:numPr>
          <w:ilvl w:val="0"/>
          <w:numId w:val="22"/>
        </w:numPr>
        <w:ind w:left="426" w:hanging="143"/>
        <w:jc w:val="both"/>
        <w:rPr>
          <w:rFonts w:ascii="Times New Roman" w:hAnsi="Times New Roman" w:cs="Times New Roman"/>
        </w:rPr>
      </w:pPr>
      <w:r>
        <w:rPr>
          <w:rFonts w:ascii="Times New Roman" w:hAnsi="Times New Roman"/>
          <w:sz w:val="20"/>
          <w:szCs w:val="20"/>
        </w:rPr>
        <w:t>των οποίων η ταυτότητα δεν εντάσσεται στη δυαδική κατάταξη της σεξουαλικότητας και/ή του φύλου (κουίρ).</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Ευρωπαϊκή Επιτροπή, </w:t>
      </w:r>
      <w:hyperlink r:id="rId1" w:history="1">
        <w:r>
          <w:rPr>
            <w:rStyle w:val="Hyperlink"/>
            <w:rFonts w:ascii="Times New Roman" w:hAnsi="Times New Roman"/>
            <w:i/>
            <w:iCs/>
          </w:rPr>
          <w:t>Final Report 2015-2019 on the List of actions to advance LGBTI equality</w:t>
        </w:r>
      </w:hyperlink>
      <w:r>
        <w:rPr>
          <w:rFonts w:ascii="Times New Roman" w:hAnsi="Times New Roman"/>
        </w:rPr>
        <w:t xml:space="preserve"> (Τελική έκθεση 2015-2019 σχετικά με τον κατάλογο δράσεων για την προαγωγή της ισότητας των ΛΟΑΤI) (15 Μαΐου 2020).</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Αυστρία, Βέλγιο, Γαλλία, Γερμανία, Δανία, Ελλάδα, Εσθονία, Ιρλανδία, Ισπανία, Ιταλία, Κάτω Χώρες, Κροατία, Κύπρος, Λουξεμβούργο, Μάλτα, Ουγγαρία, Πορτογαλία, Σλοβενία, Σουηδία, Τσεχία, Φινλανδία.</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Δανία, Ιρλανδία, Λουξεμβούργο, Μάλτα.</w:t>
      </w:r>
    </w:p>
  </w:footnote>
  <w:footnote w:id="6">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FRA, </w:t>
      </w:r>
      <w:hyperlink r:id="rId2" w:history="1">
        <w:r>
          <w:rPr>
            <w:rStyle w:val="Hyperlink"/>
            <w:rFonts w:ascii="Times New Roman" w:hAnsi="Times New Roman"/>
            <w:i/>
            <w:sz w:val="20"/>
            <w:szCs w:val="20"/>
          </w:rPr>
          <w:t>EU-LGBTI II -</w:t>
        </w:r>
        <w:r>
          <w:rPr>
            <w:rStyle w:val="Hyperlink"/>
            <w:rFonts w:ascii="Times New Roman" w:hAnsi="Times New Roman"/>
            <w:sz w:val="20"/>
            <w:szCs w:val="20"/>
          </w:rPr>
          <w:t xml:space="preserve"> </w:t>
        </w:r>
        <w:r>
          <w:rPr>
            <w:rStyle w:val="Hyperlink"/>
            <w:rFonts w:ascii="Times New Roman" w:hAnsi="Times New Roman"/>
            <w:i/>
            <w:sz w:val="20"/>
            <w:szCs w:val="20"/>
          </w:rPr>
          <w:t>A long way to go for LGBTI equality (ΕΕ-ΛΟΑΤΙ ΙΙ - Η απόσταση μέχρι την ισότητα των ΛΟΑΤΙ είναι μεγάλη)</w:t>
        </w:r>
      </w:hyperlink>
      <w:r>
        <w:rPr>
          <w:rFonts w:ascii="Times New Roman" w:hAnsi="Times New Roman"/>
          <w:sz w:val="20"/>
          <w:szCs w:val="20"/>
        </w:rPr>
        <w:t xml:space="preserve"> (14 Μαΐου 2020) (FRA, δεύτερη έρευνα για τα ΛΟΑΤΙ άτομα).</w:t>
      </w:r>
    </w:p>
  </w:footnote>
  <w:footnote w:id="7">
    <w:p>
      <w:pPr>
        <w:pStyle w:val="FootnoteText"/>
        <w:tabs>
          <w:tab w:val="left" w:pos="2268"/>
        </w:tabs>
        <w:ind w:left="284" w:hanging="284"/>
        <w:jc w:val="both"/>
        <w:rPr>
          <w:rFonts w:ascii="Times New Roman" w:hAnsi="Times New Roman" w:cs="Times New Roman"/>
        </w:rPr>
      </w:pPr>
      <w:r>
        <w:rPr>
          <w:rFonts w:ascii="Times New Roman" w:hAnsi="Times New Roman" w:cs="Times New Roman"/>
          <w:vertAlign w:val="superscript"/>
          <w:lang w:val="en-GB"/>
        </w:rPr>
        <w:footnoteRef/>
      </w:r>
      <w:r>
        <w:rPr>
          <w:rFonts w:ascii="Times New Roman" w:hAnsi="Times New Roman"/>
        </w:rPr>
        <w:t xml:space="preserve"> </w:t>
      </w:r>
      <w:r>
        <w:tab/>
      </w:r>
      <w:r>
        <w:rPr>
          <w:rFonts w:ascii="Times New Roman" w:hAnsi="Times New Roman"/>
        </w:rPr>
        <w:t>Η ILGA-Europe διαπίστωσε ότι, εξαιτίας των μέτρων περιορισμού, τα ΛΟΑΤΚΙ άτομα διατρέχουν μεγαλύτερο κίνδυνο ενδοοικογενειακής βίας ή κακοποίησης, ενώ οι επισφαλείς συνθήκες εργασίας και στέγασης και το χαμηλότερο επίπεδο υγείας πολλών ΛΟΑΤΚΙ ατόμων τα καθιστούν πιο ευάλωτα στη νόσο COVID-19 και τις κοινωνικοοικονομικές επιπτώσεις της [</w:t>
      </w:r>
      <w:hyperlink r:id="rId3" w:history="1">
        <w:r>
          <w:rPr>
            <w:rStyle w:val="Hyperlink"/>
            <w:rFonts w:ascii="Times New Roman" w:hAnsi="Times New Roman"/>
            <w:i/>
          </w:rPr>
          <w:t>COVID-19 and specific impact on LGBTI people and what authorities should be doing to mitigate impact (COVID-19, ιδιαίτερες επιπτώσεις στα ΛΟΑΤΙ άτομα και ποιες θα πρέπει να είναι οι ενέργειες των αρχών για τον μετριασμό των επιπτώσεων)</w:t>
        </w:r>
      </w:hyperlink>
      <w:r>
        <w:rPr>
          <w:rFonts w:ascii="Times New Roman" w:hAnsi="Times New Roman"/>
          <w:i/>
        </w:rPr>
        <w:t xml:space="preserve">, </w:t>
      </w:r>
      <w:r>
        <w:rPr>
          <w:rFonts w:ascii="Times New Roman" w:hAnsi="Times New Roman"/>
        </w:rPr>
        <w:t>2020].</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Ύπατη Αρμοστεία των Ηνωμένων Εθνών για τα ανθρώπινα δικαιώματα, </w:t>
      </w:r>
      <w:hyperlink r:id="rId4" w:history="1">
        <w:r>
          <w:rPr>
            <w:rStyle w:val="Hyperlink"/>
            <w:rFonts w:ascii="Times New Roman" w:hAnsi="Times New Roman"/>
            <w:i/>
          </w:rPr>
          <w:t>COVID-19 and the human rights of LGBTI people (COVID-19 και ανθρώπινα δικαιώματα των ΛΟΑΤΙ ατόμων)</w:t>
        </w:r>
      </w:hyperlink>
      <w:r>
        <w:rPr>
          <w:rFonts w:ascii="Times New Roman" w:hAnsi="Times New Roman"/>
        </w:rPr>
        <w:t>.</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 xml:space="preserve">Ειδικό Ευρωβαρόμετρο 493: </w:t>
      </w:r>
      <w:hyperlink r:id="rId5" w:history="1">
        <w:r>
          <w:rPr>
            <w:rStyle w:val="Hyperlink"/>
            <w:rFonts w:ascii="Times New Roman" w:hAnsi="Times New Roman"/>
            <w:i/>
          </w:rPr>
          <w:t>Discrimination in the European Union (Διακρίσεις στην Ευρωπαϊκή Ένωση)</w:t>
        </w:r>
      </w:hyperlink>
      <w:r>
        <w:rPr>
          <w:rFonts w:ascii="Times New Roman" w:hAnsi="Times New Roman"/>
        </w:rPr>
        <w:t>, Οκτώβριος 2019.</w:t>
      </w:r>
    </w:p>
  </w:footnote>
  <w:footnote w:id="10">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FRA, </w:t>
      </w:r>
      <w:hyperlink r:id="rId6" w:history="1">
        <w:r>
          <w:rPr>
            <w:rStyle w:val="Hyperlink"/>
            <w:rFonts w:ascii="Times New Roman" w:hAnsi="Times New Roman"/>
            <w:i/>
            <w:sz w:val="20"/>
            <w:szCs w:val="20"/>
          </w:rPr>
          <w:t>Challenges facing civil society organisations working on human rights in the EU (Οι προκλήσεις που αντιμετωπίζουν οι οργανώσεις της κοινωνίας πολιτών που δρουν στον τομέα των ανθρώπινων δικαιωμάτων στην ΕΕ)</w:t>
        </w:r>
      </w:hyperlink>
      <w:r>
        <w:rPr>
          <w:rFonts w:ascii="Times New Roman" w:hAnsi="Times New Roman"/>
          <w:sz w:val="20"/>
          <w:szCs w:val="20"/>
        </w:rPr>
        <w:t xml:space="preserve"> (29 Ιανουαρίου 2018).</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Σύμφωνα με το άρθρο 10 της Συνθήκης για τη λειτουργία της Ευρωπαϊκής Ένωσης (ΣΛΕΕ), «[κ]ατά τον καθορισμό και την εφαρμογή των πολιτικών και των δράσεών της, η Ένωση επιδιώκει να καταπολεμήσει κάθε διάκριση λόγω φύλου, φυλετικής ή εθνοτικής καταγωγής, θρησκείας ή πεποιθήσεων, αναπηρίας, ηλικίας ή γενετήσιου προσανατολισμού». Το Ευρωπαϊκό Ινστιτούτο για την Ισότητα των Φύλων ορίζει τη «διατομεακότητα» ως ένα «αναλυτικό εργαλείο για τη μελέτη, την κατανόηση και την αντιμετώπιση των τρόπων με τους οποίους το βιολογικό και το κοινωνικό φύλο αλληλεπιδρούν με άλλα προσωπικά χαρακτηριστικά/ταυτότητες, καθώς και του τρόπου με τον οποίο αυτές οι αλληλεπιδράσεις συμβάλλουν σε ατομικές εμπειρίες διακρίσεων». Ο ορισμός αυτός ισχύει εξίσου για κάθε μορφή διακρίσεων.</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 w:history="1">
        <w:r>
          <w:rPr>
            <w:rStyle w:val="Hyperlink"/>
            <w:rFonts w:ascii="Times New Roman" w:hAnsi="Times New Roman"/>
          </w:rPr>
          <w:t>Κοινό ανεπίσημο έγγραφο 19 κρατών μελών</w:t>
        </w:r>
      </w:hyperlink>
      <w:r>
        <w:rPr>
          <w:rFonts w:ascii="Times New Roman" w:hAnsi="Times New Roman"/>
        </w:rPr>
        <w:t xml:space="preserve"> (Δεκέμβριος 2018). </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Έκθεση σχετικά με τον χάρτη πορείας της ΕΕ κατά της ομοφοβίας και των διακρίσεων λόγω σεξουαλικού προσανατολισμού και ταυτότητας φύλου</w:t>
        </w:r>
      </w:hyperlink>
      <w:r>
        <w:rPr>
          <w:rFonts w:ascii="Times New Roman" w:hAnsi="Times New Roman"/>
        </w:rPr>
        <w:t xml:space="preserve"> [2013/2183 (INI)] (8 Ιανουαρίου 2014).</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Οι εν λόγω πρωτοβουλίες περιλαμβάνουν: τη στρατηγική της ΕΕ για τα δικαιώματα των θυμάτων [COM(2020)258], τη στρατηγική για την ισότητα των φύλων 2020-2025 [COM(2020)152], το στρατηγικό πλαίσιο της ΕΕ για την ισότητα, την ένταξη και τη συμμετοχή των Ρομά [COM(2020)620], </w:t>
      </w:r>
      <w:hyperlink r:id="rId9" w:history="1">
        <w:r>
          <w:rPr>
            <w:rStyle w:val="Hyperlink"/>
            <w:rFonts w:ascii="Times New Roman" w:hAnsi="Times New Roman"/>
          </w:rPr>
          <w:t>τον ευρωπαϊκό πυλώνα κοινωνικών δικαιωμάτων</w:t>
        </w:r>
      </w:hyperlink>
      <w:r>
        <w:rPr>
          <w:rFonts w:ascii="Times New Roman" w:hAnsi="Times New Roman"/>
        </w:rPr>
        <w:t>· το σχέδιο δράσης της ΕΕ για την καταπολέμηση του ρατσισμού 2020-2025 [COM(2020)565], τη στρατηγική για τα δικαιώματα των ατόμων με αναπηρία (έχει προγραμματιστεί για το πρώτο τρίμηνο του 2021), τη στρατηγική για τα δικαιώματα του παιδιού (έχει προγραμματιστεί για το πρώτο τρίμηνο του 2021) και τη στρατηγική για την καταπολέμηση του αντισημιτισμού (έχει προγραμματιστεί για το τέταρτο τρίμηνο του 2021).</w:t>
      </w:r>
    </w:p>
  </w:footnote>
  <w:footnote w:id="15">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UNESCO, </w:t>
      </w:r>
      <w:r>
        <w:rPr>
          <w:rFonts w:ascii="Times New Roman" w:hAnsi="Times New Roman"/>
          <w:i/>
          <w:sz w:val="20"/>
          <w:szCs w:val="20"/>
        </w:rPr>
        <w:t>Out in the open: education sector responses to violence based on sexual orientation and gender identity/expression</w:t>
      </w:r>
      <w:r>
        <w:rPr>
          <w:rFonts w:ascii="Times New Roman" w:hAnsi="Times New Roman"/>
          <w:sz w:val="20"/>
          <w:szCs w:val="20"/>
        </w:rPr>
        <w:t xml:space="preserve"> (Στην επιφάνεια: ο τομέας της εκπαίδευσης αντιδρά στη βία λόγω γενετήσιου προσανατολισμού και ταυτότητας/έκφρασης φύλου) (2016)· NESET II, </w:t>
      </w:r>
      <w:r>
        <w:rPr>
          <w:rFonts w:ascii="Times New Roman" w:hAnsi="Times New Roman"/>
          <w:i/>
          <w:sz w:val="20"/>
          <w:szCs w:val="20"/>
        </w:rPr>
        <w:t>How to prevent and tackle bullying and school violence</w:t>
      </w:r>
      <w:r>
        <w:rPr>
          <w:rFonts w:ascii="Times New Roman" w:hAnsi="Times New Roman"/>
          <w:sz w:val="20"/>
          <w:szCs w:val="20"/>
        </w:rPr>
        <w:t xml:space="preserve"> (Τρόποι πρόληψης και αντιμετώπισης του εκφοβισμού και της βίας στα σχολεία) (2016). </w:t>
      </w:r>
    </w:p>
  </w:footnote>
  <w:footnote w:id="16">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Ευρωπαϊκή Επιτροπή, </w:t>
      </w:r>
      <w:r>
        <w:rPr>
          <w:rFonts w:ascii="Times New Roman" w:hAnsi="Times New Roman"/>
          <w:i/>
          <w:sz w:val="20"/>
          <w:szCs w:val="20"/>
        </w:rPr>
        <w:t>Legal gender recognition in the EU: The journeys of trans people towards full equality (Νομική αναγνώριση φύλου στην ΕΕ: η πορεία των τρανς ατόμων προς την πλήρη ισότητα)</w:t>
      </w:r>
      <w:r>
        <w:rPr>
          <w:rFonts w:ascii="Times New Roman" w:hAnsi="Times New Roman"/>
          <w:sz w:val="20"/>
          <w:szCs w:val="20"/>
        </w:rPr>
        <w:t xml:space="preserve"> (Ιούνιος 2020). </w:t>
      </w:r>
    </w:p>
  </w:footnote>
  <w:footnote w:id="17">
    <w:p>
      <w:pPr>
        <w:pStyle w:val="NoSpacing"/>
        <w:ind w:left="284" w:hanging="284"/>
        <w:jc w:val="both"/>
        <w:rPr>
          <w:rFonts w:ascii="Times New Roman" w:hAnsi="Times New Roman" w:cs="Times New Roman"/>
          <w:bCs/>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Τα ΛΟΑΤΙ άτομα διατρέχουν ιδιαίτερο κίνδυνο να βρεθούν άστεγα, δεδομένου ότι 4 % των ατόμων τρανς και ίντερσεξ που απάντησαν ανέφεραν ότι είχαν κοιμηθεί στο ύπαιθρο ή σε δημόσιο χώρο τουλάχιστον μία φορά (</w:t>
      </w:r>
      <w:r>
        <w:rPr>
          <w:rFonts w:ascii="Times New Roman" w:hAnsi="Times New Roman"/>
          <w:i/>
          <w:sz w:val="20"/>
          <w:szCs w:val="20"/>
        </w:rPr>
        <w:t>FRA, δεύτερη έρευνα για τα ΛΟΑΤΙ άτομα)</w:t>
      </w:r>
      <w:r>
        <w:rPr>
          <w:rFonts w:ascii="Times New Roman" w:hAnsi="Times New Roman"/>
          <w:sz w:val="20"/>
          <w:szCs w:val="20"/>
        </w:rPr>
        <w:t xml:space="preserve">. </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Βλ. για παράδειγμα: </w:t>
      </w:r>
      <w:hyperlink r:id="rId10" w:history="1">
        <w:r>
          <w:rPr>
            <w:rStyle w:val="Hyperlink"/>
            <w:rFonts w:ascii="Times New Roman" w:hAnsi="Times New Roman"/>
          </w:rPr>
          <w:t>https://www.feantsa.org/en/newsletter/2017/09/28/autumn-2017?bcParent=27</w:t>
        </w:r>
      </w:hyperlink>
      <w:r>
        <w:rPr>
          <w:rFonts w:ascii="Times New Roman" w:hAnsi="Times New Roman"/>
        </w:rPr>
        <w:t xml:space="preserve"> </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 w:history="1">
        <w:r>
          <w:rPr>
            <w:rStyle w:val="Hyperlink"/>
            <w:rFonts w:ascii="Times New Roman" w:hAnsi="Times New Roman"/>
          </w:rPr>
          <w:t>https://www.ilga-europe.org/sites/default/files/COVID19%20_Impact%20LGBTI%20people.pdf</w:t>
        </w:r>
      </w:hyperlink>
    </w:p>
  </w:footnote>
  <w:footnote w:id="20">
    <w:p>
      <w:pPr>
        <w:pStyle w:val="NoSpacing"/>
        <w:ind w:left="284" w:hanging="284"/>
        <w:jc w:val="both"/>
        <w:rPr>
          <w:rFonts w:ascii="Times New Roman" w:eastAsia="Times New Roman" w:hAnsi="Times New Roman" w:cs="Times New Roman"/>
          <w:bCs/>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bCs/>
          <w:sz w:val="20"/>
          <w:szCs w:val="20"/>
        </w:rPr>
        <w:t>Τα ΛΟΑΤΚΙ άτομα διατρέχουν μεγαλύτερο κίνδυνο να εκδηλώσουν ορισμένες μορφές καρκίνου σε νεαρότερη ηλικία ή να βιώσουν ψυχική δυσφορία, συμπεριλαμβανομένων του αυτοκτονικού ιδεασμού και της αυτοκτονίας, και είναι πιο πιθανό να είναι δυσαρεστημένα από την υγειονομική περίθαλψη που λαμβάνουν (</w:t>
      </w:r>
      <w:hyperlink r:id="rId12" w:history="1">
        <w:r>
          <w:rPr>
            <w:rStyle w:val="Hyperlink"/>
            <w:rFonts w:ascii="Times New Roman" w:hAnsi="Times New Roman"/>
            <w:bCs/>
            <w:sz w:val="20"/>
            <w:szCs w:val="20"/>
          </w:rPr>
          <w:t>Ευρωπαϊκή Επιτροπή, Ιούνιος 2017</w:t>
        </w:r>
      </w:hyperlink>
      <w:r>
        <w:rPr>
          <w:rFonts w:ascii="Times New Roman" w:hAnsi="Times New Roman"/>
          <w:bCs/>
          <w:sz w:val="20"/>
          <w:szCs w:val="20"/>
        </w:rPr>
        <w:t>.)</w:t>
      </w:r>
    </w:p>
  </w:footnote>
  <w:footnote w:id="21">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Για παράδειγμα, σε σύγκριση με τον συνολικό πληθυσμό, υψηλότερο ποσοστό ΛΟΑΤΚΙ ατόμων είναι άνεργα και εργάζονται σε επισφαλείς θέσεις εργασίας, ενώ έχουν πρόσβαση σε πολύ περιορισμένους και μη σταθερούς οικονομικούς πόρους. Η κρίση επιδείνωσε την κατάσταση, φέρνοντας στο φως την ευάλωτη θέση των ατόμων σε επισφαλείς θέσεις εργασίας και συνθήκες στέγασης. Εξαιτίας των διακρίσεων, του στιγματισμού και της προαναφερθείσας κατώτερης κοινωνικοοικονομικής θέσης, τα ΛΟΑΤΚΙ άτομα εμφανίζουν σημαντικά χαμηλότερο επίπεδο υγείας, το οποίο συχνά συνδέεται με πιο περιορισμένη πρόσβαση σε ολοκληρωμένη ασφάλιση υγείας και, συνεπώς, είναι πιο ευάλωτα στον ιό (ILGA-Europe, Επιπτώσεις της νόσου COVID-19).</w:t>
      </w:r>
      <w:r>
        <w:tab/>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 όρος «αλλαγή φύλου» χρησιμοποιούνταν κατά τον χρόνο που ανακοινώθηκαν οι αποφάσεις στην υπόθεση </w:t>
      </w:r>
      <w:r>
        <w:rPr>
          <w:rFonts w:ascii="Times New Roman" w:hAnsi="Times New Roman"/>
          <w:i/>
        </w:rPr>
        <w:t>P.</w:t>
      </w:r>
      <w:r>
        <w:rPr>
          <w:rFonts w:ascii="Times New Roman" w:hAnsi="Times New Roman"/>
        </w:rPr>
        <w:t xml:space="preserve">, </w:t>
      </w:r>
      <w:r>
        <w:rPr>
          <w:rFonts w:ascii="Times New Roman" w:hAnsi="Times New Roman"/>
          <w:i/>
        </w:rPr>
        <w:t>Richards</w:t>
      </w:r>
      <w:r>
        <w:rPr>
          <w:rFonts w:ascii="Times New Roman" w:hAnsi="Times New Roman"/>
        </w:rPr>
        <w:t xml:space="preserve"> και στην υπόθεση C-117/01, </w:t>
      </w:r>
      <w:r>
        <w:rPr>
          <w:rFonts w:ascii="Times New Roman" w:hAnsi="Times New Roman"/>
          <w:i/>
        </w:rPr>
        <w:t xml:space="preserve">K.B. κατά National Health Service Pensions Agency και Secretary of State for Health, </w:t>
      </w:r>
      <w:r>
        <w:rPr>
          <w:rFonts w:ascii="Times New Roman" w:hAnsi="Times New Roman"/>
        </w:rPr>
        <w:t xml:space="preserve">7.1.2004, </w:t>
      </w:r>
      <w:r>
        <w:rPr>
          <w:rFonts w:ascii="Times New Roman" w:hAnsi="Times New Roman"/>
          <w:shd w:val="clear" w:color="auto" w:fill="FFFFFF"/>
        </w:rPr>
        <w:t>ECLI:EU:C:2004:7</w:t>
      </w:r>
      <w:r>
        <w:rPr>
          <w:rFonts w:ascii="Times New Roman" w:hAnsi="Times New Roman"/>
        </w:rPr>
        <w:t xml:space="preserve"> από το ΔΕΕ.</w:t>
      </w:r>
    </w:p>
  </w:footnote>
  <w:footnote w:id="23">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Οδηγία 2000/78/ΕΚ του Συμβουλίου, της 27ης Νοεμβρίου 2000, για τη διαμόρφωση γενικού πλαισίου για την ίση μεταχείριση στην απασχόληση και την εργασία (ΕΕ L 303 της 2.12.2000, σ. 16).</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ΔΕΕ, υπόθεση </w:t>
      </w:r>
      <w:r>
        <w:rPr>
          <w:rFonts w:ascii="Times New Roman" w:hAnsi="Times New Roman"/>
          <w:shd w:val="clear" w:color="auto" w:fill="FFFFFF"/>
        </w:rPr>
        <w:t xml:space="preserve">C-507/18, </w:t>
      </w:r>
      <w:r>
        <w:rPr>
          <w:rFonts w:ascii="Times New Roman" w:hAnsi="Times New Roman"/>
          <w:i/>
          <w:shd w:val="clear" w:color="auto" w:fill="FFFFFF"/>
        </w:rPr>
        <w:t xml:space="preserve">NH </w:t>
      </w:r>
      <w:r>
        <w:rPr>
          <w:rFonts w:ascii="Times New Roman" w:hAnsi="Times New Roman"/>
          <w:shd w:val="clear" w:color="auto" w:fill="FFFFFF"/>
        </w:rPr>
        <w:t xml:space="preserve">κατά </w:t>
      </w:r>
      <w:r>
        <w:rPr>
          <w:rFonts w:ascii="Times New Roman" w:hAnsi="Times New Roman"/>
          <w:i/>
          <w:shd w:val="clear" w:color="auto" w:fill="FFFFFF"/>
        </w:rPr>
        <w:t>Associazione Avvocatura per i diritti LGBTI — Rete Lenford</w:t>
      </w:r>
      <w:r>
        <w:rPr>
          <w:rFonts w:ascii="Times New Roman" w:hAnsi="Times New Roman"/>
        </w:rPr>
        <w:t xml:space="preserve">, 23.4.2020, </w:t>
      </w:r>
      <w:r>
        <w:rPr>
          <w:rFonts w:ascii="Times New Roman" w:hAnsi="Times New Roman"/>
          <w:shd w:val="clear" w:color="auto" w:fill="FFFFFF"/>
        </w:rPr>
        <w:t>ECLI:EU:C:2020:289</w:t>
      </w:r>
      <w:r>
        <w:rPr>
          <w:rFonts w:ascii="Times New Roman" w:hAnsi="Times New Roman"/>
          <w:bCs/>
          <w:color w:val="000000"/>
        </w:rPr>
        <w: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Η έκθεση αυτή θα παρουσιαστεί από κοινού με την έκθεση σχετικά με την οδηγία 2000/43/ΕΚ του Συμβουλίου, της 29ης Ιουνίου 2000, περί εφαρμογής της αρχής της ίσης μεταχείρισης προσώπων ασχέτως φυλετικής ή εθνοτικής τους καταγωγής.</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Σύσταση (ΕΕ) 2018/951 της Επιτροπής σχετικά με πρότυπα για τους φορείς ισότητας (ΕΕ L 167 της 4.7.2018, σ. 28).</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Οδηγία 2006/54/ΕΚ για την εφαρμογή της αρχής των ίσων ευκαιριών και της ίσης μεταχείρισης ανδρών και γυναικών σε θέματα εργασίας και απασχόλησης (ΕΕ L 204 της 26.7.2006, σ. 23).</w:t>
      </w:r>
    </w:p>
  </w:footnote>
  <w:footnote w:id="28">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ΔΕΕ</w:t>
      </w:r>
      <w:r>
        <w:rPr>
          <w:rFonts w:ascii="Times New Roman" w:hAnsi="Times New Roman"/>
          <w:lang w:val="en-US"/>
        </w:rPr>
        <w:t xml:space="preserve">, </w:t>
      </w:r>
      <w:r>
        <w:rPr>
          <w:rFonts w:ascii="Times New Roman" w:hAnsi="Times New Roman"/>
        </w:rPr>
        <w:t>υπόθεση</w:t>
      </w:r>
      <w:r>
        <w:rPr>
          <w:rFonts w:ascii="Times New Roman" w:hAnsi="Times New Roman"/>
          <w:lang w:val="en-US"/>
        </w:rPr>
        <w:t xml:space="preserve"> C-13/94, </w:t>
      </w:r>
      <w:r>
        <w:rPr>
          <w:rFonts w:ascii="Times New Roman" w:hAnsi="Times New Roman"/>
          <w:i/>
          <w:lang w:val="en-US"/>
        </w:rPr>
        <w:t>P</w:t>
      </w:r>
      <w:r>
        <w:rPr>
          <w:rFonts w:ascii="Times New Roman" w:hAnsi="Times New Roman"/>
          <w:lang w:val="en-US"/>
        </w:rPr>
        <w:t xml:space="preserve"> </w:t>
      </w:r>
      <w:r>
        <w:rPr>
          <w:rFonts w:ascii="Times New Roman" w:hAnsi="Times New Roman"/>
        </w:rPr>
        <w:t>κατά</w:t>
      </w:r>
      <w:r>
        <w:rPr>
          <w:rFonts w:ascii="Times New Roman" w:hAnsi="Times New Roman"/>
          <w:lang w:val="en-US"/>
        </w:rPr>
        <w:t xml:space="preserve"> </w:t>
      </w:r>
      <w:r>
        <w:rPr>
          <w:rFonts w:ascii="Times New Roman" w:hAnsi="Times New Roman"/>
          <w:i/>
          <w:lang w:val="en-US"/>
        </w:rPr>
        <w:t xml:space="preserve">S </w:t>
      </w:r>
      <w:r>
        <w:rPr>
          <w:rFonts w:ascii="Times New Roman" w:hAnsi="Times New Roman"/>
          <w:i/>
        </w:rPr>
        <w:t>και</w:t>
      </w:r>
      <w:r>
        <w:rPr>
          <w:rFonts w:ascii="Times New Roman" w:hAnsi="Times New Roman"/>
          <w:i/>
          <w:lang w:val="en-US"/>
        </w:rPr>
        <w:t xml:space="preserve"> Cornwall County Council</w:t>
      </w:r>
      <w:r>
        <w:rPr>
          <w:rFonts w:ascii="Times New Roman" w:hAnsi="Times New Roman"/>
          <w:lang w:val="en-US"/>
        </w:rPr>
        <w:t>, 30.4.1996, ECLI:EU:C:1996:170.</w:t>
      </w:r>
    </w:p>
  </w:footnote>
  <w:footnote w:id="29">
    <w:p>
      <w:pPr>
        <w:pStyle w:val="NoSpacing"/>
        <w:ind w:left="284" w:hanging="284"/>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shd w:val="clear" w:color="auto" w:fill="FFFFFF"/>
        </w:rPr>
        <w:t>Οδηγία 2004/113/ΕΚ του Συμβουλίου για την εφαρμογή της αρχής της ίσης μεταχείρισης ανδρών και γυναικών στην πρόσβαση σε αγαθά και υπηρεσίες και την παροχή αυτών (</w:t>
      </w:r>
      <w:r>
        <w:rPr>
          <w:rFonts w:ascii="Times New Roman" w:hAnsi="Times New Roman"/>
          <w:iCs/>
          <w:sz w:val="20"/>
          <w:szCs w:val="20"/>
          <w:shd w:val="clear" w:color="auto" w:fill="FFFFFF"/>
        </w:rPr>
        <w:t>ΕΕ L 373 της 21.12.2004, σ. 37)</w:t>
      </w:r>
      <w:r>
        <w:rPr>
          <w:rFonts w:ascii="Times New Roman" w:hAnsi="Times New Roman"/>
          <w:sz w:val="20"/>
          <w:szCs w:val="20"/>
          <w:shd w:val="clear" w:color="auto" w:fill="FFFFFF"/>
        </w:rPr>
        <w:t>.</w:t>
      </w:r>
    </w:p>
  </w:footnote>
  <w:footnote w:id="30">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rPr>
        <w:t>ΔΕΕ</w:t>
      </w:r>
      <w:r>
        <w:rPr>
          <w:rFonts w:ascii="Times New Roman" w:hAnsi="Times New Roman"/>
          <w:lang w:val="en-US"/>
        </w:rPr>
        <w:t xml:space="preserve">, </w:t>
      </w:r>
      <w:r>
        <w:rPr>
          <w:rFonts w:ascii="Times New Roman" w:hAnsi="Times New Roman"/>
        </w:rPr>
        <w:t>υπόθεση</w:t>
      </w:r>
      <w:r>
        <w:rPr>
          <w:rFonts w:ascii="Times New Roman" w:hAnsi="Times New Roman"/>
          <w:lang w:val="en-US"/>
        </w:rPr>
        <w:t xml:space="preserve"> C-423/04, </w:t>
      </w:r>
      <w:r>
        <w:rPr>
          <w:rFonts w:ascii="Times New Roman" w:hAnsi="Times New Roman"/>
          <w:i/>
          <w:lang w:val="en-US"/>
        </w:rPr>
        <w:t xml:space="preserve">Sarah Margaret Richards </w:t>
      </w:r>
      <w:r>
        <w:rPr>
          <w:rFonts w:ascii="Times New Roman" w:hAnsi="Times New Roman"/>
          <w:i/>
        </w:rPr>
        <w:t>κατά</w:t>
      </w:r>
      <w:r>
        <w:rPr>
          <w:rFonts w:ascii="Times New Roman" w:hAnsi="Times New Roman"/>
          <w:i/>
          <w:lang w:val="en-US"/>
        </w:rPr>
        <w:t xml:space="preserve"> Secretary of State for Work and Pensions</w:t>
      </w:r>
      <w:r>
        <w:rPr>
          <w:rFonts w:ascii="Times New Roman" w:hAnsi="Times New Roman"/>
          <w:lang w:val="en-US"/>
        </w:rPr>
        <w:t>, 27.4.2006, ECLI:EU:C:2006:256.</w:t>
      </w:r>
    </w:p>
  </w:footnote>
  <w:footnote w:id="31">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Πρόταση οδηγίας του Συμβουλίου για την εφαρμογή της αρχής της ίσης μεταχείρισης των προσώπων ανεξαρτήτως θρησκείας ή πεποιθήσεων, αναπηρίας, ηλικίας ή γενετήσιου προσανατολισμού, COM/2008/0426 τελικό. </w:t>
      </w:r>
    </w:p>
  </w:footnote>
  <w:footnote w:id="32">
    <w:p>
      <w:pPr>
        <w:pStyle w:val="NoSpacing"/>
        <w:ind w:left="284" w:hanging="284"/>
        <w:jc w:val="both"/>
        <w:rPr>
          <w:rFonts w:ascii="Times New Roman" w:eastAsia="Times New Roman" w:hAnsi="Times New Roman" w:cs="Times New Roman"/>
          <w:sz w:val="20"/>
          <w:szCs w:val="20"/>
          <w:shd w:val="clear" w:color="auto" w:fill="FFFFFF"/>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shd w:val="clear" w:color="auto" w:fill="FFFFFF"/>
        </w:rPr>
        <w:t xml:space="preserve">Βλ. </w:t>
      </w:r>
      <w:hyperlink r:id="rId13" w:history="1">
        <w:r>
          <w:rPr>
            <w:rStyle w:val="Hyperlink"/>
            <w:rFonts w:ascii="Times New Roman" w:hAnsi="Times New Roman"/>
            <w:sz w:val="20"/>
            <w:szCs w:val="20"/>
            <w:shd w:val="clear" w:color="auto" w:fill="FFFFFF"/>
          </w:rPr>
          <w:t>ILGA-Europe Rainbow Map and Index 2020 (Χάρτης και δείκτης «ουράνιο τόξο» 2020)</w:t>
        </w:r>
      </w:hyperlink>
      <w:r>
        <w:rPr>
          <w:rFonts w:ascii="Times New Roman" w:hAnsi="Times New Roman"/>
          <w:sz w:val="20"/>
          <w:szCs w:val="20"/>
          <w:shd w:val="clear" w:color="auto" w:fill="FFFFFF"/>
        </w:rPr>
        <w:t>.</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Ευρωπαϊκή Επιτροπή, </w:t>
      </w:r>
      <w:r>
        <w:rPr>
          <w:rFonts w:ascii="Times New Roman" w:hAnsi="Times New Roman"/>
          <w:i/>
        </w:rPr>
        <w:t xml:space="preserve">Trans and intersex equality rights in Europe — a comparative analysis </w:t>
      </w:r>
      <w:r>
        <w:rPr>
          <w:rFonts w:ascii="Times New Roman" w:hAnsi="Times New Roman"/>
        </w:rPr>
        <w:t xml:space="preserve">(Δικαιώματα ισότητας των τρανς και ίντερσεξ ατόμων στην Ευρώπη — συγκριτική ανάλυση) (Νοέμβριος 2018)· Επίτροπος του Συμβουλίου της Ευρώπης για τα ανθρώπινα δικαιώματα, </w:t>
      </w:r>
      <w:r>
        <w:rPr>
          <w:rFonts w:ascii="Times New Roman" w:hAnsi="Times New Roman"/>
          <w:i/>
        </w:rPr>
        <w:t>Human rights and intersex people</w:t>
      </w:r>
      <w:r>
        <w:rPr>
          <w:rFonts w:ascii="Times New Roman" w:hAnsi="Times New Roman"/>
        </w:rPr>
        <w:t xml:space="preserve"> (Ανθρώπινα δικαιώματα και ίντερσεξ άτομα) (Απρίλιος 2015). </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Keyes, O. (2018), «The misgendering machines: trans/HCI implications of automatic gender recognition» (Οι μηχανές λανθασμένης εμφυλοποίησης: προεκτάσεις της αυτόματης αναγνώρισης φύλου σε θέματα τρανς / αλληλεπίδρασης ανθρώπου-υπολογιστή), Εργασίες της ACM σχετικά με την αλληλεπίδραση ανθρώπου-υπολογιστή, 2(CSCW), 88. </w:t>
      </w:r>
      <w:hyperlink r:id="rId14" w:history="1">
        <w:r>
          <w:rPr>
            <w:rStyle w:val="Hyperlink"/>
            <w:rFonts w:ascii="Times New Roman" w:hAnsi="Times New Roman"/>
          </w:rPr>
          <w:t>https://doi.org/10.1145/3274357</w:t>
        </w:r>
      </w:hyperlink>
      <w:r>
        <w:rPr>
          <w:rFonts w:ascii="Times New Roman" w:hAnsi="Times New Roman"/>
        </w:rPr>
        <w:t xml:space="preserve">, όπως παρατίθεται στην προσεχή έκδοση: Ευρωπαϊκή Επιτροπή, Γενική Διεύθυνση Έρευνας και Καινοτομίας (2020) </w:t>
      </w:r>
      <w:r>
        <w:rPr>
          <w:rFonts w:ascii="Times New Roman" w:hAnsi="Times New Roman"/>
          <w:i/>
        </w:rPr>
        <w:t>Gendered Innovations: How inclusive analysis contributes to research and innovation (Έμφυλες καινοτομίες: Πώς η συμπεριληπτική ανάλυση συμβάλλει στην έρευνα και την καινοτομία).</w:t>
      </w:r>
    </w:p>
  </w:footnote>
  <w:footnote w:id="35">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Βλ., για παράδειγμα, Li, F., Nagar, V. (2013), «Diversity and performance» (Πολυμορφία και απόδοση), </w:t>
      </w:r>
      <w:r>
        <w:rPr>
          <w:rFonts w:ascii="Times New Roman" w:hAnsi="Times New Roman"/>
          <w:i/>
          <w:sz w:val="20"/>
          <w:szCs w:val="20"/>
        </w:rPr>
        <w:t>Management Science</w:t>
      </w:r>
      <w:r>
        <w:rPr>
          <w:rFonts w:ascii="Times New Roman" w:hAnsi="Times New Roman"/>
          <w:sz w:val="20"/>
          <w:szCs w:val="20"/>
        </w:rPr>
        <w:t xml:space="preserve"> 59, σ. 529-544· Shan, L., Fu, S., Zheng, L. (2016), «Corporate sexual equality and firm performance» (Ισότητα των φύλων σε εταιρικό επίπεδο και επιχειρηματική απόδοση), </w:t>
      </w:r>
      <w:r>
        <w:rPr>
          <w:rFonts w:ascii="Times New Roman" w:hAnsi="Times New Roman"/>
          <w:i/>
          <w:sz w:val="20"/>
          <w:szCs w:val="20"/>
        </w:rPr>
        <w:t>Strategic Management Journal</w:t>
      </w:r>
      <w:r>
        <w:rPr>
          <w:rFonts w:ascii="Times New Roman" w:hAnsi="Times New Roman"/>
          <w:sz w:val="20"/>
          <w:szCs w:val="20"/>
        </w:rPr>
        <w:t xml:space="preserve"> 38(9), σ. 1812–1826· και Gao, H., &amp; Zhang, W. (2016), «Employment non-discrimination acts and corporate innovation» (Νόμοι κατά των διακρίσεων στην απασχόληση και εταιρική καινοτομία), </w:t>
      </w:r>
      <w:r>
        <w:rPr>
          <w:rFonts w:ascii="Times New Roman" w:hAnsi="Times New Roman"/>
          <w:i/>
          <w:sz w:val="20"/>
          <w:szCs w:val="20"/>
        </w:rPr>
        <w:t xml:space="preserve">Management Science </w:t>
      </w:r>
      <w:r>
        <w:rPr>
          <w:rFonts w:ascii="Times New Roman" w:hAnsi="Times New Roman"/>
          <w:sz w:val="20"/>
          <w:szCs w:val="20"/>
        </w:rPr>
        <w:t>63(9), σ. 2982–2999.</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Απαρτίζεται, επί του παρόντος, από 26 εθνικούς χάρτες πολυμορφίας, που εκπροσωπούν ένα δίκτυο περίπου 12 000 οργανισμών, με περισσότερους από 16 εκατομμύρια εργαζομένους.</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r>
        <w:tab/>
      </w:r>
      <w:r>
        <w:rPr>
          <w:rFonts w:ascii="Times New Roman" w:hAnsi="Times New Roman"/>
        </w:rPr>
        <w:t>Οι ίσες ευκαιρίες και η απαγόρευση των διακρίσεων πρέπει να προωθηθούν στο πλαίσιο του Ευρωπαϊκού Κοινωνικού Ταμείου+ μέσω της κατάρτισης, υλοποίησης, παρακολούθησης και αξιολόγησης των προγραμμάτων. Τα κράτη μέλη θα στηρίξουν επίσης ειδικές στοχευμένες δράσεις για την προώθηση των εν λόγω αρχών.</w:t>
      </w:r>
    </w:p>
  </w:footnote>
  <w:footnote w:id="38">
    <w:p>
      <w:pPr>
        <w:pStyle w:val="FootnoteText"/>
        <w:ind w:left="284" w:hanging="284"/>
        <w:jc w:val="both"/>
        <w:rPr>
          <w:rFonts w:ascii="Times New Roman" w:hAnsi="Times New Roman" w:cs="Times New Roman"/>
          <w:i/>
        </w:rPr>
      </w:pPr>
      <w:r>
        <w:rPr>
          <w:rFonts w:ascii="Times New Roman" w:hAnsi="Times New Roman" w:cs="Times New Roman"/>
          <w:vertAlign w:val="superscript"/>
          <w:lang w:val="en-GB"/>
        </w:rPr>
        <w:footnoteRef/>
      </w:r>
      <w:r>
        <w:rPr>
          <w:rFonts w:ascii="Times New Roman" w:hAnsi="Times New Roman"/>
        </w:rPr>
        <w:t xml:space="preserve"> </w:t>
      </w:r>
      <w:r>
        <w:tab/>
      </w:r>
      <w:r>
        <w:rPr>
          <w:rFonts w:ascii="Times New Roman" w:hAnsi="Times New Roman"/>
        </w:rPr>
        <w:t xml:space="preserve">Ευρωπαϊκή Επιτροπή, </w:t>
      </w:r>
      <w:hyperlink r:id="rId15" w:history="1">
        <w:r>
          <w:rPr>
            <w:rStyle w:val="Hyperlink"/>
            <w:rFonts w:ascii="Times New Roman" w:hAnsi="Times New Roman"/>
            <w:i/>
          </w:rPr>
          <w:t>Μια Ένωση ισότητας:</w:t>
        </w:r>
      </w:hyperlink>
      <w:hyperlink r:id="rId16" w:history="1">
        <w:r>
          <w:rPr>
            <w:rStyle w:val="Hyperlink"/>
            <w:rFonts w:ascii="Times New Roman" w:hAnsi="Times New Roman"/>
            <w:i/>
          </w:rPr>
          <w:t xml:space="preserve"> Στρατηγική για την ισότητα των φύλων 2020-2025</w:t>
        </w:r>
      </w:hyperlink>
      <w:r>
        <w:rPr>
          <w:rFonts w:ascii="Times New Roman" w:hAnsi="Times New Roman"/>
          <w:i/>
        </w:rPr>
        <w:t xml:space="preserve">, </w:t>
      </w:r>
      <w:r>
        <w:rPr>
          <w:rFonts w:ascii="Times New Roman" w:hAnsi="Times New Roman"/>
        </w:rPr>
        <w:t>5.3.2020, COM(2020) 152 final.</w:t>
      </w:r>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r>
        <w:tab/>
      </w:r>
      <w:r>
        <w:rPr>
          <w:rFonts w:ascii="Times New Roman" w:hAnsi="Times New Roman"/>
        </w:rPr>
        <w:t xml:space="preserve">Οι δράσεις για την αντιμετώπιση του μισθολογικού χάσματος μεταξύ των φύλων μπορεί να είναι ιδιαίτερα σημαντικές για τα νοικοκυριά ΛΑΤΚΙ. </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Η συγκεκριμένη ομάδα εμπειρογνωμόνων συνιστά πρωτοβουλία που περιλαμβάνεται στην ανακοίνωση σχετικά με την υλοποίηση του Ευρωπαϊκού Χώρου Εκπαίδευσης έως το 2025 [COM(2020)625 final].</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anchor="fragment2" w:history="1">
        <w:r>
          <w:rPr>
            <w:rStyle w:val="Hyperlink"/>
            <w:rFonts w:ascii="Times New Roman" w:hAnsi="Times New Roman"/>
          </w:rPr>
          <w:t>https://ec.europa.eu/health/social_determinants/projects/ep_funded_projects_en#fragment2</w:t>
        </w:r>
      </w:hyperlink>
      <w:r>
        <w:rPr>
          <w:rFonts w:ascii="Times New Roman" w:hAnsi="Times New Roman"/>
        </w:rPr>
        <w:t xml:space="preserve"> </w:t>
      </w:r>
      <w:r>
        <w:rPr>
          <w:rFonts w:ascii="Times New Roman" w:hAnsi="Times New Roman"/>
          <w:highlight w:val="yellow"/>
        </w:rPr>
        <w:t xml:space="preserve"> </w:t>
      </w:r>
    </w:p>
  </w:footnote>
  <w:footnote w:id="42">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Άλλα προγράμματα της ΕΕ, όπως το πρόγραμμα βοήθειας για την τουρκοκυπριακή κοινότητα, υποστηρίζουν επίσης με ενεργό τρόπο έργα για την αντιμετώπιση των διακρίσεων και της εκμετάλλευσης των ΛΟΑΤΚΙ ατόμων. </w:t>
      </w:r>
    </w:p>
  </w:footnote>
  <w:footnote w:id="43">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Οδηγία 2011/95/ΕΕ του Ευρωπαϊκού Κοινοβουλίου και του Συμβουλίου, της 13ης Δεκεμβρίου 2011,  σχετικά με τις απαιτήσεις για την αναγνώριση των υπηκόων τρίτων χωρών ή των απάτριδων ως δικαιούχων διεθνούς προστασίας, για ένα ενιαίο καθεστώς για τους πρόσφυγες ή για τα άτομα που δικαιούνται επικουρική προστασία και για το περιεχόμενο της παρεχόμενης προστασίας (ΕΕ L 337 της 20.12.2011, σ. 9)· οδηγία 2013/32/ΕΕ του Ευρωπαϊκού Κοινοβουλίου και του Συμβουλίου, της 26ης Ιουνίου 2013, σχετικά με κοινές διαδικασίες για τη χορήγηση και ανάκληση του καθεστώτος διεθνούς προστασίας (ΕΕ L 180 της 29.6.2013, σ. 60)· και οδηγία 2013/33/ΕΕ του Ευρωπαϊκού Κοινοβουλίου και του Συμβουλίου, της 26ης Ιουνίου 2013, σχετικά με τις απαιτήσεις για την υποδοχή των αιτούντων διεθνή προστασία (ΕΕ L 180 της 29.6.2013, σ. 96).</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8" w:history="1">
        <w:r>
          <w:rPr>
            <w:rStyle w:val="Hyperlink"/>
            <w:rFonts w:ascii="Times New Roman" w:hAnsi="Times New Roman"/>
            <w:i/>
          </w:rPr>
          <w:t>Ανακοίνωσης της Επιτροπής σχετικά με ένα νέο Σύμφωνο για τη Μετανάστευση και το Άσυλο</w:t>
        </w:r>
        <w:r>
          <w:rPr>
            <w:rStyle w:val="Hyperlink"/>
            <w:rFonts w:ascii="Times New Roman" w:hAnsi="Times New Roman"/>
          </w:rPr>
          <w:t>, COM(2020) 609 final</w:t>
        </w:r>
      </w:hyperlink>
      <w:r>
        <w:rPr>
          <w:rFonts w:ascii="Times New Roman" w:hAnsi="Times New Roman"/>
        </w:rPr>
        <w:t>.</w:t>
      </w:r>
    </w:p>
  </w:footnote>
  <w:footnote w:id="45">
    <w:p>
      <w:pPr>
        <w:spacing w:after="0"/>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rPr>
        <w:t xml:space="preserve"> </w:t>
      </w:r>
      <w:r>
        <w:tab/>
      </w:r>
      <w:r>
        <w:rPr>
          <w:rFonts w:ascii="Times New Roman" w:hAnsi="Times New Roman"/>
          <w:sz w:val="20"/>
          <w:szCs w:val="20"/>
        </w:rPr>
        <w:t xml:space="preserve">«Σε πολλά μέρη του κόσμου τα άτομα βιώνουν σοβαρές παραβιάσεις ανθρώπινων δικαιωμάτων και άλλες μορφές διώξεων λόγω του πραγματικού ή εκλαμβανόμενου γενετήσιου προσανατολισμού τους και/ή της ταυτότητας φύλου τους. Παρόλο που οι διώξεις ατόμων [ΛΟΑΤΙ] και όσων θεωρούνται ΛΟΑΤΙ δεν είναι καινούριο φαινόμενο, υπάρχει αυξημένη συνειδητοποίηση σε πολλές χώρες ασύλου ότι τα άτομα που εγκαταλείπουν τη χώρα τους για να αποφύγουν διώξεις για λόγους γενετήσιου προσανατολισμού και/ή ταυτότητας φύλου μπορούν να χαρακτηριστούν πρόσφυγες βάσει του άρθρου 1Α παράγραφος 2 [της Σύμβασης του 1951] και/ή του οικείου πρωτοκόλλου του 1967... Εντούτοις, εξακολουθεί να μην υπάρχει συνέπεια στην εφαρμογή του όρου “πρόσφυγας” στον συγκεκριμένο τομέα». [UNHCR, </w:t>
      </w:r>
      <w:r>
        <w:rPr>
          <w:rFonts w:ascii="Times New Roman" w:hAnsi="Times New Roman"/>
          <w:i/>
          <w:sz w:val="20"/>
          <w:szCs w:val="20"/>
        </w:rPr>
        <w:t>Κατευθυντήριες γραμμές για τη διεθνή προστασία αριθ. 9:</w:t>
      </w:r>
      <w:r>
        <w:rPr>
          <w:rFonts w:ascii="Times New Roman" w:hAnsi="Times New Roman"/>
          <w:sz w:val="20"/>
          <w:szCs w:val="20"/>
        </w:rPr>
        <w:t xml:space="preserve"> </w:t>
      </w:r>
      <w:r>
        <w:rPr>
          <w:rFonts w:ascii="Times New Roman" w:hAnsi="Times New Roman"/>
          <w:i/>
          <w:sz w:val="20"/>
          <w:szCs w:val="20"/>
        </w:rPr>
        <w:t xml:space="preserve">Claims to refugee status based on sexual orientation and/or gender identity within the context of Article 1A(2) of the 1951 Convention and/or its 1967 Protocol relating to the status of refugees (Αιτήσεις χορήγησης του καθεστώτος πρόσφυγα για λόγους γενετήσιου προσανατολισμού και/ή ταυτότητας φύλου στο πλαίσιο του άρθρου 1Α παράγραφος 2 της Σύμβασης του 1951 και του οικείου πρωτοκόλλου του 1967 σχετικά με το καθεστώς των προσφύγων), </w:t>
      </w:r>
      <w:r>
        <w:rPr>
          <w:rFonts w:ascii="Times New Roman" w:hAnsi="Times New Roman"/>
          <w:sz w:val="20"/>
          <w:szCs w:val="20"/>
        </w:rPr>
        <w:t>HCR/GIP/12/09, 23 Οκτωβρίου 2012].</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FRA, δεύτερη έρευνα για τα ΛΟΑΤΙ άτομα. Βλ. υποσημείωση 6.</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9" w:history="1">
        <w:r>
          <w:rPr>
            <w:rStyle w:val="Hyperlink"/>
            <w:rFonts w:ascii="Times New Roman" w:hAnsi="Times New Roman"/>
          </w:rPr>
          <w:t>Code of conduct on countering illegal hate speech online (Κώδικας δεοντολογίας για την καταπολέμηση της παράνομης ρητορικής μίσους στο διαδίκτυο), 30 Ιουνίου 2016</w:t>
        </w:r>
      </w:hyperlink>
      <w:r>
        <w:rPr>
          <w:rFonts w:ascii="Times New Roman" w:hAnsi="Times New Roman"/>
        </w:rPr>
        <w:t xml:space="preserve">. </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Ευρωπαϊκή Επιτροπή, </w:t>
      </w:r>
      <w:r>
        <w:rPr>
          <w:rFonts w:ascii="Times New Roman" w:hAnsi="Times New Roman"/>
          <w:i/>
        </w:rPr>
        <w:t>Countering illegal hate speech online: 5th evaluation of the Code of Conduct (Καταπολέμηση της παράνομης ρητορικής μίσους στο διαδίκτυο: 5η έκθεση αξιολόγησης του κώδικα δεοντολογίας), 22 Ιουνίου 2020.</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r>
        <w:tab/>
      </w:r>
      <w:r>
        <w:rPr>
          <w:rFonts w:ascii="Times New Roman" w:hAnsi="Times New Roman"/>
        </w:rPr>
        <w:t xml:space="preserve">Τα τελευταία χρόνια έχει ενταθεί η ρητορική μίσους στον δημόσιο διάλογο, η οποία λαμβάνει τη μορφή πραγματικού μίσους στους δρόμους, εναντίον, μεταξύ άλλων, ΛΟΑΤΚΙ ατόμων. Για παράδειγμα, η ILGA-Europe έλαβε αναφορές για θρησκευτικούς ηγέτες οι οποίοι κατηγορούσαν τις ΛΟΑΤΙ κοινότητες για την πανδημία από τουλάχιστον τέσσερα κράτη μέλη της ΕΕ. [ILGA-Europe, COVID-19 impacts on LGBTI communities in Europe and Central Asia: A rapid assessment report (Επιπτώσεις της νόσου COVID-19 στις ΛΟΑΤΙ κοινότητες στην Ευρώπη και την Κεντρική Ασία: άμεση έκθεση αξιολόγησης), Ιούνιος 2020]. </w:t>
      </w:r>
      <w:r>
        <w:tab/>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FRA, δεύτερη έρευνα για τα ΛΟΑΤΙ άτομα, σ. 49. Βλ. υποσημείωση 6. </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Βλ., για παράδειγμα, FRA, </w:t>
      </w:r>
      <w:r>
        <w:rPr>
          <w:rFonts w:ascii="Times New Roman" w:hAnsi="Times New Roman"/>
          <w:i/>
        </w:rPr>
        <w:t>Fundamental rights report 2019 (Έκθεση για τα θεμελιώδη δικαιώματα 2019)</w:t>
      </w:r>
      <w:r>
        <w:rPr>
          <w:rFonts w:ascii="Times New Roman" w:hAnsi="Times New Roman"/>
        </w:rPr>
        <w:t xml:space="preserve"> (29 Μαΐου 2019) και ILGA-Europe, </w:t>
      </w:r>
      <w:r>
        <w:rPr>
          <w:rFonts w:ascii="Times New Roman" w:hAnsi="Times New Roman"/>
          <w:i/>
        </w:rPr>
        <w:t xml:space="preserve">Annual review of the human rights situation of lesbian, gay, bisexual, trans and intersex people 2019 (Ετήσια επισκόπηση της κατάστασης των ανθρώπινων δικαιωμάτων των λεσβιών, ομοφυλόφιλων, αμφιφυλόφιλων, τρανς και ίντερσεξ ατόμων του 2019) </w:t>
      </w:r>
      <w:r>
        <w:rPr>
          <w:rFonts w:ascii="Times New Roman" w:hAnsi="Times New Roman"/>
        </w:rPr>
        <w:t>(Φεβρουάριος 2019).</w:t>
      </w:r>
    </w:p>
  </w:footnote>
  <w:footnote w:id="52">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Προς το παρόν, επτά κράτη μέλη δεν συμπεριλαμβάνουν ρητά τον γενετήσιο προσανατολισμό στη νομοθεσία περί ρητορικής και/ή εγκλημάτων μίσους ως επιβαρυντικό παράγοντα, 15 δεν περιλαμβάνουν την ταυτότητα φύλου και 25 δεν καλύπτουν τα χαρακτηριστικά φύλου.</w:t>
      </w:r>
    </w:p>
  </w:footnote>
  <w:footnote w:id="53">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Η απόφαση-πλαίσιο 2008/913/ΔΕΥ του Συμβουλίου, της 28ης Νοεμβρίου 2008, για την καταπολέμηση ορισμένων μορφών και εκδηλώσεων ρατσισμού και ξενοφοβίας μέσω του ποινικού δικαίου δεν καλύπτει ρητά τα εγκλήματα μίσους και τη ρητορική μίσους κατά ΛΟΑΤΚΙ και δεν περιλαμβάνει τη στοχοποίηση του γενετήσιου προσανατολισμού ή της ταυτότητας φύλου μεταξύ των προσδιοριστικών χαρακτηριστικών των εγκλημάτων και της ρητορικής μίσους. (ΕΕ L 328 της 6.12.2008, σ. 55).</w:t>
      </w:r>
    </w:p>
  </w:footnote>
  <w:footnote w:id="54">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Ευρωπαϊκή Επιτροπή, </w:t>
      </w:r>
      <w:hyperlink r:id="rId20" w:history="1">
        <w:r>
          <w:rPr>
            <w:rStyle w:val="Hyperlink"/>
            <w:rFonts w:ascii="Times New Roman" w:hAnsi="Times New Roman"/>
            <w:i/>
            <w:sz w:val="20"/>
            <w:szCs w:val="20"/>
          </w:rPr>
          <w:t>Στρατηγική της ΕΕ για τα δικαιώματα των θυμάτων (2020-2025)</w:t>
        </w:r>
      </w:hyperlink>
      <w:r>
        <w:rPr>
          <w:rFonts w:ascii="Times New Roman" w:hAnsi="Times New Roman"/>
          <w:i/>
          <w:sz w:val="20"/>
          <w:szCs w:val="20"/>
        </w:rPr>
        <w:t>,</w:t>
      </w:r>
      <w:r>
        <w:rPr>
          <w:rFonts w:ascii="Times New Roman" w:hAnsi="Times New Roman"/>
          <w:sz w:val="20"/>
          <w:szCs w:val="20"/>
        </w:rPr>
        <w:t xml:space="preserve"> 24.6.2020, COM(2020) 258 final.</w:t>
      </w:r>
    </w:p>
  </w:footnote>
  <w:footnote w:id="55">
    <w:p>
      <w:pPr>
        <w:pStyle w:val="NoSpacing"/>
        <w:ind w:left="284" w:hanging="284"/>
        <w:jc w:val="both"/>
        <w:rPr>
          <w:rFonts w:ascii="Times New Roman" w:hAnsi="Times New Roman" w:cs="Times New Roman"/>
          <w:bCs/>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Έκθεση της Επιτροπής προς το Ευρωπαϊκό Κοινοβούλιο και το Συμβούλιο σχετικά με την εφαρμογή της οδηγίας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απόφασης-πλαισίου 2001/220/ΔΕΥ του Συμβουλίου, [</w:t>
      </w:r>
      <w:r>
        <w:rPr>
          <w:rFonts w:ascii="Times New Roman" w:hAnsi="Times New Roman"/>
          <w:bCs/>
          <w:sz w:val="20"/>
          <w:szCs w:val="20"/>
        </w:rPr>
        <w:t xml:space="preserve">COM(2020) 188 final], </w:t>
      </w:r>
      <w:r>
        <w:rPr>
          <w:rFonts w:ascii="Times New Roman" w:hAnsi="Times New Roman"/>
          <w:sz w:val="20"/>
          <w:szCs w:val="20"/>
        </w:rPr>
        <w:t>11 Μαΐου 2020</w:t>
      </w:r>
      <w:r>
        <w:rPr>
          <w:rFonts w:ascii="Times New Roman" w:hAnsi="Times New Roman"/>
          <w:bCs/>
          <w:sz w:val="20"/>
          <w:szCs w:val="20"/>
        </w:rPr>
        <w:t xml:space="preserve">. </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Η θέσπιση «γραφείων του ουράνιου τόξου» προτείνεται στο πλαίσιο της εφαρμογής της στρατηγικής για τα δικαιώματα των θυμάτων [COM(2020)258 final].</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Το 62 % των ίντερσεξ ατόμων που είχαν υποβληθεί σε επέμβαση ανέφεραν ότι ούτε οι ίδιοι ούτε οι γονείς τους έδωσαν εν πλήρη γνώσει τους τη συγκατάθεσή τους πριν από την πρώτη ιατρική αγωγή ή παρέμβαση για αλλαγή των χαρακτηριστικών φύλου τους (</w:t>
      </w:r>
      <w:r>
        <w:rPr>
          <w:rFonts w:ascii="Times New Roman" w:hAnsi="Times New Roman"/>
          <w:i/>
        </w:rPr>
        <w:t>FRA, δεύτερη έρευνα για τα ΛΟΑΤΙ άτομα, σ. 54)</w:t>
      </w:r>
      <w:r>
        <w:rPr>
          <w:rFonts w:ascii="Times New Roman" w:hAnsi="Times New Roman"/>
        </w:rPr>
        <w:t xml:space="preserve">.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r>
        <w:tab/>
      </w:r>
      <w:r>
        <w:rPr>
          <w:rFonts w:ascii="Times New Roman" w:hAnsi="Times New Roman"/>
        </w:rPr>
        <w:t xml:space="preserve">Οι πρακτικές μετατροπής «συνιστούν άκρως επιβλαβείς παρεμβάσεις, βασιζόμενες στην ψευδή ιατρική αντίληψη ότι τα άτομα ΛΟΑΤ και άλλα φυλοδιαφορετικά άτομα είναι άρρωστα, οι οποίες προκαλούν αφόρητους πόνους και οδύνη και οδηγούν σε μακρόχρονες ψυχολογικές και σωματικές βλάβες»· (Ανεξάρτητος εμπειρογνώμονας των Ηνωμένων Εθνών κατά της βίας και των διακρίσεων για λόγους γενετήσιου προσανατολισμού και ταυτότητας φύλου), </w:t>
      </w:r>
      <w:hyperlink r:id="rId21" w:history="1">
        <w:r>
          <w:rPr>
            <w:rStyle w:val="Hyperlink"/>
            <w:rFonts w:ascii="Times New Roman" w:hAnsi="Times New Roman"/>
            <w:i/>
          </w:rPr>
          <w:t>Report on conversion therapy</w:t>
        </w:r>
      </w:hyperlink>
      <w:r>
        <w:t xml:space="preserve"> </w:t>
      </w:r>
      <w:r>
        <w:rPr>
          <w:rFonts w:ascii="Times New Roman" w:hAnsi="Times New Roman"/>
        </w:rPr>
        <w:t>(Έκθεση για τη θεραπεία μετατροπής), 1 Μαΐου 2020.</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ILGA-Europe, Επιπτώσεις της νόσου COVID-19. </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Οδηγία 2004/38/ΕΚ του Ευρωπαϊκού Κοινοβουλίου και του Συμβουλίου, της 29ης Απριλίου 2004,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για την τροποποίηση του κανονισμού (ΕΟΚ) αριθ. 1612/68 και την κατάργηση των οδηγιών 64/221/ΕΟΚ, 68/360/ΕΟΚ, 72/194/ΕΟΚ, 73/148/ΕΟΚ, 75/34/ΕΟΚ, 75/35/ΕΟΚ, 90/364/ΕΟΚ, 90/365/ΕΟΚ και 93/96/ΕΟΚ (ΕΕ L 158 της 30.4.2004, σ. 77).</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Υπό τους όρους που θέτουν οι Συνθήκες και τα μέτρα που θεσπίστηκαν για την εφαρμογή τους.</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lang w:val="fr-FR"/>
        </w:rPr>
        <w:t xml:space="preserve"> </w:t>
      </w:r>
      <w:r>
        <w:rPr>
          <w:lang w:val="fr-FR"/>
        </w:rPr>
        <w:tab/>
      </w:r>
      <w:r>
        <w:rPr>
          <w:rFonts w:ascii="Times New Roman" w:hAnsi="Times New Roman"/>
        </w:rPr>
        <w:t>ΔΕΕ</w:t>
      </w:r>
      <w:r>
        <w:rPr>
          <w:rFonts w:ascii="Times New Roman" w:hAnsi="Times New Roman"/>
          <w:lang w:val="fr-FR"/>
        </w:rPr>
        <w:t xml:space="preserve">, </w:t>
      </w:r>
      <w:r>
        <w:rPr>
          <w:rFonts w:ascii="Times New Roman" w:hAnsi="Times New Roman"/>
        </w:rPr>
        <w:t>υπόθεση</w:t>
      </w:r>
      <w:r>
        <w:rPr>
          <w:rFonts w:ascii="Times New Roman" w:hAnsi="Times New Roman"/>
          <w:lang w:val="fr-FR"/>
        </w:rPr>
        <w:t xml:space="preserve"> C‑673/16, </w:t>
      </w:r>
      <w:r>
        <w:rPr>
          <w:rFonts w:ascii="Times New Roman" w:hAnsi="Times New Roman"/>
          <w:i/>
          <w:lang w:val="fr-FR"/>
        </w:rPr>
        <w:t>Coman</w:t>
      </w:r>
      <w:r>
        <w:rPr>
          <w:rFonts w:ascii="Times New Roman" w:hAnsi="Times New Roman"/>
          <w:lang w:val="fr-FR"/>
        </w:rPr>
        <w:t xml:space="preserve">, 5.6.2018, ECLI:EU:C:2018:385. </w:t>
      </w:r>
      <w:r>
        <w:rPr>
          <w:rFonts w:ascii="Times New Roman" w:hAnsi="Times New Roman"/>
        </w:rPr>
        <w:t xml:space="preserve">Στη συγκεκριμένη απόφαση, το Δικαστήριο αποφάνθηκε ότι ο όρος «σύζυγος» (όπως χρησιμοποιείται στην οδηγία για την ελεύθερη κυκλοφορία), ισχύει επίσης για πρόσωπο του ίδιου φύλου ως πολίτη της ΕΕ με τον οποίο συνήφθη γάμος.  </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Περισσότερα στοιχεία θα ανακοινωθούν στο πλαίσιο της προσεχούς έκθεσης για την ιθαγένεια.   </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r>
        <w:tab/>
      </w:r>
      <w:r>
        <w:rPr>
          <w:rFonts w:ascii="Times New Roman" w:hAnsi="Times New Roman"/>
        </w:rPr>
        <w:t>Η απουσία αμοιβαίας αναγνώρισης των σχέσεων παιδιού-γονέα μπορεί να οδηγήσει στη μη χορήγηση ιθαγένειας, ονόματος ή κληρονομικών δικαιωμάτων των παιδιών. Επιπλέον, οι μη αναγνωρισμένοι γονείς ενδέχεται να μην έχουν δικαίωμα να ενεργήσουν ως νόμιμοι εκπρόσωποι των παιδιών τους, να ταξιδεύουν μόνοι μαζί τους, να τα εγγράφουν σε σχολεία, να τους παρέχουν ασφάλιση υγείας, να ανοίγουν τραπεζικό λογαριασμό ή να συναινούν σε ιατρικές παρεμβάσεις.</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S.V. κατά Ιταλίας, αίτηση αριθ. 55216/08, 11 Οκτωβρίου 2018.</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A.P., Garçon και Nicot κατά Γαλλίας, αιτήσεις αριθ. 79885/12, 52471/13 και 52596/13, 6 Απριλίου 2017.</w:t>
      </w:r>
    </w:p>
  </w:footnote>
  <w:footnote w:id="67">
    <w:p>
      <w:pPr>
        <w:pStyle w:val="FootnoteText"/>
        <w:tabs>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2" w:history="1">
        <w:r>
          <w:rPr>
            <w:rStyle w:val="Hyperlink"/>
            <w:rFonts w:ascii="Times New Roman" w:hAnsi="Times New Roman"/>
          </w:rPr>
          <w:t>https://ec.europa.eu/youth/policy/youth-strategy/youthgoals_en</w:t>
        </w:r>
      </w:hyperlink>
      <w:r>
        <w:rPr>
          <w:rFonts w:ascii="Times New Roman" w:hAnsi="Times New Roman"/>
        </w:rPr>
        <w:t>· οι στόχοι αυτοί αποτελούν μέρος της στρατηγικής της ΕΕ για τη νεολαία 2019-2027.</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r>
        <w:tab/>
      </w:r>
      <w:r>
        <w:rPr>
          <w:rFonts w:ascii="Times New Roman" w:hAnsi="Times New Roman"/>
        </w:rPr>
        <w:t xml:space="preserve">Οι ομόφυλες σχέσεις εξακολουθούν να ποινικοποιούνται σε 72 χώρες. [Συμβούλιο Ανθρωπίνων Δικαιωμάτων, </w:t>
      </w:r>
      <w:hyperlink r:id="rId23" w:history="1">
        <w:r>
          <w:rPr>
            <w:rStyle w:val="Hyperlink"/>
            <w:rFonts w:ascii="Times New Roman" w:hAnsi="Times New Roman"/>
            <w:i/>
          </w:rPr>
          <w:t>Report of the Independent Expert on protection against violence and discrimination based on sexual orientation and gender identity (Έκθεση του ανεξάρτητου εμπειρογνώμονα για την προστασία κατά της βίας και των διακρίσεων για λόγους γενετήσιου προσανατολισμού και ταυτότητας φύλου)</w:t>
        </w:r>
        <w:r>
          <w:rPr>
            <w:rStyle w:val="Hyperlink"/>
            <w:rFonts w:ascii="Times New Roman" w:hAnsi="Times New Roman"/>
          </w:rPr>
          <w:t>, 11 Μαΐου 2018</w:t>
        </w:r>
      </w:hyperlink>
      <w:r>
        <w:rPr>
          <w:rFonts w:ascii="Times New Roman" w:hAnsi="Times New Roman"/>
        </w:rPr>
        <w:t xml:space="preserve">.] </w:t>
      </w:r>
    </w:p>
  </w:footnote>
  <w:footnote w:id="69">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Τα ΛΟΑΤΚΙ άτομα που αιτούνται άσυλο διατρέχουν ιδιαίτερο κίνδυνο διακρίσεων, αποκλεισμού, παρενόχλησης και βίας, συμπεριλαμβανομένης της σεξουαλικής βίας, στα κέντρα υποδοχής και κράτησης και κατά τη διάρκεια των συνεντεύξεων. Μπορεί να στερούνται κατάλληλης νομικής αρωγής ή υγειονομικής περίθαλψης ζωτικής σημασίας, όπως η συνεχής ορμονοθεραπεία. Βλ., για παράδειγμα, Ύπατη Αρμοστεία του ΟΗΕ για τους Πρόσφυγες (UNHCR), </w:t>
      </w:r>
      <w:r>
        <w:rPr>
          <w:rFonts w:ascii="Times New Roman" w:hAnsi="Times New Roman"/>
          <w:i/>
          <w:sz w:val="20"/>
          <w:szCs w:val="20"/>
        </w:rPr>
        <w:t>Protecting persons with diverse sexual orientations and gender identities: a global report on UNHCR’s efforts to protect lesbian, gay, bisexual, transgender, and intersex asylum-seekers and refugees</w:t>
      </w:r>
      <w:r>
        <w:rPr>
          <w:rFonts w:ascii="Times New Roman" w:hAnsi="Times New Roman"/>
          <w:sz w:val="20"/>
          <w:szCs w:val="20"/>
        </w:rPr>
        <w:t xml:space="preserve"> (Προστασία των ατόμων με διαφορετικό γενετήσιο προσανατολισμό και ταυτότητα φύλου: παγκόσμια έκθεση σχετικά με τις προσπάθειες της UNHCR για προστασία των λεσβιών, ομοφυλόφιλων, αμφιφυλόφιλων, τρανς και ίντερσεξ αιτούντων άσυλο και προσφύγων) (Δεκέμβριος 2015).</w:t>
      </w:r>
    </w:p>
  </w:footnote>
  <w:footnote w:id="70">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i/>
          <w:sz w:val="20"/>
          <w:szCs w:val="20"/>
        </w:rPr>
        <w:t>Σχέδιο δράσης της ΕΕ για τα ανθρώπινα δικαιώματα και τη δημοκρατία 2020-2024</w:t>
      </w:r>
      <w:r>
        <w:rPr>
          <w:rFonts w:ascii="Times New Roman" w:hAnsi="Times New Roman"/>
          <w:sz w:val="20"/>
          <w:szCs w:val="20"/>
        </w:rPr>
        <w:t xml:space="preserve">, JOIN(2020) 5 final. </w:t>
      </w:r>
    </w:p>
  </w:footnote>
  <w:footnote w:id="71">
    <w:p>
      <w:pPr>
        <w:pStyle w:val="NoSpacing"/>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Συμβούλιο, </w:t>
      </w:r>
      <w:r>
        <w:rPr>
          <w:rFonts w:ascii="Times New Roman" w:hAnsi="Times New Roman"/>
          <w:bCs/>
          <w:i/>
          <w:iCs/>
          <w:sz w:val="20"/>
          <w:szCs w:val="20"/>
        </w:rPr>
        <w:t>Κατευθυντήριες γραμμές για την προαγωγή και προστασία της άσκησης όλων των ανθρώπινων δικαιωμάτων από λεσβίες, ομοφυλόφιλους, αμφιφυλόφιλους, τρανς και ίντερσεξ (ΛΟΑΤI)</w:t>
      </w:r>
      <w:r>
        <w:rPr>
          <w:rFonts w:ascii="Times New Roman" w:hAnsi="Times New Roman"/>
          <w:sz w:val="20"/>
          <w:szCs w:val="20"/>
        </w:rPr>
        <w:t xml:space="preserve"> (24 Ιουνίου 2013).</w:t>
      </w:r>
    </w:p>
  </w:footnote>
  <w:footnote w:id="72">
    <w:p>
      <w:pPr>
        <w:pStyle w:val="NoSpacing"/>
        <w:ind w:left="284" w:hanging="284"/>
        <w:jc w:val="both"/>
        <w:rPr>
          <w:rFonts w:ascii="Times New Roman" w:hAnsi="Times New Roman" w:cs="Times New Roman"/>
          <w:bCs/>
          <w:iCs/>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Συμβούλιο, </w:t>
      </w:r>
      <w:r>
        <w:rPr>
          <w:rFonts w:ascii="Times New Roman" w:hAnsi="Times New Roman"/>
          <w:bCs/>
          <w:i/>
          <w:iCs/>
          <w:sz w:val="20"/>
          <w:szCs w:val="20"/>
        </w:rPr>
        <w:t>Κατευθυντήριες γραμμές της ΕΕ για τα ανθρώπινα δικαιώματα όσον αφορά την απαγόρευση διακρίσεων στην εξωτερική δράση</w:t>
      </w:r>
      <w:r>
        <w:rPr>
          <w:rFonts w:ascii="Times New Roman" w:hAnsi="Times New Roman"/>
          <w:bCs/>
          <w:iCs/>
          <w:sz w:val="20"/>
          <w:szCs w:val="20"/>
        </w:rPr>
        <w:t xml:space="preserve"> (6337/19,</w:t>
      </w:r>
      <w:r>
        <w:rPr>
          <w:rFonts w:ascii="Times New Roman" w:hAnsi="Times New Roman"/>
          <w:bCs/>
          <w:i/>
          <w:iCs/>
          <w:sz w:val="20"/>
          <w:szCs w:val="20"/>
        </w:rPr>
        <w:t xml:space="preserve"> </w:t>
      </w:r>
      <w:r>
        <w:rPr>
          <w:rFonts w:ascii="Times New Roman" w:hAnsi="Times New Roman"/>
          <w:bCs/>
          <w:iCs/>
          <w:sz w:val="20"/>
          <w:szCs w:val="20"/>
        </w:rPr>
        <w:t xml:space="preserve">18 Μαρτίου 2019).  </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Ευρωπαϊκή Επιτροπή, </w:t>
      </w:r>
      <w:r>
        <w:rPr>
          <w:rFonts w:ascii="Times New Roman" w:hAnsi="Times New Roman"/>
          <w:i/>
        </w:rPr>
        <w:t xml:space="preserve">Ανακοίνωση σχετικά με την αντιμετώπιση της νόσου COVID-19 από την ΕΕ σε παγκόσμιο επίπεδο, </w:t>
      </w:r>
      <w:r>
        <w:rPr>
          <w:rFonts w:ascii="Times New Roman" w:hAnsi="Times New Roman"/>
        </w:rPr>
        <w:t xml:space="preserve">8.4.2020, JOIN(2020) 11 final: </w:t>
      </w:r>
      <w:hyperlink r:id="rId24" w:history="1">
        <w:r>
          <w:rPr>
            <w:rStyle w:val="Hyperlink"/>
            <w:rFonts w:ascii="Times New Roman" w:hAnsi="Times New Roman"/>
          </w:rPr>
          <w:t>https://eur-lex.europa.eu/legal-content/EL/TXT/PDF/?uri=CELEX:52020JC0011&amp;from=EN</w:t>
        </w:r>
      </w:hyperlink>
    </w:p>
  </w:footnote>
  <w:footnote w:id="7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r>
        <w:tab/>
      </w:r>
      <w:r>
        <w:rPr>
          <w:rFonts w:ascii="Times New Roman" w:hAnsi="Times New Roman"/>
        </w:rPr>
        <w:t>Η σύμβαση των Ηνωμένων Εθνών για τα δικαιώματα των ατόμων με αναπηρία, συμβαλλόμενοι της οποίας είναι η ΕΕ και όλα τα κράτη μέλη, θεσπίζει γενικές αρχές, οι οποίες περιλαμβάνουν τα δικαιώματα των ατόμων με αναπηρία για σεβασμό της εγγενούς αξιοπρέπεια, της ατομικής αυτονομίας (συμπεριλαμβανομένης της ελευθερίας να κάνουν τις δικές τους επιλογές), της δυνατότητας πρόσβασης, της πλήρους και αποτελεσματικής συμμετοχής και ένταξής τους στην κοινωνία.</w:t>
      </w:r>
    </w:p>
  </w:footnote>
  <w:footnote w:id="75">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Η θέσπιση του Μέσου Τεχνικής Υποστήριξης υπόκειται στην έγκριση από το Ευρωπαϊκό Κοινοβούλιο και το Συμβούλιο της πρότασης κανονισμού για τη θέσπιση Μέσου Τεχνικής Υποστήριξης, COM(2020) 409 final.</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5" w:history="1">
        <w:r>
          <w:rPr>
            <w:rStyle w:val="Hyperlink"/>
            <w:rFonts w:ascii="Times New Roman" w:hAnsi="Times New Roman"/>
          </w:rPr>
          <w:t>COM(2018)375 final</w:t>
        </w:r>
      </w:hyperlink>
      <w:r>
        <w:rPr>
          <w:rFonts w:ascii="Times New Roman" w:hAnsi="Times New Roman"/>
        </w:rPr>
        <w:t>.</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Στο παράρτημα III του ΚΚΔ. </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Όπως αποτυπώνεται στις  </w:t>
      </w:r>
      <w:hyperlink r:id="rId26" w:history="1">
        <w:r>
          <w:rPr>
            <w:rStyle w:val="Hyperlink"/>
            <w:rFonts w:ascii="Times New Roman" w:hAnsi="Times New Roman"/>
          </w:rPr>
          <w:t>ετήσιες εκθέσεις του καταλόγου δράσεων 2015-2019</w:t>
        </w:r>
      </w:hyperlink>
      <w:r>
        <w:rPr>
          <w:rFonts w:ascii="Times New Roman" w:hAnsi="Times New Roman"/>
        </w:rPr>
        <w:t xml:space="preserve"> της Επιτροπής για την προαγωγή της ισότητας των ΛΟΑΤΙ, τα κράτη μέλη έχουν υποβάλει στοιχεία σχετικά με την κατάρτιση των οικείων εθνικών σχεδίων δράσης για την ισότητα των ΛΟΑΤΚΙ. Τα εν λόγω σχέδια δράσης είναι πολύτιμα, καθώς συνιστούν πολιτικές δεσμεύσεις για την αντιμετώπιση των διακρίσεων κατά ΛΟΑΤΚΙ, συνοδευόμενες από απτές δράσεις για την προαγωγή της ισότητας.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0"/>
        </w:tabs>
        <w:ind w:left="360" w:hanging="360"/>
      </w:pPr>
      <w:rPr>
        <w:rFonts w:ascii="Symbol" w:hAnsi="Symbol" w:cs="Symbol"/>
        <w:lang w:val="en-IE"/>
      </w:rPr>
    </w:lvl>
    <w:lvl w:ilvl="1">
      <w:start w:val="1"/>
      <w:numFmt w:val="bullet"/>
      <w:lvlText w:val="o"/>
      <w:lvlJc w:val="left"/>
      <w:pPr>
        <w:tabs>
          <w:tab w:val="num" w:pos="0"/>
        </w:tabs>
        <w:ind w:left="643" w:hanging="360"/>
      </w:pPr>
      <w:rPr>
        <w:rFonts w:ascii="Courier New" w:hAnsi="Courier New" w:cs="Courier New"/>
        <w:lang w:val="en-IE"/>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lang w:val="en-IE"/>
      </w:rPr>
    </w:lvl>
    <w:lvl w:ilvl="4">
      <w:start w:val="1"/>
      <w:numFmt w:val="bullet"/>
      <w:lvlText w:val="o"/>
      <w:lvlJc w:val="left"/>
      <w:pPr>
        <w:tabs>
          <w:tab w:val="num" w:pos="0"/>
        </w:tabs>
        <w:ind w:left="3240" w:hanging="360"/>
      </w:pPr>
      <w:rPr>
        <w:rFonts w:ascii="Courier New" w:hAnsi="Courier New" w:cs="Courier New"/>
        <w:lang w:val="en-IE"/>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lang w:val="en-IE"/>
      </w:rPr>
    </w:lvl>
    <w:lvl w:ilvl="7">
      <w:start w:val="1"/>
      <w:numFmt w:val="bullet"/>
      <w:lvlText w:val="o"/>
      <w:lvlJc w:val="left"/>
      <w:pPr>
        <w:tabs>
          <w:tab w:val="num" w:pos="0"/>
        </w:tabs>
        <w:ind w:left="5400" w:hanging="360"/>
      </w:pPr>
      <w:rPr>
        <w:rFonts w:ascii="Courier New" w:hAnsi="Courier New" w:cs="Courier New"/>
        <w:lang w:val="en-IE"/>
      </w:rPr>
    </w:lvl>
    <w:lvl w:ilvl="8">
      <w:start w:val="1"/>
      <w:numFmt w:val="bullet"/>
      <w:lvlText w:val=""/>
      <w:lvlJc w:val="left"/>
      <w:pPr>
        <w:tabs>
          <w:tab w:val="num" w:pos="0"/>
        </w:tabs>
        <w:ind w:left="6120" w:hanging="360"/>
      </w:pPr>
      <w:rPr>
        <w:rFonts w:ascii="Wingdings" w:hAnsi="Wingdings" w:cs="Wingdings"/>
      </w:rPr>
    </w:lvl>
  </w:abstractNum>
  <w:abstractNum w:abstractNumId="1">
    <w:nsid w:val="00000009"/>
    <w:multiLevelType w:val="multilevel"/>
    <w:tmpl w:val="00000009"/>
    <w:name w:val="WW8Num9"/>
    <w:lvl w:ilvl="0">
      <w:start w:val="1"/>
      <w:numFmt w:val="bullet"/>
      <w:lvlText w:val=""/>
      <w:lvlJc w:val="left"/>
      <w:pPr>
        <w:tabs>
          <w:tab w:val="num" w:pos="0"/>
        </w:tabs>
        <w:ind w:left="424" w:hanging="360"/>
      </w:pPr>
      <w:rPr>
        <w:rFonts w:ascii="Symbol" w:hAnsi="Symbol" w:cs="Symbol"/>
        <w:lang w:val="en-IE"/>
      </w:rPr>
    </w:lvl>
    <w:lvl w:ilvl="1">
      <w:start w:val="1"/>
      <w:numFmt w:val="bullet"/>
      <w:lvlText w:val="o"/>
      <w:lvlJc w:val="left"/>
      <w:pPr>
        <w:tabs>
          <w:tab w:val="num" w:pos="0"/>
        </w:tabs>
        <w:ind w:left="1504" w:hanging="360"/>
      </w:pPr>
      <w:rPr>
        <w:rFonts w:ascii="Courier New" w:hAnsi="Courier New" w:cs="Courier New"/>
      </w:rPr>
    </w:lvl>
    <w:lvl w:ilvl="2">
      <w:start w:val="1"/>
      <w:numFmt w:val="bullet"/>
      <w:lvlText w:val=""/>
      <w:lvlJc w:val="left"/>
      <w:pPr>
        <w:tabs>
          <w:tab w:val="num" w:pos="0"/>
        </w:tabs>
        <w:ind w:left="2224" w:hanging="360"/>
      </w:pPr>
      <w:rPr>
        <w:rFonts w:ascii="Wingdings" w:hAnsi="Wingdings" w:cs="Wingdings"/>
      </w:rPr>
    </w:lvl>
    <w:lvl w:ilvl="3">
      <w:start w:val="1"/>
      <w:numFmt w:val="bullet"/>
      <w:lvlText w:val=""/>
      <w:lvlJc w:val="left"/>
      <w:pPr>
        <w:tabs>
          <w:tab w:val="num" w:pos="0"/>
        </w:tabs>
        <w:ind w:left="2944" w:hanging="360"/>
      </w:pPr>
      <w:rPr>
        <w:rFonts w:ascii="Symbol" w:hAnsi="Symbol" w:cs="Symbol"/>
        <w:lang w:val="en-IE"/>
      </w:rPr>
    </w:lvl>
    <w:lvl w:ilvl="4">
      <w:start w:val="1"/>
      <w:numFmt w:val="bullet"/>
      <w:lvlText w:val="o"/>
      <w:lvlJc w:val="left"/>
      <w:pPr>
        <w:tabs>
          <w:tab w:val="num" w:pos="0"/>
        </w:tabs>
        <w:ind w:left="3664" w:hanging="360"/>
      </w:pPr>
      <w:rPr>
        <w:rFonts w:ascii="Courier New" w:hAnsi="Courier New" w:cs="Courier New"/>
      </w:rPr>
    </w:lvl>
    <w:lvl w:ilvl="5">
      <w:start w:val="1"/>
      <w:numFmt w:val="bullet"/>
      <w:lvlText w:val=""/>
      <w:lvlJc w:val="left"/>
      <w:pPr>
        <w:tabs>
          <w:tab w:val="num" w:pos="0"/>
        </w:tabs>
        <w:ind w:left="4384" w:hanging="360"/>
      </w:pPr>
      <w:rPr>
        <w:rFonts w:ascii="Wingdings" w:hAnsi="Wingdings" w:cs="Wingdings"/>
      </w:rPr>
    </w:lvl>
    <w:lvl w:ilvl="6">
      <w:start w:val="1"/>
      <w:numFmt w:val="bullet"/>
      <w:lvlText w:val=""/>
      <w:lvlJc w:val="left"/>
      <w:pPr>
        <w:tabs>
          <w:tab w:val="num" w:pos="0"/>
        </w:tabs>
        <w:ind w:left="5104" w:hanging="360"/>
      </w:pPr>
      <w:rPr>
        <w:rFonts w:ascii="Symbol" w:hAnsi="Symbol" w:cs="Symbol"/>
        <w:lang w:val="en-IE"/>
      </w:rPr>
    </w:lvl>
    <w:lvl w:ilvl="7">
      <w:start w:val="1"/>
      <w:numFmt w:val="bullet"/>
      <w:lvlText w:val="o"/>
      <w:lvlJc w:val="left"/>
      <w:pPr>
        <w:tabs>
          <w:tab w:val="num" w:pos="0"/>
        </w:tabs>
        <w:ind w:left="5824" w:hanging="360"/>
      </w:pPr>
      <w:rPr>
        <w:rFonts w:ascii="Courier New" w:hAnsi="Courier New" w:cs="Courier New"/>
      </w:rPr>
    </w:lvl>
    <w:lvl w:ilvl="8">
      <w:start w:val="1"/>
      <w:numFmt w:val="bullet"/>
      <w:lvlText w:val=""/>
      <w:lvlJc w:val="left"/>
      <w:pPr>
        <w:tabs>
          <w:tab w:val="num" w:pos="0"/>
        </w:tabs>
        <w:ind w:left="6544" w:hanging="360"/>
      </w:pPr>
      <w:rPr>
        <w:rFonts w:ascii="Wingdings" w:hAnsi="Wingdings" w:cs="Wingdings"/>
      </w:rPr>
    </w:lvl>
  </w:abstractNum>
  <w:abstractNum w:abstractNumId="2">
    <w:nsid w:val="00F32453"/>
    <w:multiLevelType w:val="hybridMultilevel"/>
    <w:tmpl w:val="588A0C58"/>
    <w:lvl w:ilvl="0" w:tplc="B140684E">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122CE"/>
    <w:multiLevelType w:val="hybridMultilevel"/>
    <w:tmpl w:val="FCE6C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DD6788"/>
    <w:multiLevelType w:val="hybridMultilevel"/>
    <w:tmpl w:val="4F5C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8632D1"/>
    <w:multiLevelType w:val="hybridMultilevel"/>
    <w:tmpl w:val="52A271F6"/>
    <w:lvl w:ilvl="0" w:tplc="08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C53E2C"/>
    <w:multiLevelType w:val="hybridMultilevel"/>
    <w:tmpl w:val="B9E63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FF4694"/>
    <w:multiLevelType w:val="hybridMultilevel"/>
    <w:tmpl w:val="A6325DD2"/>
    <w:lvl w:ilvl="0" w:tplc="7E6EA4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3B1181"/>
    <w:multiLevelType w:val="hybridMultilevel"/>
    <w:tmpl w:val="5180EF4A"/>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53010"/>
    <w:multiLevelType w:val="hybridMultilevel"/>
    <w:tmpl w:val="478ACFA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258339FB"/>
    <w:multiLevelType w:val="multilevel"/>
    <w:tmpl w:val="31D05E14"/>
    <w:lvl w:ilvl="0">
      <w:start w:val="1"/>
      <w:numFmt w:val="decimal"/>
      <w:lvlText w:val="%1."/>
      <w:lvlJc w:val="left"/>
      <w:pPr>
        <w:ind w:left="720" w:hanging="360"/>
      </w:pPr>
      <w:rPr>
        <w:rFonts w:hint="default"/>
      </w:rPr>
    </w:lvl>
    <w:lvl w:ilvl="1">
      <w:start w:val="4"/>
      <w:numFmt w:val="decimal"/>
      <w:isLgl/>
      <w:lvlText w:val="%1.%2"/>
      <w:lvlJc w:val="left"/>
      <w:pPr>
        <w:ind w:left="950" w:hanging="3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1">
    <w:nsid w:val="297E0B6A"/>
    <w:multiLevelType w:val="hybridMultilevel"/>
    <w:tmpl w:val="1630A1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D2212"/>
    <w:multiLevelType w:val="hybridMultilevel"/>
    <w:tmpl w:val="980A6354"/>
    <w:lvl w:ilvl="0" w:tplc="0809000D">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3952BBF"/>
    <w:multiLevelType w:val="hybridMultilevel"/>
    <w:tmpl w:val="0728D432"/>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E80272"/>
    <w:multiLevelType w:val="hybridMultilevel"/>
    <w:tmpl w:val="D7986066"/>
    <w:lvl w:ilvl="0" w:tplc="C1EAA2D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AC3439"/>
    <w:multiLevelType w:val="hybridMultilevel"/>
    <w:tmpl w:val="42ECB9AE"/>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444B1"/>
    <w:multiLevelType w:val="hybridMultilevel"/>
    <w:tmpl w:val="51626BD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nsid w:val="3A841D57"/>
    <w:multiLevelType w:val="hybridMultilevel"/>
    <w:tmpl w:val="7ECCD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3D5D3F"/>
    <w:multiLevelType w:val="hybridMultilevel"/>
    <w:tmpl w:val="199E3D38"/>
    <w:lvl w:ilvl="0" w:tplc="6142BA50">
      <w:start w:val="1"/>
      <w:numFmt w:val="bullet"/>
      <w:lvlText w:val=""/>
      <w:lvlJc w:val="left"/>
      <w:pPr>
        <w:ind w:left="720" w:hanging="360"/>
      </w:pPr>
      <w:rPr>
        <w:rFonts w:ascii="Wingdings" w:eastAsiaTheme="minorHAnsi"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94752"/>
    <w:multiLevelType w:val="hybridMultilevel"/>
    <w:tmpl w:val="8ACA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F0A94"/>
    <w:multiLevelType w:val="hybridMultilevel"/>
    <w:tmpl w:val="CE368844"/>
    <w:lvl w:ilvl="0" w:tplc="BA0E643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97F46F1"/>
    <w:multiLevelType w:val="hybridMultilevel"/>
    <w:tmpl w:val="BEB2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591FA3"/>
    <w:multiLevelType w:val="hybridMultilevel"/>
    <w:tmpl w:val="E31E7C7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60E7B"/>
    <w:multiLevelType w:val="hybridMultilevel"/>
    <w:tmpl w:val="CD12C42A"/>
    <w:lvl w:ilvl="0" w:tplc="6C6C01A0">
      <w:numFmt w:val="bullet"/>
      <w:lvlText w:val="-"/>
      <w:lvlJc w:val="left"/>
      <w:pPr>
        <w:ind w:left="360" w:hanging="360"/>
      </w:pPr>
      <w:rPr>
        <w:rFonts w:ascii="Times New Roman" w:eastAsiaTheme="minorHAns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5508633A"/>
    <w:multiLevelType w:val="hybridMultilevel"/>
    <w:tmpl w:val="EB62D7EE"/>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BC51A9"/>
    <w:multiLevelType w:val="hybridMultilevel"/>
    <w:tmpl w:val="175C7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E87A5A"/>
    <w:multiLevelType w:val="hybridMultilevel"/>
    <w:tmpl w:val="4F80661A"/>
    <w:lvl w:ilvl="0" w:tplc="EC54DB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6E561A9"/>
    <w:multiLevelType w:val="hybridMultilevel"/>
    <w:tmpl w:val="D3BC4B48"/>
    <w:lvl w:ilvl="0" w:tplc="01EC09CE">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nsid w:val="57174A1E"/>
    <w:multiLevelType w:val="hybridMultilevel"/>
    <w:tmpl w:val="554E0E2C"/>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9">
    <w:nsid w:val="584923AC"/>
    <w:multiLevelType w:val="hybridMultilevel"/>
    <w:tmpl w:val="52086DD6"/>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C34677"/>
    <w:multiLevelType w:val="hybridMultilevel"/>
    <w:tmpl w:val="28E43828"/>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7B511A"/>
    <w:multiLevelType w:val="hybridMultilevel"/>
    <w:tmpl w:val="4BB0EC4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nsid w:val="5EAE1283"/>
    <w:multiLevelType w:val="hybridMultilevel"/>
    <w:tmpl w:val="B0623E2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00D15F3"/>
    <w:multiLevelType w:val="hybridMultilevel"/>
    <w:tmpl w:val="5134A57C"/>
    <w:lvl w:ilvl="0" w:tplc="01EC09CE">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nsid w:val="6297109C"/>
    <w:multiLevelType w:val="hybridMultilevel"/>
    <w:tmpl w:val="34AC0D18"/>
    <w:lvl w:ilvl="0" w:tplc="8A8A33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1A4295"/>
    <w:multiLevelType w:val="hybridMultilevel"/>
    <w:tmpl w:val="2E2A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A0205B"/>
    <w:multiLevelType w:val="hybridMultilevel"/>
    <w:tmpl w:val="F9DAD22C"/>
    <w:lvl w:ilvl="0" w:tplc="97EA9A56">
      <w:start w:val="20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93A0106"/>
    <w:multiLevelType w:val="hybridMultilevel"/>
    <w:tmpl w:val="FC201D74"/>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8">
    <w:nsid w:val="7C74306B"/>
    <w:multiLevelType w:val="hybridMultilevel"/>
    <w:tmpl w:val="6F84B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C971C2"/>
    <w:multiLevelType w:val="hybridMultilevel"/>
    <w:tmpl w:val="DDF82D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7D824A0B"/>
    <w:multiLevelType w:val="hybridMultilevel"/>
    <w:tmpl w:val="3A0A0F3E"/>
    <w:lvl w:ilvl="0" w:tplc="E236ED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14"/>
  </w:num>
  <w:num w:numId="4">
    <w:abstractNumId w:val="1"/>
  </w:num>
  <w:num w:numId="5">
    <w:abstractNumId w:val="10"/>
  </w:num>
  <w:num w:numId="6">
    <w:abstractNumId w:val="17"/>
  </w:num>
  <w:num w:numId="7">
    <w:abstractNumId w:val="0"/>
  </w:num>
  <w:num w:numId="8">
    <w:abstractNumId w:val="26"/>
  </w:num>
  <w:num w:numId="9">
    <w:abstractNumId w:val="18"/>
  </w:num>
  <w:num w:numId="10">
    <w:abstractNumId w:val="6"/>
  </w:num>
  <w:num w:numId="11">
    <w:abstractNumId w:val="7"/>
  </w:num>
  <w:num w:numId="12">
    <w:abstractNumId w:val="3"/>
  </w:num>
  <w:num w:numId="13">
    <w:abstractNumId w:val="19"/>
  </w:num>
  <w:num w:numId="14">
    <w:abstractNumId w:val="38"/>
  </w:num>
  <w:num w:numId="15">
    <w:abstractNumId w:val="13"/>
  </w:num>
  <w:num w:numId="16">
    <w:abstractNumId w:val="22"/>
  </w:num>
  <w:num w:numId="17">
    <w:abstractNumId w:val="12"/>
  </w:num>
  <w:num w:numId="18">
    <w:abstractNumId w:val="28"/>
  </w:num>
  <w:num w:numId="19">
    <w:abstractNumId w:val="27"/>
  </w:num>
  <w:num w:numId="20">
    <w:abstractNumId w:val="11"/>
  </w:num>
  <w:num w:numId="21">
    <w:abstractNumId w:val="32"/>
  </w:num>
  <w:num w:numId="22">
    <w:abstractNumId w:val="33"/>
  </w:num>
  <w:num w:numId="23">
    <w:abstractNumId w:val="4"/>
  </w:num>
  <w:num w:numId="24">
    <w:abstractNumId w:val="34"/>
  </w:num>
  <w:num w:numId="25">
    <w:abstractNumId w:val="36"/>
  </w:num>
  <w:num w:numId="26">
    <w:abstractNumId w:val="21"/>
  </w:num>
  <w:num w:numId="27">
    <w:abstractNumId w:val="35"/>
  </w:num>
  <w:num w:numId="28">
    <w:abstractNumId w:val="25"/>
  </w:num>
  <w:num w:numId="29">
    <w:abstractNumId w:val="2"/>
  </w:num>
  <w:num w:numId="30">
    <w:abstractNumId w:val="20"/>
  </w:num>
  <w:num w:numId="31">
    <w:abstractNumId w:val="24"/>
  </w:num>
  <w:num w:numId="32">
    <w:abstractNumId w:val="5"/>
  </w:num>
  <w:num w:numId="33">
    <w:abstractNumId w:val="30"/>
  </w:num>
  <w:num w:numId="34">
    <w:abstractNumId w:val="8"/>
  </w:num>
  <w:num w:numId="35">
    <w:abstractNumId w:val="15"/>
  </w:num>
  <w:num w:numId="36">
    <w:abstractNumId w:val="37"/>
  </w:num>
  <w:num w:numId="37">
    <w:abstractNumId w:val="13"/>
  </w:num>
  <w:num w:numId="38">
    <w:abstractNumId w:val="31"/>
  </w:num>
  <w:num w:numId="39">
    <w:abstractNumId w:val="39"/>
  </w:num>
  <w:num w:numId="40">
    <w:abstractNumId w:val="9"/>
  </w:num>
  <w:num w:numId="41">
    <w:abstractNumId w:val="16"/>
  </w:num>
  <w:num w:numId="42">
    <w:abstractNumId w:val="31"/>
  </w:num>
  <w:num w:numId="43">
    <w:abstractNumId w:val="1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pt-PT" w:vendorID="64" w:dllVersion="131078" w:nlCheck="1" w:checkStyle="0"/>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E538E3-D3AE-4501-AE37-71346E6F7D68"/>
    <w:docVar w:name="LW_COVERPAGE_TYPE" w:val="1"/>
    <w:docVar w:name="LW_CROSSREFERENCE" w:val="&lt;UNUSED&gt;"/>
    <w:docVar w:name="LW_DocType" w:val="NORMAL"/>
    <w:docVar w:name="LW_EMISSION" w:val="12.11.2020"/>
    <w:docVar w:name="LW_EMISSION_ISODATE" w:val="2020-11-12"/>
    <w:docVar w:name="LW_EMISSION_LOCATION" w:val="BRX"/>
    <w:docVar w:name="LW_EMISSION_PREFIX" w:val="Βρυξέλλες, "/>
    <w:docVar w:name="LW_EMISSION_SUFFIX" w:val=" "/>
    <w:docVar w:name="LW_ID_DOCTYPE_NONLW" w:val="CP-014"/>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904?\u957?\u969?\u963?\u951? \u953?\u963?\u972?\u964?\u951?\u964?\u945?\u962?: \u931?\u964?\u961?\u945?\u964?\u951?\u947?\u953?\u954?\u942? \u947?\u953?\u945? \u964?\u951?\u957? \u953?\u963?\u972?\u964?\u951?\u964?\u945? \u964?\u969?\u957? \u923?\u927?\u913?\u932?\u922?\u921? 2020-2025&lt;/FMT&gt;"/>
    <w:docVar w:name="LW_TYPE.DOC.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_TYPE.DOC.CP.USERTEXT" w:val="&lt;EMPTY&gt;"/>
    <w:docVar w:name="Stamp" w:val="\\dossiers.dgt.cec.eu.int\dossiers\JUST\JUST-2020-04352\JUST-2020-04352-00-00-EN-EDT-00.20200821092609782654.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l-GR" w:eastAsia="en-IE"/>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L"/>
    <w:basedOn w:val="Normal"/>
    <w:link w:val="ListParagraphChar"/>
    <w:uiPriority w:val="34"/>
    <w:qFormat/>
    <w:pPr>
      <w:spacing w:after="200" w:line="276" w:lineRule="auto"/>
      <w:ind w:left="720"/>
      <w:contextualSpacing/>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lang w:val="el-G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Calibri" w:hAnsi="Calibri" w:cs="Calibr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el-G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DaxlinePro-Regular" w:eastAsia="Times New Roman" w:hAnsi="DaxlinePro-Regular" w:cs="DaxlinePro-Regular"/>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el-GR"/>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 w:type="paragraph" w:customStyle="1" w:styleId="footnotetext0">
    <w:name w:val="footnote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l-GR" w:eastAsia="en-IE"/>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L"/>
    <w:basedOn w:val="Normal"/>
    <w:link w:val="ListParagraphChar"/>
    <w:uiPriority w:val="34"/>
    <w:qFormat/>
    <w:pPr>
      <w:spacing w:after="200" w:line="276" w:lineRule="auto"/>
      <w:ind w:left="720"/>
      <w:contextualSpacing/>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lang w:val="el-G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Calibri" w:hAnsi="Calibri" w:cs="Calibr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el-G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DaxlinePro-Regular" w:eastAsia="Times New Roman" w:hAnsi="DaxlinePro-Regular" w:cs="DaxlinePro-Regular"/>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el-GR"/>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 w:type="paragraph" w:customStyle="1" w:styleId="footnotetext0">
    <w:name w:val="footnote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217">
      <w:bodyDiv w:val="1"/>
      <w:marLeft w:val="0"/>
      <w:marRight w:val="0"/>
      <w:marTop w:val="0"/>
      <w:marBottom w:val="0"/>
      <w:divBdr>
        <w:top w:val="none" w:sz="0" w:space="0" w:color="auto"/>
        <w:left w:val="none" w:sz="0" w:space="0" w:color="auto"/>
        <w:bottom w:val="none" w:sz="0" w:space="0" w:color="auto"/>
        <w:right w:val="none" w:sz="0" w:space="0" w:color="auto"/>
      </w:divBdr>
    </w:div>
    <w:div w:id="207566821">
      <w:bodyDiv w:val="1"/>
      <w:marLeft w:val="0"/>
      <w:marRight w:val="0"/>
      <w:marTop w:val="0"/>
      <w:marBottom w:val="0"/>
      <w:divBdr>
        <w:top w:val="none" w:sz="0" w:space="0" w:color="auto"/>
        <w:left w:val="none" w:sz="0" w:space="0" w:color="auto"/>
        <w:bottom w:val="none" w:sz="0" w:space="0" w:color="auto"/>
        <w:right w:val="none" w:sz="0" w:space="0" w:color="auto"/>
      </w:divBdr>
    </w:div>
    <w:div w:id="221065880">
      <w:bodyDiv w:val="1"/>
      <w:marLeft w:val="0"/>
      <w:marRight w:val="0"/>
      <w:marTop w:val="0"/>
      <w:marBottom w:val="0"/>
      <w:divBdr>
        <w:top w:val="none" w:sz="0" w:space="0" w:color="auto"/>
        <w:left w:val="none" w:sz="0" w:space="0" w:color="auto"/>
        <w:bottom w:val="none" w:sz="0" w:space="0" w:color="auto"/>
        <w:right w:val="none" w:sz="0" w:space="0" w:color="auto"/>
      </w:divBdr>
    </w:div>
    <w:div w:id="285553032">
      <w:bodyDiv w:val="1"/>
      <w:marLeft w:val="0"/>
      <w:marRight w:val="0"/>
      <w:marTop w:val="0"/>
      <w:marBottom w:val="0"/>
      <w:divBdr>
        <w:top w:val="none" w:sz="0" w:space="0" w:color="auto"/>
        <w:left w:val="none" w:sz="0" w:space="0" w:color="auto"/>
        <w:bottom w:val="none" w:sz="0" w:space="0" w:color="auto"/>
        <w:right w:val="none" w:sz="0" w:space="0" w:color="auto"/>
      </w:divBdr>
    </w:div>
    <w:div w:id="317154064">
      <w:bodyDiv w:val="1"/>
      <w:marLeft w:val="0"/>
      <w:marRight w:val="0"/>
      <w:marTop w:val="0"/>
      <w:marBottom w:val="0"/>
      <w:divBdr>
        <w:top w:val="none" w:sz="0" w:space="0" w:color="auto"/>
        <w:left w:val="none" w:sz="0" w:space="0" w:color="auto"/>
        <w:bottom w:val="none" w:sz="0" w:space="0" w:color="auto"/>
        <w:right w:val="none" w:sz="0" w:space="0" w:color="auto"/>
      </w:divBdr>
    </w:div>
    <w:div w:id="426386237">
      <w:bodyDiv w:val="1"/>
      <w:marLeft w:val="0"/>
      <w:marRight w:val="0"/>
      <w:marTop w:val="0"/>
      <w:marBottom w:val="0"/>
      <w:divBdr>
        <w:top w:val="none" w:sz="0" w:space="0" w:color="auto"/>
        <w:left w:val="none" w:sz="0" w:space="0" w:color="auto"/>
        <w:bottom w:val="none" w:sz="0" w:space="0" w:color="auto"/>
        <w:right w:val="none" w:sz="0" w:space="0" w:color="auto"/>
      </w:divBdr>
    </w:div>
    <w:div w:id="431979037">
      <w:bodyDiv w:val="1"/>
      <w:marLeft w:val="0"/>
      <w:marRight w:val="0"/>
      <w:marTop w:val="0"/>
      <w:marBottom w:val="0"/>
      <w:divBdr>
        <w:top w:val="none" w:sz="0" w:space="0" w:color="auto"/>
        <w:left w:val="none" w:sz="0" w:space="0" w:color="auto"/>
        <w:bottom w:val="none" w:sz="0" w:space="0" w:color="auto"/>
        <w:right w:val="none" w:sz="0" w:space="0" w:color="auto"/>
      </w:divBdr>
    </w:div>
    <w:div w:id="571081423">
      <w:bodyDiv w:val="1"/>
      <w:marLeft w:val="0"/>
      <w:marRight w:val="0"/>
      <w:marTop w:val="0"/>
      <w:marBottom w:val="0"/>
      <w:divBdr>
        <w:top w:val="none" w:sz="0" w:space="0" w:color="auto"/>
        <w:left w:val="none" w:sz="0" w:space="0" w:color="auto"/>
        <w:bottom w:val="none" w:sz="0" w:space="0" w:color="auto"/>
        <w:right w:val="none" w:sz="0" w:space="0" w:color="auto"/>
      </w:divBdr>
    </w:div>
    <w:div w:id="613636508">
      <w:bodyDiv w:val="1"/>
      <w:marLeft w:val="0"/>
      <w:marRight w:val="0"/>
      <w:marTop w:val="0"/>
      <w:marBottom w:val="0"/>
      <w:divBdr>
        <w:top w:val="none" w:sz="0" w:space="0" w:color="auto"/>
        <w:left w:val="none" w:sz="0" w:space="0" w:color="auto"/>
        <w:bottom w:val="none" w:sz="0" w:space="0" w:color="auto"/>
        <w:right w:val="none" w:sz="0" w:space="0" w:color="auto"/>
      </w:divBdr>
    </w:div>
    <w:div w:id="653072377">
      <w:bodyDiv w:val="1"/>
      <w:marLeft w:val="0"/>
      <w:marRight w:val="0"/>
      <w:marTop w:val="0"/>
      <w:marBottom w:val="0"/>
      <w:divBdr>
        <w:top w:val="none" w:sz="0" w:space="0" w:color="auto"/>
        <w:left w:val="none" w:sz="0" w:space="0" w:color="auto"/>
        <w:bottom w:val="none" w:sz="0" w:space="0" w:color="auto"/>
        <w:right w:val="none" w:sz="0" w:space="0" w:color="auto"/>
      </w:divBdr>
    </w:div>
    <w:div w:id="665549683">
      <w:bodyDiv w:val="1"/>
      <w:marLeft w:val="0"/>
      <w:marRight w:val="0"/>
      <w:marTop w:val="0"/>
      <w:marBottom w:val="0"/>
      <w:divBdr>
        <w:top w:val="none" w:sz="0" w:space="0" w:color="auto"/>
        <w:left w:val="none" w:sz="0" w:space="0" w:color="auto"/>
        <w:bottom w:val="none" w:sz="0" w:space="0" w:color="auto"/>
        <w:right w:val="none" w:sz="0" w:space="0" w:color="auto"/>
      </w:divBdr>
    </w:div>
    <w:div w:id="685248260">
      <w:bodyDiv w:val="1"/>
      <w:marLeft w:val="0"/>
      <w:marRight w:val="0"/>
      <w:marTop w:val="0"/>
      <w:marBottom w:val="0"/>
      <w:divBdr>
        <w:top w:val="none" w:sz="0" w:space="0" w:color="auto"/>
        <w:left w:val="none" w:sz="0" w:space="0" w:color="auto"/>
        <w:bottom w:val="none" w:sz="0" w:space="0" w:color="auto"/>
        <w:right w:val="none" w:sz="0" w:space="0" w:color="auto"/>
      </w:divBdr>
    </w:div>
    <w:div w:id="763189423">
      <w:bodyDiv w:val="1"/>
      <w:marLeft w:val="0"/>
      <w:marRight w:val="0"/>
      <w:marTop w:val="0"/>
      <w:marBottom w:val="0"/>
      <w:divBdr>
        <w:top w:val="none" w:sz="0" w:space="0" w:color="auto"/>
        <w:left w:val="none" w:sz="0" w:space="0" w:color="auto"/>
        <w:bottom w:val="none" w:sz="0" w:space="0" w:color="auto"/>
        <w:right w:val="none" w:sz="0" w:space="0" w:color="auto"/>
      </w:divBdr>
    </w:div>
    <w:div w:id="796607065">
      <w:bodyDiv w:val="1"/>
      <w:marLeft w:val="0"/>
      <w:marRight w:val="0"/>
      <w:marTop w:val="0"/>
      <w:marBottom w:val="0"/>
      <w:divBdr>
        <w:top w:val="none" w:sz="0" w:space="0" w:color="auto"/>
        <w:left w:val="none" w:sz="0" w:space="0" w:color="auto"/>
        <w:bottom w:val="none" w:sz="0" w:space="0" w:color="auto"/>
        <w:right w:val="none" w:sz="0" w:space="0" w:color="auto"/>
      </w:divBdr>
    </w:div>
    <w:div w:id="806320934">
      <w:bodyDiv w:val="1"/>
      <w:marLeft w:val="0"/>
      <w:marRight w:val="0"/>
      <w:marTop w:val="0"/>
      <w:marBottom w:val="0"/>
      <w:divBdr>
        <w:top w:val="none" w:sz="0" w:space="0" w:color="auto"/>
        <w:left w:val="none" w:sz="0" w:space="0" w:color="auto"/>
        <w:bottom w:val="none" w:sz="0" w:space="0" w:color="auto"/>
        <w:right w:val="none" w:sz="0" w:space="0" w:color="auto"/>
      </w:divBdr>
    </w:div>
    <w:div w:id="897328933">
      <w:bodyDiv w:val="1"/>
      <w:marLeft w:val="0"/>
      <w:marRight w:val="0"/>
      <w:marTop w:val="0"/>
      <w:marBottom w:val="0"/>
      <w:divBdr>
        <w:top w:val="none" w:sz="0" w:space="0" w:color="auto"/>
        <w:left w:val="none" w:sz="0" w:space="0" w:color="auto"/>
        <w:bottom w:val="none" w:sz="0" w:space="0" w:color="auto"/>
        <w:right w:val="none" w:sz="0" w:space="0" w:color="auto"/>
      </w:divBdr>
    </w:div>
    <w:div w:id="917442020">
      <w:bodyDiv w:val="1"/>
      <w:marLeft w:val="0"/>
      <w:marRight w:val="0"/>
      <w:marTop w:val="0"/>
      <w:marBottom w:val="0"/>
      <w:divBdr>
        <w:top w:val="none" w:sz="0" w:space="0" w:color="auto"/>
        <w:left w:val="none" w:sz="0" w:space="0" w:color="auto"/>
        <w:bottom w:val="none" w:sz="0" w:space="0" w:color="auto"/>
        <w:right w:val="none" w:sz="0" w:space="0" w:color="auto"/>
      </w:divBdr>
    </w:div>
    <w:div w:id="1027633807">
      <w:bodyDiv w:val="1"/>
      <w:marLeft w:val="0"/>
      <w:marRight w:val="0"/>
      <w:marTop w:val="0"/>
      <w:marBottom w:val="0"/>
      <w:divBdr>
        <w:top w:val="none" w:sz="0" w:space="0" w:color="auto"/>
        <w:left w:val="none" w:sz="0" w:space="0" w:color="auto"/>
        <w:bottom w:val="none" w:sz="0" w:space="0" w:color="auto"/>
        <w:right w:val="none" w:sz="0" w:space="0" w:color="auto"/>
      </w:divBdr>
    </w:div>
    <w:div w:id="1075591754">
      <w:bodyDiv w:val="1"/>
      <w:marLeft w:val="0"/>
      <w:marRight w:val="0"/>
      <w:marTop w:val="0"/>
      <w:marBottom w:val="0"/>
      <w:divBdr>
        <w:top w:val="none" w:sz="0" w:space="0" w:color="auto"/>
        <w:left w:val="none" w:sz="0" w:space="0" w:color="auto"/>
        <w:bottom w:val="none" w:sz="0" w:space="0" w:color="auto"/>
        <w:right w:val="none" w:sz="0" w:space="0" w:color="auto"/>
      </w:divBdr>
    </w:div>
    <w:div w:id="1159034891">
      <w:bodyDiv w:val="1"/>
      <w:marLeft w:val="0"/>
      <w:marRight w:val="0"/>
      <w:marTop w:val="0"/>
      <w:marBottom w:val="0"/>
      <w:divBdr>
        <w:top w:val="none" w:sz="0" w:space="0" w:color="auto"/>
        <w:left w:val="none" w:sz="0" w:space="0" w:color="auto"/>
        <w:bottom w:val="none" w:sz="0" w:space="0" w:color="auto"/>
        <w:right w:val="none" w:sz="0" w:space="0" w:color="auto"/>
      </w:divBdr>
    </w:div>
    <w:div w:id="1223760039">
      <w:bodyDiv w:val="1"/>
      <w:marLeft w:val="0"/>
      <w:marRight w:val="0"/>
      <w:marTop w:val="0"/>
      <w:marBottom w:val="0"/>
      <w:divBdr>
        <w:top w:val="none" w:sz="0" w:space="0" w:color="auto"/>
        <w:left w:val="none" w:sz="0" w:space="0" w:color="auto"/>
        <w:bottom w:val="none" w:sz="0" w:space="0" w:color="auto"/>
        <w:right w:val="none" w:sz="0" w:space="0" w:color="auto"/>
      </w:divBdr>
    </w:div>
    <w:div w:id="1269852062">
      <w:bodyDiv w:val="1"/>
      <w:marLeft w:val="0"/>
      <w:marRight w:val="0"/>
      <w:marTop w:val="0"/>
      <w:marBottom w:val="0"/>
      <w:divBdr>
        <w:top w:val="none" w:sz="0" w:space="0" w:color="auto"/>
        <w:left w:val="none" w:sz="0" w:space="0" w:color="auto"/>
        <w:bottom w:val="none" w:sz="0" w:space="0" w:color="auto"/>
        <w:right w:val="none" w:sz="0" w:space="0" w:color="auto"/>
      </w:divBdr>
    </w:div>
    <w:div w:id="1337998893">
      <w:bodyDiv w:val="1"/>
      <w:marLeft w:val="0"/>
      <w:marRight w:val="0"/>
      <w:marTop w:val="0"/>
      <w:marBottom w:val="0"/>
      <w:divBdr>
        <w:top w:val="none" w:sz="0" w:space="0" w:color="auto"/>
        <w:left w:val="none" w:sz="0" w:space="0" w:color="auto"/>
        <w:bottom w:val="none" w:sz="0" w:space="0" w:color="auto"/>
        <w:right w:val="none" w:sz="0" w:space="0" w:color="auto"/>
      </w:divBdr>
      <w:divsChild>
        <w:div w:id="453331174">
          <w:marLeft w:val="0"/>
          <w:marRight w:val="0"/>
          <w:marTop w:val="0"/>
          <w:marBottom w:val="0"/>
          <w:divBdr>
            <w:top w:val="none" w:sz="0" w:space="0" w:color="auto"/>
            <w:left w:val="none" w:sz="0" w:space="0" w:color="auto"/>
            <w:bottom w:val="none" w:sz="0" w:space="0" w:color="auto"/>
            <w:right w:val="none" w:sz="0" w:space="0" w:color="auto"/>
          </w:divBdr>
          <w:divsChild>
            <w:div w:id="3442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9985">
      <w:bodyDiv w:val="1"/>
      <w:marLeft w:val="0"/>
      <w:marRight w:val="0"/>
      <w:marTop w:val="0"/>
      <w:marBottom w:val="0"/>
      <w:divBdr>
        <w:top w:val="none" w:sz="0" w:space="0" w:color="auto"/>
        <w:left w:val="none" w:sz="0" w:space="0" w:color="auto"/>
        <w:bottom w:val="none" w:sz="0" w:space="0" w:color="auto"/>
        <w:right w:val="none" w:sz="0" w:space="0" w:color="auto"/>
      </w:divBdr>
    </w:div>
    <w:div w:id="1454447529">
      <w:bodyDiv w:val="1"/>
      <w:marLeft w:val="0"/>
      <w:marRight w:val="0"/>
      <w:marTop w:val="0"/>
      <w:marBottom w:val="0"/>
      <w:divBdr>
        <w:top w:val="none" w:sz="0" w:space="0" w:color="auto"/>
        <w:left w:val="none" w:sz="0" w:space="0" w:color="auto"/>
        <w:bottom w:val="none" w:sz="0" w:space="0" w:color="auto"/>
        <w:right w:val="none" w:sz="0" w:space="0" w:color="auto"/>
      </w:divBdr>
    </w:div>
    <w:div w:id="1637566518">
      <w:bodyDiv w:val="1"/>
      <w:marLeft w:val="0"/>
      <w:marRight w:val="0"/>
      <w:marTop w:val="0"/>
      <w:marBottom w:val="0"/>
      <w:divBdr>
        <w:top w:val="none" w:sz="0" w:space="0" w:color="auto"/>
        <w:left w:val="none" w:sz="0" w:space="0" w:color="auto"/>
        <w:bottom w:val="none" w:sz="0" w:space="0" w:color="auto"/>
        <w:right w:val="none" w:sz="0" w:space="0" w:color="auto"/>
      </w:divBdr>
    </w:div>
    <w:div w:id="1728185468">
      <w:bodyDiv w:val="1"/>
      <w:marLeft w:val="0"/>
      <w:marRight w:val="0"/>
      <w:marTop w:val="0"/>
      <w:marBottom w:val="0"/>
      <w:divBdr>
        <w:top w:val="none" w:sz="0" w:space="0" w:color="auto"/>
        <w:left w:val="none" w:sz="0" w:space="0" w:color="auto"/>
        <w:bottom w:val="none" w:sz="0" w:space="0" w:color="auto"/>
        <w:right w:val="none" w:sz="0" w:space="0" w:color="auto"/>
      </w:divBdr>
    </w:div>
    <w:div w:id="1732003906">
      <w:bodyDiv w:val="1"/>
      <w:marLeft w:val="0"/>
      <w:marRight w:val="0"/>
      <w:marTop w:val="0"/>
      <w:marBottom w:val="0"/>
      <w:divBdr>
        <w:top w:val="none" w:sz="0" w:space="0" w:color="auto"/>
        <w:left w:val="none" w:sz="0" w:space="0" w:color="auto"/>
        <w:bottom w:val="none" w:sz="0" w:space="0" w:color="auto"/>
        <w:right w:val="none" w:sz="0" w:space="0" w:color="auto"/>
      </w:divBdr>
    </w:div>
    <w:div w:id="1824657751">
      <w:bodyDiv w:val="1"/>
      <w:marLeft w:val="0"/>
      <w:marRight w:val="0"/>
      <w:marTop w:val="0"/>
      <w:marBottom w:val="0"/>
      <w:divBdr>
        <w:top w:val="none" w:sz="0" w:space="0" w:color="auto"/>
        <w:left w:val="none" w:sz="0" w:space="0" w:color="auto"/>
        <w:bottom w:val="none" w:sz="0" w:space="0" w:color="auto"/>
        <w:right w:val="none" w:sz="0" w:space="0" w:color="auto"/>
      </w:divBdr>
    </w:div>
    <w:div w:id="1847357210">
      <w:bodyDiv w:val="1"/>
      <w:marLeft w:val="0"/>
      <w:marRight w:val="0"/>
      <w:marTop w:val="0"/>
      <w:marBottom w:val="0"/>
      <w:divBdr>
        <w:top w:val="none" w:sz="0" w:space="0" w:color="auto"/>
        <w:left w:val="none" w:sz="0" w:space="0" w:color="auto"/>
        <w:bottom w:val="none" w:sz="0" w:space="0" w:color="auto"/>
        <w:right w:val="none" w:sz="0" w:space="0" w:color="auto"/>
      </w:divBdr>
    </w:div>
    <w:div w:id="1852407074">
      <w:bodyDiv w:val="1"/>
      <w:marLeft w:val="0"/>
      <w:marRight w:val="0"/>
      <w:marTop w:val="0"/>
      <w:marBottom w:val="0"/>
      <w:divBdr>
        <w:top w:val="none" w:sz="0" w:space="0" w:color="auto"/>
        <w:left w:val="none" w:sz="0" w:space="0" w:color="auto"/>
        <w:bottom w:val="none" w:sz="0" w:space="0" w:color="auto"/>
        <w:right w:val="none" w:sz="0" w:space="0" w:color="auto"/>
      </w:divBdr>
    </w:div>
    <w:div w:id="1854799916">
      <w:bodyDiv w:val="1"/>
      <w:marLeft w:val="0"/>
      <w:marRight w:val="0"/>
      <w:marTop w:val="0"/>
      <w:marBottom w:val="0"/>
      <w:divBdr>
        <w:top w:val="none" w:sz="0" w:space="0" w:color="auto"/>
        <w:left w:val="none" w:sz="0" w:space="0" w:color="auto"/>
        <w:bottom w:val="none" w:sz="0" w:space="0" w:color="auto"/>
        <w:right w:val="none" w:sz="0" w:space="0" w:color="auto"/>
      </w:divBdr>
    </w:div>
    <w:div w:id="1900245539">
      <w:bodyDiv w:val="1"/>
      <w:marLeft w:val="0"/>
      <w:marRight w:val="0"/>
      <w:marTop w:val="0"/>
      <w:marBottom w:val="0"/>
      <w:divBdr>
        <w:top w:val="none" w:sz="0" w:space="0" w:color="auto"/>
        <w:left w:val="none" w:sz="0" w:space="0" w:color="auto"/>
        <w:bottom w:val="none" w:sz="0" w:space="0" w:color="auto"/>
        <w:right w:val="none" w:sz="0" w:space="0" w:color="auto"/>
      </w:divBdr>
    </w:div>
    <w:div w:id="1910725548">
      <w:bodyDiv w:val="1"/>
      <w:marLeft w:val="0"/>
      <w:marRight w:val="0"/>
      <w:marTop w:val="0"/>
      <w:marBottom w:val="0"/>
      <w:divBdr>
        <w:top w:val="none" w:sz="0" w:space="0" w:color="auto"/>
        <w:left w:val="none" w:sz="0" w:space="0" w:color="auto"/>
        <w:bottom w:val="none" w:sz="0" w:space="0" w:color="auto"/>
        <w:right w:val="none" w:sz="0" w:space="0" w:color="auto"/>
      </w:divBdr>
    </w:div>
    <w:div w:id="1995447778">
      <w:bodyDiv w:val="1"/>
      <w:marLeft w:val="0"/>
      <w:marRight w:val="0"/>
      <w:marTop w:val="0"/>
      <w:marBottom w:val="0"/>
      <w:divBdr>
        <w:top w:val="none" w:sz="0" w:space="0" w:color="auto"/>
        <w:left w:val="none" w:sz="0" w:space="0" w:color="auto"/>
        <w:bottom w:val="none" w:sz="0" w:space="0" w:color="auto"/>
        <w:right w:val="none" w:sz="0" w:space="0" w:color="auto"/>
      </w:divBdr>
    </w:div>
    <w:div w:id="21051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sides/getDoc.do?pubRef=-//EP//TEXT+REPORT+A7-2014-0009+0+DOC+XML+V0//EL" TargetMode="External"/><Relationship Id="rId13" Type="http://schemas.openxmlformats.org/officeDocument/2006/relationships/hyperlink" Target="https://www.ilga-europe.org/rainboweurope/2020" TargetMode="External"/><Relationship Id="rId18" Type="http://schemas.openxmlformats.org/officeDocument/2006/relationships/hyperlink" Target="https://eur-lex.europa.eu/legal-content/El/TXT/?qid=1601287338054&amp;uri=COM:2020:609:FIN" TargetMode="External"/><Relationship Id="rId26" Type="http://schemas.openxmlformats.org/officeDocument/2006/relationships/hyperlink" Target="https://ec.europa.eu/info/policies/justice-and-fundamental-rights/combatting-discrimination/lesbian-gay-bi-trans-and-intersex-equality/list-actions-advance-lgbti-equality_en" TargetMode="External"/><Relationship Id="rId3" Type="http://schemas.openxmlformats.org/officeDocument/2006/relationships/hyperlink" Target="https://www.ilga-europe.org/sites/default/files/COVID19&#8201;%20_Impact%20LGBTI%20people.pdf" TargetMode="External"/><Relationship Id="rId21" Type="http://schemas.openxmlformats.org/officeDocument/2006/relationships/hyperlink" Target="https://www.ohchr.org/Documents/Issues/SexualOrientation/ConversionTherapyReport.pdf" TargetMode="External"/><Relationship Id="rId7" Type="http://schemas.openxmlformats.org/officeDocument/2006/relationships/hyperlink" Target="https://meae.gov.mt/en/Documents/LGBTIQ%20Action%20Plan/Joint%20Non%20Paper%20LGBTI%20(signed).pdf" TargetMode="External"/><Relationship Id="rId12" Type="http://schemas.openxmlformats.org/officeDocument/2006/relationships/hyperlink" Target="https://ec.europa.eu/health/sites/health/files/social_determinants/docs/stateofart_report_en.pdf" TargetMode="External"/><Relationship Id="rId17" Type="http://schemas.openxmlformats.org/officeDocument/2006/relationships/hyperlink" Target="https://ec.europa.eu/health/social_determinants/projects/ep_funded_projects_en" TargetMode="External"/><Relationship Id="rId25" Type="http://schemas.openxmlformats.org/officeDocument/2006/relationships/hyperlink" Target="https://eur-lex.europa.eu/legal-content/EL/TXT/?uri=COM:2018:375:FIN" TargetMode="External"/><Relationship Id="rId2" Type="http://schemas.openxmlformats.org/officeDocument/2006/relationships/hyperlink" Target="https://fra.europa.eu/sites/default/files/fra_uploads/fra-2020-lgbti-equality-1_en.pdf" TargetMode="External"/><Relationship Id="rId16" Type="http://schemas.openxmlformats.org/officeDocument/2006/relationships/hyperlink" Target="https://eur-lex.europa.eu/legal-content/EL/TXT/?uri=CELEX%3A52020DC0152" TargetMode="External"/><Relationship Id="rId20" Type="http://schemas.openxmlformats.org/officeDocument/2006/relationships/hyperlink" Target="https://eur-lex.europa.eu/legal-content/El/TXT/?uri=CELEX:52020DC0258" TargetMode="External"/><Relationship Id="rId1" Type="http://schemas.openxmlformats.org/officeDocument/2006/relationships/hyperlink" Target="https://ec.europa.eu/info/sites/info/files/report_list_of_actions_2015-19.pdf" TargetMode="External"/><Relationship Id="rId6" Type="http://schemas.openxmlformats.org/officeDocument/2006/relationships/hyperlink" Target="https://fra.europa.eu/sites/default/files/fra_uploads/fra-2018-challenges-facing-civil-society_en.pdf" TargetMode="External"/><Relationship Id="rId11" Type="http://schemas.openxmlformats.org/officeDocument/2006/relationships/hyperlink" Target="https://www.ilga-europe.org/sites/default/files/COVID19%20_Impact%20LGBTI%20people.pdf" TargetMode="External"/><Relationship Id="rId24" Type="http://schemas.openxmlformats.org/officeDocument/2006/relationships/hyperlink" Target="https://eur-lex.europa.eu/legal-content/EL/TXT/PDF/?uri=CELEX:52020JC0011&amp;from=EN" TargetMode="External"/><Relationship Id="rId5" Type="http://schemas.openxmlformats.org/officeDocument/2006/relationships/hyperlink" Target="https://ec.europa.eu/commfrontoffice/publicopinion/index.cfm/survey/getsurveydetail/instruments/special/surveyky/2251" TargetMode="External"/><Relationship Id="rId15" Type="http://schemas.openxmlformats.org/officeDocument/2006/relationships/hyperlink" Target="https://eur-lex.europa.eu/legal-content/EL/TXT/?uri=CELEX%3A52020DC0152" TargetMode="External"/><Relationship Id="rId23" Type="http://schemas.openxmlformats.org/officeDocument/2006/relationships/hyperlink" Target="https://documents-dds-ny.un.org/doc/UNDOC/GEN/G18/132/12/PDF/G1813212.pdf?OpenElement" TargetMode="External"/><Relationship Id="rId10" Type="http://schemas.openxmlformats.org/officeDocument/2006/relationships/hyperlink" Target="https://www.feantsa.org/en/newsletter/2017/09/28/autumn-2017?bcParent=27" TargetMode="External"/><Relationship Id="rId19" Type="http://schemas.openxmlformats.org/officeDocument/2006/relationships/hyperlink" Target="https://ec.europa.eu/newsroom/just/document.cfm?doc_id=42985" TargetMode="External"/><Relationship Id="rId4" Type="http://schemas.openxmlformats.org/officeDocument/2006/relationships/hyperlink" Target="https://www.ohchr.org/Documents/Issues/LGBT/LGBTIpeople.pdf" TargetMode="External"/><Relationship Id="rId9" Type="http://schemas.openxmlformats.org/officeDocument/2006/relationships/hyperlink" Target="https://ec.europa.eu/commission/sites/beta-political/files/social-summit-european-pillar-social-rights-booklet_el.pdf&#903;" TargetMode="External"/><Relationship Id="rId14" Type="http://schemas.openxmlformats.org/officeDocument/2006/relationships/hyperlink" Target="https://doi.org/10.1145/3274357" TargetMode="External"/><Relationship Id="rId22" Type="http://schemas.openxmlformats.org/officeDocument/2006/relationships/hyperlink" Target="https://ec.europa.eu/youth/policy/youth-strategy/youthgoal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33C3-D2A7-4A03-8109-C1D096BA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9678</Words>
  <Characters>56816</Characters>
  <Application>Microsoft Office Word</Application>
  <DocSecurity>0</DocSecurity>
  <Lines>1072</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2020-08-07T08:50:00Z</cp:lastPrinted>
  <dcterms:created xsi:type="dcterms:W3CDTF">2020-11-09T17:38:00Z</dcterms:created>
  <dcterms:modified xsi:type="dcterms:W3CDTF">2020-11-18T07:45:00Z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ies>
</file>