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B66D8D3-848D-4947-A5DF-D129F59981FA" style="width:450.35pt;height:334.2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ΑΝΑΚΟΙΝΩΣΗ ΤΗΣ ΕΠΙΤΡΟΠΗΣ ΠΡΟΣ ΤΟ ΕΥΡΩΠΑΪΚΟ ΚΟΙΝΟΒΟΥΛΙΟ, ΤΟ ΣΥΜΒΟΥΛΙΟ, ΤΗΝ ΕΥΡΩΠΑΪΚΗ ΟΙΚΟΝΟΜΙΚΗ ΚΑΙ ΚΟΙΝΩΝΙΚΗ ΕΠΙΤΡΟΠΗ ΚΑΙ ΤΗΝ ΕΠΙΤΡΟΠΗ ΤΩΝ ΠΕΡΙΦΕΡΕΙΩΝ</w:t>
      </w:r>
    </w:p>
    <w:p>
      <w:pPr>
        <w:pStyle w:val="Titreobjet"/>
        <w:rPr>
          <w:noProof/>
        </w:rPr>
      </w:pPr>
      <w:r>
        <w:rPr>
          <w:noProof/>
        </w:rPr>
        <w:t>Διασφάλιση της δικαιοσύνης στην ΕΕ — Στρατηγική για την ευρωπαϊκή δικαστική κατάρτιση 2021-2024</w:t>
      </w:r>
    </w:p>
    <w:p>
      <w:pPr>
        <w:pStyle w:val="Heading1"/>
        <w:numPr>
          <w:ilvl w:val="0"/>
          <w:numId w:val="69"/>
        </w:numPr>
        <w:rPr>
          <w:rFonts w:eastAsia="Calibri"/>
          <w:noProof/>
        </w:rPr>
      </w:pPr>
      <w:r>
        <w:rPr>
          <w:noProof/>
        </w:rPr>
        <w:t>Εισαγωγή</w:t>
      </w:r>
    </w:p>
    <w:p>
      <w:pPr>
        <w:jc w:val="both"/>
        <w:rPr>
          <w:rFonts w:ascii="Times New Roman" w:hAnsi="Times New Roman" w:cs="Times New Roman"/>
          <w:noProof/>
          <w:sz w:val="24"/>
          <w:szCs w:val="24"/>
        </w:rPr>
      </w:pPr>
      <w:r>
        <w:rPr>
          <w:rFonts w:ascii="Times New Roman" w:hAnsi="Times New Roman"/>
          <w:noProof/>
          <w:sz w:val="24"/>
          <w:szCs w:val="24"/>
        </w:rPr>
        <w:t>Η Συνθήκη της Λισαβόνας ανέθεσε στην Ευρωπαϊκή Ένωση (ΕΕ) αρμοδιότητες για την υποστήριξη της δικαστικής συνεργασίας σε αστικές και ποινικές υποθέσεις μέσω της «κατάρτισης των δικαστών και των άλλων λειτουργών και υπαλλήλων του τομέα απονομής της δικαιοσύνης»</w:t>
      </w:r>
      <w:r>
        <w:rPr>
          <w:rStyle w:val="FootnoteReference"/>
          <w:rFonts w:ascii="Times New Roman" w:eastAsia="Calibri" w:hAnsi="Times New Roman" w:cs="Times New Roman"/>
          <w:noProof/>
          <w:color w:val="000000" w:themeColor="text1"/>
          <w:sz w:val="24"/>
          <w:szCs w:val="24"/>
        </w:rPr>
        <w:footnoteReference w:id="2"/>
      </w:r>
      <w:r>
        <w:rPr>
          <w:rFonts w:ascii="Times New Roman" w:hAnsi="Times New Roman"/>
          <w:noProof/>
          <w:sz w:val="24"/>
          <w:szCs w:val="24"/>
        </w:rPr>
        <w:t xml:space="preserve">. Έκτοτε, η δικαστική κατάρτιση στο ενωσιακό δίκαιο έχει βελτιώσει την </w:t>
      </w:r>
      <w:r>
        <w:rPr>
          <w:rFonts w:ascii="Times New Roman" w:hAnsi="Times New Roman"/>
          <w:b/>
          <w:bCs/>
          <w:noProof/>
          <w:sz w:val="24"/>
          <w:szCs w:val="24"/>
        </w:rPr>
        <w:t>ορθή και ομοιόμορφη εφαρμογή του ενωσιακού δικαίου</w:t>
      </w:r>
      <w:r>
        <w:rPr>
          <w:rFonts w:ascii="Times New Roman" w:hAnsi="Times New Roman"/>
          <w:noProof/>
          <w:sz w:val="24"/>
          <w:szCs w:val="24"/>
        </w:rPr>
        <w:t xml:space="preserve"> και έχει οικοδομήσει </w:t>
      </w:r>
      <w:r>
        <w:rPr>
          <w:rFonts w:ascii="Times New Roman" w:hAnsi="Times New Roman"/>
          <w:b/>
          <w:bCs/>
          <w:noProof/>
          <w:sz w:val="24"/>
          <w:szCs w:val="24"/>
        </w:rPr>
        <w:t>αμοιβαία εμπιστοσύνη στις διασυνοριακές δικαστικές διαδικασίες</w:t>
      </w:r>
      <w:r>
        <w:rPr>
          <w:rFonts w:ascii="Times New Roman" w:hAnsi="Times New Roman"/>
          <w:noProof/>
          <w:sz w:val="24"/>
          <w:szCs w:val="24"/>
        </w:rPr>
        <w:t>, συμβάλλοντας έτσι στην ανάπτυξη του ενωσιακού χώρου δικαιοσύνης.</w:t>
      </w:r>
    </w:p>
    <w:p>
      <w:pPr>
        <w:jc w:val="both"/>
        <w:rPr>
          <w:rFonts w:ascii="Times New Roman" w:hAnsi="Times New Roman" w:cs="Times New Roman"/>
          <w:noProof/>
          <w:sz w:val="24"/>
          <w:szCs w:val="24"/>
        </w:rPr>
      </w:pPr>
      <w:r>
        <w:rPr>
          <w:rFonts w:ascii="Times New Roman" w:hAnsi="Times New Roman"/>
          <w:noProof/>
          <w:sz w:val="24"/>
          <w:szCs w:val="24"/>
        </w:rPr>
        <w:t xml:space="preserve">Η ανακοίνωση της Επιτροπής, του 2011, με τίτλο </w:t>
      </w:r>
      <w:r>
        <w:rPr>
          <w:rFonts w:ascii="Times New Roman" w:hAnsi="Times New Roman"/>
          <w:i/>
          <w:iCs/>
          <w:noProof/>
          <w:sz w:val="24"/>
          <w:szCs w:val="24"/>
        </w:rPr>
        <w:t>Εμπιστοσύνη στην πανευρωπαϊκή δικαιοσύνη — Μια νέα διάσταση στην ευρωπαϊκή δικαστική κατάρτιση</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έφερε </w:t>
      </w:r>
      <w:r>
        <w:rPr>
          <w:rFonts w:ascii="Times New Roman" w:hAnsi="Times New Roman"/>
          <w:b/>
          <w:bCs/>
          <w:noProof/>
          <w:sz w:val="24"/>
          <w:szCs w:val="24"/>
        </w:rPr>
        <w:t>ουσιαστική αλλαγή</w:t>
      </w:r>
      <w:r>
        <w:rPr>
          <w:rFonts w:ascii="Times New Roman" w:hAnsi="Times New Roman"/>
          <w:noProof/>
          <w:sz w:val="24"/>
          <w:szCs w:val="24"/>
        </w:rPr>
        <w:t xml:space="preserve"> στην οργάνωση της δικαστικής κατάρτισης στην ΕΕ, τόσο όσον αφορά την προσέγγιση όσο και την κλίμακα. Μολονότι η πλειονότητα των δικαστών και εισαγγελέων της ΕΕ που είχαν απαντήσει σε έρευνα του 2010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δεν είχαν συμμετάσχει ποτέ σε δικαστική κατάρτιση στο ενωσιακό δίκαιο ή στο δίκαιο άλλου κράτους μέλους, μετά την έκδοση της ανακοίνωσης της Επιτροπής περισσότεροι από τους μισούς επαγγελματίες του νομικού κλάδου της ΕΕ (πάνω από 1 εκατομμύριο) το έπραξαν.</w:t>
      </w:r>
    </w:p>
    <w:p>
      <w:pPr>
        <w:jc w:val="both"/>
        <w:rPr>
          <w:rFonts w:ascii="Times New Roman" w:hAnsi="Times New Roman" w:cs="Times New Roman"/>
          <w:noProof/>
          <w:sz w:val="24"/>
          <w:szCs w:val="24"/>
        </w:rPr>
      </w:pPr>
      <w:r>
        <w:rPr>
          <w:rFonts w:ascii="Times New Roman" w:hAnsi="Times New Roman"/>
          <w:noProof/>
          <w:sz w:val="24"/>
          <w:szCs w:val="24"/>
        </w:rPr>
        <w:t>Η αξιολόγηση της</w:t>
      </w:r>
      <w:r>
        <w:rPr>
          <w:rFonts w:ascii="Times New Roman" w:hAnsi="Times New Roman"/>
          <w:b/>
          <w:bCs/>
          <w:noProof/>
          <w:sz w:val="24"/>
          <w:szCs w:val="24"/>
        </w:rPr>
        <w:t xml:space="preserve"> στρατηγικής για την ευρωπαϊκή δικαστική κατάρτιση 2011-2020</w:t>
      </w:r>
      <w:r>
        <w:rPr>
          <w:rStyle w:val="FootnoteReference"/>
          <w:rFonts w:ascii="Times New Roman" w:eastAsia="Calibri" w:hAnsi="Times New Roman" w:cs="Times New Roman"/>
          <w:noProof/>
          <w:color w:val="000000" w:themeColor="text1"/>
          <w:sz w:val="24"/>
          <w:szCs w:val="24"/>
        </w:rPr>
        <w:footnoteReference w:id="5"/>
      </w:r>
      <w:r>
        <w:rPr>
          <w:rFonts w:ascii="Times New Roman" w:hAnsi="Times New Roman"/>
          <w:noProof/>
          <w:sz w:val="24"/>
          <w:szCs w:val="24"/>
        </w:rPr>
        <w:t xml:space="preserve"> (δημοσιεύθηκε το 2019) και οι ετήσιες εκθέσεις για την ευρωπαϊκή δικαστική κατάρτιση</w:t>
      </w:r>
      <w:r>
        <w:rPr>
          <w:rStyle w:val="FootnoteReference"/>
          <w:rFonts w:ascii="Times New Roman" w:eastAsia="Calibri" w:hAnsi="Times New Roman" w:cs="Times New Roman"/>
          <w:noProof/>
          <w:color w:val="000000" w:themeColor="text1"/>
          <w:sz w:val="24"/>
          <w:szCs w:val="24"/>
          <w:lang w:eastAsia="en-GB"/>
        </w:rPr>
        <w:footnoteReference w:id="6"/>
      </w:r>
      <w:r>
        <w:rPr>
          <w:rFonts w:ascii="Times New Roman" w:hAnsi="Times New Roman"/>
          <w:noProof/>
          <w:sz w:val="24"/>
          <w:szCs w:val="24"/>
        </w:rPr>
        <w:t xml:space="preserve"> δείχνουν ότι, συνολικά, η στρατηγική έχει επιτύχει τους περισσότερους από τους στόχους της. </w:t>
      </w:r>
      <w:r>
        <w:rPr>
          <w:rFonts w:ascii="Times New Roman" w:hAnsi="Times New Roman"/>
          <w:noProof/>
          <w:color w:val="000000" w:themeColor="text1"/>
          <w:sz w:val="24"/>
          <w:szCs w:val="24"/>
          <w:bdr w:val="nil"/>
        </w:rPr>
        <w:t xml:space="preserve">Ο εμβληματικός στόχος να καταρτιστούν στο ενωσιακό δίκαιο οι μισοί επαγγελματίες του νομικού κλάδου (δηλ. 800 000 επαγγελματίες) μεταξύ του 2011 και του 2020 επιτεύχθηκε το 2017. Η στρατηγική έχει συμβάλει στην αύξηση του αριθμού των δραστηριοτήτων κατάρτισης, ενώ έχει επίσης προωθήσει νέους τύπους δραστηριοτήτων, όπως τα προγράμματα ανταλλαγών. Έχει βοηθήσει στη βελτίωση της κατάρτισης στο ενωσιακό δίκαιο όσον αφορά διάφορες κατηγορίες επαγγελματιών του νομικού κλάδου, ιδίως δικαστές και εισαγγελείς. </w:t>
      </w:r>
      <w:r>
        <w:rPr>
          <w:rFonts w:ascii="Times New Roman" w:hAnsi="Times New Roman"/>
          <w:noProof/>
          <w:sz w:val="24"/>
          <w:szCs w:val="24"/>
        </w:rPr>
        <w:t>Επιπλέον, έχει διευρύνει τις ικανότητες δικτύων όπως το Ευρωπαϊκό δίκτυο κατάρτισης δικαστικών (στο εξής: ΕΔΚΔ) και έχει ενισχύσει τα δίκτυα και τους παρόχους κατάρτισης σε ενωσιακό επίπεδο.</w:t>
      </w:r>
    </w:p>
    <w:p>
      <w:pPr>
        <w:jc w:val="both"/>
        <w:rPr>
          <w:rFonts w:ascii="Times New Roman" w:hAnsi="Times New Roman" w:cs="Times New Roman"/>
          <w:noProof/>
          <w:sz w:val="24"/>
          <w:szCs w:val="24"/>
        </w:rPr>
      </w:pPr>
      <w:r>
        <w:rPr>
          <w:rFonts w:ascii="Times New Roman" w:hAnsi="Times New Roman"/>
          <w:noProof/>
          <w:sz w:val="24"/>
          <w:szCs w:val="24"/>
        </w:rPr>
        <w:t xml:space="preserve">Χρησιμοποιώντας αυτά τα επιτεύγματα ως βάση, είναι πλέον σημαντικό η δικαστική κατάρτιση να παραμείνει ψηλά στις προτεραιότητες της ΕΕ και να </w:t>
      </w:r>
      <w:r>
        <w:rPr>
          <w:rFonts w:ascii="Times New Roman" w:hAnsi="Times New Roman"/>
          <w:b/>
          <w:bCs/>
          <w:noProof/>
          <w:sz w:val="24"/>
          <w:szCs w:val="24"/>
        </w:rPr>
        <w:t>ενισχυθεί περαιτέρω</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Η ΕΕ αντιμετωπίζει ορισμένες νέες εξελίξεις και προκλήσεις οι οποίες θα πρέπει να ληφθούν υπόψη από τη δικαστική κατάρτιση, μεταξύ άλλων την υποβάθμιση του κράτους δικαίου και τις επιθέσεις κατά των θεμελιωδών δικαιωμάτων σε ορισμένα κράτη μέλη, την εκθετική αύξηση της ψηφιοποίησης των κοινωνιών μας και τις προοπτικές προσχώρησης των Δυτικών Βαλκανίων στην ΕΕ. Επιπλέον, το επίπεδο συμμετοχής στην κατάρτιση εξακολουθεί να διαφέρει σημαντικά ανάλογα με το κράτος μέλος και τα επαγγέλματα του τομέα απονομής δικαιοσύνης. Αυτό μπορεί να έχει αρνητικό αντίκτυπο στην ομοιόμορφη και αποτελεσματική εφαρμογή του ενωσιακού δικαίου.</w:t>
      </w:r>
    </w:p>
    <w:p>
      <w:pPr>
        <w:jc w:val="both"/>
        <w:rPr>
          <w:rFonts w:ascii="Times New Roman" w:hAnsi="Times New Roman" w:cs="Times New Roman"/>
          <w:noProof/>
        </w:rPr>
      </w:pPr>
      <w:r>
        <w:rPr>
          <w:rFonts w:ascii="Times New Roman" w:hAnsi="Times New Roman"/>
          <w:noProof/>
          <w:sz w:val="24"/>
          <w:szCs w:val="24"/>
        </w:rPr>
        <w:t>Η παρούσα ανακοίνωση βασίζεται στα διδάγματα που αντλήθηκαν και στις νέες εξελίξεις από το 2011 και μετά. Αντικατοπτρίζει τα αποτελέσματα της αξιολόγησης της στρατηγικής 2011-2020 που διενήργησε η Επιτροπή και μιας ευρείας δημόσιας διαβούλευσης που πραγματοποίησε η Επιτροπή το 2018</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Επιπλέον, παρουσιάζει μια ολοκληρωμένη στρατηγική για την περαιτέρω βελτίωση της κατάρτισης των επαγγελματιών του τομέα απονομής δικαιοσύνης στο ενωσιακό δίκαιο, επεκτείνοντας την παρέμβαση σε επίπεδο πολιτικής σε νέα θέματα, επαγγέλματα και γεωγραφικές περιοχές, λαμβάνοντας υπόψη τις νέες προκλήσεις και θέτοντας νέους στόχους για την περίοδο 2021-2024.</w:t>
      </w:r>
    </w:p>
    <w:p>
      <w:pPr>
        <w:pStyle w:val="Heading1"/>
        <w:numPr>
          <w:ilvl w:val="0"/>
          <w:numId w:val="69"/>
        </w:numPr>
        <w:rPr>
          <w:noProof/>
        </w:rPr>
      </w:pPr>
      <w:r>
        <w:rPr>
          <w:noProof/>
        </w:rPr>
        <w:t>Ευέλικτη αντιμετώπιση των αναδυόμενων αναγκών κατάρτισης στο ενωσιακό δίκαιο</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Οι επαγγελματίες του τομέα απονομής δικαιοσύνης πρέπει να είναι σε θέση να προσαρμόζονται στις νέες εξελίξεις, μεταξύ άλλων στον τομέα του ενωσιακού δικαίου. Ως εκ τούτου, είναι σημαντικό οι αναδυόμενες ανάγκες κατάρτισης στο ενωσιακό δίκαιο να αντιμετωπίζονται με ευέλικτο τρόπο.</w:t>
      </w:r>
    </w:p>
    <w:p>
      <w:pPr>
        <w:pStyle w:val="Heading2"/>
        <w:tabs>
          <w:tab w:val="clear" w:pos="1077"/>
        </w:tabs>
        <w:ind w:left="709" w:hanging="709"/>
        <w:rPr>
          <w:noProof/>
        </w:rPr>
      </w:pPr>
      <w:r>
        <w:rPr>
          <w:noProof/>
        </w:rPr>
        <w:t>Δικαστική κατάρτιση για την προώθηση μιας κοινής κουλτούρας κράτους δικαίου</w:t>
      </w:r>
    </w:p>
    <w:p>
      <w:pPr>
        <w:jc w:val="both"/>
        <w:rPr>
          <w:rFonts w:ascii="Times New Roman" w:hAnsi="Times New Roman" w:cs="Times New Roman"/>
          <w:noProof/>
          <w:sz w:val="24"/>
          <w:szCs w:val="24"/>
        </w:rPr>
      </w:pPr>
      <w:r>
        <w:rPr>
          <w:rFonts w:ascii="Times New Roman" w:hAnsi="Times New Roman"/>
          <w:noProof/>
          <w:sz w:val="24"/>
          <w:szCs w:val="24"/>
        </w:rPr>
        <w:t xml:space="preserve">Ο σεβασμός του κράτους δικαίου είναι ζωτικής σημασίας για την αποτελεσματική εφαρμογή του ενωσιακού δικαίου και για την αμοιβαία εμπιστοσύνη μεταξύ των κρατών μελών και των δικαστικών αρχών τους. Η ουσία του κράτους δικαίου είναι η αποτελεσματική δικαστική προστασία, η οποία προϋποθέτει την ανεξαρτησία, την ποιότητα και την αποδοτικότητα των εθνικών συστημάτων απονομής δικαιοσύνης. </w:t>
      </w:r>
      <w:r>
        <w:rPr>
          <w:rFonts w:ascii="Times New Roman" w:hAnsi="Times New Roman"/>
          <w:b/>
          <w:bCs/>
          <w:noProof/>
          <w:sz w:val="24"/>
          <w:szCs w:val="24"/>
        </w:rPr>
        <w:t>Οι επαγγελματίες του τομέα απονομής δικαιοσύνης διαδραματίζουν ουσιαστικό ρόλο στην προάσπιση του κράτους δικαίου</w:t>
      </w:r>
      <w:r>
        <w:rPr>
          <w:rFonts w:ascii="Times New Roman" w:hAnsi="Times New Roman"/>
          <w:noProof/>
          <w:sz w:val="24"/>
          <w:szCs w:val="24"/>
        </w:rPr>
        <w:t>. Θα πρέπει να παρακολουθούν τις εξελίξεις στο ενωσιακό κεκτημένο στον συγκεκριμένο τομέα, μεταξύ άλλων στην ταχέως εξελισσόμενη νομολογία του Δικαστηρίου της Ευρωπαϊκής Ένωσης (στο εξής: ΔΕΕ), ώστε να τα εφαρμόζουν αμφότερα στο έργο τους. Οι καλά καταρτισμένοι επαγγελματίες και τα δίκτυά τους παίζουν σημαντικό ρόλο στην ενίσχυση της κουλτούρας του κράτους δικαίου και στην προάσπιση του ίδιου του κράτους δικαίου</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διατηρώντας στο επίκεντρο την αρχή της ανεξαρτησίας της δικαιοσύνης.</w:t>
      </w:r>
    </w:p>
    <w:p>
      <w:pPr>
        <w:pStyle w:val="Heading2"/>
        <w:tabs>
          <w:tab w:val="clear" w:pos="1077"/>
        </w:tabs>
        <w:ind w:left="709" w:hanging="709"/>
        <w:rPr>
          <w:noProof/>
        </w:rPr>
      </w:pPr>
      <w:r>
        <w:rPr>
          <w:noProof/>
        </w:rPr>
        <w:t>Προάσπιση των θεμελιωδών δικαιωμάτων</w:t>
      </w:r>
    </w:p>
    <w:p>
      <w:pPr>
        <w:jc w:val="both"/>
        <w:rPr>
          <w:rFonts w:ascii="Times New Roman" w:eastAsia="Calibri" w:hAnsi="Times New Roman" w:cs="Times New Roman"/>
          <w:strike/>
          <w:noProof/>
          <w:color w:val="000000" w:themeColor="text1"/>
          <w:sz w:val="24"/>
          <w:szCs w:val="24"/>
        </w:rPr>
      </w:pPr>
      <w:r>
        <w:rPr>
          <w:rFonts w:ascii="Times New Roman" w:hAnsi="Times New Roman"/>
          <w:noProof/>
          <w:color w:val="000000" w:themeColor="text1"/>
          <w:sz w:val="24"/>
          <w:szCs w:val="24"/>
        </w:rPr>
        <w:t xml:space="preserve">Οι εθνικοί δικαστές και άλλοι επαγγελματίες του τομέα απονομής δικαιοσύνης συνιστούν σημαντικούς παράγοντες που διασφαλίζουν την αποτελεσματική εφαρμογή του </w:t>
      </w:r>
      <w:r>
        <w:rPr>
          <w:rFonts w:ascii="Times New Roman" w:hAnsi="Times New Roman"/>
          <w:b/>
          <w:bCs/>
          <w:noProof/>
          <w:color w:val="000000" w:themeColor="text1"/>
          <w:sz w:val="24"/>
          <w:szCs w:val="24"/>
        </w:rPr>
        <w:t>Χάρτη των Θεμελιωδών Δικαιωμάτων της ΕΕ</w:t>
      </w:r>
      <w:r>
        <w:rPr>
          <w:rFonts w:ascii="Times New Roman" w:hAnsi="Times New Roman"/>
          <w:noProof/>
          <w:color w:val="000000" w:themeColor="text1"/>
          <w:sz w:val="24"/>
          <w:szCs w:val="24"/>
        </w:rPr>
        <w:t xml:space="preserve"> και κάνουν πραγματικότητα τα δικαιώματα που απορρέουν από τον Χάρτη στην καθημερινή ζωή των πολιτών.</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Θα πρέπει να λαμβάνουν ειδική κατάρτιση όσον αφορά την εφαρμογή του Χάρτη, το πεδίο εφαρμογής του και τα ειδικά δικαιώματα, όπως η προστασία των δεδομένων</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αλλά και όσον αφορά τη σχέση του με το εθνικό δίκαιο και την αλληλεπίδρασή του με την Ευρωπαϊκή Σύμβαση Δικαιωμάτων του Ανθρώπου.</w:t>
      </w:r>
      <w:r>
        <w:rPr>
          <w:rFonts w:ascii="Times New Roman" w:hAnsi="Times New Roman"/>
          <w:noProof/>
          <w:color w:val="000000" w:themeColor="text1"/>
          <w:sz w:val="24"/>
          <w:szCs w:val="24"/>
        </w:rPr>
        <w:t xml:space="preserve"> Επιπλέον, η κατάρτιση σχετικά με τον Χάρτη θα πρέπει να ενσωματωθεί σε ενότητες κατάρτισης σχετικά με διάφορους τομείς του ενωσιακού δικαίου, κατά περίπτωση</w:t>
      </w:r>
      <w:r>
        <w:rPr>
          <w:rStyle w:val="FootnoteReference"/>
          <w:rFonts w:ascii="Times New Roman" w:eastAsia="Calibri" w:hAnsi="Times New Roman" w:cs="Times New Roman"/>
          <w:noProof/>
          <w:color w:val="000000" w:themeColor="text1"/>
          <w:sz w:val="24"/>
          <w:szCs w:val="24"/>
          <w:lang w:eastAsia="en-GB"/>
        </w:rPr>
        <w:footnoteReference w:id="10"/>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Ενίσχυση της ψηφιοποίησης της δικαιοσύνης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Η δικαστική κατάρτιση πρέπει να προετοιμάσει τους επαγγελματίες του τομέα απονομής δικαιοσύνης να υιοθετήσουν την </w:t>
      </w:r>
      <w:r>
        <w:rPr>
          <w:rFonts w:ascii="Times New Roman" w:hAnsi="Times New Roman"/>
          <w:b/>
          <w:bCs/>
          <w:noProof/>
          <w:color w:val="000000" w:themeColor="text1"/>
          <w:sz w:val="24"/>
          <w:szCs w:val="24"/>
        </w:rPr>
        <w:t>ψηφιοποίηση</w:t>
      </w:r>
      <w:r>
        <w:rPr>
          <w:rFonts w:ascii="Times New Roman" w:hAnsi="Times New Roman"/>
          <w:noProof/>
          <w:color w:val="000000" w:themeColor="text1"/>
          <w:sz w:val="24"/>
          <w:szCs w:val="24"/>
        </w:rPr>
        <w:t xml:space="preserve"> και να χρησιμοποιήσουν την </w:t>
      </w:r>
      <w:r>
        <w:rPr>
          <w:rFonts w:ascii="Times New Roman" w:hAnsi="Times New Roman"/>
          <w:b/>
          <w:bCs/>
          <w:noProof/>
          <w:color w:val="000000" w:themeColor="text1"/>
          <w:sz w:val="24"/>
          <w:szCs w:val="24"/>
        </w:rPr>
        <w:t>τεχνητή νοημοσύνη</w:t>
      </w:r>
      <w:r>
        <w:rPr>
          <w:rStyle w:val="FootnoteReference"/>
          <w:rFonts w:ascii="Times New Roman" w:eastAsia="Calibri" w:hAnsi="Times New Roman" w:cs="Times New Roman"/>
          <w:noProof/>
          <w:color w:val="000000" w:themeColor="text1"/>
          <w:sz w:val="24"/>
          <w:szCs w:val="24"/>
          <w:lang w:eastAsia="en-GB"/>
        </w:rPr>
        <w:footnoteReference w:id="11"/>
      </w:r>
      <w:r>
        <w:rPr>
          <w:rFonts w:ascii="Times New Roman" w:hAnsi="Times New Roman"/>
          <w:noProof/>
          <w:color w:val="000000" w:themeColor="text1"/>
          <w:sz w:val="24"/>
          <w:szCs w:val="24"/>
        </w:rPr>
        <w:t xml:space="preserve">. Οι εξελίξεις στον τομέα αυτό επηρεάζουν ολοένα και περισσότερο κάθε πτυχή της ζωής μας. Η πανδημία COVID-19 κατέδειξε ότι τα συστήματα απονομής δικαιοσύνης πρέπει να προσαρμοστούν γρήγορα μέσω της ψηφιοποίησης. </w:t>
      </w:r>
      <w:r>
        <w:rPr>
          <w:rFonts w:ascii="Times New Roman" w:hAnsi="Times New Roman"/>
          <w:noProof/>
          <w:sz w:val="24"/>
          <w:szCs w:val="24"/>
        </w:rPr>
        <w:t xml:space="preserve">Οι επαγγελματίες του τομέα απονομής δικαιοσύνης οφείλουν να γνωρίζουν τον αντίκτυπο που έχουν τα </w:t>
      </w:r>
      <w:r>
        <w:rPr>
          <w:rFonts w:ascii="Times New Roman" w:hAnsi="Times New Roman"/>
          <w:b/>
          <w:bCs/>
          <w:noProof/>
          <w:sz w:val="24"/>
          <w:szCs w:val="24"/>
        </w:rPr>
        <w:t>ψηφιακά εργαλεία και οι τεχνολογίες</w:t>
      </w:r>
      <w:r>
        <w:rPr>
          <w:rFonts w:ascii="Times New Roman" w:hAnsi="Times New Roman"/>
          <w:noProof/>
          <w:sz w:val="24"/>
          <w:szCs w:val="24"/>
        </w:rPr>
        <w:t xml:space="preserve"> στις υποθέσεις που χειρίζονται και να είναι έτοιμοι να τα χρησιμοποιήσουν σωστά στην καθημερινή εργασία τους, μεταξύ άλλων σε διασυνοριακές διαδικασίες</w:t>
      </w:r>
      <w:r>
        <w:rPr>
          <w:rStyle w:val="FootnoteReference"/>
          <w:rFonts w:ascii="Times New Roman" w:eastAsia="Calibri" w:hAnsi="Times New Roman" w:cs="Times New Roman"/>
          <w:noProof/>
          <w:color w:val="000000" w:themeColor="text1"/>
          <w:sz w:val="24"/>
          <w:szCs w:val="24"/>
          <w:lang w:eastAsia="en-GB"/>
        </w:rPr>
        <w:footnoteReference w:id="12"/>
      </w:r>
      <w:r>
        <w:rPr>
          <w:rFonts w:ascii="Times New Roman" w:hAnsi="Times New Roman"/>
          <w:noProof/>
          <w:sz w:val="24"/>
          <w:szCs w:val="24"/>
        </w:rPr>
        <w:t>.</w:t>
      </w:r>
      <w:r>
        <w:rPr>
          <w:rFonts w:ascii="Times New Roman" w:hAnsi="Times New Roman"/>
          <w:noProof/>
          <w:color w:val="000000" w:themeColor="text1"/>
          <w:sz w:val="24"/>
          <w:szCs w:val="24"/>
        </w:rPr>
        <w:t xml:space="preserve"> Πρέπει να διασφαλίζουν την επαρκή προστασία των ατομικών δικαιωμάτων και των δεδομένων προσωπικού χαρακτήρα στον ψηφιακό χώρο, ιδίως προκειμένου οι διάδικοι να έχουν πρόσβαση στους φακέλους και να παρίστανται στις ακροαματικές διαδικασίες.</w:t>
      </w:r>
    </w:p>
    <w:p>
      <w:pPr>
        <w:pStyle w:val="Heading2"/>
        <w:tabs>
          <w:tab w:val="clear" w:pos="1077"/>
        </w:tabs>
        <w:ind w:left="709" w:hanging="709"/>
        <w:rPr>
          <w:noProof/>
        </w:rPr>
      </w:pPr>
      <w:r>
        <w:rPr>
          <w:noProof/>
        </w:rPr>
        <w:t>Παρακολούθηση του εξελισσόμενου ενωσιακού δικαίου</w:t>
      </w:r>
    </w:p>
    <w:p>
      <w:pPr>
        <w:jc w:val="both"/>
        <w:rPr>
          <w:rFonts w:ascii="Times New Roman" w:hAnsi="Times New Roman" w:cs="Times New Roman"/>
          <w:noProof/>
          <w:sz w:val="24"/>
          <w:szCs w:val="24"/>
        </w:rPr>
      </w:pPr>
      <w:r>
        <w:rPr>
          <w:rFonts w:ascii="Times New Roman" w:hAnsi="Times New Roman"/>
          <w:noProof/>
          <w:sz w:val="24"/>
          <w:szCs w:val="24"/>
        </w:rPr>
        <w:t xml:space="preserve">Η ευρωπαϊκή δικαστική κατάρτιση θα πρέπει να επιτρέπει στους επαγγελματίες του τομέα απονομής δικαιοσύνης να </w:t>
      </w:r>
      <w:r>
        <w:rPr>
          <w:rFonts w:ascii="Times New Roman" w:hAnsi="Times New Roman"/>
          <w:b/>
          <w:bCs/>
          <w:noProof/>
          <w:sz w:val="24"/>
          <w:szCs w:val="24"/>
        </w:rPr>
        <w:t>αναγνωρίζουν τον ρόλο του ενωσιακού δικαίου</w:t>
      </w:r>
      <w:r>
        <w:rPr>
          <w:rFonts w:ascii="Times New Roman" w:hAnsi="Times New Roman"/>
          <w:noProof/>
          <w:sz w:val="24"/>
          <w:szCs w:val="24"/>
        </w:rPr>
        <w:t xml:space="preserve"> στην καθημερινή τους εργασία, να </w:t>
      </w:r>
      <w:r>
        <w:rPr>
          <w:rFonts w:ascii="Times New Roman" w:hAnsi="Times New Roman"/>
          <w:b/>
          <w:bCs/>
          <w:noProof/>
          <w:sz w:val="24"/>
          <w:szCs w:val="24"/>
        </w:rPr>
        <w:t>εξασφαλίζουν την πλήρη αποτελεσματικότητά του</w:t>
      </w:r>
      <w:r>
        <w:rPr>
          <w:rFonts w:ascii="Times New Roman" w:hAnsi="Times New Roman"/>
          <w:noProof/>
          <w:sz w:val="24"/>
          <w:szCs w:val="24"/>
        </w:rPr>
        <w:t xml:space="preserve"> και να διασφαλίζουν στις εθνικές δικαστικές διαδικασίες </w:t>
      </w:r>
      <w:r>
        <w:rPr>
          <w:rFonts w:ascii="Times New Roman" w:hAnsi="Times New Roman"/>
          <w:b/>
          <w:bCs/>
          <w:noProof/>
          <w:sz w:val="24"/>
          <w:szCs w:val="24"/>
        </w:rPr>
        <w:t>τον σεβασμό των δικαιωμάτων και των υποχρεώσεων</w:t>
      </w:r>
      <w:r>
        <w:rPr>
          <w:rFonts w:ascii="Times New Roman" w:hAnsi="Times New Roman"/>
          <w:noProof/>
          <w:sz w:val="24"/>
          <w:szCs w:val="24"/>
        </w:rPr>
        <w:t xml:space="preserve"> που απορρέουν από το ενωσιακό δίκαιο. Επιπλέον, είναι σημαντικό να ενημερώνονται για τις εξελίξεις στο ενωσιακό δίκαιο. Οποιεσδήποτε νέες εξελίξεις στη νομοθεσία και στη νομολογία του ΔΕΕ απαιτούν κατάρτιση προκειμένου να φέρουν τα επιδιωκόμενα αποτελέσματα· ακόμη, οι επαγγελματίες του τομέα απονομής δικαιοσύνης πρέπει να διαθέτουν τις απαιτούμενες γνώσεις και δεξιότητες.</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Ειδικότερα, αυτό ισχύει όσον αφορά τα βασικά μέσα της ΕΕ για τη </w:t>
      </w:r>
      <w:r>
        <w:rPr>
          <w:rFonts w:ascii="Times New Roman" w:hAnsi="Times New Roman"/>
          <w:b/>
          <w:bCs/>
          <w:noProof/>
          <w:sz w:val="24"/>
          <w:szCs w:val="24"/>
        </w:rPr>
        <w:t>διασυνοριακή δικαστική συνεργασία</w:t>
      </w:r>
      <w:r>
        <w:rPr>
          <w:rFonts w:ascii="Times New Roman" w:hAnsi="Times New Roman"/>
          <w:noProof/>
          <w:sz w:val="24"/>
          <w:szCs w:val="24"/>
        </w:rPr>
        <w:t xml:space="preserve">. Η σύσταση της </w:t>
      </w:r>
      <w:r>
        <w:rPr>
          <w:rFonts w:ascii="Times New Roman" w:hAnsi="Times New Roman"/>
          <w:b/>
          <w:bCs/>
          <w:noProof/>
          <w:sz w:val="24"/>
          <w:szCs w:val="24"/>
        </w:rPr>
        <w:t>Ευρωπαϊκής Εισαγγελίας</w:t>
      </w:r>
      <w:r>
        <w:rPr>
          <w:rFonts w:ascii="Times New Roman" w:hAnsi="Times New Roman"/>
          <w:noProof/>
          <w:sz w:val="24"/>
          <w:szCs w:val="24"/>
        </w:rPr>
        <w:t xml:space="preserve"> (EPPO) επηρέασε επίσης τις ανάγκες κατάρτισης για τους εισαγγελείς, τους δικαστές και τους συνηγόρους υπεράσπισης. </w:t>
      </w:r>
      <w:r>
        <w:rPr>
          <w:rFonts w:ascii="Times New Roman" w:hAnsi="Times New Roman"/>
          <w:noProof/>
          <w:color w:val="000000" w:themeColor="text1"/>
          <w:sz w:val="24"/>
          <w:szCs w:val="24"/>
        </w:rPr>
        <w:t>Συγκεκριμένα, η στρατηγική θα πρέπει να ενισχύει την κατάρτιση των εν λόγω επαγγελματιών σχετικά με τη νομική βάση της Ευρωπαϊκής Εισαγγελίας, τις προσαρμογές που γίνονται στα εθνικά νομικά συστήματα και τις δικαστικές δομές, τις σχέσεις της Ευρωπαϊκής Εισαγγελίας με άλλα όργανα και οργανισμούς της ΕΕ που δραστηριοποιούνται στην προστασία των οικονομικών συμφερόντων της ΕΕ, όπως ο Οργανισμός της Ευρωπαϊκής Ένωσης για τη Συνεργασία στον Τομέα της Ποινικής Δικαιοσύνης (Eurojust), ο Οργανισμός της Ευρωπαϊκής Ένωσης για τη Συνεργασία στον Τομέα της Επιβολής του Νόμου (Ευρωπόλ) και η Ευρωπαϊκή Υπηρεσία καταπολέμησης της απάτης (OLAF), καθώς και σχετικά με την εφαρμογή των νομικών μέσων της ΕΕ που χρησιμοποιεί η Ευρωπαϊκή Εισαγγελία στο πλαίσιο της διασυνοριακής δικαστικής συνεργασίας.</w:t>
      </w:r>
    </w:p>
    <w:p>
      <w:pPr>
        <w:jc w:val="both"/>
        <w:rPr>
          <w:rFonts w:ascii="Times New Roman" w:hAnsi="Times New Roman" w:cs="Times New Roman"/>
          <w:noProof/>
          <w:sz w:val="24"/>
          <w:szCs w:val="24"/>
        </w:rPr>
      </w:pPr>
      <w:r>
        <w:rPr>
          <w:rFonts w:ascii="Times New Roman" w:hAnsi="Times New Roman"/>
          <w:noProof/>
          <w:sz w:val="24"/>
          <w:szCs w:val="24"/>
        </w:rPr>
        <w:t xml:space="preserve">Στον τομέα της </w:t>
      </w:r>
      <w:r>
        <w:rPr>
          <w:rFonts w:ascii="Times New Roman" w:hAnsi="Times New Roman"/>
          <w:b/>
          <w:bCs/>
          <w:noProof/>
          <w:sz w:val="24"/>
          <w:szCs w:val="24"/>
        </w:rPr>
        <w:t>ασφάλειας</w:t>
      </w:r>
      <w:r>
        <w:rPr>
          <w:rFonts w:ascii="Times New Roman" w:hAnsi="Times New Roman"/>
          <w:noProof/>
          <w:sz w:val="24"/>
          <w:szCs w:val="24"/>
        </w:rPr>
        <w:t>, η καταπολέμηση της τρομοκρατίας, το οργανωμένο έγκλημα (συμπεριλαμβανομένης της εμπορίας ανθρώπων, πυροβόλων όπλων και παράνομων ναρκωτικών), η πρόληψη και η καταπολέμηση της ριζοσπαστικοποίησης που οδηγεί στον βίαιο εξτρεμισμό, καθώς και η καταπολέμηση της νομιμοποίησης εσόδων από εγκληματικές δραστηριότητες, παραμένουν βασικά αντικείμενα κατάρτισης.</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Οι επαγγελματίες του τομέα απονομής δικαιοσύνης που έρχονται σε επαφή με </w:t>
      </w:r>
      <w:r>
        <w:rPr>
          <w:rFonts w:ascii="Times New Roman" w:hAnsi="Times New Roman"/>
          <w:b/>
          <w:bCs/>
          <w:noProof/>
          <w:sz w:val="24"/>
          <w:szCs w:val="24"/>
        </w:rPr>
        <w:t>θύματα</w:t>
      </w:r>
      <w:r>
        <w:rPr>
          <w:rFonts w:ascii="Times New Roman" w:hAnsi="Times New Roman"/>
          <w:noProof/>
          <w:sz w:val="24"/>
          <w:szCs w:val="24"/>
        </w:rPr>
        <w:t xml:space="preserve"> θα πρέπει να εκπαιδεύονται ώστε να τους παρέχουν καλύτερη υποστήριξη και να επικοινωνούν μαζί τους, λαμβάνοντας ιδίως υπόψη τις ανάγκες των πλέον ευάλωτων ατόμων</w:t>
      </w:r>
      <w:r>
        <w:rPr>
          <w:rStyle w:val="FootnoteReference"/>
          <w:rFonts w:ascii="Times New Roman" w:hAnsi="Times New Roman" w:cs="Times New Roman"/>
          <w:noProof/>
          <w:sz w:val="24"/>
          <w:szCs w:val="24"/>
          <w:lang w:eastAsia="en-GB"/>
        </w:rPr>
        <w:footnoteReference w:id="13"/>
      </w:r>
      <w:r>
        <w:rPr>
          <w:rFonts w:ascii="Times New Roman" w:hAnsi="Times New Roman"/>
          <w:noProof/>
          <w:sz w:val="24"/>
          <w:szCs w:val="24"/>
        </w:rPr>
        <w:t>.</w:t>
      </w:r>
      <w:r>
        <w:rPr>
          <w:rFonts w:ascii="Times New Roman" w:hAnsi="Times New Roman"/>
          <w:noProof/>
          <w:color w:val="000000" w:themeColor="text1"/>
          <w:sz w:val="24"/>
          <w:szCs w:val="24"/>
        </w:rPr>
        <w:t xml:space="preserve"> Επιπλέον, θα πρέπει να γνωρίζουν πώς να εντοπίζουν την </w:t>
      </w:r>
      <w:r>
        <w:rPr>
          <w:rFonts w:ascii="Times New Roman" w:hAnsi="Times New Roman"/>
          <w:b/>
          <w:bCs/>
          <w:noProof/>
          <w:color w:val="000000" w:themeColor="text1"/>
          <w:sz w:val="24"/>
          <w:szCs w:val="24"/>
        </w:rPr>
        <w:t>καταχρηστική προσφυγή στη δικαιοσύνη</w:t>
      </w:r>
      <w:r>
        <w:rPr>
          <w:rFonts w:ascii="Times New Roman" w:hAnsi="Times New Roman"/>
          <w:noProof/>
          <w:color w:val="000000" w:themeColor="text1"/>
          <w:sz w:val="24"/>
          <w:szCs w:val="24"/>
        </w:rPr>
        <w:t xml:space="preserve"> και να χρησιμοποιούν τα διαθέσιμα εργαλεία για την αντιμετώπισή της. </w:t>
      </w:r>
    </w:p>
    <w:p>
      <w:pPr>
        <w:jc w:val="both"/>
        <w:rPr>
          <w:rFonts w:ascii="Times New Roman" w:hAnsi="Times New Roman" w:cs="Times New Roman"/>
          <w:noProof/>
          <w:color w:val="000000" w:themeColor="text1"/>
        </w:rPr>
      </w:pPr>
      <w:r>
        <w:rPr>
          <w:rFonts w:ascii="Times New Roman" w:hAnsi="Times New Roman"/>
          <w:noProof/>
          <w:sz w:val="24"/>
          <w:szCs w:val="24"/>
        </w:rPr>
        <w:t xml:space="preserve">Τα </w:t>
      </w:r>
      <w:r>
        <w:rPr>
          <w:rFonts w:ascii="Times New Roman" w:hAnsi="Times New Roman"/>
          <w:b/>
          <w:bCs/>
          <w:noProof/>
          <w:sz w:val="24"/>
          <w:szCs w:val="24"/>
        </w:rPr>
        <w:t>δικαιώματα των παιδιών</w:t>
      </w:r>
      <w:r>
        <w:rPr>
          <w:rFonts w:ascii="Times New Roman" w:hAnsi="Times New Roman" w:cs="Times New Roman"/>
          <w:noProof/>
          <w:sz w:val="24"/>
          <w:szCs w:val="24"/>
          <w:vertAlign w:val="superscript"/>
          <w:lang w:eastAsia="en-GB"/>
        </w:rPr>
        <w:footnoteReference w:id="14"/>
      </w:r>
      <w:r>
        <w:rPr>
          <w:rFonts w:ascii="Times New Roman" w:hAnsi="Times New Roman"/>
          <w:noProof/>
          <w:sz w:val="24"/>
          <w:szCs w:val="24"/>
        </w:rPr>
        <w:t xml:space="preserve">, τα δικαιώματα των ατόμων με </w:t>
      </w:r>
      <w:r>
        <w:rPr>
          <w:rFonts w:ascii="Times New Roman" w:hAnsi="Times New Roman"/>
          <w:b/>
          <w:bCs/>
          <w:noProof/>
          <w:sz w:val="24"/>
          <w:szCs w:val="24"/>
        </w:rPr>
        <w:t>αναπηρία</w:t>
      </w:r>
      <w:r>
        <w:rPr>
          <w:rFonts w:ascii="Times New Roman" w:hAnsi="Times New Roman"/>
          <w:noProof/>
          <w:sz w:val="24"/>
          <w:szCs w:val="24"/>
        </w:rPr>
        <w:t xml:space="preserve"> και η προσαρμογή των συστημάτων απονομής δικαιοσύνης στις εν λόγω ομάδες, οι ειδικές προκλήσεις που αντιμετωπίζουν τα θύματα βίας με βάση το φύλο</w:t>
      </w:r>
      <w:r>
        <w:rPr>
          <w:rFonts w:ascii="Times New Roman" w:hAnsi="Times New Roman" w:cs="Times New Roman"/>
          <w:noProof/>
          <w:color w:val="000000" w:themeColor="text1"/>
          <w:sz w:val="24"/>
          <w:szCs w:val="24"/>
          <w:vertAlign w:val="superscript"/>
          <w:lang w:eastAsia="en-GB"/>
        </w:rPr>
        <w:footnoteReference w:id="15"/>
      </w:r>
      <w:r>
        <w:rPr>
          <w:rFonts w:ascii="Times New Roman" w:hAnsi="Times New Roman"/>
          <w:noProof/>
          <w:sz w:val="24"/>
          <w:szCs w:val="24"/>
        </w:rPr>
        <w:t xml:space="preserve">, καθώς και η ισότητα και η </w:t>
      </w:r>
      <w:r>
        <w:rPr>
          <w:rFonts w:ascii="Times New Roman" w:hAnsi="Times New Roman"/>
          <w:b/>
          <w:bCs/>
          <w:noProof/>
          <w:sz w:val="24"/>
          <w:szCs w:val="24"/>
        </w:rPr>
        <w:t>απαγόρευση διακρίσεων</w:t>
      </w:r>
      <w:r>
        <w:rPr>
          <w:rFonts w:ascii="Times New Roman" w:hAnsi="Times New Roman"/>
          <w:noProof/>
          <w:sz w:val="24"/>
          <w:szCs w:val="24"/>
        </w:rPr>
        <w:t>, απαιτούν εξειδικευμένη κατάρτιση, ενώ πρέπει να καλύπτονται και σε άλλα μαθήματα.</w:t>
      </w:r>
      <w:r>
        <w:rPr>
          <w:rFonts w:ascii="Times New Roman" w:hAnsi="Times New Roman"/>
          <w:noProof/>
          <w:color w:val="000000" w:themeColor="text1"/>
        </w:rPr>
        <w:t xml:space="preserve"> </w:t>
      </w:r>
    </w:p>
    <w:p>
      <w:pPr>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 xml:space="preserve">Η διασφάλιση των </w:t>
      </w:r>
      <w:r>
        <w:rPr>
          <w:rFonts w:ascii="Times New Roman" w:hAnsi="Times New Roman"/>
          <w:b/>
          <w:bCs/>
          <w:noProof/>
          <w:sz w:val="24"/>
          <w:szCs w:val="24"/>
        </w:rPr>
        <w:t>δικαιωμάτων των καταναλωτών</w:t>
      </w:r>
      <w:r>
        <w:rPr>
          <w:rFonts w:ascii="Times New Roman" w:hAnsi="Times New Roman"/>
          <w:noProof/>
          <w:sz w:val="24"/>
          <w:szCs w:val="24"/>
        </w:rPr>
        <w:t xml:space="preserve"> μέσω συνεχούς κατάρτισης</w:t>
      </w:r>
      <w:r>
        <w:rPr>
          <w:rStyle w:val="FootnoteReference"/>
          <w:rFonts w:ascii="Times New Roman" w:hAnsi="Times New Roman" w:cs="Times New Roman"/>
          <w:noProof/>
          <w:sz w:val="24"/>
          <w:szCs w:val="24"/>
          <w:lang w:eastAsia="en-GB"/>
        </w:rPr>
        <w:footnoteReference w:id="16"/>
      </w:r>
      <w:r>
        <w:rPr>
          <w:rFonts w:ascii="Times New Roman" w:hAnsi="Times New Roman"/>
          <w:noProof/>
          <w:sz w:val="24"/>
          <w:szCs w:val="24"/>
        </w:rPr>
        <w:t xml:space="preserve"> στο ουσιαστικό και στο δικονομικό δίκαιο αποτελεί προτεραιότητα</w:t>
      </w:r>
      <w:r>
        <w:rPr>
          <w:rStyle w:val="FootnoteReference"/>
          <w:rFonts w:ascii="Times New Roman" w:eastAsia="Calibri" w:hAnsi="Times New Roman" w:cs="Times New Roman"/>
          <w:noProof/>
          <w:color w:val="000000" w:themeColor="text1"/>
          <w:sz w:val="24"/>
          <w:szCs w:val="24"/>
          <w:lang w:eastAsia="en-GB"/>
        </w:rPr>
        <w:footnoteReference w:id="17"/>
      </w:r>
      <w:r>
        <w:rPr>
          <w:rFonts w:ascii="Times New Roman" w:hAnsi="Times New Roman"/>
          <w:noProof/>
          <w:sz w:val="24"/>
          <w:szCs w:val="24"/>
        </w:rPr>
        <w:t>, κάτι που επιβεβαιώνεται από την πληθώρα των παράνομων πρακτικών που εντοπίστηκαν κατά τη διάρκεια της πανδημίας COVID-19</w:t>
      </w:r>
      <w:r>
        <w:rPr>
          <w:rStyle w:val="FootnoteReference"/>
          <w:rFonts w:ascii="Times New Roman" w:eastAsia="Calibri" w:hAnsi="Times New Roman" w:cs="Times New Roman"/>
          <w:noProof/>
          <w:color w:val="000000" w:themeColor="text1"/>
          <w:sz w:val="24"/>
          <w:szCs w:val="24"/>
          <w:lang w:eastAsia="en-GB"/>
        </w:rPr>
        <w:footnoteReference w:id="18"/>
      </w:r>
      <w:r>
        <w:rPr>
          <w:rFonts w:ascii="Times New Roman" w:hAnsi="Times New Roman"/>
          <w:noProof/>
          <w:sz w:val="24"/>
          <w:szCs w:val="24"/>
        </w:rPr>
        <w:t>.</w:t>
      </w:r>
      <w:r>
        <w:rPr>
          <w:rFonts w:ascii="Times New Roman" w:hAnsi="Times New Roman"/>
          <w:noProof/>
          <w:color w:val="000000" w:themeColor="text1"/>
          <w:sz w:val="24"/>
          <w:szCs w:val="24"/>
        </w:rPr>
        <w:t xml:space="preserve"> H αποτελεσματική άσκηση των </w:t>
      </w:r>
      <w:r>
        <w:rPr>
          <w:rFonts w:ascii="Times New Roman" w:hAnsi="Times New Roman"/>
          <w:b/>
          <w:bCs/>
          <w:noProof/>
          <w:color w:val="000000" w:themeColor="text1"/>
          <w:sz w:val="24"/>
          <w:szCs w:val="24"/>
        </w:rPr>
        <w:t>δικαιωμάτων που απορρέουν από την ιθαγένεια</w:t>
      </w:r>
      <w:r>
        <w:rPr>
          <w:rFonts w:ascii="Times New Roman" w:hAnsi="Times New Roman"/>
          <w:noProof/>
          <w:color w:val="000000" w:themeColor="text1"/>
          <w:sz w:val="24"/>
          <w:szCs w:val="24"/>
        </w:rPr>
        <w:t xml:space="preserve"> της ΕΕ πρέπει να είναι εξασφαλισμένη, μεταξύ άλλων και στον τομέα της ελεύθερης κυκλοφορίας. </w:t>
      </w:r>
    </w:p>
    <w:p>
      <w:pPr>
        <w:jc w:val="both"/>
        <w:rPr>
          <w:rFonts w:ascii="Times New Roman" w:hAnsi="Times New Roman" w:cs="Times New Roman"/>
          <w:noProof/>
          <w:sz w:val="24"/>
          <w:szCs w:val="24"/>
        </w:rPr>
      </w:pPr>
      <w:r>
        <w:rPr>
          <w:rFonts w:ascii="Times New Roman" w:hAnsi="Times New Roman"/>
          <w:noProof/>
          <w:sz w:val="24"/>
          <w:szCs w:val="24"/>
        </w:rPr>
        <w:t xml:space="preserve">Απαραίτητη είναι η κατάρτιση μεγάλου αριθμού επαγγελματιών που ασχολούνται με την εφαρμογή των κανόνων της </w:t>
      </w:r>
      <w:r>
        <w:rPr>
          <w:rFonts w:ascii="Times New Roman" w:hAnsi="Times New Roman"/>
          <w:b/>
          <w:bCs/>
          <w:noProof/>
          <w:sz w:val="24"/>
          <w:szCs w:val="24"/>
        </w:rPr>
        <w:t>ενιαίας αγοράς</w:t>
      </w:r>
      <w:r>
        <w:rPr>
          <w:rStyle w:val="FootnoteReference"/>
          <w:rFonts w:ascii="Times New Roman" w:eastAsia="Calibri" w:hAnsi="Times New Roman" w:cs="Times New Roman"/>
          <w:noProof/>
          <w:color w:val="000000" w:themeColor="text1"/>
          <w:sz w:val="24"/>
          <w:szCs w:val="24"/>
          <w:lang w:eastAsia="en-GB"/>
        </w:rPr>
        <w:footnoteReference w:id="19"/>
      </w:r>
      <w:r>
        <w:rPr>
          <w:rFonts w:ascii="Times New Roman" w:hAnsi="Times New Roman"/>
          <w:noProof/>
          <w:sz w:val="24"/>
          <w:szCs w:val="24"/>
        </w:rPr>
        <w:t>, συμπεριλαμβανομένων αυτών που έχουν ιδιαίτερη σημασία για τις επιχειρήσεις, όπως οι κανόνες που προστατεύουν τις επενδύσεις εντός της ΕΕ</w:t>
      </w:r>
      <w:r>
        <w:rPr>
          <w:rStyle w:val="FootnoteReference"/>
          <w:rFonts w:ascii="Times New Roman" w:hAnsi="Times New Roman" w:cs="Times New Roman"/>
          <w:b/>
          <w:bCs/>
          <w:noProof/>
          <w:sz w:val="24"/>
          <w:szCs w:val="24"/>
          <w:lang w:eastAsia="en-GB"/>
        </w:rPr>
        <w:footnoteReference w:id="20"/>
      </w:r>
      <w:r>
        <w:rPr>
          <w:rFonts w:ascii="Times New Roman" w:hAnsi="Times New Roman"/>
          <w:noProof/>
          <w:sz w:val="24"/>
          <w:szCs w:val="24"/>
        </w:rPr>
        <w:t xml:space="preserve">, με σκοπό εν μέρει την αποκατάσταση της εμπιστοσύνης των επενδυτών. Επιπλέον, θα πρέπει να παρέχεται κατάρτιση στο </w:t>
      </w:r>
      <w:r>
        <w:rPr>
          <w:rFonts w:ascii="Times New Roman" w:hAnsi="Times New Roman"/>
          <w:b/>
          <w:bCs/>
          <w:noProof/>
          <w:sz w:val="24"/>
          <w:szCs w:val="24"/>
        </w:rPr>
        <w:t>εταιρικό δίκαιο της ΕΕ</w:t>
      </w:r>
      <w:r>
        <w:rPr>
          <w:rFonts w:ascii="Times New Roman" w:hAnsi="Times New Roman"/>
          <w:noProof/>
          <w:sz w:val="24"/>
          <w:szCs w:val="24"/>
        </w:rPr>
        <w:t>, ιδίως στα ψηφιακά εργαλεία και στις διαδικασίες, στις διασυνοριακές μετατροπές και στις συγχωνεύσεις/διασπάσεις εταιρειών, καθώς και στο δίκαιο ανταγωνισμού της ΕΕ για όσους τη χρειάζονται.</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Επιπρόσθετα, η εφαρμογή της </w:t>
      </w:r>
      <w:r>
        <w:rPr>
          <w:rFonts w:ascii="Times New Roman" w:hAnsi="Times New Roman"/>
          <w:b/>
          <w:bCs/>
          <w:noProof/>
          <w:color w:val="000000" w:themeColor="text1"/>
          <w:sz w:val="24"/>
          <w:szCs w:val="24"/>
        </w:rPr>
        <w:t>περιβαλλοντικής νομοθεσίας</w:t>
      </w:r>
      <w:r>
        <w:rPr>
          <w:rFonts w:ascii="Times New Roman" w:hAnsi="Times New Roman"/>
          <w:noProof/>
          <w:color w:val="000000" w:themeColor="text1"/>
          <w:sz w:val="24"/>
          <w:szCs w:val="24"/>
        </w:rPr>
        <w:t xml:space="preserve"> της ΕΕ απαιτεί εξειδικευμένες γνώσεις και περισσότερη κατάρτιση.</w:t>
      </w:r>
    </w:p>
    <w:p>
      <w:pPr>
        <w:pStyle w:val="Heading2"/>
        <w:tabs>
          <w:tab w:val="clear" w:pos="1077"/>
        </w:tabs>
        <w:ind w:left="709" w:hanging="709"/>
        <w:rPr>
          <w:noProof/>
        </w:rPr>
      </w:pPr>
      <w:r>
        <w:rPr>
          <w:noProof/>
        </w:rPr>
        <w:t>Παροχή δεξιοτήτων στους επαγγελματίες για την αντιμετώπιση νέων προκλήσεων</w:t>
      </w:r>
    </w:p>
    <w:p>
      <w:pPr>
        <w:jc w:val="both"/>
        <w:rPr>
          <w:rFonts w:ascii="Times New Roman" w:hAnsi="Times New Roman" w:cs="Times New Roman"/>
          <w:noProof/>
          <w:sz w:val="24"/>
          <w:szCs w:val="24"/>
        </w:rPr>
      </w:pPr>
      <w:r>
        <w:rPr>
          <w:rFonts w:ascii="Times New Roman" w:hAnsi="Times New Roman"/>
          <w:noProof/>
          <w:sz w:val="24"/>
          <w:szCs w:val="24"/>
        </w:rPr>
        <w:t>Οι νέες μορφές τρομοκρατίας, βίαιου εξτρεμισμού και κυβερνοεγκλήματος, καθώς και η πανδημία COVID-19, είχαν αντίκτυπο όχι μόνο στη ζωή των ατόμων και στις επιχειρήσεις, αλλά και στα εθνικά συστήματα απονομής δικαιοσύνης, τα οποία πρέπει να προσαρμοστούν. Η πανδημία, ειδικότερα, άλλαξε τους τρόπους δράσης των εγκληματιών, με αποτέλεσμα τη σημαντική αύξηση των αδικημάτων που σχετίζονται με το κυβερνοέγκλημα, τις διαδικτυακές εγκληματικές δραστηριότητες και την υγεία</w:t>
      </w:r>
      <w:r>
        <w:rPr>
          <w:rStyle w:val="FootnoteReference"/>
          <w:rFonts w:ascii="Times New Roman" w:hAnsi="Times New Roman" w:cs="Times New Roman"/>
          <w:noProof/>
          <w:sz w:val="24"/>
          <w:szCs w:val="24"/>
          <w:lang w:eastAsia="en-GB"/>
        </w:rPr>
        <w:footnoteReference w:id="21"/>
      </w:r>
      <w:r>
        <w:rPr>
          <w:rFonts w:ascii="Times New Roman" w:hAnsi="Times New Roman"/>
          <w:noProof/>
          <w:sz w:val="24"/>
          <w:szCs w:val="24"/>
        </w:rPr>
        <w:t>. Οι επαγγελματίες του τομέα απονομής δικαιοσύνης πρέπει να αντιδράσουν σ’ αυτές τις αλλαγές</w:t>
      </w:r>
      <w:r>
        <w:rPr>
          <w:rStyle w:val="FootnoteReference"/>
          <w:rFonts w:ascii="Times New Roman" w:hAnsi="Times New Roman" w:cs="Times New Roman"/>
          <w:noProof/>
          <w:sz w:val="24"/>
          <w:szCs w:val="24"/>
          <w:lang w:eastAsia="en-GB"/>
        </w:rPr>
        <w:footnoteReference w:id="22"/>
      </w:r>
      <w:r>
        <w:rPr>
          <w:rFonts w:ascii="Times New Roman" w:hAnsi="Times New Roman"/>
          <w:noProof/>
          <w:sz w:val="24"/>
          <w:szCs w:val="24"/>
        </w:rPr>
        <w:t xml:space="preserve">. Επίσης, οι νέες μορφές εργασίας δημιουργούν προκλήσεις όσον αφορά το εργατικό και το κοινωνικό δίκαιο. </w:t>
      </w:r>
      <w:r>
        <w:rPr>
          <w:rFonts w:ascii="Times New Roman" w:hAnsi="Times New Roman"/>
          <w:b/>
          <w:bCs/>
          <w:noProof/>
          <w:sz w:val="24"/>
          <w:szCs w:val="24"/>
        </w:rPr>
        <w:t>Οι νέες προσφορές κατάρτισης</w:t>
      </w:r>
      <w:r>
        <w:rPr>
          <w:rFonts w:ascii="Times New Roman" w:hAnsi="Times New Roman"/>
          <w:noProof/>
          <w:sz w:val="24"/>
          <w:szCs w:val="24"/>
        </w:rPr>
        <w:t xml:space="preserve"> θα πρέπει να οργανώνονται και να διατίθενται γρήγορα, όπως συνέβη πρόσφατα με το κυβερνοέγκλημα και το άσυλο.</w:t>
      </w:r>
    </w:p>
    <w:p>
      <w:pPr>
        <w:spacing w:after="160" w:line="259" w:lineRule="auto"/>
        <w:rPr>
          <w:rFonts w:ascii="Times New Roman" w:hAnsi="Times New Roman" w:cs="Times New Roman"/>
          <w:b/>
          <w:bCs/>
          <w:i/>
          <w:iCs/>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rPr>
      </w:pPr>
      <w:r>
        <w:rPr>
          <w:rFonts w:ascii="Times New Roman" w:hAnsi="Times New Roman"/>
          <w:b/>
          <w:bCs/>
          <w:i/>
          <w:iCs/>
          <w:noProof/>
          <w:sz w:val="24"/>
          <w:szCs w:val="24"/>
        </w:rPr>
        <w:t>Ενέργειες των παρόχων κατάρτισης: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Παροχή κατάρτισης σχετικά με το ενωσιακό κεκτημένο στον τομέα του </w:t>
      </w:r>
      <w:r>
        <w:rPr>
          <w:b/>
          <w:bCs/>
          <w:noProof/>
        </w:rPr>
        <w:t>κράτους δικαίου</w:t>
      </w:r>
      <w:r>
        <w:rPr>
          <w:noProof/>
        </w:rPr>
        <w:t xml:space="preserve"> και των </w:t>
      </w:r>
      <w:r>
        <w:rPr>
          <w:b/>
          <w:bCs/>
          <w:noProof/>
        </w:rPr>
        <w:t>θεμελιωδών δικαιωμάτων</w:t>
      </w:r>
      <w:r>
        <w:rPr>
          <w:noProof/>
        </w:rPr>
        <w:t>, όπως ορίζονται στις Συνθήκες της ΕΕ και στον Χάρτη των Θεμελιωδών Δικαιωμάτων, η οποία θα είναι συστηματικά διαθέσιμη στο πλαίσιο της προσφοράς συνεχούς κατάρτισης για δικαστές και άλλους επαγγελματίες του τομέα απονομής δικαιοσύνης.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b/>
          <w:bCs/>
          <w:noProof/>
        </w:rPr>
        <w:t>Ενσωμάτωση του δικαίου της ΕΕ</w:t>
      </w:r>
      <w:r>
        <w:rPr>
          <w:noProof/>
        </w:rPr>
        <w:t>, συμπεριλαμβανομένου του Χάρτη των Θεμελιωδών Δικαιωμάτων, σε δραστηριότητες κατάρτισης στο εθνικό δίκαιο και οργάνωση ειδικής κατάρτισης στο ενωσιακό δίκαιο κατά περίπτωση.</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Παροχή κατάρτισης για τη βελτίωση της ευαισθητοποίησης και των δεξιοτήτων στον τομέα της </w:t>
      </w:r>
      <w:r>
        <w:rPr>
          <w:b/>
          <w:bCs/>
          <w:noProof/>
        </w:rPr>
        <w:t>ψηφιοποίησης</w:t>
      </w:r>
      <w:r>
        <w:rPr>
          <w:noProof/>
        </w:rPr>
        <w:t xml:space="preserve"> και της </w:t>
      </w:r>
      <w:r>
        <w:rPr>
          <w:b/>
          <w:bCs/>
          <w:noProof/>
        </w:rPr>
        <w:t>τεχνητής νοημοσύνης</w:t>
      </w:r>
      <w:r>
        <w:rPr>
          <w:noProof/>
        </w:rPr>
        <w:t>, καθώς και της αποτελεσματικής χρήσης ψηφιοποιημένων δικαστικών διαδικασιών και μητρώων.</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Διασφάλιση αποτελεσματικής κατάρτισης στη </w:t>
      </w:r>
      <w:r>
        <w:rPr>
          <w:b/>
          <w:bCs/>
          <w:noProof/>
        </w:rPr>
        <w:t>νέα ενωσιακή νομοθεσία</w:t>
      </w:r>
      <w:r>
        <w:rPr>
          <w:noProof/>
        </w:rPr>
        <w:t xml:space="preserve"> και στις </w:t>
      </w:r>
      <w:r>
        <w:rPr>
          <w:b/>
          <w:bCs/>
          <w:noProof/>
        </w:rPr>
        <w:t>εξελίξεις στη νομολογία</w:t>
      </w:r>
      <w:r>
        <w:rPr>
          <w:noProof/>
        </w:rPr>
        <w:t>, συμπεριλαμβανομένων των μέσων διασυνοριακής δικαστικής συνεργασίας και της Ευρωπαϊκής Εισαγγελίας.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Εστίαση της κατάρτισης στην προστασία των </w:t>
      </w:r>
      <w:r>
        <w:rPr>
          <w:b/>
          <w:bCs/>
          <w:noProof/>
        </w:rPr>
        <w:t>ατομικών δικαιωμάτων στον ψηφιακό χώρο</w:t>
      </w:r>
      <w:r>
        <w:rPr>
          <w:noProof/>
        </w:rPr>
        <w:t xml:space="preserve"> (π.χ. προστασία των δεδομένων, ιδιωτικότητα, απαγόρευση των διακρίσεων, προστασία από τη διαδικτυακή βία με βάση το φύλο, ενοχικό δίκαιο, δικαιώματα των καταναλωτών) και των </w:t>
      </w:r>
      <w:r>
        <w:rPr>
          <w:b/>
          <w:bCs/>
          <w:noProof/>
        </w:rPr>
        <w:t>δικαιωμάτων συγκεκριμένων ομάδων</w:t>
      </w:r>
      <w:r>
        <w:rPr>
          <w:noProof/>
        </w:rPr>
        <w:t xml:space="preserve"> (π.χ. παιδιά, άτομα με αναπηρία, θύματα βίας με βάση το φύλο, ρατσισμού και διακρίσεων).</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b/>
          <w:bCs/>
          <w:noProof/>
        </w:rPr>
        <w:t>Παρακολούθηση</w:t>
      </w:r>
      <w:r>
        <w:rPr>
          <w:noProof/>
        </w:rPr>
        <w:t xml:space="preserve"> των αναγκών κατάρτισης και </w:t>
      </w:r>
      <w:r>
        <w:rPr>
          <w:b/>
          <w:bCs/>
          <w:noProof/>
        </w:rPr>
        <w:t>προσαρμογή</w:t>
      </w:r>
      <w:r>
        <w:rPr>
          <w:noProof/>
        </w:rPr>
        <w:t xml:space="preserve"> των προγραμμάτων μαθημάτων στις αναδυόμενες προκλήσεις.</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b/>
          <w:bCs/>
          <w:i/>
          <w:iCs/>
          <w:noProof/>
          <w:sz w:val="24"/>
          <w:szCs w:val="24"/>
        </w:rPr>
      </w:pPr>
      <w:r>
        <w:rPr>
          <w:rFonts w:ascii="Times New Roman" w:hAnsi="Times New Roman"/>
          <w:b/>
          <w:bCs/>
          <w:i/>
          <w:iCs/>
          <w:noProof/>
          <w:sz w:val="24"/>
          <w:szCs w:val="24"/>
        </w:rPr>
        <w:t>Ενέργειες της Επιτροπής: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b/>
          <w:bCs/>
          <w:noProof/>
        </w:rPr>
      </w:pPr>
      <w:r>
        <w:rPr>
          <w:b/>
          <w:bCs/>
          <w:noProof/>
        </w:rPr>
        <w:t>Στήριξη της κατάρτισης στο ενωσιακό δίκαιο</w:t>
      </w:r>
      <w:r>
        <w:rPr>
          <w:noProof/>
        </w:rPr>
        <w:t xml:space="preserve"> για τους επαγγελματίες του τομέα απονομής δικαιοσύνης ανάλογα με τις ανάγκες τους.</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noProof/>
        </w:rPr>
        <w:t xml:space="preserve">Συνέχιση της συνεργασίας με το </w:t>
      </w:r>
      <w:r>
        <w:rPr>
          <w:b/>
          <w:bCs/>
          <w:noProof/>
        </w:rPr>
        <w:t>Συμβούλιο της Ευρώπης</w:t>
      </w:r>
      <w:r>
        <w:rPr>
          <w:noProof/>
        </w:rPr>
        <w:t xml:space="preserve"> για την κατάρτιση που περιλαμβάνει τον Χάρτη των Θεμελιωδών Δικαιωμάτων της ΕΕ.</w:t>
      </w:r>
    </w:p>
    <w:p>
      <w:pPr>
        <w:pStyle w:val="Heading1"/>
        <w:numPr>
          <w:ilvl w:val="0"/>
          <w:numId w:val="69"/>
        </w:numPr>
        <w:rPr>
          <w:rFonts w:eastAsia="Calibri"/>
          <w:noProof/>
        </w:rPr>
      </w:pPr>
      <w:r>
        <w:rPr>
          <w:noProof/>
        </w:rPr>
        <w:t>Απαραίτητα στοιχεία της κατάρτισης των επαγγελματιών πέραν του ενωσιακού δικαίου</w:t>
      </w:r>
    </w:p>
    <w:p>
      <w:pPr>
        <w:jc w:val="both"/>
        <w:rPr>
          <w:rFonts w:ascii="Times New Roman" w:hAnsi="Times New Roman" w:cs="Times New Roman"/>
          <w:noProof/>
          <w:sz w:val="24"/>
          <w:szCs w:val="24"/>
        </w:rPr>
      </w:pPr>
      <w:r>
        <w:rPr>
          <w:rFonts w:ascii="Times New Roman" w:hAnsi="Times New Roman"/>
          <w:noProof/>
          <w:sz w:val="24"/>
          <w:szCs w:val="24"/>
        </w:rPr>
        <w:t xml:space="preserve">Η ευρωπαϊκή δικαστική κατάρτιση θα πρέπει να υπερβαίνει τη νομική εκπαίδευση και να στηρίζει την ανάπτυξη επαγγελματικών </w:t>
      </w:r>
      <w:r>
        <w:rPr>
          <w:rFonts w:ascii="Times New Roman" w:hAnsi="Times New Roman"/>
          <w:b/>
          <w:bCs/>
          <w:noProof/>
          <w:sz w:val="24"/>
          <w:szCs w:val="24"/>
        </w:rPr>
        <w:t>δεξιοτήτων</w:t>
      </w:r>
      <w:r>
        <w:rPr>
          <w:rFonts w:ascii="Times New Roman" w:hAnsi="Times New Roman"/>
          <w:noProof/>
          <w:sz w:val="24"/>
          <w:szCs w:val="24"/>
        </w:rPr>
        <w:t>. Το δίκαιο και οι νομικές αρχές δεν λειτουργούν στο κενό και, ως εκ τούτου, οι επαγγελματίες του τομέα απονομής δικαιοσύνης πρέπει να αποκτήσουν δεξιότητες σε διάφορους τομείς.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Παρόλο που αποτελεί εθνική ευθύνη, η κατάρτιση στην </w:t>
      </w:r>
      <w:r>
        <w:rPr>
          <w:rFonts w:ascii="Times New Roman" w:hAnsi="Times New Roman"/>
          <w:b/>
          <w:bCs/>
          <w:noProof/>
          <w:color w:val="000000" w:themeColor="text1"/>
          <w:sz w:val="24"/>
          <w:szCs w:val="24"/>
        </w:rPr>
        <w:t>«άσκηση δικαστικών καθηκόντων»</w:t>
      </w:r>
      <w:r>
        <w:rPr>
          <w:rStyle w:val="FootnoteReference"/>
          <w:rFonts w:ascii="Times New Roman" w:hAnsi="Times New Roman" w:cs="Times New Roman"/>
          <w:noProof/>
        </w:rPr>
        <w:footnoteReference w:id="23"/>
      </w:r>
      <w:r>
        <w:rPr>
          <w:rFonts w:ascii="Times New Roman" w:hAnsi="Times New Roman"/>
          <w:noProof/>
          <w:color w:val="000000" w:themeColor="text1"/>
          <w:sz w:val="24"/>
          <w:szCs w:val="24"/>
        </w:rPr>
        <w:t xml:space="preserve"> παίζει ουσιαστικό ρόλο όσον αφορά την αποδοτικότητα της δικαιοσύνης, τη σχέση εμπιστοσύνης μεταξύ των συστημάτων απονομής δικαιοσύνης και του κοινού, καθώς και την εμπιστοσύνη μεταξύ των επαγγελματιών στον τομέα της διασυνοριακής συνεργασίας. Τα βασικά θέματα κατάρτισης για τους </w:t>
      </w:r>
      <w:r>
        <w:rPr>
          <w:rFonts w:ascii="Times New Roman" w:hAnsi="Times New Roman"/>
          <w:b/>
          <w:bCs/>
          <w:noProof/>
          <w:color w:val="000000" w:themeColor="text1"/>
          <w:sz w:val="24"/>
          <w:szCs w:val="24"/>
        </w:rPr>
        <w:t>δικαστές</w:t>
      </w:r>
      <w:r>
        <w:rPr>
          <w:rFonts w:ascii="Times New Roman" w:hAnsi="Times New Roman"/>
          <w:noProof/>
          <w:color w:val="000000" w:themeColor="text1"/>
          <w:sz w:val="24"/>
          <w:szCs w:val="24"/>
        </w:rPr>
        <w:t xml:space="preserve"> περιλαμβάνουν τη συμπεριφορά των δικαστών, την ανθεκτικότητα, τις ασυνείδητες προκαταλήψεις, τη διαχείριση υποθέσεων και δικαστικών αιθουσών και την ηγεσία.</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Επιπλέον, για την απόκτηση της αναγκαίας τεχνογνωσίας, στάσης και εμπειρογνωμοσύνης, </w:t>
      </w:r>
      <w:r>
        <w:rPr>
          <w:rFonts w:ascii="Times New Roman" w:hAnsi="Times New Roman"/>
          <w:b/>
          <w:bCs/>
          <w:noProof/>
          <w:color w:val="000000" w:themeColor="text1"/>
          <w:sz w:val="24"/>
          <w:szCs w:val="24"/>
        </w:rPr>
        <w:t>όλοι οι επαγγελματίες του τομέα απονομής δικαιοσύνης</w:t>
      </w:r>
      <w:r>
        <w:rPr>
          <w:rFonts w:ascii="Times New Roman" w:hAnsi="Times New Roman"/>
          <w:noProof/>
          <w:color w:val="000000" w:themeColor="text1"/>
          <w:sz w:val="24"/>
          <w:szCs w:val="24"/>
        </w:rPr>
        <w:t xml:space="preserve"> χρειάζονται κατάρτιση σε</w:t>
      </w:r>
      <w:r>
        <w:rPr>
          <w:rFonts w:ascii="Times New Roman" w:hAnsi="Times New Roman"/>
          <w:b/>
          <w:bCs/>
          <w:noProof/>
          <w:color w:val="000000" w:themeColor="text1"/>
          <w:sz w:val="24"/>
          <w:szCs w:val="24"/>
        </w:rPr>
        <w:t xml:space="preserve"> μη νομικές γνώσεις και δεξιότητες</w:t>
      </w:r>
      <w:r>
        <w:rPr>
          <w:rFonts w:ascii="Times New Roman" w:hAnsi="Times New Roman"/>
          <w:noProof/>
          <w:color w:val="000000" w:themeColor="text1"/>
          <w:sz w:val="24"/>
          <w:szCs w:val="24"/>
        </w:rPr>
        <w:t>, όπως παρέχονται, για παράδειγμα, από τις επιστήμες της συμπεριφοράς, την ψυχολογία, την ανθρωπολογία, τα οικονομικά και τη γνωστική γλωσσολογία.</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Η ανάπτυξη </w:t>
      </w:r>
      <w:r>
        <w:rPr>
          <w:rFonts w:ascii="Times New Roman" w:hAnsi="Times New Roman"/>
          <w:b/>
          <w:bCs/>
          <w:noProof/>
          <w:sz w:val="24"/>
          <w:szCs w:val="24"/>
        </w:rPr>
        <w:t>δεξιοτήτων στη νομική γλώσσα</w:t>
      </w:r>
      <w:r>
        <w:rPr>
          <w:rFonts w:ascii="Times New Roman" w:hAnsi="Times New Roman"/>
          <w:noProof/>
          <w:sz w:val="24"/>
          <w:szCs w:val="24"/>
        </w:rPr>
        <w:t xml:space="preserve"> είναι απαραίτητη για να καταστεί δυνατός ο ομαλός διάλογος μεταξύ επαγγελματιών, ο οποίος με τη σειρά του προάγει την αμοιβαία εμπιστοσύνη στις διασυνοριακές δικαστικές διαδικασίες.</w:t>
      </w:r>
      <w:r>
        <w:rPr>
          <w:rFonts w:ascii="Times New Roman" w:hAnsi="Times New Roman"/>
          <w:noProof/>
          <w:color w:val="000000" w:themeColor="text1"/>
          <w:sz w:val="24"/>
          <w:szCs w:val="24"/>
        </w:rPr>
        <w:t xml:space="preserve"> </w:t>
      </w:r>
      <w:r>
        <w:rPr>
          <w:rFonts w:ascii="Times New Roman" w:hAnsi="Times New Roman"/>
          <w:noProof/>
          <w:sz w:val="24"/>
          <w:szCs w:val="24"/>
        </w:rPr>
        <w:t>Η καλή γνώση ξένων γλωσσών βοηθά τους επαγγελματίες του τομέα απονομής δικαιοσύνης να κατανοήσουν αλλοδαπά νομικά συστήματα και έννοιες και αυξάνει τη συμμετοχή σε διασυνοριακές δραστηριότητες κατάρτισης.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Η Επιτροπή υποστηρίζει την προηγμένη και τεχνική κατάρτιση στη νομική γλώσσα για τη συμπλήρωση της σχετικής εθνικής κατάρτισης και ενθαρρύνει τη μίξη γλωσσικών και νομικών πτυχών σε τέτοιου είδους κατάρτιση, η οποία έχει αποδειχθεί αποτελεσματική.</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Ενέργειες των παρόχων κατάρτισης: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Ενσωμάτωση της </w:t>
      </w:r>
      <w:r>
        <w:rPr>
          <w:b/>
          <w:bCs/>
          <w:noProof/>
        </w:rPr>
        <w:t>«άσκησης δικαστικών καθηκόντων» και των μη νομικών γνώσεων και δεξιοτήτων</w:t>
      </w:r>
      <w:r>
        <w:rPr>
          <w:noProof/>
        </w:rPr>
        <w:t xml:space="preserve"> στα εθνικά προγράμματα συνεχούς κατάρτισης.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Προσφορά μαθημάτων σε </w:t>
      </w:r>
      <w:r>
        <w:rPr>
          <w:b/>
          <w:bCs/>
          <w:noProof/>
        </w:rPr>
        <w:t>ξένη νομική γλώσσα</w:t>
      </w:r>
      <w:r>
        <w:rPr>
          <w:noProof/>
        </w:rPr>
        <w:t>, ιδίως για επαγγελματίες που ασχολούνται με διασυνοριακές υποθέσεις.</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Ενέργεια της Επιτροπής:</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noProof/>
        </w:rPr>
        <w:t xml:space="preserve">Παροχή χρηματοδοτικής στήριξης για </w:t>
      </w:r>
      <w:r>
        <w:rPr>
          <w:b/>
          <w:bCs/>
          <w:noProof/>
        </w:rPr>
        <w:t>διασυνοριακή κατάρτιση σε μη νομικά ζητήματα</w:t>
      </w:r>
      <w:r>
        <w:rPr>
          <w:noProof/>
        </w:rPr>
        <w:t>, όταν συνδέονται με νομική κατάρτιση.</w:t>
      </w:r>
    </w:p>
    <w:p>
      <w:pPr>
        <w:pStyle w:val="Heading1"/>
        <w:numPr>
          <w:ilvl w:val="0"/>
          <w:numId w:val="69"/>
        </w:numPr>
        <w:spacing w:before="200" w:after="200"/>
        <w:rPr>
          <w:noProof/>
        </w:rPr>
      </w:pPr>
      <w:r>
        <w:rPr>
          <w:noProof/>
        </w:rPr>
        <w:t>Αυξημένη, ευρύτερη και πιο στοχευμένη κατάρτιση για τους επαγγελματίες του τομέα απονομής δικαιοσύνης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Ένας από τους βασικούς στόχους της ανακοίνωσης του 2011 ήταν η συνολική αύξηση του αριθμού των καταρτισμένων επαγγελματιών του νομικού κλάδου, προκειμένου να δημιουργηθεί η αναγκαία ώθηση. Ο εν λόγω στόχος αποτέλεσε από μόνος του επιτυχημένη κινητήρια δύναμη αλλαγής. Ωστόσο, η αξιολόγηση της στρατηγικής για την κατάρτιση ανέδειξε ορισμένα ζητήματα, όπως τα διαφορετικά αποτελέσματα μεταξύ επαγγελμάτων και χωρών. Ως εκ τούτου, απαιτείται μια προσέγγιση που θα θέτει </w:t>
      </w:r>
      <w:r>
        <w:rPr>
          <w:rFonts w:ascii="Times New Roman" w:hAnsi="Times New Roman"/>
          <w:b/>
          <w:bCs/>
          <w:noProof/>
          <w:color w:val="000000" w:themeColor="text1"/>
          <w:sz w:val="24"/>
          <w:szCs w:val="24"/>
        </w:rPr>
        <w:t>νέους και φιλόδοξους (αν και διαφοροποιημένους) στόχους</w:t>
      </w:r>
      <w:r>
        <w:rPr>
          <w:rFonts w:ascii="Times New Roman" w:hAnsi="Times New Roman"/>
          <w:noProof/>
          <w:color w:val="000000" w:themeColor="text1"/>
          <w:sz w:val="24"/>
          <w:szCs w:val="24"/>
        </w:rPr>
        <w:t xml:space="preserve">, οι οποίοι θα είναι ειδικότερα </w:t>
      </w:r>
      <w:r>
        <w:rPr>
          <w:rFonts w:ascii="Times New Roman" w:hAnsi="Times New Roman"/>
          <w:b/>
          <w:bCs/>
          <w:noProof/>
          <w:color w:val="000000" w:themeColor="text1"/>
          <w:sz w:val="24"/>
          <w:szCs w:val="24"/>
        </w:rPr>
        <w:t>προσαρμοσμένοι</w:t>
      </w:r>
      <w:r>
        <w:rPr>
          <w:rFonts w:ascii="Times New Roman" w:hAnsi="Times New Roman"/>
          <w:noProof/>
          <w:color w:val="000000" w:themeColor="text1"/>
          <w:sz w:val="24"/>
          <w:szCs w:val="24"/>
        </w:rPr>
        <w:t xml:space="preserve"> στις ανάγκες κατάρτισης και στα επίπεδα συμμετοχής των συγκεκριμένων επαγγελμάτων στην κατάρτιση για το ενωσιακό δίκαιο.</w:t>
      </w:r>
    </w:p>
    <w:p>
      <w:pPr>
        <w:jc w:val="both"/>
        <w:rPr>
          <w:rFonts w:ascii="Times New Roman" w:eastAsia="Calibri" w:hAnsi="Times New Roman" w:cs="Times New Roman"/>
          <w:noProof/>
          <w:color w:val="000000" w:themeColor="text1"/>
          <w:sz w:val="24"/>
          <w:szCs w:val="24"/>
        </w:rPr>
      </w:pPr>
      <w:r>
        <w:rPr>
          <w:rFonts w:ascii="Times New Roman" w:hAnsi="Times New Roman"/>
          <w:b/>
          <w:bCs/>
          <w:i/>
          <w:iCs/>
          <w:noProof/>
          <w:sz w:val="24"/>
          <w:szCs w:val="24"/>
        </w:rPr>
        <w:t>Συμμετοχή σε συνεχή κατάρτιση στο ενωσιακό δίκαιο στην ΕΕ (%)</w:t>
      </w:r>
    </w:p>
    <w:tbl>
      <w:tblPr>
        <w:tblStyle w:val="TableGrid"/>
        <w:tblW w:w="0" w:type="auto"/>
        <w:tblLook w:val="04A0" w:firstRow="1" w:lastRow="0" w:firstColumn="1" w:lastColumn="0" w:noHBand="0" w:noVBand="1"/>
      </w:tblPr>
      <w:tblGrid>
        <w:gridCol w:w="1707"/>
        <w:gridCol w:w="843"/>
        <w:gridCol w:w="843"/>
        <w:gridCol w:w="843"/>
        <w:gridCol w:w="842"/>
        <w:gridCol w:w="842"/>
        <w:gridCol w:w="842"/>
        <w:gridCol w:w="842"/>
        <w:gridCol w:w="842"/>
        <w:gridCol w:w="842"/>
      </w:tblGrid>
      <w:tr>
        <w:tc>
          <w:tcPr>
            <w:tcW w:w="1413" w:type="dxa"/>
          </w:tcPr>
          <w:p>
            <w:pPr>
              <w:rPr>
                <w:rFonts w:ascii="Times New Roman" w:eastAsia="Times New Roman" w:hAnsi="Times New Roman" w:cs="Times New Roman"/>
                <w:b/>
                <w:bCs/>
                <w:noProof/>
              </w:rPr>
            </w:pPr>
            <w:r>
              <w:rPr>
                <w:rFonts w:ascii="Times New Roman" w:hAnsi="Times New Roman"/>
                <w:b/>
                <w:bCs/>
                <w:noProof/>
              </w:rPr>
              <w:t>Επαγγέλματα</w:t>
            </w:r>
          </w:p>
        </w:tc>
        <w:tc>
          <w:tcPr>
            <w:tcW w:w="1067" w:type="dxa"/>
          </w:tcPr>
          <w:p>
            <w:pPr>
              <w:jc w:val="center"/>
              <w:rPr>
                <w:rFonts w:ascii="Times New Roman" w:eastAsia="Times New Roman" w:hAnsi="Times New Roman" w:cs="Times New Roman"/>
                <w:b/>
                <w:bCs/>
                <w:noProof/>
              </w:rPr>
            </w:pPr>
            <w:r>
              <w:rPr>
                <w:rFonts w:ascii="Times New Roman" w:hAnsi="Times New Roman"/>
                <w:b/>
                <w:bCs/>
                <w:noProof/>
              </w:rPr>
              <w:t>2011</w:t>
            </w:r>
          </w:p>
        </w:tc>
        <w:tc>
          <w:tcPr>
            <w:tcW w:w="822" w:type="dxa"/>
          </w:tcPr>
          <w:p>
            <w:pPr>
              <w:jc w:val="center"/>
              <w:rPr>
                <w:rFonts w:ascii="Times New Roman" w:hAnsi="Times New Roman" w:cs="Times New Roman"/>
                <w:noProof/>
              </w:rPr>
            </w:pPr>
            <w:r>
              <w:rPr>
                <w:rFonts w:ascii="Times New Roman" w:hAnsi="Times New Roman"/>
                <w:b/>
                <w:bCs/>
                <w:noProof/>
              </w:rPr>
              <w:t>2012</w:t>
            </w:r>
          </w:p>
        </w:tc>
        <w:tc>
          <w:tcPr>
            <w:tcW w:w="822" w:type="dxa"/>
          </w:tcPr>
          <w:p>
            <w:pPr>
              <w:jc w:val="center"/>
              <w:rPr>
                <w:rFonts w:ascii="Times New Roman" w:hAnsi="Times New Roman" w:cs="Times New Roman"/>
                <w:noProof/>
              </w:rPr>
            </w:pPr>
            <w:r>
              <w:rPr>
                <w:rFonts w:ascii="Times New Roman" w:hAnsi="Times New Roman"/>
                <w:b/>
                <w:bCs/>
                <w:noProof/>
              </w:rPr>
              <w:t>2013</w:t>
            </w:r>
          </w:p>
        </w:tc>
        <w:tc>
          <w:tcPr>
            <w:tcW w:w="823" w:type="dxa"/>
          </w:tcPr>
          <w:p>
            <w:pPr>
              <w:jc w:val="center"/>
              <w:rPr>
                <w:rFonts w:ascii="Times New Roman" w:hAnsi="Times New Roman" w:cs="Times New Roman"/>
                <w:noProof/>
              </w:rPr>
            </w:pPr>
            <w:r>
              <w:rPr>
                <w:rFonts w:ascii="Times New Roman" w:hAnsi="Times New Roman"/>
                <w:b/>
                <w:bCs/>
                <w:noProof/>
              </w:rPr>
              <w:t>2014</w:t>
            </w:r>
          </w:p>
        </w:tc>
        <w:tc>
          <w:tcPr>
            <w:tcW w:w="823" w:type="dxa"/>
          </w:tcPr>
          <w:p>
            <w:pPr>
              <w:jc w:val="center"/>
              <w:rPr>
                <w:rFonts w:ascii="Times New Roman" w:hAnsi="Times New Roman" w:cs="Times New Roman"/>
                <w:noProof/>
              </w:rPr>
            </w:pPr>
            <w:r>
              <w:rPr>
                <w:rFonts w:ascii="Times New Roman" w:hAnsi="Times New Roman"/>
                <w:b/>
                <w:bCs/>
                <w:noProof/>
              </w:rPr>
              <w:t>2015</w:t>
            </w:r>
          </w:p>
        </w:tc>
        <w:tc>
          <w:tcPr>
            <w:tcW w:w="823" w:type="dxa"/>
          </w:tcPr>
          <w:p>
            <w:pPr>
              <w:jc w:val="center"/>
              <w:rPr>
                <w:rFonts w:ascii="Times New Roman" w:hAnsi="Times New Roman" w:cs="Times New Roman"/>
                <w:noProof/>
              </w:rPr>
            </w:pPr>
            <w:r>
              <w:rPr>
                <w:rFonts w:ascii="Times New Roman" w:hAnsi="Times New Roman"/>
                <w:b/>
                <w:bCs/>
                <w:noProof/>
              </w:rPr>
              <w:t>2016</w:t>
            </w:r>
          </w:p>
        </w:tc>
        <w:tc>
          <w:tcPr>
            <w:tcW w:w="823" w:type="dxa"/>
          </w:tcPr>
          <w:p>
            <w:pPr>
              <w:jc w:val="center"/>
              <w:rPr>
                <w:rFonts w:ascii="Times New Roman" w:eastAsia="Times New Roman" w:hAnsi="Times New Roman" w:cs="Times New Roman"/>
                <w:b/>
                <w:bCs/>
                <w:noProof/>
              </w:rPr>
            </w:pPr>
            <w:r>
              <w:rPr>
                <w:rFonts w:ascii="Times New Roman" w:hAnsi="Times New Roman"/>
                <w:b/>
                <w:bCs/>
                <w:noProof/>
              </w:rPr>
              <w:t>2017</w:t>
            </w:r>
          </w:p>
        </w:tc>
        <w:tc>
          <w:tcPr>
            <w:tcW w:w="823" w:type="dxa"/>
          </w:tcPr>
          <w:p>
            <w:pPr>
              <w:jc w:val="center"/>
              <w:rPr>
                <w:rFonts w:ascii="Times New Roman" w:hAnsi="Times New Roman" w:cs="Times New Roman"/>
                <w:noProof/>
              </w:rPr>
            </w:pPr>
            <w:r>
              <w:rPr>
                <w:rFonts w:ascii="Times New Roman" w:hAnsi="Times New Roman"/>
                <w:b/>
                <w:bCs/>
                <w:noProof/>
              </w:rPr>
              <w:t>2018</w:t>
            </w:r>
          </w:p>
        </w:tc>
        <w:tc>
          <w:tcPr>
            <w:tcW w:w="823" w:type="dxa"/>
          </w:tcPr>
          <w:p>
            <w:pPr>
              <w:jc w:val="center"/>
              <w:rPr>
                <w:rFonts w:ascii="Times New Roman" w:hAnsi="Times New Roman" w:cs="Times New Roman"/>
                <w:noProof/>
              </w:rPr>
            </w:pPr>
            <w:r>
              <w:rPr>
                <w:rFonts w:ascii="Times New Roman" w:hAnsi="Times New Roman"/>
                <w:b/>
                <w:bCs/>
                <w:noProof/>
              </w:rPr>
              <w:t>2019</w:t>
            </w:r>
          </w:p>
        </w:tc>
      </w:tr>
      <w:tr>
        <w:tc>
          <w:tcPr>
            <w:tcW w:w="1413" w:type="dxa"/>
          </w:tcPr>
          <w:p>
            <w:pPr>
              <w:rPr>
                <w:rFonts w:ascii="Times New Roman" w:hAnsi="Times New Roman" w:cs="Times New Roman"/>
                <w:noProof/>
              </w:rPr>
            </w:pPr>
            <w:r>
              <w:rPr>
                <w:rFonts w:ascii="Times New Roman" w:hAnsi="Times New Roman"/>
                <w:noProof/>
              </w:rPr>
              <w:t>Δικαστές και εισαγγελείς</w:t>
            </w:r>
          </w:p>
        </w:tc>
        <w:tc>
          <w:tcPr>
            <w:tcW w:w="1067" w:type="dxa"/>
          </w:tcPr>
          <w:p>
            <w:pPr>
              <w:jc w:val="center"/>
              <w:rPr>
                <w:rFonts w:ascii="Times New Roman" w:hAnsi="Times New Roman" w:cs="Times New Roman"/>
                <w:noProof/>
              </w:rPr>
            </w:pPr>
            <w:r>
              <w:rPr>
                <w:rFonts w:ascii="Times New Roman" w:hAnsi="Times New Roman"/>
                <w:noProof/>
                <w:sz w:val="20"/>
                <w:szCs w:val="20"/>
              </w:rPr>
              <w:t>24,62 %</w:t>
            </w:r>
          </w:p>
        </w:tc>
        <w:tc>
          <w:tcPr>
            <w:tcW w:w="822" w:type="dxa"/>
          </w:tcPr>
          <w:p>
            <w:pPr>
              <w:jc w:val="center"/>
              <w:rPr>
                <w:rFonts w:ascii="Times New Roman" w:hAnsi="Times New Roman" w:cs="Times New Roman"/>
                <w:noProof/>
              </w:rPr>
            </w:pPr>
            <w:r>
              <w:rPr>
                <w:rFonts w:ascii="Times New Roman" w:hAnsi="Times New Roman"/>
                <w:noProof/>
                <w:sz w:val="20"/>
                <w:szCs w:val="20"/>
              </w:rPr>
              <w:t>23,04 %</w:t>
            </w:r>
          </w:p>
        </w:tc>
        <w:tc>
          <w:tcPr>
            <w:tcW w:w="822" w:type="dxa"/>
          </w:tcPr>
          <w:p>
            <w:pPr>
              <w:jc w:val="center"/>
              <w:rPr>
                <w:rFonts w:ascii="Times New Roman" w:hAnsi="Times New Roman" w:cs="Times New Roman"/>
                <w:noProof/>
              </w:rPr>
            </w:pPr>
            <w:r>
              <w:rPr>
                <w:rFonts w:ascii="Times New Roman" w:hAnsi="Times New Roman"/>
                <w:noProof/>
                <w:sz w:val="20"/>
                <w:szCs w:val="20"/>
              </w:rPr>
              <w:t>24,00 %</w:t>
            </w:r>
          </w:p>
        </w:tc>
        <w:tc>
          <w:tcPr>
            <w:tcW w:w="823" w:type="dxa"/>
          </w:tcPr>
          <w:p>
            <w:pPr>
              <w:jc w:val="center"/>
              <w:rPr>
                <w:rFonts w:ascii="Times New Roman" w:hAnsi="Times New Roman" w:cs="Times New Roman"/>
                <w:noProof/>
              </w:rPr>
            </w:pPr>
            <w:r>
              <w:rPr>
                <w:rFonts w:ascii="Times New Roman" w:hAnsi="Times New Roman"/>
                <w:noProof/>
                <w:sz w:val="20"/>
                <w:szCs w:val="20"/>
              </w:rPr>
              <w:t>29,11 %</w:t>
            </w:r>
          </w:p>
        </w:tc>
        <w:tc>
          <w:tcPr>
            <w:tcW w:w="823" w:type="dxa"/>
          </w:tcPr>
          <w:p>
            <w:pPr>
              <w:jc w:val="center"/>
              <w:rPr>
                <w:rFonts w:ascii="Times New Roman" w:hAnsi="Times New Roman" w:cs="Times New Roman"/>
                <w:noProof/>
              </w:rPr>
            </w:pPr>
            <w:r>
              <w:rPr>
                <w:rFonts w:ascii="Times New Roman" w:hAnsi="Times New Roman"/>
                <w:noProof/>
                <w:sz w:val="20"/>
                <w:szCs w:val="20"/>
              </w:rPr>
              <w:t>28,10 %</w:t>
            </w:r>
          </w:p>
        </w:tc>
        <w:tc>
          <w:tcPr>
            <w:tcW w:w="823" w:type="dxa"/>
          </w:tcPr>
          <w:p>
            <w:pPr>
              <w:jc w:val="center"/>
              <w:rPr>
                <w:rFonts w:ascii="Times New Roman" w:hAnsi="Times New Roman" w:cs="Times New Roman"/>
                <w:noProof/>
              </w:rPr>
            </w:pPr>
            <w:r>
              <w:rPr>
                <w:rFonts w:ascii="Times New Roman" w:hAnsi="Times New Roman"/>
                <w:noProof/>
                <w:sz w:val="20"/>
                <w:szCs w:val="20"/>
              </w:rPr>
              <w:t>38,03 %</w:t>
            </w:r>
          </w:p>
        </w:tc>
        <w:tc>
          <w:tcPr>
            <w:tcW w:w="823" w:type="dxa"/>
          </w:tcPr>
          <w:p>
            <w:pPr>
              <w:jc w:val="center"/>
              <w:rPr>
                <w:rFonts w:ascii="Times New Roman" w:hAnsi="Times New Roman" w:cs="Times New Roman"/>
                <w:noProof/>
              </w:rPr>
            </w:pPr>
            <w:r>
              <w:rPr>
                <w:rFonts w:ascii="Times New Roman" w:hAnsi="Times New Roman"/>
                <w:noProof/>
                <w:sz w:val="20"/>
                <w:szCs w:val="20"/>
              </w:rPr>
              <w:t>48,22 %</w:t>
            </w:r>
          </w:p>
        </w:tc>
        <w:tc>
          <w:tcPr>
            <w:tcW w:w="823" w:type="dxa"/>
          </w:tcPr>
          <w:p>
            <w:pPr>
              <w:jc w:val="center"/>
              <w:rPr>
                <w:rFonts w:ascii="Times New Roman" w:hAnsi="Times New Roman" w:cs="Times New Roman"/>
                <w:noProof/>
              </w:rPr>
            </w:pPr>
            <w:r>
              <w:rPr>
                <w:rFonts w:ascii="Times New Roman" w:hAnsi="Times New Roman"/>
                <w:noProof/>
                <w:sz w:val="20"/>
                <w:szCs w:val="20"/>
              </w:rPr>
              <w:t>54,66 %</w:t>
            </w:r>
          </w:p>
        </w:tc>
        <w:tc>
          <w:tcPr>
            <w:tcW w:w="823"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55,70 %</w:t>
            </w:r>
          </w:p>
        </w:tc>
      </w:tr>
      <w:tr>
        <w:tc>
          <w:tcPr>
            <w:tcW w:w="1413" w:type="dxa"/>
          </w:tcPr>
          <w:p>
            <w:pPr>
              <w:rPr>
                <w:rFonts w:ascii="Times New Roman" w:hAnsi="Times New Roman" w:cs="Times New Roman"/>
                <w:noProof/>
              </w:rPr>
            </w:pPr>
            <w:r>
              <w:rPr>
                <w:rFonts w:ascii="Times New Roman" w:hAnsi="Times New Roman"/>
                <w:noProof/>
              </w:rPr>
              <w:t>Δικαστικοί και εισαγγελικοί υπάλληλοι</w:t>
            </w:r>
          </w:p>
        </w:tc>
        <w:tc>
          <w:tcPr>
            <w:tcW w:w="1067" w:type="dxa"/>
          </w:tcPr>
          <w:p>
            <w:pPr>
              <w:jc w:val="center"/>
              <w:rPr>
                <w:rFonts w:ascii="Times New Roman" w:hAnsi="Times New Roman" w:cs="Times New Roman"/>
                <w:noProof/>
              </w:rPr>
            </w:pPr>
            <w:r>
              <w:rPr>
                <w:rFonts w:ascii="Times New Roman" w:hAnsi="Times New Roman"/>
                <w:noProof/>
                <w:sz w:val="20"/>
                <w:szCs w:val="20"/>
              </w:rPr>
              <w:t>1,75 %</w:t>
            </w:r>
          </w:p>
        </w:tc>
        <w:tc>
          <w:tcPr>
            <w:tcW w:w="822" w:type="dxa"/>
          </w:tcPr>
          <w:p>
            <w:pPr>
              <w:jc w:val="center"/>
              <w:rPr>
                <w:rFonts w:ascii="Times New Roman" w:hAnsi="Times New Roman" w:cs="Times New Roman"/>
                <w:noProof/>
              </w:rPr>
            </w:pPr>
            <w:r>
              <w:rPr>
                <w:rFonts w:ascii="Times New Roman" w:hAnsi="Times New Roman"/>
                <w:noProof/>
                <w:sz w:val="20"/>
                <w:szCs w:val="20"/>
              </w:rPr>
              <w:t>0,90 %</w:t>
            </w:r>
          </w:p>
        </w:tc>
        <w:tc>
          <w:tcPr>
            <w:tcW w:w="822" w:type="dxa"/>
          </w:tcPr>
          <w:p>
            <w:pPr>
              <w:jc w:val="center"/>
              <w:rPr>
                <w:rFonts w:ascii="Times New Roman" w:hAnsi="Times New Roman" w:cs="Times New Roman"/>
                <w:noProof/>
              </w:rPr>
            </w:pPr>
            <w:r>
              <w:rPr>
                <w:rFonts w:ascii="Times New Roman" w:hAnsi="Times New Roman"/>
                <w:noProof/>
                <w:sz w:val="20"/>
                <w:szCs w:val="20"/>
              </w:rPr>
              <w:t>1,52 %</w:t>
            </w:r>
          </w:p>
        </w:tc>
        <w:tc>
          <w:tcPr>
            <w:tcW w:w="823" w:type="dxa"/>
          </w:tcPr>
          <w:p>
            <w:pPr>
              <w:jc w:val="center"/>
              <w:rPr>
                <w:rFonts w:ascii="Times New Roman" w:hAnsi="Times New Roman" w:cs="Times New Roman"/>
                <w:noProof/>
              </w:rPr>
            </w:pPr>
            <w:r>
              <w:rPr>
                <w:rFonts w:ascii="Times New Roman" w:hAnsi="Times New Roman"/>
                <w:noProof/>
                <w:sz w:val="20"/>
                <w:szCs w:val="20"/>
              </w:rPr>
              <w:t>1,32 %</w:t>
            </w:r>
          </w:p>
        </w:tc>
        <w:tc>
          <w:tcPr>
            <w:tcW w:w="823" w:type="dxa"/>
          </w:tcPr>
          <w:p>
            <w:pPr>
              <w:jc w:val="center"/>
              <w:rPr>
                <w:rFonts w:ascii="Times New Roman" w:hAnsi="Times New Roman" w:cs="Times New Roman"/>
                <w:noProof/>
              </w:rPr>
            </w:pPr>
            <w:r>
              <w:rPr>
                <w:rFonts w:ascii="Times New Roman" w:hAnsi="Times New Roman"/>
                <w:noProof/>
                <w:sz w:val="20"/>
                <w:szCs w:val="20"/>
              </w:rPr>
              <w:t>2,06 %</w:t>
            </w:r>
          </w:p>
        </w:tc>
        <w:tc>
          <w:tcPr>
            <w:tcW w:w="823" w:type="dxa"/>
          </w:tcPr>
          <w:p>
            <w:pPr>
              <w:jc w:val="center"/>
              <w:rPr>
                <w:rFonts w:ascii="Times New Roman" w:hAnsi="Times New Roman" w:cs="Times New Roman"/>
                <w:noProof/>
              </w:rPr>
            </w:pPr>
            <w:r>
              <w:rPr>
                <w:rFonts w:ascii="Times New Roman" w:hAnsi="Times New Roman"/>
                <w:noProof/>
                <w:sz w:val="20"/>
                <w:szCs w:val="20"/>
              </w:rPr>
              <w:t>2,39 %</w:t>
            </w:r>
          </w:p>
        </w:tc>
        <w:tc>
          <w:tcPr>
            <w:tcW w:w="823" w:type="dxa"/>
          </w:tcPr>
          <w:p>
            <w:pPr>
              <w:jc w:val="center"/>
              <w:rPr>
                <w:rFonts w:ascii="Times New Roman" w:hAnsi="Times New Roman" w:cs="Times New Roman"/>
                <w:noProof/>
              </w:rPr>
            </w:pPr>
            <w:r>
              <w:rPr>
                <w:rFonts w:ascii="Times New Roman" w:hAnsi="Times New Roman"/>
                <w:noProof/>
                <w:sz w:val="20"/>
                <w:szCs w:val="20"/>
              </w:rPr>
              <w:t>3,23 %</w:t>
            </w:r>
          </w:p>
        </w:tc>
        <w:tc>
          <w:tcPr>
            <w:tcW w:w="823" w:type="dxa"/>
          </w:tcPr>
          <w:p>
            <w:pPr>
              <w:jc w:val="center"/>
              <w:rPr>
                <w:rFonts w:ascii="Times New Roman" w:hAnsi="Times New Roman" w:cs="Times New Roman"/>
                <w:noProof/>
              </w:rPr>
            </w:pPr>
            <w:r>
              <w:rPr>
                <w:rFonts w:ascii="Times New Roman" w:hAnsi="Times New Roman"/>
                <w:noProof/>
                <w:sz w:val="20"/>
                <w:szCs w:val="20"/>
              </w:rPr>
              <w:t>4,14 %</w:t>
            </w:r>
          </w:p>
        </w:tc>
        <w:tc>
          <w:tcPr>
            <w:tcW w:w="823"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6,40 %</w:t>
            </w:r>
          </w:p>
        </w:tc>
      </w:tr>
      <w:tr>
        <w:tc>
          <w:tcPr>
            <w:tcW w:w="1413" w:type="dxa"/>
          </w:tcPr>
          <w:p>
            <w:pPr>
              <w:rPr>
                <w:rFonts w:ascii="Times New Roman" w:hAnsi="Times New Roman" w:cs="Times New Roman"/>
                <w:noProof/>
              </w:rPr>
            </w:pPr>
            <w:r>
              <w:rPr>
                <w:rFonts w:ascii="Times New Roman" w:hAnsi="Times New Roman"/>
                <w:noProof/>
              </w:rPr>
              <w:t>Δικηγόροι</w:t>
            </w:r>
          </w:p>
        </w:tc>
        <w:tc>
          <w:tcPr>
            <w:tcW w:w="1067" w:type="dxa"/>
          </w:tcPr>
          <w:p>
            <w:pPr>
              <w:jc w:val="center"/>
              <w:rPr>
                <w:rFonts w:ascii="Times New Roman" w:hAnsi="Times New Roman" w:cs="Times New Roman"/>
                <w:noProof/>
              </w:rPr>
            </w:pPr>
            <w:r>
              <w:rPr>
                <w:rFonts w:ascii="Times New Roman" w:hAnsi="Times New Roman"/>
                <w:noProof/>
                <w:sz w:val="20"/>
                <w:szCs w:val="20"/>
              </w:rPr>
              <w:t>1,79 %</w:t>
            </w:r>
          </w:p>
        </w:tc>
        <w:tc>
          <w:tcPr>
            <w:tcW w:w="822" w:type="dxa"/>
          </w:tcPr>
          <w:p>
            <w:pPr>
              <w:jc w:val="center"/>
              <w:rPr>
                <w:rFonts w:ascii="Times New Roman" w:hAnsi="Times New Roman" w:cs="Times New Roman"/>
                <w:noProof/>
              </w:rPr>
            </w:pPr>
            <w:r>
              <w:rPr>
                <w:rFonts w:ascii="Times New Roman" w:hAnsi="Times New Roman"/>
                <w:noProof/>
                <w:sz w:val="20"/>
                <w:szCs w:val="20"/>
              </w:rPr>
              <w:t>1,73 %</w:t>
            </w:r>
          </w:p>
        </w:tc>
        <w:tc>
          <w:tcPr>
            <w:tcW w:w="822" w:type="dxa"/>
          </w:tcPr>
          <w:p>
            <w:pPr>
              <w:jc w:val="center"/>
              <w:rPr>
                <w:rFonts w:ascii="Times New Roman" w:hAnsi="Times New Roman" w:cs="Times New Roman"/>
                <w:noProof/>
              </w:rPr>
            </w:pPr>
            <w:r>
              <w:rPr>
                <w:rFonts w:ascii="Times New Roman" w:hAnsi="Times New Roman"/>
                <w:noProof/>
                <w:sz w:val="20"/>
                <w:szCs w:val="20"/>
              </w:rPr>
              <w:t>5,04 %</w:t>
            </w:r>
          </w:p>
        </w:tc>
        <w:tc>
          <w:tcPr>
            <w:tcW w:w="823" w:type="dxa"/>
          </w:tcPr>
          <w:p>
            <w:pPr>
              <w:jc w:val="center"/>
              <w:rPr>
                <w:rFonts w:ascii="Times New Roman" w:hAnsi="Times New Roman" w:cs="Times New Roman"/>
                <w:noProof/>
              </w:rPr>
            </w:pPr>
            <w:r>
              <w:rPr>
                <w:rFonts w:ascii="Times New Roman" w:hAnsi="Times New Roman"/>
                <w:noProof/>
                <w:sz w:val="20"/>
                <w:szCs w:val="20"/>
              </w:rPr>
              <w:t>5,28 %</w:t>
            </w:r>
          </w:p>
        </w:tc>
        <w:tc>
          <w:tcPr>
            <w:tcW w:w="823" w:type="dxa"/>
          </w:tcPr>
          <w:p>
            <w:pPr>
              <w:jc w:val="center"/>
              <w:rPr>
                <w:rFonts w:ascii="Times New Roman" w:hAnsi="Times New Roman" w:cs="Times New Roman"/>
                <w:noProof/>
              </w:rPr>
            </w:pPr>
            <w:r>
              <w:rPr>
                <w:rFonts w:ascii="Times New Roman" w:hAnsi="Times New Roman"/>
                <w:noProof/>
                <w:sz w:val="20"/>
                <w:szCs w:val="20"/>
              </w:rPr>
              <w:t>3,54 %</w:t>
            </w:r>
          </w:p>
        </w:tc>
        <w:tc>
          <w:tcPr>
            <w:tcW w:w="823" w:type="dxa"/>
          </w:tcPr>
          <w:p>
            <w:pPr>
              <w:jc w:val="center"/>
              <w:rPr>
                <w:rFonts w:ascii="Times New Roman" w:hAnsi="Times New Roman" w:cs="Times New Roman"/>
                <w:noProof/>
              </w:rPr>
            </w:pPr>
            <w:r>
              <w:rPr>
                <w:rFonts w:ascii="Times New Roman" w:hAnsi="Times New Roman"/>
                <w:noProof/>
                <w:sz w:val="20"/>
                <w:szCs w:val="20"/>
              </w:rPr>
              <w:t>4,11 %</w:t>
            </w:r>
          </w:p>
        </w:tc>
        <w:tc>
          <w:tcPr>
            <w:tcW w:w="823" w:type="dxa"/>
          </w:tcPr>
          <w:p>
            <w:pPr>
              <w:jc w:val="center"/>
              <w:rPr>
                <w:rFonts w:ascii="Times New Roman" w:hAnsi="Times New Roman" w:cs="Times New Roman"/>
                <w:noProof/>
              </w:rPr>
            </w:pPr>
            <w:r>
              <w:rPr>
                <w:rFonts w:ascii="Times New Roman" w:hAnsi="Times New Roman"/>
                <w:noProof/>
                <w:sz w:val="20"/>
                <w:szCs w:val="20"/>
              </w:rPr>
              <w:t>4,88 %</w:t>
            </w:r>
          </w:p>
        </w:tc>
        <w:tc>
          <w:tcPr>
            <w:tcW w:w="823" w:type="dxa"/>
          </w:tcPr>
          <w:p>
            <w:pPr>
              <w:jc w:val="center"/>
              <w:rPr>
                <w:rFonts w:ascii="Times New Roman" w:hAnsi="Times New Roman" w:cs="Times New Roman"/>
                <w:noProof/>
              </w:rPr>
            </w:pPr>
            <w:r>
              <w:rPr>
                <w:rFonts w:ascii="Times New Roman" w:hAnsi="Times New Roman"/>
                <w:noProof/>
                <w:sz w:val="20"/>
                <w:szCs w:val="20"/>
              </w:rPr>
              <w:t>4,82 %</w:t>
            </w:r>
          </w:p>
        </w:tc>
        <w:tc>
          <w:tcPr>
            <w:tcW w:w="823"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3,36 %</w:t>
            </w:r>
          </w:p>
        </w:tc>
      </w:tr>
      <w:tr>
        <w:tc>
          <w:tcPr>
            <w:tcW w:w="1413" w:type="dxa"/>
          </w:tcPr>
          <w:p>
            <w:pPr>
              <w:rPr>
                <w:rFonts w:ascii="Times New Roman" w:hAnsi="Times New Roman" w:cs="Times New Roman"/>
                <w:noProof/>
              </w:rPr>
            </w:pPr>
            <w:r>
              <w:rPr>
                <w:rFonts w:ascii="Times New Roman" w:hAnsi="Times New Roman"/>
                <w:noProof/>
              </w:rPr>
              <w:t>Συμβολαιογράφοι</w:t>
            </w:r>
          </w:p>
        </w:tc>
        <w:tc>
          <w:tcPr>
            <w:tcW w:w="1067" w:type="dxa"/>
          </w:tcPr>
          <w:p>
            <w:pPr>
              <w:jc w:val="center"/>
              <w:rPr>
                <w:rFonts w:ascii="Times New Roman" w:hAnsi="Times New Roman" w:cs="Times New Roman"/>
                <w:noProof/>
              </w:rPr>
            </w:pPr>
            <w:r>
              <w:rPr>
                <w:rFonts w:ascii="Times New Roman" w:hAnsi="Times New Roman"/>
                <w:noProof/>
                <w:sz w:val="20"/>
                <w:szCs w:val="20"/>
              </w:rPr>
              <w:t>11,36 %</w:t>
            </w:r>
          </w:p>
        </w:tc>
        <w:tc>
          <w:tcPr>
            <w:tcW w:w="822" w:type="dxa"/>
          </w:tcPr>
          <w:p>
            <w:pPr>
              <w:jc w:val="center"/>
              <w:rPr>
                <w:rFonts w:ascii="Times New Roman" w:hAnsi="Times New Roman" w:cs="Times New Roman"/>
                <w:noProof/>
              </w:rPr>
            </w:pPr>
            <w:r>
              <w:rPr>
                <w:rFonts w:ascii="Times New Roman" w:hAnsi="Times New Roman"/>
                <w:noProof/>
                <w:sz w:val="20"/>
                <w:szCs w:val="20"/>
              </w:rPr>
              <w:t>5,75 %</w:t>
            </w:r>
          </w:p>
        </w:tc>
        <w:tc>
          <w:tcPr>
            <w:tcW w:w="822" w:type="dxa"/>
          </w:tcPr>
          <w:p>
            <w:pPr>
              <w:jc w:val="center"/>
              <w:rPr>
                <w:rFonts w:ascii="Times New Roman" w:hAnsi="Times New Roman" w:cs="Times New Roman"/>
                <w:noProof/>
              </w:rPr>
            </w:pPr>
            <w:r>
              <w:rPr>
                <w:rFonts w:ascii="Times New Roman" w:hAnsi="Times New Roman"/>
                <w:noProof/>
                <w:sz w:val="20"/>
                <w:szCs w:val="20"/>
              </w:rPr>
              <w:t>10,37 %</w:t>
            </w:r>
          </w:p>
        </w:tc>
        <w:tc>
          <w:tcPr>
            <w:tcW w:w="823" w:type="dxa"/>
          </w:tcPr>
          <w:p>
            <w:pPr>
              <w:jc w:val="center"/>
              <w:rPr>
                <w:rFonts w:ascii="Times New Roman" w:hAnsi="Times New Roman" w:cs="Times New Roman"/>
                <w:noProof/>
              </w:rPr>
            </w:pPr>
            <w:r>
              <w:rPr>
                <w:rFonts w:ascii="Times New Roman" w:hAnsi="Times New Roman"/>
                <w:noProof/>
                <w:sz w:val="20"/>
                <w:szCs w:val="20"/>
              </w:rPr>
              <w:t>15,31 %</w:t>
            </w:r>
          </w:p>
        </w:tc>
        <w:tc>
          <w:tcPr>
            <w:tcW w:w="823" w:type="dxa"/>
          </w:tcPr>
          <w:p>
            <w:pPr>
              <w:jc w:val="center"/>
              <w:rPr>
                <w:rFonts w:ascii="Times New Roman" w:hAnsi="Times New Roman" w:cs="Times New Roman"/>
                <w:noProof/>
              </w:rPr>
            </w:pPr>
            <w:r>
              <w:rPr>
                <w:rFonts w:ascii="Times New Roman" w:hAnsi="Times New Roman"/>
                <w:noProof/>
                <w:sz w:val="20"/>
                <w:szCs w:val="20"/>
              </w:rPr>
              <w:t>18,07 %</w:t>
            </w:r>
          </w:p>
        </w:tc>
        <w:tc>
          <w:tcPr>
            <w:tcW w:w="823" w:type="dxa"/>
          </w:tcPr>
          <w:p>
            <w:pPr>
              <w:jc w:val="center"/>
              <w:rPr>
                <w:rFonts w:ascii="Times New Roman" w:hAnsi="Times New Roman" w:cs="Times New Roman"/>
                <w:noProof/>
              </w:rPr>
            </w:pPr>
            <w:r>
              <w:rPr>
                <w:rFonts w:ascii="Times New Roman" w:hAnsi="Times New Roman"/>
                <w:noProof/>
                <w:sz w:val="20"/>
                <w:szCs w:val="20"/>
              </w:rPr>
              <w:t>13,89 %</w:t>
            </w:r>
          </w:p>
        </w:tc>
        <w:tc>
          <w:tcPr>
            <w:tcW w:w="823" w:type="dxa"/>
          </w:tcPr>
          <w:p>
            <w:pPr>
              <w:jc w:val="center"/>
              <w:rPr>
                <w:rFonts w:ascii="Times New Roman" w:hAnsi="Times New Roman" w:cs="Times New Roman"/>
                <w:noProof/>
              </w:rPr>
            </w:pPr>
            <w:r>
              <w:rPr>
                <w:rFonts w:ascii="Times New Roman" w:hAnsi="Times New Roman"/>
                <w:noProof/>
                <w:sz w:val="20"/>
                <w:szCs w:val="20"/>
              </w:rPr>
              <w:t>27,03 %</w:t>
            </w:r>
          </w:p>
        </w:tc>
        <w:tc>
          <w:tcPr>
            <w:tcW w:w="823" w:type="dxa"/>
          </w:tcPr>
          <w:p>
            <w:pPr>
              <w:jc w:val="center"/>
              <w:rPr>
                <w:rFonts w:ascii="Times New Roman" w:hAnsi="Times New Roman" w:cs="Times New Roman"/>
                <w:noProof/>
              </w:rPr>
            </w:pPr>
            <w:r>
              <w:rPr>
                <w:rFonts w:ascii="Times New Roman" w:hAnsi="Times New Roman"/>
                <w:noProof/>
                <w:sz w:val="20"/>
                <w:szCs w:val="20"/>
              </w:rPr>
              <w:t>22,35 %</w:t>
            </w:r>
          </w:p>
        </w:tc>
        <w:tc>
          <w:tcPr>
            <w:tcW w:w="823"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26,03 %</w:t>
            </w:r>
          </w:p>
        </w:tc>
      </w:tr>
      <w:tr>
        <w:tc>
          <w:tcPr>
            <w:tcW w:w="1413" w:type="dxa"/>
          </w:tcPr>
          <w:p>
            <w:pPr>
              <w:rPr>
                <w:rFonts w:ascii="Times New Roman" w:hAnsi="Times New Roman" w:cs="Times New Roman"/>
                <w:noProof/>
              </w:rPr>
            </w:pPr>
            <w:r>
              <w:rPr>
                <w:rFonts w:ascii="Times New Roman" w:hAnsi="Times New Roman"/>
                <w:noProof/>
              </w:rPr>
              <w:t>Δικαστικοί επιμελητές</w:t>
            </w:r>
          </w:p>
        </w:tc>
        <w:tc>
          <w:tcPr>
            <w:tcW w:w="1067" w:type="dxa"/>
          </w:tcPr>
          <w:p>
            <w:pPr>
              <w:jc w:val="center"/>
              <w:rPr>
                <w:rFonts w:ascii="Times New Roman" w:hAnsi="Times New Roman" w:cs="Times New Roman"/>
                <w:noProof/>
              </w:rPr>
            </w:pPr>
            <w:r>
              <w:rPr>
                <w:rFonts w:ascii="Times New Roman" w:hAnsi="Times New Roman"/>
                <w:noProof/>
                <w:sz w:val="20"/>
                <w:szCs w:val="20"/>
              </w:rPr>
              <w:t>3,57 %</w:t>
            </w:r>
          </w:p>
        </w:tc>
        <w:tc>
          <w:tcPr>
            <w:tcW w:w="822" w:type="dxa"/>
          </w:tcPr>
          <w:p>
            <w:pPr>
              <w:jc w:val="center"/>
              <w:rPr>
                <w:rFonts w:ascii="Times New Roman" w:hAnsi="Times New Roman" w:cs="Times New Roman"/>
                <w:noProof/>
              </w:rPr>
            </w:pPr>
            <w:r>
              <w:rPr>
                <w:rFonts w:ascii="Times New Roman" w:hAnsi="Times New Roman"/>
                <w:noProof/>
                <w:sz w:val="20"/>
                <w:szCs w:val="20"/>
              </w:rPr>
              <w:t>4,02 %</w:t>
            </w:r>
          </w:p>
        </w:tc>
        <w:tc>
          <w:tcPr>
            <w:tcW w:w="822" w:type="dxa"/>
          </w:tcPr>
          <w:p>
            <w:pPr>
              <w:jc w:val="center"/>
              <w:rPr>
                <w:rFonts w:ascii="Times New Roman" w:hAnsi="Times New Roman" w:cs="Times New Roman"/>
                <w:noProof/>
              </w:rPr>
            </w:pPr>
            <w:r>
              <w:rPr>
                <w:rFonts w:ascii="Times New Roman" w:hAnsi="Times New Roman"/>
                <w:noProof/>
                <w:sz w:val="20"/>
                <w:szCs w:val="20"/>
              </w:rPr>
              <w:t>3,12 %</w:t>
            </w:r>
          </w:p>
        </w:tc>
        <w:tc>
          <w:tcPr>
            <w:tcW w:w="823" w:type="dxa"/>
          </w:tcPr>
          <w:p>
            <w:pPr>
              <w:jc w:val="center"/>
              <w:rPr>
                <w:rFonts w:ascii="Times New Roman" w:hAnsi="Times New Roman" w:cs="Times New Roman"/>
                <w:noProof/>
              </w:rPr>
            </w:pPr>
            <w:r>
              <w:rPr>
                <w:rFonts w:ascii="Times New Roman" w:hAnsi="Times New Roman"/>
                <w:noProof/>
                <w:sz w:val="20"/>
                <w:szCs w:val="20"/>
              </w:rPr>
              <w:t>8,29 %</w:t>
            </w:r>
          </w:p>
        </w:tc>
        <w:tc>
          <w:tcPr>
            <w:tcW w:w="823" w:type="dxa"/>
          </w:tcPr>
          <w:p>
            <w:pPr>
              <w:jc w:val="center"/>
              <w:rPr>
                <w:rFonts w:ascii="Times New Roman" w:hAnsi="Times New Roman" w:cs="Times New Roman"/>
                <w:noProof/>
              </w:rPr>
            </w:pPr>
            <w:r>
              <w:rPr>
                <w:rFonts w:ascii="Times New Roman" w:hAnsi="Times New Roman"/>
                <w:noProof/>
                <w:sz w:val="20"/>
                <w:szCs w:val="20"/>
              </w:rPr>
              <w:t>5,67 %</w:t>
            </w:r>
          </w:p>
        </w:tc>
        <w:tc>
          <w:tcPr>
            <w:tcW w:w="823" w:type="dxa"/>
          </w:tcPr>
          <w:p>
            <w:pPr>
              <w:jc w:val="center"/>
              <w:rPr>
                <w:rFonts w:ascii="Times New Roman" w:hAnsi="Times New Roman" w:cs="Times New Roman"/>
                <w:noProof/>
              </w:rPr>
            </w:pPr>
            <w:r>
              <w:rPr>
                <w:rFonts w:ascii="Times New Roman" w:hAnsi="Times New Roman"/>
                <w:noProof/>
                <w:sz w:val="20"/>
                <w:szCs w:val="20"/>
              </w:rPr>
              <w:t>7,57 %</w:t>
            </w:r>
          </w:p>
        </w:tc>
        <w:tc>
          <w:tcPr>
            <w:tcW w:w="823" w:type="dxa"/>
          </w:tcPr>
          <w:p>
            <w:pPr>
              <w:jc w:val="center"/>
              <w:rPr>
                <w:rFonts w:ascii="Times New Roman" w:hAnsi="Times New Roman" w:cs="Times New Roman"/>
                <w:noProof/>
              </w:rPr>
            </w:pPr>
            <w:r>
              <w:rPr>
                <w:rFonts w:ascii="Times New Roman" w:hAnsi="Times New Roman"/>
                <w:noProof/>
                <w:sz w:val="20"/>
                <w:szCs w:val="20"/>
              </w:rPr>
              <w:t>9,55 %</w:t>
            </w:r>
          </w:p>
        </w:tc>
        <w:tc>
          <w:tcPr>
            <w:tcW w:w="823" w:type="dxa"/>
          </w:tcPr>
          <w:p>
            <w:pPr>
              <w:jc w:val="center"/>
              <w:rPr>
                <w:rFonts w:ascii="Times New Roman" w:hAnsi="Times New Roman" w:cs="Times New Roman"/>
                <w:noProof/>
              </w:rPr>
            </w:pPr>
            <w:r>
              <w:rPr>
                <w:rFonts w:ascii="Times New Roman" w:hAnsi="Times New Roman"/>
                <w:noProof/>
                <w:sz w:val="20"/>
                <w:szCs w:val="20"/>
              </w:rPr>
              <w:t>12,77 %</w:t>
            </w:r>
          </w:p>
        </w:tc>
        <w:tc>
          <w:tcPr>
            <w:tcW w:w="823"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16,19 %</w:t>
            </w:r>
          </w:p>
        </w:tc>
      </w:tr>
    </w:tbl>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0"/>
          <w:szCs w:val="20"/>
        </w:rPr>
        <w:t xml:space="preserve">Πηγή: Ευρωπαϊκή Επιτροπή (ΕΕ-28, εκτός από 2019: ΕΕ-27, δεδομένου ότι δεν ελήφθησαν στοιχεία από το Ηνωμένο Βασίλειο· </w:t>
      </w:r>
      <w:r>
        <w:rPr>
          <w:rFonts w:ascii="Times New Roman" w:hAnsi="Times New Roman"/>
          <w:noProof/>
          <w:sz w:val="20"/>
          <w:szCs w:val="20"/>
        </w:rPr>
        <w:t>στοιχεία από τις ετήσιες εκθέσεις για την ευρωπαϊκή δικαστική κατάρτιση</w:t>
      </w:r>
      <w:r>
        <w:rPr>
          <w:rStyle w:val="FootnoteReference"/>
          <w:rFonts w:ascii="Times New Roman" w:eastAsia="Times New Roman" w:hAnsi="Times New Roman" w:cs="Times New Roman"/>
          <w:noProof/>
          <w:sz w:val="20"/>
          <w:szCs w:val="20"/>
          <w:lang w:eastAsia="fr-BE"/>
        </w:rPr>
        <w:footnoteReference w:id="24"/>
      </w:r>
      <w:r>
        <w:rPr>
          <w:rFonts w:ascii="Times New Roman" w:hAnsi="Times New Roman"/>
          <w:noProof/>
          <w:sz w:val="20"/>
          <w:szCs w:val="20"/>
        </w:rPr>
        <w:t>).</w:t>
      </w:r>
      <w:r>
        <w:rPr>
          <w:rFonts w:ascii="Times New Roman" w:hAnsi="Times New Roman"/>
          <w:noProof/>
          <w:color w:val="000000" w:themeColor="text1"/>
          <w:sz w:val="20"/>
          <w:szCs w:val="20"/>
        </w:rPr>
        <w:t xml:space="preserve"> </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Συνολικά, </w:t>
      </w:r>
      <w:r>
        <w:rPr>
          <w:rFonts w:ascii="Times New Roman" w:hAnsi="Times New Roman"/>
          <w:b/>
          <w:bCs/>
          <w:noProof/>
          <w:sz w:val="24"/>
          <w:szCs w:val="24"/>
        </w:rPr>
        <w:t>περισσότεροι επαγγελματίες του τομέα απονομής δικαιοσύνης</w:t>
      </w:r>
      <w:r>
        <w:rPr>
          <w:rFonts w:ascii="Times New Roman" w:hAnsi="Times New Roman"/>
          <w:noProof/>
          <w:sz w:val="24"/>
          <w:szCs w:val="24"/>
        </w:rPr>
        <w:t xml:space="preserve"> θα πρέπει να συμμετέχουν σε κατάρτιση στο ενωσιακό δίκαιο, ενώ οι πάροχοι κατάρτισης θα πρέπει να </w:t>
      </w:r>
      <w:r>
        <w:rPr>
          <w:rFonts w:ascii="Times New Roman" w:hAnsi="Times New Roman"/>
          <w:b/>
          <w:bCs/>
          <w:noProof/>
          <w:sz w:val="24"/>
          <w:szCs w:val="24"/>
        </w:rPr>
        <w:t>βελτιώσουν την κατάρτιση που προσφέρουν στο ενωσιακό δίκαιο</w:t>
      </w:r>
      <w:r>
        <w:rPr>
          <w:rFonts w:ascii="Times New Roman" w:hAnsi="Times New Roman"/>
          <w:noProof/>
          <w:sz w:val="24"/>
          <w:szCs w:val="24"/>
        </w:rPr>
        <w:t>, είτε σε εθνικό είτε σε διασυνοριακό επίπεδο, ανεξάρτητα από το αν (συγ-)χρηματοδοτείται από την ΕΕ ή όχι.</w:t>
      </w:r>
      <w:r>
        <w:rPr>
          <w:rFonts w:ascii="Times New Roman" w:hAnsi="Times New Roman"/>
          <w:noProof/>
          <w:color w:val="000000" w:themeColor="text1"/>
          <w:sz w:val="24"/>
          <w:szCs w:val="24"/>
        </w:rPr>
        <w:t xml:space="preserve"> Αυτό ισχύει για όλους τους επαγγελματίες του τομέα απονομής δικαιοσύνης που εφαρμόζουν το ενωσιακό δίκαιο, μεταξύ άλλων, κατά κύριο λόγο, δικαστές, εισαγγελείς και δικαστικούς υπαλλήλους, αλλά και επαγγελματίες όπως δικηγόρους, συμβολαιογράφους, δικαστικούς επιμελητές, διαμεσολαβητές, νομικούς διερμηνείς/μεταφραστές, δικαστικούς εμπειρογνώμονες και, σε ορισμένες περιπτώσεις, σωφρονιστικούς υπαλλήλους και επιμελητές κοινωνικής αρωγής.</w:t>
      </w:r>
    </w:p>
    <w:p>
      <w:pPr>
        <w:pStyle w:val="Heading2"/>
        <w:tabs>
          <w:tab w:val="clear" w:pos="1077"/>
        </w:tabs>
        <w:ind w:left="709" w:hanging="709"/>
        <w:rPr>
          <w:noProof/>
        </w:rPr>
      </w:pPr>
      <w:r>
        <w:rPr>
          <w:noProof/>
        </w:rPr>
        <w:t>Ειδικά προσαρμοσμένοι στόχοι</w:t>
      </w:r>
    </w:p>
    <w:p>
      <w:pPr>
        <w:jc w:val="both"/>
        <w:rPr>
          <w:rFonts w:ascii="Times New Roman" w:hAnsi="Times New Roman" w:cs="Times New Roman"/>
          <w:noProof/>
          <w:sz w:val="24"/>
          <w:szCs w:val="24"/>
        </w:rPr>
      </w:pPr>
      <w:r>
        <w:rPr>
          <w:rFonts w:ascii="Times New Roman" w:hAnsi="Times New Roman"/>
          <w:noProof/>
          <w:sz w:val="24"/>
          <w:szCs w:val="24"/>
        </w:rPr>
        <w:t xml:space="preserve">Οι </w:t>
      </w:r>
      <w:r>
        <w:rPr>
          <w:rFonts w:ascii="Times New Roman" w:hAnsi="Times New Roman"/>
          <w:b/>
          <w:bCs/>
          <w:noProof/>
          <w:sz w:val="24"/>
          <w:szCs w:val="24"/>
        </w:rPr>
        <w:t>δικαστές και οι εισαγγελείς</w:t>
      </w:r>
      <w:r>
        <w:rPr>
          <w:rFonts w:ascii="Times New Roman" w:hAnsi="Times New Roman"/>
          <w:noProof/>
          <w:sz w:val="24"/>
          <w:szCs w:val="24"/>
        </w:rPr>
        <w:t xml:space="preserve"> είναι οι κύριοι εγγυητές της ορθής εφαρμογής του ενωσιακού δικαίου σε εθνικό επίπεδο</w:t>
      </w:r>
      <w:r>
        <w:rPr>
          <w:rStyle w:val="FootnoteReference"/>
          <w:rFonts w:ascii="Times New Roman" w:hAnsi="Times New Roman" w:cs="Times New Roman"/>
          <w:noProof/>
          <w:sz w:val="24"/>
          <w:szCs w:val="24"/>
          <w:lang w:eastAsia="en-GB"/>
        </w:rPr>
        <w:footnoteReference w:id="25"/>
      </w:r>
      <w:r>
        <w:rPr>
          <w:rFonts w:ascii="Times New Roman" w:hAnsi="Times New Roman"/>
          <w:noProof/>
          <w:sz w:val="24"/>
          <w:szCs w:val="24"/>
        </w:rPr>
        <w:t xml:space="preserve">. Θα πρέπει να παραμείνουν η </w:t>
      </w:r>
      <w:r>
        <w:rPr>
          <w:rFonts w:ascii="Times New Roman" w:hAnsi="Times New Roman"/>
          <w:b/>
          <w:bCs/>
          <w:noProof/>
          <w:sz w:val="24"/>
          <w:szCs w:val="24"/>
        </w:rPr>
        <w:t>κύρια ομάδα-στόχος</w:t>
      </w:r>
      <w:r>
        <w:rPr>
          <w:rFonts w:ascii="Times New Roman" w:hAnsi="Times New Roman"/>
          <w:noProof/>
          <w:sz w:val="24"/>
          <w:szCs w:val="24"/>
        </w:rPr>
        <w:t xml:space="preserve"> όσον αφορά την κατάρτιση στο ενωσιακό δίκαιο. Οι δικαστές εφαρμόζουν αυτεπαγγέλτως το ενωσιακό δίκαιο, κάνουν πράξη τις αρχές της υπεροχής και του άμεσου αποτελέσματος και παραπέμπουν προδικαστικά ερωτήματα στο ΔΕΕ. Οι εισαγγελείς πρέπει να γνωρίζουν και να εφαρμόζουν τα σχετικά μέρη του ενωσιακού κεκτημένου στον τομέα της δικαιοσύνης, μεταξύ άλλων τα δικονομικά δικαιώματα των υπόπτων και των κατηγορουμένων σε ποινικές διαδικασίες, την προστασία των οικονομικών συμφερόντων της ΕΕ και τους νέους κανόνες λειτουργίας μετά τη δημιουργία της Ευρωπαϊκής Εισαγγελίας.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Οι </w:t>
      </w:r>
      <w:r>
        <w:rPr>
          <w:rFonts w:ascii="Times New Roman" w:hAnsi="Times New Roman"/>
          <w:b/>
          <w:bCs/>
          <w:noProof/>
          <w:color w:val="000000" w:themeColor="text1"/>
          <w:sz w:val="24"/>
          <w:szCs w:val="24"/>
        </w:rPr>
        <w:t>δικαστικοί και εισαγγελικοί υπάλληλοι</w:t>
      </w:r>
      <w:r>
        <w:rPr>
          <w:rFonts w:ascii="Times New Roman" w:hAnsi="Times New Roman"/>
          <w:noProof/>
          <w:color w:val="000000" w:themeColor="text1"/>
          <w:sz w:val="24"/>
          <w:szCs w:val="24"/>
        </w:rPr>
        <w:t xml:space="preserve"> διαδραματίζουν ουσιαστικό ρόλο στην ομαλή λειτουργία των συστημάτων απονομής δικαιοσύνης. </w:t>
      </w:r>
      <w:r>
        <w:rPr>
          <w:rFonts w:ascii="Times New Roman" w:hAnsi="Times New Roman"/>
          <w:noProof/>
          <w:sz w:val="24"/>
          <w:szCs w:val="24"/>
        </w:rPr>
        <w:t>Ορισμένοι υπάλληλοι συμμετέχουν στη σύνταξη και την εκτέλεση δικαστικών αποφάσεων, στη διασυνοριακή επίδοση εγγράφων, σε ευρωπαϊκές διαταγές πληρωμής, σε ευρωπαϊκά εντάλματα σύλληψης και σε άλλες διασυνοριακές διαδικασίες.</w:t>
      </w:r>
      <w:r>
        <w:rPr>
          <w:rFonts w:ascii="Times New Roman" w:hAnsi="Times New Roman"/>
          <w:noProof/>
          <w:color w:val="000000" w:themeColor="text1"/>
          <w:sz w:val="24"/>
          <w:szCs w:val="24"/>
        </w:rPr>
        <w:t xml:space="preserve"> Αυτό απαιτεί ευρύ φάσμα κατάρτισης στο ενωσιακό δίκαιο, η οποία θα πρέπει να είναι ειδικά προσαρμοσμένη στις ανάγκες που έχουν εντοπιστεί. Η Επιτροπή ενθαρρύνει τη δικτύωση όλων των εθνικών και ενωσιακών παρόχων κατάρτισης σε δικαστικούς υπαλλήλους για την ανταλλαγή βέλτιστων πρακτικών και την ενίσχυση των εθνικών προσφορών κατάρτισης.</w:t>
      </w:r>
    </w:p>
    <w:p>
      <w:pPr>
        <w:jc w:val="both"/>
        <w:rPr>
          <w:rFonts w:ascii="Times New Roman" w:hAnsi="Times New Roman" w:cs="Times New Roman"/>
          <w:strike/>
          <w:noProof/>
          <w:sz w:val="24"/>
          <w:szCs w:val="24"/>
        </w:rPr>
      </w:pPr>
      <w:r>
        <w:rPr>
          <w:rFonts w:ascii="Times New Roman" w:hAnsi="Times New Roman"/>
          <w:noProof/>
          <w:sz w:val="24"/>
          <w:szCs w:val="24"/>
        </w:rPr>
        <w:t xml:space="preserve">Οι </w:t>
      </w:r>
      <w:r>
        <w:rPr>
          <w:rFonts w:ascii="Times New Roman" w:hAnsi="Times New Roman"/>
          <w:b/>
          <w:bCs/>
          <w:noProof/>
          <w:sz w:val="24"/>
          <w:szCs w:val="24"/>
        </w:rPr>
        <w:t>δικηγόροι</w:t>
      </w:r>
      <w:r>
        <w:rPr>
          <w:rFonts w:ascii="Times New Roman" w:hAnsi="Times New Roman"/>
          <w:noProof/>
          <w:sz w:val="24"/>
          <w:szCs w:val="24"/>
        </w:rPr>
        <w:t xml:space="preserve"> διαδραματίζουν ζωτικό ρόλο στην πρακτική εφαρμογή του ενωσιακού δικαίου σε πολλές νομικές διαδικασίες, εθνικές ή διασυνοριακές, αστικές, οικογενειακές, διοικητικές ή ποινικές. Επιπλέον, εναπόκειται σ’ αυτούς να εγείρουν ζητήματα ενωσιακού δικαίου σε συγκεκριμένες νομικές καταστάσεις. Πρέπει να είναι ενήμεροι για τις πρόσφατες εξελίξεις στο ενωσιακό κεκτημένο. Ως εκ τούτου, είναι σημαντικό να δοθεί έμφαση στην κατάρτιση των ασκούντων ελεύθερη δικηγορία και στους παρόχους κατάρτισής τους.</w:t>
      </w:r>
    </w:p>
    <w:p>
      <w:pPr>
        <w:jc w:val="both"/>
        <w:rPr>
          <w:rFonts w:ascii="Times New Roman" w:hAnsi="Times New Roman" w:cs="Times New Roman"/>
          <w:noProof/>
          <w:sz w:val="24"/>
          <w:szCs w:val="24"/>
        </w:rPr>
      </w:pPr>
      <w:r>
        <w:rPr>
          <w:rFonts w:ascii="Times New Roman" w:hAnsi="Times New Roman"/>
          <w:noProof/>
          <w:sz w:val="24"/>
          <w:szCs w:val="24"/>
        </w:rPr>
        <w:t xml:space="preserve">Οι </w:t>
      </w:r>
      <w:r>
        <w:rPr>
          <w:rFonts w:ascii="Times New Roman" w:hAnsi="Times New Roman"/>
          <w:b/>
          <w:bCs/>
          <w:noProof/>
          <w:sz w:val="24"/>
          <w:szCs w:val="24"/>
        </w:rPr>
        <w:t>συμβολαιογράφοι</w:t>
      </w:r>
      <w:r>
        <w:rPr>
          <w:rFonts w:ascii="Times New Roman" w:hAnsi="Times New Roman"/>
          <w:noProof/>
          <w:sz w:val="24"/>
          <w:szCs w:val="24"/>
        </w:rPr>
        <w:t xml:space="preserve"> συμβάλλουν στην εξασφάλιση των αποτελεσμάτων του ενωσιακού δικαίου σε τομείς που αφορούν ιδιώτες και επιχειρήσεις, όπως η κληρονομική διαδοχή, η διαμεσολάβηση, η αφερεγγυότητα και η καταπολέμηση της νομιμοποίησης εσόδων από εγκληματικές δραστηριότητες. Αυτό θα πρέπει να αντικατοπτρίζεται καλύτερα στο περιεχόμενο της κατάρτισης, με παράλληλη ενθάρρυνση της χρήσης διαδραστικών μεθοδολογιών, συμπεριλαμβανομένης της ηλεκτρονικής μάθησης.</w:t>
      </w:r>
    </w:p>
    <w:p>
      <w:pPr>
        <w:jc w:val="both"/>
        <w:rPr>
          <w:rFonts w:ascii="Times New Roman" w:hAnsi="Times New Roman" w:cs="Times New Roman"/>
          <w:noProof/>
          <w:sz w:val="24"/>
          <w:szCs w:val="24"/>
        </w:rPr>
      </w:pPr>
      <w:r>
        <w:rPr>
          <w:rFonts w:ascii="Times New Roman" w:hAnsi="Times New Roman"/>
          <w:noProof/>
          <w:sz w:val="24"/>
          <w:szCs w:val="24"/>
        </w:rPr>
        <w:t xml:space="preserve">Οι </w:t>
      </w:r>
      <w:r>
        <w:rPr>
          <w:rFonts w:ascii="Times New Roman" w:hAnsi="Times New Roman"/>
          <w:b/>
          <w:bCs/>
          <w:noProof/>
          <w:sz w:val="24"/>
          <w:szCs w:val="24"/>
        </w:rPr>
        <w:t>δικαστικοί επιμελητές</w:t>
      </w:r>
      <w:r>
        <w:rPr>
          <w:rFonts w:ascii="Times New Roman" w:hAnsi="Times New Roman"/>
          <w:noProof/>
          <w:sz w:val="24"/>
          <w:szCs w:val="24"/>
        </w:rPr>
        <w:t xml:space="preserve"> συμμετέχουν στη διασυνοριακή εκτέλεση δικαστικών αποφάσεων, για παράδειγμα σε ευρωπαϊκές διαδικασίες μικροδιαφορών και στη διασυνοριακή ανάκτηση περιουσιακών στοιχείων. Παρόλο που το επαγγελματικό τους καθεστώς και το ιστορικό τους διαφέρουν, περίπου στο ένα τρίτο των κρατών μελών συγκαταλέγονται στους δικαστικούς υπαλλήλους. Χρειάζονται περισσότερη κατάρτιση στο ενωσιακό δίκαιο, ώστε να διασφαλίζεται ότι το εφαρμόζουν σωστά στα καθημερινά τους καθήκοντα.</w:t>
      </w:r>
    </w:p>
    <w:p>
      <w:pPr>
        <w:pStyle w:val="Heading2"/>
        <w:tabs>
          <w:tab w:val="clear" w:pos="1077"/>
        </w:tabs>
        <w:ind w:left="709" w:hanging="709"/>
        <w:rPr>
          <w:noProof/>
        </w:rPr>
      </w:pPr>
      <w:r>
        <w:rPr>
          <w:noProof/>
        </w:rPr>
        <w:t>Βελτίωση της κατάρτισης άλλων επαγγελματιών στο ενωσιακό δίκαιο</w:t>
      </w:r>
    </w:p>
    <w:p>
      <w:pPr>
        <w:jc w:val="both"/>
        <w:rPr>
          <w:rFonts w:ascii="Times New Roman" w:hAnsi="Times New Roman" w:cs="Times New Roman"/>
          <w:b/>
          <w:bCs/>
          <w:noProof/>
          <w:color w:val="000000" w:themeColor="text1"/>
          <w:sz w:val="24"/>
          <w:szCs w:val="24"/>
        </w:rPr>
      </w:pPr>
      <w:r>
        <w:rPr>
          <w:rFonts w:ascii="Times New Roman" w:hAnsi="Times New Roman"/>
          <w:noProof/>
          <w:color w:val="000000" w:themeColor="text1"/>
          <w:sz w:val="24"/>
          <w:szCs w:val="24"/>
        </w:rPr>
        <w:t>Για τη διασύνδεση της παρούσας στρατηγικής με το ευρωπαϊκό πρόγραμμα κατάρτισης για την επιβολή του νόμου (LETS)</w:t>
      </w:r>
      <w:r>
        <w:rPr>
          <w:rStyle w:val="FootnoteReference"/>
          <w:rFonts w:ascii="Times New Roman" w:hAnsi="Times New Roman" w:cs="Times New Roman"/>
          <w:noProof/>
          <w:color w:val="000000" w:themeColor="text1"/>
          <w:sz w:val="24"/>
          <w:szCs w:val="24"/>
        </w:rPr>
        <w:footnoteReference w:id="26"/>
      </w:r>
      <w:r>
        <w:rPr>
          <w:rFonts w:ascii="Times New Roman" w:hAnsi="Times New Roman"/>
          <w:noProof/>
          <w:color w:val="000000" w:themeColor="text1"/>
          <w:sz w:val="24"/>
          <w:szCs w:val="24"/>
        </w:rPr>
        <w:t>, είναι χρήσιμη η ανάπτυξη και η προώθηση κοινού εκπαιδευτικού υλικού και κοινών σεμιναρίων κατάρτισης για εισαγγελείς, δικαστές και ανακριτές. Στο πλαίσιο αυτό, η εποικοδομητική συνεργασία μεταξύ του ΕΔΚΔ και του Οργανισμού της Ευρωπαϊκής Ένωσης για την Κατάρτιση στον Τομέα της Επιβολής του Νόμου (CEPOL) είναι ευπρόσδεκτη και θα μπορούσε να αναπτυχθεί περαιτέρω.</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Οι </w:t>
      </w:r>
      <w:r>
        <w:rPr>
          <w:rFonts w:ascii="Times New Roman" w:hAnsi="Times New Roman"/>
          <w:b/>
          <w:bCs/>
          <w:noProof/>
          <w:sz w:val="24"/>
          <w:szCs w:val="24"/>
        </w:rPr>
        <w:t>σωφρονιστικοί υπάλληλοι και οι επιμελητές κοινωνικής αρωγής</w:t>
      </w:r>
      <w:r>
        <w:rPr>
          <w:rFonts w:ascii="Times New Roman" w:hAnsi="Times New Roman"/>
          <w:noProof/>
          <w:sz w:val="24"/>
          <w:szCs w:val="24"/>
        </w:rPr>
        <w:t xml:space="preserve"> αποτελούν νέο κοινό-στόχο, καθώς η κατάρτισή τους είναι ζωτικής σημασίας για την προάσπιση των θεμελιωδών δικαιωμάτων κατά την κράτηση (ιδίως στο πλαίσιο ευρωπαϊκών ενταλμάτων σύλληψης</w:t>
      </w:r>
      <w:r>
        <w:rPr>
          <w:rStyle w:val="FootnoteReference"/>
          <w:rFonts w:ascii="Times New Roman" w:hAnsi="Times New Roman" w:cs="Times New Roman"/>
          <w:noProof/>
          <w:sz w:val="24"/>
          <w:szCs w:val="24"/>
          <w:lang w:eastAsia="en-GB"/>
        </w:rPr>
        <w:footnoteReference w:id="27"/>
      </w:r>
      <w:r>
        <w:rPr>
          <w:rFonts w:ascii="Times New Roman" w:hAnsi="Times New Roman"/>
          <w:noProof/>
          <w:sz w:val="24"/>
          <w:szCs w:val="24"/>
        </w:rPr>
        <w:t>) και για την εδραίωση του βασικού ρόλου που διαδραματίζουν όσον αφορά την πρόληψη της ριζοσπαστικοποίησης στις φυλακές και τη διασφάλιση της επιτυχίας των προγραμμάτων αποκατάστασης. Επιπλέον, πρέπει να γνωρίζουν τις πολιτικές της ΕΕ, ιδίως όσον αφορά τις μεταγωγές κρατουμένων, την αναστολή εκτέλεσης ποινών, τις εναλλακτικές κυρώσεις, την επιτήρηση, τη νομοθεσία σχετικά με τα ναρκωτικά και άλλα ζητήματα στις φυλακές</w:t>
      </w:r>
      <w:r>
        <w:rPr>
          <w:rStyle w:val="FootnoteReference"/>
          <w:rFonts w:ascii="Times New Roman" w:hAnsi="Times New Roman" w:cs="Times New Roman"/>
          <w:noProof/>
          <w:color w:val="000000" w:themeColor="text1"/>
          <w:sz w:val="24"/>
          <w:szCs w:val="24"/>
          <w:lang w:eastAsia="en-GB"/>
        </w:rPr>
        <w:footnoteReference w:id="2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Τέλος, </w:t>
      </w:r>
      <w:r>
        <w:rPr>
          <w:rFonts w:ascii="Times New Roman" w:hAnsi="Times New Roman"/>
          <w:b/>
          <w:bCs/>
          <w:noProof/>
          <w:sz w:val="24"/>
          <w:szCs w:val="24"/>
        </w:rPr>
        <w:t>άλλοι επαγγελματίες του τομέα απονομής δικαιοσύνης</w:t>
      </w:r>
      <w:r>
        <w:rPr>
          <w:rFonts w:ascii="Times New Roman" w:hAnsi="Times New Roman"/>
          <w:noProof/>
          <w:sz w:val="24"/>
          <w:szCs w:val="24"/>
        </w:rPr>
        <w:t>, όπως διαμεσολαβητές</w:t>
      </w:r>
      <w:r>
        <w:rPr>
          <w:rStyle w:val="FootnoteReference"/>
          <w:rFonts w:ascii="Times New Roman" w:hAnsi="Times New Roman" w:cs="Times New Roman"/>
          <w:noProof/>
          <w:sz w:val="24"/>
          <w:szCs w:val="24"/>
          <w:lang w:eastAsia="en-GB"/>
        </w:rPr>
        <w:footnoteReference w:id="29"/>
      </w:r>
      <w:r>
        <w:rPr>
          <w:rFonts w:ascii="Times New Roman" w:hAnsi="Times New Roman"/>
          <w:noProof/>
          <w:sz w:val="24"/>
          <w:szCs w:val="24"/>
        </w:rPr>
        <w:t>, δικαστικοί εμπειρογνώμονες</w:t>
      </w:r>
      <w:r>
        <w:rPr>
          <w:rStyle w:val="FootnoteReference"/>
          <w:rFonts w:ascii="Times New Roman" w:hAnsi="Times New Roman" w:cs="Times New Roman"/>
          <w:noProof/>
          <w:sz w:val="24"/>
          <w:szCs w:val="24"/>
          <w:lang w:eastAsia="en-GB"/>
        </w:rPr>
        <w:footnoteReference w:id="30"/>
      </w:r>
      <w:r>
        <w:rPr>
          <w:rFonts w:ascii="Times New Roman" w:hAnsi="Times New Roman"/>
          <w:noProof/>
          <w:sz w:val="24"/>
          <w:szCs w:val="24"/>
        </w:rPr>
        <w:t>, διαχειριστές διαδικασιών αφερεγγυότητας</w:t>
      </w:r>
      <w:r>
        <w:rPr>
          <w:rStyle w:val="FootnoteReference"/>
          <w:rFonts w:ascii="Times New Roman" w:hAnsi="Times New Roman" w:cs="Times New Roman"/>
          <w:noProof/>
          <w:sz w:val="24"/>
          <w:szCs w:val="24"/>
          <w:lang w:eastAsia="en-GB"/>
        </w:rPr>
        <w:footnoteReference w:id="31"/>
      </w:r>
      <w:r>
        <w:rPr>
          <w:rFonts w:ascii="Times New Roman" w:hAnsi="Times New Roman"/>
          <w:noProof/>
          <w:sz w:val="24"/>
          <w:szCs w:val="24"/>
        </w:rPr>
        <w:t xml:space="preserve"> και νομικοί διερμηνείς/μεταφραστές</w:t>
      </w:r>
      <w:r>
        <w:rPr>
          <w:rStyle w:val="FootnoteReference"/>
          <w:rFonts w:ascii="Times New Roman" w:hAnsi="Times New Roman" w:cs="Times New Roman"/>
          <w:noProof/>
          <w:sz w:val="24"/>
          <w:szCs w:val="24"/>
          <w:lang w:eastAsia="en-GB"/>
        </w:rPr>
        <w:footnoteReference w:id="32"/>
      </w:r>
      <w:r>
        <w:rPr>
          <w:rFonts w:ascii="Times New Roman" w:hAnsi="Times New Roman"/>
          <w:noProof/>
          <w:sz w:val="24"/>
          <w:szCs w:val="24"/>
        </w:rPr>
        <w:t xml:space="preserve"> χρειάζονται ολοένα και περισσότερες γνώσεις και δεξιότητες για την εφαρμογή του ενωσιακού δικαίου. Η ποιότητα της συμβολής τους στις δικαστικές διαδικασίες θα πρέπει να βελτιωθεί με σχετική κατάρτιση στο ενωσιακό δίκαιο.</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bookmarkStart w:id="2" w:name="_Toc32909995"/>
      <w:r>
        <w:rPr>
          <w:rFonts w:ascii="Times New Roman" w:hAnsi="Times New Roman"/>
          <w:b/>
          <w:bCs/>
          <w:i/>
          <w:iCs/>
          <w:noProof/>
          <w:sz w:val="24"/>
          <w:szCs w:val="24"/>
        </w:rPr>
        <w:t>Ενέργεια για όλα τα ενδιαφερόμενα μέρη:</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sz w:val="24"/>
          <w:szCs w:val="24"/>
        </w:rPr>
      </w:pPr>
      <w:r>
        <w:rPr>
          <w:rFonts w:ascii="Times New Roman" w:hAnsi="Times New Roman"/>
          <w:noProof/>
          <w:sz w:val="24"/>
          <w:szCs w:val="24"/>
        </w:rPr>
        <w:t>Μέχρι το 2024 η συνεχής κατάρτιση στο ενωσιακό δίκαιο θα πρέπει να καλύπτει κάθε χρόνο:</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το 65 % των δικαστών και εισαγγελέων·</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το 15 % των δικαστικών και εισαγγελικών υπαλλήλων που χρειάζονται δεξιότητες στο ενωσιακό δίκαιο·</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το 15 % των δικηγόρων</w:t>
      </w:r>
      <w:r>
        <w:rPr>
          <w:rStyle w:val="FootnoteReference"/>
          <w:rFonts w:eastAsia="Calibri"/>
          <w:noProof/>
        </w:rPr>
        <w:footnoteReference w:id="33"/>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το 30 % των συμβολαιογράφων·</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το 20 % των δικαστικών επιμελητών.</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rPr>
      </w:pPr>
      <w:r>
        <w:rPr>
          <w:rFonts w:ascii="Times New Roman" w:hAnsi="Times New Roman"/>
          <w:b/>
          <w:bCs/>
          <w:i/>
          <w:iCs/>
          <w:noProof/>
          <w:sz w:val="24"/>
          <w:szCs w:val="24"/>
        </w:rPr>
        <w:t>Ενέργειες των δικτύων:</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b/>
          <w:bCs/>
          <w:noProof/>
        </w:rPr>
        <w:t>ΕΔΚΔ</w:t>
      </w:r>
      <w:r>
        <w:rPr>
          <w:noProof/>
        </w:rPr>
        <w:t xml:space="preserve"> — δημιουργία δικτύου όλων των παρόχων κατάρτισης σε δικαστικούς υπαλλήλους για την ανταλλαγή εμπειρογνωμοσύνης και βέλτιστων πρακτικών</w:t>
      </w:r>
      <w:r>
        <w:rPr>
          <w:rStyle w:val="FootnoteReference"/>
          <w:rFonts w:eastAsia="Calibri"/>
          <w:noProof/>
        </w:rPr>
        <w:footnoteReference w:id="34"/>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b/>
          <w:bCs/>
          <w:noProof/>
        </w:rPr>
        <w:t>Ευρωπαϊκό Δίκτυο Ακαδημιών Σωφρονιστικών Υπαλλήλων (EPTA)</w:t>
      </w:r>
      <w:r>
        <w:rPr>
          <w:noProof/>
        </w:rPr>
        <w:t xml:space="preserve"> — επέκταση σε όλα τα κράτη μέλη</w:t>
      </w:r>
      <w:r>
        <w:rPr>
          <w:rStyle w:val="FootnoteReference"/>
          <w:noProof/>
          <w:lang w:eastAsia="en-GB"/>
        </w:rPr>
        <w:footnoteReference w:id="35"/>
      </w:r>
      <w:r>
        <w:rPr>
          <w:noProof/>
        </w:rPr>
        <w:t>, χαρτογράφηση των αναγκών κατάρτισης στο ενωσιακό δίκαιο και διαμόρφωση κατάλληλης απόκρισης.</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b/>
          <w:bCs/>
          <w:noProof/>
        </w:rPr>
        <w:t>Ευρωπαϊκή Συνομοσπονδία Επιμελητών Κοινωνικής Αρωγής (CEP)</w:t>
      </w:r>
      <w:r>
        <w:rPr>
          <w:noProof/>
        </w:rPr>
        <w:t xml:space="preserve"> — συνέχιση των εργασιών στον τομέα της κατάρτισης.</w:t>
      </w:r>
    </w:p>
    <w:bookmarkEnd w:id="2"/>
    <w:p>
      <w:pPr>
        <w:pStyle w:val="Heading1"/>
        <w:numPr>
          <w:ilvl w:val="0"/>
          <w:numId w:val="69"/>
        </w:numPr>
        <w:spacing w:before="200" w:after="200"/>
        <w:rPr>
          <w:noProof/>
        </w:rPr>
      </w:pPr>
      <w:r>
        <w:rPr>
          <w:noProof/>
        </w:rPr>
        <w:t>Προώθηση αποτελεσματικών δραστηριοτήτων κατάρτισης υψηλής ποιότητας</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Η παροχή δικαστικής κατάρτισης δεν αποτελεί αυτοσκοπό. Είναι εξίσου ζωτικής σημασίας η κατάρτιση να διαθέτει επαρκώς υψηλή </w:t>
      </w:r>
      <w:r>
        <w:rPr>
          <w:rFonts w:ascii="Times New Roman" w:hAnsi="Times New Roman"/>
          <w:b/>
          <w:bCs/>
          <w:noProof/>
          <w:sz w:val="24"/>
          <w:szCs w:val="24"/>
        </w:rPr>
        <w:t>ποιότητα</w:t>
      </w:r>
      <w:r>
        <w:rPr>
          <w:rFonts w:ascii="Times New Roman" w:hAnsi="Times New Roman"/>
          <w:noProof/>
          <w:sz w:val="24"/>
          <w:szCs w:val="24"/>
        </w:rPr>
        <w:t xml:space="preserve"> για την επίτευξη των στόχων της. Η ορθή μεθοδολογία παίζει ουσιαστικό ρόλο από τον σχεδιασμό έως την εφαρμογή και την αξιολόγηση. </w:t>
      </w:r>
      <w:r>
        <w:rPr>
          <w:rFonts w:ascii="Times New Roman" w:hAnsi="Times New Roman"/>
          <w:noProof/>
          <w:color w:val="000000" w:themeColor="text1"/>
          <w:sz w:val="24"/>
          <w:szCs w:val="24"/>
        </w:rPr>
        <w:t xml:space="preserve">Για να ανταποκριθούν με ευελιξία στις καθημερινές προκλήσεις των επαγγελματιών, οι πάροχοι κατάρτισης πρέπει να παρακολουθούν συνεχώς τις </w:t>
      </w:r>
      <w:r>
        <w:rPr>
          <w:rFonts w:ascii="Times New Roman" w:hAnsi="Times New Roman"/>
          <w:b/>
          <w:bCs/>
          <w:noProof/>
          <w:color w:val="000000" w:themeColor="text1"/>
          <w:sz w:val="24"/>
          <w:szCs w:val="24"/>
        </w:rPr>
        <w:t>ανάγκες κατάρτισης</w:t>
      </w:r>
      <w:r>
        <w:rPr>
          <w:rFonts w:ascii="Times New Roman" w:hAnsi="Times New Roman"/>
          <w:noProof/>
          <w:color w:val="000000" w:themeColor="text1"/>
          <w:sz w:val="24"/>
          <w:szCs w:val="24"/>
        </w:rPr>
        <w:t xml:space="preserve"> από τη σκοπιά τόσο των εθνικών όσο και των ευρωπαϊκών ενδιαφερόμενων μερών.</w:t>
      </w:r>
      <w:bookmarkStart w:id="3" w:name="_Toc32909997"/>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Οι επαγγελματίες του τομέα απονομής δικαιοσύνης πρέπει να εκτίθενται σε </w:t>
      </w:r>
      <w:r>
        <w:rPr>
          <w:rFonts w:ascii="Times New Roman" w:hAnsi="Times New Roman"/>
          <w:b/>
          <w:bCs/>
          <w:noProof/>
          <w:color w:val="000000" w:themeColor="text1"/>
          <w:sz w:val="24"/>
          <w:szCs w:val="24"/>
        </w:rPr>
        <w:t>διάφορες μορφές μάθησης</w:t>
      </w:r>
      <w:r>
        <w:rPr>
          <w:rFonts w:ascii="Times New Roman" w:hAnsi="Times New Roman"/>
          <w:noProof/>
          <w:color w:val="000000" w:themeColor="text1"/>
          <w:sz w:val="24"/>
          <w:szCs w:val="24"/>
        </w:rPr>
        <w:t>: αναλογιστική, εννοιολογική, πειραματική και συγκεκριμένη. Η κατάρτισή τους θα πρέπει να αποτελεί μίξη επιτόπιων δραστηριοτήτων με</w:t>
      </w:r>
      <w:r>
        <w:rPr>
          <w:rFonts w:ascii="Times New Roman" w:hAnsi="Times New Roman"/>
          <w:b/>
          <w:bCs/>
          <w:noProof/>
          <w:color w:val="000000" w:themeColor="text1"/>
          <w:sz w:val="24"/>
          <w:szCs w:val="24"/>
        </w:rPr>
        <w:t xml:space="preserve"> φυσική παρουσία</w:t>
      </w:r>
      <w:r>
        <w:rPr>
          <w:rFonts w:ascii="Times New Roman" w:hAnsi="Times New Roman"/>
          <w:noProof/>
          <w:color w:val="000000" w:themeColor="text1"/>
          <w:sz w:val="24"/>
          <w:szCs w:val="24"/>
        </w:rPr>
        <w:t xml:space="preserve">, εργαλείων </w:t>
      </w:r>
      <w:r>
        <w:rPr>
          <w:rFonts w:ascii="Times New Roman" w:hAnsi="Times New Roman"/>
          <w:b/>
          <w:bCs/>
          <w:noProof/>
          <w:color w:val="000000" w:themeColor="text1"/>
          <w:sz w:val="24"/>
          <w:szCs w:val="24"/>
        </w:rPr>
        <w:t>ηλεκτρονικής μάθησης</w:t>
      </w:r>
      <w:r>
        <w:rPr>
          <w:rFonts w:ascii="Times New Roman" w:hAnsi="Times New Roman"/>
          <w:noProof/>
          <w:color w:val="000000" w:themeColor="text1"/>
          <w:sz w:val="24"/>
          <w:szCs w:val="24"/>
        </w:rPr>
        <w:t xml:space="preserve"> και </w:t>
      </w:r>
      <w:r>
        <w:rPr>
          <w:rFonts w:ascii="Times New Roman" w:hAnsi="Times New Roman"/>
          <w:b/>
          <w:bCs/>
          <w:noProof/>
          <w:color w:val="000000" w:themeColor="text1"/>
          <w:sz w:val="24"/>
          <w:szCs w:val="24"/>
        </w:rPr>
        <w:t>πρακτικής</w:t>
      </w:r>
      <w:r>
        <w:rPr>
          <w:rFonts w:ascii="Times New Roman" w:hAnsi="Times New Roman"/>
          <w:noProof/>
          <w:color w:val="000000" w:themeColor="text1"/>
          <w:sz w:val="24"/>
          <w:szCs w:val="24"/>
        </w:rPr>
        <w:t xml:space="preserve"> εξάσκησης κατά τη διάρκεια της εργασίας. </w:t>
      </w:r>
      <w:r>
        <w:rPr>
          <w:rFonts w:ascii="Times New Roman" w:hAnsi="Times New Roman"/>
          <w:noProof/>
          <w:sz w:val="24"/>
          <w:szCs w:val="24"/>
        </w:rPr>
        <w:t>Οι δραστηριότητες κατάρτισης με φυσική παρουσία (συμπεριλαμβανομένων των διασυνοριακών) είναι απαραίτητες για την ανάπτυξη δεξιοτήτων και στάσεων, καθώς και για την οικοδόμηση αμοιβαίας εμπιστοσύνης, καθιστώντας δυνατή τη διεξαγωγή ελεύθερων συζητήσεων σε κλίμα εμπιστοσύνης και σεβασμού.</w:t>
      </w:r>
      <w:r>
        <w:rPr>
          <w:rFonts w:ascii="Times New Roman" w:hAnsi="Times New Roman"/>
          <w:noProof/>
          <w:color w:val="000000" w:themeColor="text1"/>
          <w:sz w:val="24"/>
          <w:szCs w:val="24"/>
        </w:rPr>
        <w:t xml:space="preserve"> Θα πρέπει να ξεκινήσουν εκ νέου μόλις το επιτρέψει η υγειονομική κατάσταση. Επιπλέον, η κατάρτιση σε ενωσιακό επίπεδο θα βοηθήσει να δοκιμαστούν νέες προσεγγίσεις, όπως </w:t>
      </w:r>
      <w:r>
        <w:rPr>
          <w:rFonts w:ascii="Times New Roman" w:hAnsi="Times New Roman"/>
          <w:b/>
          <w:bCs/>
          <w:noProof/>
          <w:color w:val="000000" w:themeColor="text1"/>
          <w:sz w:val="24"/>
          <w:szCs w:val="24"/>
        </w:rPr>
        <w:t>υβριδικές</w:t>
      </w:r>
      <w:r>
        <w:rPr>
          <w:rFonts w:ascii="Times New Roman" w:hAnsi="Times New Roman"/>
          <w:noProof/>
          <w:color w:val="000000" w:themeColor="text1"/>
          <w:sz w:val="24"/>
          <w:szCs w:val="24"/>
        </w:rPr>
        <w:t xml:space="preserve"> μορφές (που συνδυάζουν την κατάρτιση με φυσική και ηλεκτρονική παρουσία) και η </w:t>
      </w:r>
      <w:r>
        <w:rPr>
          <w:rFonts w:ascii="Times New Roman" w:hAnsi="Times New Roman"/>
          <w:b/>
          <w:bCs/>
          <w:noProof/>
          <w:color w:val="000000" w:themeColor="text1"/>
          <w:sz w:val="24"/>
          <w:szCs w:val="24"/>
        </w:rPr>
        <w:t>διεπαγγελματική κατάρτιση</w:t>
      </w:r>
      <w:r>
        <w:rPr>
          <w:rFonts w:ascii="Times New Roman" w:hAnsi="Times New Roman"/>
          <w:noProof/>
          <w:color w:val="000000" w:themeColor="text1"/>
          <w:sz w:val="24"/>
          <w:szCs w:val="24"/>
        </w:rPr>
        <w:t xml:space="preserve"> με φυσική παρουσία σε διάφορα συναφή θέματα.</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Θα πρέπει να χρησιμοποιούνται </w:t>
      </w:r>
      <w:r>
        <w:rPr>
          <w:rFonts w:ascii="Times New Roman" w:hAnsi="Times New Roman"/>
          <w:b/>
          <w:bCs/>
          <w:noProof/>
          <w:color w:val="000000" w:themeColor="text1"/>
          <w:sz w:val="24"/>
          <w:szCs w:val="24"/>
        </w:rPr>
        <w:t>διάφορα προσβάσιμα εργαλεία</w:t>
      </w:r>
      <w:r>
        <w:rPr>
          <w:rFonts w:ascii="Times New Roman" w:hAnsi="Times New Roman"/>
          <w:noProof/>
          <w:color w:val="000000" w:themeColor="text1"/>
          <w:sz w:val="24"/>
          <w:szCs w:val="24"/>
        </w:rPr>
        <w:t xml:space="preserve"> και μορφές κατάρτισης, ώστε να προσαρμόζονται στη διαθεσιμότητα και την πολυμορφία των εκπαιδευομένων. Η κατάρτιση θα πρέπει να αξιοποιεί καλύτερα τις </w:t>
      </w:r>
      <w:r>
        <w:rPr>
          <w:rFonts w:ascii="Times New Roman" w:hAnsi="Times New Roman"/>
          <w:b/>
          <w:bCs/>
          <w:noProof/>
          <w:color w:val="000000" w:themeColor="text1"/>
          <w:sz w:val="24"/>
          <w:szCs w:val="24"/>
        </w:rPr>
        <w:t>νέες τεχνολογίες</w:t>
      </w:r>
      <w:r>
        <w:rPr>
          <w:rStyle w:val="FootnoteReference"/>
          <w:rFonts w:ascii="Times New Roman" w:eastAsia="Calibri" w:hAnsi="Times New Roman" w:cs="Times New Roman"/>
          <w:noProof/>
          <w:color w:val="000000" w:themeColor="text1"/>
          <w:sz w:val="24"/>
          <w:szCs w:val="24"/>
        </w:rPr>
        <w:footnoteReference w:id="36"/>
      </w:r>
      <w:r>
        <w:rPr>
          <w:rFonts w:ascii="Times New Roman" w:hAnsi="Times New Roman"/>
          <w:noProof/>
          <w:color w:val="000000" w:themeColor="text1"/>
          <w:sz w:val="24"/>
          <w:szCs w:val="24"/>
        </w:rPr>
        <w:t xml:space="preserve"> για να προσεγγίζει ένα ευρύτερο κοινό και να επιτυγχάνει καλύτερη ποιότητα. Η ανάγκη αυτή ενισχύεται από τη συνεχιζόμενη πανδημία και τη μετάβαση από τις δραστηριότητες με φυσική παρουσία στην ηλεκτρονική κατάρτιση.</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Η </w:t>
      </w:r>
      <w:r>
        <w:rPr>
          <w:rFonts w:ascii="Times New Roman" w:hAnsi="Times New Roman"/>
          <w:b/>
          <w:bCs/>
          <w:noProof/>
          <w:sz w:val="24"/>
          <w:szCs w:val="24"/>
        </w:rPr>
        <w:t>ηλεκτρονική μάθηση</w:t>
      </w:r>
      <w:r>
        <w:rPr>
          <w:rFonts w:ascii="Times New Roman" w:hAnsi="Times New Roman"/>
          <w:noProof/>
          <w:sz w:val="24"/>
          <w:szCs w:val="24"/>
        </w:rPr>
        <w:t xml:space="preserve"> κορυφαίας ποιότητας και η πρόσβαση σε </w:t>
      </w:r>
      <w:r>
        <w:rPr>
          <w:rFonts w:ascii="Times New Roman" w:hAnsi="Times New Roman"/>
          <w:b/>
          <w:bCs/>
          <w:noProof/>
          <w:sz w:val="24"/>
          <w:szCs w:val="24"/>
        </w:rPr>
        <w:t>ηλεκτρονικούς πόρους</w:t>
      </w:r>
      <w:r>
        <w:rPr>
          <w:rFonts w:ascii="Times New Roman" w:hAnsi="Times New Roman"/>
          <w:noProof/>
          <w:sz w:val="24"/>
          <w:szCs w:val="24"/>
        </w:rPr>
        <w:t xml:space="preserve"> σχετικά με το ενωσιακό δίκαιο θα πρέπει να αποτελούν πραγματικότητα για όλους τους επαγγελματίες. Θα πρέπει να συμπληρώνουν και να πολλαπλασιάζουν τα οφέλη των δραστηριοτήτων με φυσική παρουσία, με ενημερωμένο υλικό και μεμονωμένα εργαλεία εκμάθησης, ώστε να γίνεται η βέλτιστη δυνατή χρήση της ηλεκτρονικής δικαιοσύνης.</w:t>
      </w:r>
      <w:bookmarkStart w:id="4" w:name="_Toc32910002"/>
      <w:bookmarkEnd w:id="3"/>
    </w:p>
    <w:p>
      <w:pPr>
        <w:jc w:val="both"/>
        <w:rPr>
          <w:rFonts w:ascii="Times New Roman" w:hAnsi="Times New Roman" w:cs="Times New Roman"/>
          <w:noProof/>
        </w:rPr>
      </w:pPr>
      <w:r>
        <w:rPr>
          <w:rFonts w:ascii="Times New Roman" w:hAnsi="Times New Roman"/>
          <w:noProof/>
          <w:sz w:val="24"/>
          <w:szCs w:val="24"/>
        </w:rPr>
        <w:t xml:space="preserve">Οι δραστηριότητες σε εθνικό επίπεδο δεν μπορούν να έχουν τον ίδιο αντίκτυπο με τις </w:t>
      </w:r>
      <w:r>
        <w:rPr>
          <w:rFonts w:ascii="Times New Roman" w:hAnsi="Times New Roman"/>
          <w:b/>
          <w:bCs/>
          <w:noProof/>
          <w:sz w:val="24"/>
          <w:szCs w:val="24"/>
        </w:rPr>
        <w:t>διασυνοριακές δραστηριότητες</w:t>
      </w:r>
      <w:r>
        <w:rPr>
          <w:rFonts w:ascii="Times New Roman" w:hAnsi="Times New Roman"/>
          <w:noProof/>
          <w:sz w:val="24"/>
          <w:szCs w:val="24"/>
        </w:rPr>
        <w:t>.</w:t>
      </w:r>
      <w:r>
        <w:rPr>
          <w:rFonts w:ascii="Times New Roman" w:hAnsi="Times New Roman"/>
          <w:noProof/>
          <w:color w:val="000000" w:themeColor="text1"/>
          <w:sz w:val="24"/>
          <w:szCs w:val="24"/>
        </w:rPr>
        <w:t xml:space="preserve"> </w:t>
      </w:r>
      <w:r>
        <w:rPr>
          <w:rFonts w:ascii="Times New Roman" w:hAnsi="Times New Roman"/>
          <w:noProof/>
          <w:sz w:val="24"/>
          <w:szCs w:val="24"/>
        </w:rPr>
        <w:t>Οι γενικές και εξειδικευμένες διασυνοριακές ανταλλαγές δικαστών, εισαγγελέων και προέδρων δικαστηρίων εξακολουθούν να αποτελούν προτεραιότητα.</w:t>
      </w:r>
      <w:r>
        <w:rPr>
          <w:rFonts w:ascii="Times New Roman" w:hAnsi="Times New Roman"/>
          <w:noProof/>
          <w:color w:val="000000" w:themeColor="text1"/>
          <w:sz w:val="24"/>
          <w:szCs w:val="24"/>
        </w:rPr>
        <w:t xml:space="preserve"> Ενισχύουν την κοινή ευρωπαϊκή δικαστική κουλτούρα, οικοδομούν εμπιστοσύνη και προωθούν την ομοιόμορφη εφαρμογή του ενωσιακού δικαίου. Οι ανταλλαγές θα πρέπει να προσφέρουν απτή προστιθέμενη αξία στους συμμετέχοντες και να αποφέρουν πολλαπλασιαστικά οφέλη στο επαγγελματικό περιβάλλον.</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Κάθε κατάρτιση πρέπει να αποδεικνύει ότι έχει επιτύχει τους στόχους της. Η </w:t>
      </w:r>
      <w:r>
        <w:rPr>
          <w:rFonts w:ascii="Times New Roman" w:hAnsi="Times New Roman"/>
          <w:b/>
          <w:bCs/>
          <w:noProof/>
          <w:color w:val="000000" w:themeColor="text1"/>
          <w:sz w:val="24"/>
          <w:szCs w:val="24"/>
        </w:rPr>
        <w:t>αξιολόγηση</w:t>
      </w:r>
      <w:r>
        <w:rPr>
          <w:rFonts w:ascii="Times New Roman" w:hAnsi="Times New Roman"/>
          <w:noProof/>
          <w:color w:val="000000" w:themeColor="text1"/>
          <w:sz w:val="24"/>
          <w:szCs w:val="24"/>
        </w:rPr>
        <w:t xml:space="preserve"> θα πρέπει να λαμβάνει υπόψη —πέραν του επιπέδου ικανοποίησης των εκπαιδευομένων— την απόκτηση γνώσεων και δεξιοτήτων, την αλλαγή στάσης και τον αντίκτυπο στις επαγγελματικές επιδόσεις</w:t>
      </w:r>
      <w:r>
        <w:rPr>
          <w:rStyle w:val="FootnoteReference"/>
          <w:rFonts w:ascii="Times New Roman" w:eastAsia="Calibri" w:hAnsi="Times New Roman" w:cs="Times New Roman"/>
          <w:noProof/>
          <w:color w:val="000000" w:themeColor="text1"/>
          <w:sz w:val="24"/>
          <w:szCs w:val="24"/>
        </w:rPr>
        <w:footnoteReference w:id="37"/>
      </w:r>
      <w:r>
        <w:rPr>
          <w:rFonts w:ascii="Times New Roman" w:hAnsi="Times New Roman"/>
          <w:noProof/>
          <w:color w:val="000000" w:themeColor="text1"/>
          <w:sz w:val="24"/>
          <w:szCs w:val="24"/>
        </w:rPr>
        <w:t>.</w:t>
      </w:r>
    </w:p>
    <w:bookmarkEnd w:id="4"/>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rPr>
      </w:pPr>
      <w:r>
        <w:rPr>
          <w:rFonts w:ascii="Times New Roman" w:hAnsi="Times New Roman"/>
          <w:b/>
          <w:bCs/>
          <w:i/>
          <w:iCs/>
          <w:noProof/>
          <w:sz w:val="24"/>
          <w:szCs w:val="24"/>
        </w:rPr>
        <w:t>Ενέργειες των παρόχων κατάρτισης:</w:t>
      </w:r>
    </w:p>
    <w:p>
      <w:pPr>
        <w:pStyle w:val="ListBullet2"/>
        <w:pBdr>
          <w:top w:val="single" w:sz="4" w:space="1" w:color="auto"/>
          <w:left w:val="single" w:sz="4" w:space="4" w:color="auto"/>
          <w:bottom w:val="single" w:sz="4" w:space="11" w:color="auto"/>
          <w:right w:val="single" w:sz="4" w:space="4" w:color="auto"/>
        </w:pBdr>
        <w:spacing w:after="120" w:line="276" w:lineRule="auto"/>
        <w:rPr>
          <w:noProof/>
        </w:rPr>
      </w:pPr>
      <w:r>
        <w:rPr>
          <w:noProof/>
        </w:rPr>
        <w:t xml:space="preserve">Πιο στενή παρακολούθηση των </w:t>
      </w:r>
      <w:r>
        <w:rPr>
          <w:b/>
          <w:bCs/>
          <w:noProof/>
        </w:rPr>
        <w:t>συστάσεων</w:t>
      </w:r>
      <w:r>
        <w:rPr>
          <w:noProof/>
        </w:rPr>
        <w:t xml:space="preserve"> στις </w:t>
      </w:r>
      <w:r>
        <w:rPr>
          <w:i/>
          <w:iCs/>
          <w:noProof/>
        </w:rPr>
        <w:t>Συμβουλές για τους παρόχους κατάρτισης</w:t>
      </w:r>
      <w:r>
        <w:rPr>
          <w:rStyle w:val="FootnoteReference"/>
          <w:noProof/>
        </w:rPr>
        <w:footnoteReference w:id="38"/>
      </w:r>
      <w:r>
        <w:rPr>
          <w:noProof/>
        </w:rPr>
        <w:t xml:space="preserve"> και στο </w:t>
      </w:r>
      <w:r>
        <w:rPr>
          <w:i/>
          <w:iCs/>
          <w:noProof/>
        </w:rPr>
        <w:t>Εγχειρίδιο του ΕΔΚΔ για τη μεθοδολογία της κατάρτισης δικαστικών λειτουργών στην Ευρώπη</w:t>
      </w:r>
      <w:r>
        <w:rPr>
          <w:rStyle w:val="FootnoteReference"/>
          <w:rFonts w:eastAsia="Calibri"/>
          <w:noProof/>
          <w:color w:val="000000" w:themeColor="text1"/>
        </w:rPr>
        <w:footnoteReference w:id="39"/>
      </w:r>
      <w:r>
        <w:rPr>
          <w:noProof/>
        </w:rPr>
        <w:t>.</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rPr>
        <w:t xml:space="preserve">Οργάνωση </w:t>
      </w:r>
      <w:r>
        <w:rPr>
          <w:b/>
          <w:bCs/>
          <w:noProof/>
        </w:rPr>
        <w:t>διασυνοριακών δραστηριοτήτων κατάρτισης</w:t>
      </w:r>
      <w:r>
        <w:rPr>
          <w:noProof/>
        </w:rPr>
        <w:t xml:space="preserve"> ετησίως για τουλάχιστον το 5 % του συνόλου των δικαστών και εισαγγελέων· ενθάρρυνση συμμετοχής νέων εκπαιδευομένων.</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noProof/>
          <w:color w:val="000000" w:themeColor="text1"/>
        </w:rPr>
        <w:t xml:space="preserve">Προσφορά διαδραστικής, πρακτικής και προσβάσιμης για όλους τους εκπαιδευομένους </w:t>
      </w:r>
      <w:r>
        <w:rPr>
          <w:b/>
          <w:bCs/>
          <w:noProof/>
          <w:color w:val="000000" w:themeColor="text1"/>
        </w:rPr>
        <w:t>ηλεκτρονικής μάθησης</w:t>
      </w:r>
      <w:r>
        <w:rPr>
          <w:noProof/>
          <w:color w:val="000000" w:themeColor="text1"/>
        </w:rPr>
        <w:t xml:space="preserve"> που είναι ειδικά προσαρμοσμένη στους στόχους της κατάρτισης.</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noProof/>
          <w:color w:val="000000" w:themeColor="text1"/>
        </w:rPr>
        <w:t xml:space="preserve">Περαιτέρω διερεύνηση των δυνατοτήτων </w:t>
      </w:r>
      <w:r>
        <w:rPr>
          <w:b/>
          <w:bCs/>
          <w:noProof/>
          <w:color w:val="000000" w:themeColor="text1"/>
        </w:rPr>
        <w:t>σύγχρονων πρακτικών</w:t>
      </w:r>
      <w:r>
        <w:rPr>
          <w:noProof/>
          <w:color w:val="000000" w:themeColor="text1"/>
        </w:rPr>
        <w:t>, όπως η κατάρτιση με εικονική φυσική παρουσία και οι λύσεις διευρυμένης πραγματικότητας.</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Μεγαλύτερη χρήση της </w:t>
      </w:r>
      <w:r>
        <w:rPr>
          <w:b/>
          <w:bCs/>
          <w:noProof/>
          <w:color w:val="000000" w:themeColor="text1"/>
        </w:rPr>
        <w:t>ηλεκτρονικής κατάρτισης</w:t>
      </w:r>
      <w:r>
        <w:rPr>
          <w:noProof/>
          <w:color w:val="000000" w:themeColor="text1"/>
        </w:rPr>
        <w:t xml:space="preserve"> σε μορφή </w:t>
      </w:r>
      <w:r>
        <w:rPr>
          <w:b/>
          <w:bCs/>
          <w:noProof/>
          <w:color w:val="000000" w:themeColor="text1"/>
        </w:rPr>
        <w:t>κάψουλας</w:t>
      </w:r>
      <w:r>
        <w:rPr>
          <w:noProof/>
          <w:color w:val="000000" w:themeColor="text1"/>
        </w:rPr>
        <w:t xml:space="preserve"> (σύντομη, επικαιροποιημένη, αυστηρά εστιασμένη) για την αντιμετώπιση των άμεσων αναγκών των επαγγελματιών του τομέα απονομής δικαιοσύνης στο πλαίσιο συγκεκριμένης υπόθεσης.</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Εξασφάλιση της </w:t>
      </w:r>
      <w:r>
        <w:rPr>
          <w:b/>
          <w:bCs/>
          <w:noProof/>
          <w:color w:val="000000" w:themeColor="text1"/>
        </w:rPr>
        <w:t>εκπαίδευσης των εκπαιδευτών</w:t>
      </w:r>
      <w:r>
        <w:rPr>
          <w:noProof/>
          <w:color w:val="000000" w:themeColor="text1"/>
        </w:rPr>
        <w:t>, ώστε να αξιοποιούν πλήρως τις δυνατότητες των μεθοδολογιών ηλεκτρονικής μάθησης.</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b/>
          <w:bCs/>
          <w:noProof/>
        </w:rPr>
        <w:t>Αξιολόγηση</w:t>
      </w:r>
      <w:r>
        <w:rPr>
          <w:noProof/>
        </w:rPr>
        <w:t xml:space="preserve"> κάθε δραστηριότητας κατάρτισης με βάση την ικανοποίηση των συμμετεχόντων, τις ενισχυμένες δεξιότητες και, κατά περίπτωση, τον αντίκτυπο στις επιδόσεις τους.</w:t>
      </w:r>
    </w:p>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rPr>
      </w:pPr>
      <w:r>
        <w:rPr>
          <w:rFonts w:ascii="Times New Roman" w:hAnsi="Times New Roman"/>
          <w:b/>
          <w:bCs/>
          <w:i/>
          <w:iCs/>
          <w:noProof/>
          <w:sz w:val="24"/>
          <w:szCs w:val="24"/>
        </w:rPr>
        <w:t>Ενέργειες της Επιτροπής:</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Κατά περίπτωση, χρήση </w:t>
      </w:r>
      <w:r>
        <w:rPr>
          <w:b/>
          <w:bCs/>
          <w:noProof/>
          <w:color w:val="000000" w:themeColor="text1"/>
        </w:rPr>
        <w:t>κοινού εντύπου αξιολόγησης</w:t>
      </w:r>
      <w:r>
        <w:rPr>
          <w:noProof/>
          <w:color w:val="000000" w:themeColor="text1"/>
        </w:rPr>
        <w:t xml:space="preserve"> σε δραστηριότητες που υποστηρίζονται από την ΕΕ.</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rPr>
        <w:t xml:space="preserve">Ενσωμάτωση μιας </w:t>
      </w:r>
      <w:r>
        <w:rPr>
          <w:b/>
          <w:bCs/>
          <w:noProof/>
        </w:rPr>
        <w:t>ευρωπαϊκής πλατφόρμας κατάρτισης</w:t>
      </w:r>
      <w:r>
        <w:rPr>
          <w:noProof/>
        </w:rPr>
        <w:t xml:space="preserve"> στη διαδικτυακή πύλη της ευρωπαϊκής ηλεκτρονικής δικαιοσύνης</w:t>
      </w:r>
      <w:r>
        <w:rPr>
          <w:rStyle w:val="FootnoteReference"/>
          <w:rFonts w:eastAsia="Calibri"/>
          <w:noProof/>
          <w:color w:val="000000" w:themeColor="text1"/>
        </w:rPr>
        <w:footnoteReference w:id="40"/>
      </w:r>
      <w:r>
        <w:rPr>
          <w:noProof/>
        </w:rPr>
        <w:t>, ως κεντρικού κόμβου πληροφόρησης σχετικά με δραστηριότητες κατάρτισης για επαγγελματίες του τομέα απονομής δικαιοσύνης και ενιαίου σημείου πρόσβασης σε υλικό για προσωπική μελέτη του ενωσιακού δικαίου.</w:t>
      </w:r>
    </w:p>
    <w:p>
      <w:pPr>
        <w:pStyle w:val="Heading1"/>
        <w:numPr>
          <w:ilvl w:val="0"/>
          <w:numId w:val="69"/>
        </w:numPr>
        <w:spacing w:before="200" w:after="200"/>
        <w:rPr>
          <w:noProof/>
        </w:rPr>
      </w:pPr>
      <w:bookmarkStart w:id="5" w:name="_Toc32910004"/>
      <w:r>
        <w:rPr>
          <w:noProof/>
        </w:rPr>
        <w:t>Ενίσχυση της δικαστικής κατάρτισης για νέους επαγγελματίες</w:t>
      </w:r>
    </w:p>
    <w:p>
      <w:pPr>
        <w:jc w:val="both"/>
        <w:rPr>
          <w:rFonts w:ascii="Times New Roman" w:hAnsi="Times New Roman" w:cs="Times New Roman"/>
          <w:noProof/>
        </w:rPr>
      </w:pPr>
      <w:r>
        <w:rPr>
          <w:rFonts w:ascii="Times New Roman" w:hAnsi="Times New Roman"/>
          <w:noProof/>
          <w:sz w:val="24"/>
          <w:szCs w:val="24"/>
        </w:rPr>
        <w:t xml:space="preserve">Οι νέοι επαγγελματίες του τομέα απονομής δικαιοσύνης θα πρέπει να λαμβάνουν </w:t>
      </w:r>
      <w:r>
        <w:rPr>
          <w:rFonts w:ascii="Times New Roman" w:hAnsi="Times New Roman"/>
          <w:b/>
          <w:bCs/>
          <w:noProof/>
          <w:sz w:val="24"/>
          <w:szCs w:val="24"/>
        </w:rPr>
        <w:t>βασική εκπαίδευση για το νομικό σύστημα και τη νομική κουλτούρα της ΕΕ</w:t>
      </w:r>
      <w:r>
        <w:rPr>
          <w:rFonts w:ascii="Times New Roman" w:hAnsi="Times New Roman"/>
          <w:noProof/>
          <w:sz w:val="24"/>
          <w:szCs w:val="24"/>
        </w:rPr>
        <w:t xml:space="preserve"> κατά τη διάρκεια της αρχικής τους κατάρτισης</w:t>
      </w:r>
      <w:r>
        <w:rPr>
          <w:rStyle w:val="FootnoteReference"/>
          <w:rFonts w:ascii="Times New Roman" w:hAnsi="Times New Roman" w:cs="Times New Roman"/>
          <w:smallCaps/>
          <w:noProof/>
          <w:sz w:val="24"/>
          <w:szCs w:val="24"/>
        </w:rPr>
        <w:footnoteReference w:id="41"/>
      </w:r>
      <w:r>
        <w:rPr>
          <w:rFonts w:ascii="Times New Roman" w:hAnsi="Times New Roman"/>
          <w:noProof/>
          <w:sz w:val="24"/>
          <w:szCs w:val="24"/>
        </w:rPr>
        <w:t>. Αυτό αναμένεται να τους βοηθήσει στην πρακτική κατανόηση του ρόλου του ενωσιακού δικαίου στα εθνικά νομικά συστήματα, του κεκτημένου στον τομέα του κράτους δικαίου, αλλά και του ρόλου τους ως Ευρωπαίων επαγγελματιών του τομέα απονομής δικαιοσύνης. Ως εκ τούτου, κατά την αρχική κατάρτιση (όπου υπάρχει), θα πρέπει να αφιερώνεται επαρκής χρόνος σε καλής ποιότητας κατάρτιση στο ενωσιακό δίκαιο, στα θεμελιώδη δικαιώματα, στο κράτος δικαίου, στην «άσκηση δικαστικών καθηκόντων» και στις γλωσσικές δεξιότητες. Η κατάρτιση σχετικά με τα συστημικά στοιχεία του ενωσιακού δικαίου</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θα πρέπει να είναι τυποποιημένη.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Ενέργειες των παρόχων κατάρτισης:</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Διασφάλιση ότι κάθε </w:t>
      </w:r>
      <w:r>
        <w:rPr>
          <w:b/>
          <w:bCs/>
          <w:noProof/>
        </w:rPr>
        <w:t>πρόγραμμα αρχικής κατάρτισης</w:t>
      </w:r>
      <w:r>
        <w:rPr>
          <w:noProof/>
        </w:rPr>
        <w:t xml:space="preserve"> περιλαμβάνει ενότητες για το ενωσιακό δίκαιο, οι οποίες ενσωματώνονται στην κατάρτιση για το εθνικό δίκαιο ή είναι μεμονωμένες, κατά περίπτωση.</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Συμπερίληψη του </w:t>
      </w:r>
      <w:r>
        <w:rPr>
          <w:b/>
          <w:bCs/>
          <w:noProof/>
        </w:rPr>
        <w:t>ενωσιακού κεκτημένου στον τομέα του κράτους δικαίου και του Χάρτη των Θεμελιωδών Δικαιωμάτων της ΕΕ</w:t>
      </w:r>
      <w:r>
        <w:rPr>
          <w:noProof/>
        </w:rPr>
        <w:t xml:space="preserve">, καθώς και της </w:t>
      </w:r>
      <w:r>
        <w:rPr>
          <w:b/>
          <w:bCs/>
          <w:noProof/>
        </w:rPr>
        <w:t>«άσκησης δικαστικών καθηκόντων»</w:t>
      </w:r>
      <w:r>
        <w:rPr>
          <w:noProof/>
        </w:rPr>
        <w:t>, ως σταθερών συνιστωσών της αρχικής προσφοράς δικαστικής κατάρτισης για νέους επαγγελματίες.</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Πρόβλεψη συμμετοχής κάθε μελλοντικού ή νεοδιορισθέντος δικαστή και εισαγγελέα σε </w:t>
      </w:r>
      <w:r>
        <w:rPr>
          <w:b/>
          <w:bCs/>
          <w:noProof/>
        </w:rPr>
        <w:t>διασυνοριακή ανταλλαγή</w:t>
      </w:r>
      <w:r>
        <w:rPr>
          <w:noProof/>
        </w:rPr>
        <w:t xml:space="preserve"> στο πλαίσιο της αρχικής κατάρτισης.</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Καθιέρωση των </w:t>
      </w:r>
      <w:r>
        <w:rPr>
          <w:b/>
          <w:bCs/>
          <w:noProof/>
        </w:rPr>
        <w:t>ανταλλαγών για μελλοντικούς και νεοδιορισθέντες δικαστές και εισαγγελείς</w:t>
      </w:r>
      <w:r>
        <w:rPr>
          <w:rStyle w:val="FootnoteReference"/>
          <w:rFonts w:eastAsia="Calibri"/>
          <w:noProof/>
        </w:rPr>
        <w:footnoteReference w:id="43"/>
      </w:r>
      <w:r>
        <w:rPr>
          <w:noProof/>
        </w:rPr>
        <w:t xml:space="preserve"> στο πλαίσιο του προγράμματος AIAKOS του ΕΔΚΔ, ως σταθερής συνιστώσας της αρχικής προσφοράς κατάρτισης. Οι εθνικοί φορείς δικαστικής κατάρτισης θα πρέπει να συνδράμουν στην οργάνωση των εν λόγω ανταλλαγών.</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Καθιέρωση </w:t>
      </w:r>
      <w:r>
        <w:rPr>
          <w:b/>
          <w:bCs/>
          <w:noProof/>
        </w:rPr>
        <w:t>μαθημάτων νομικής γλώσσας</w:t>
      </w:r>
      <w:r>
        <w:rPr>
          <w:noProof/>
        </w:rPr>
        <w:t xml:space="preserve"> ως σταθερής συνιστώσας της αρχικής προσφοράς κατάρτισης.</w:t>
      </w:r>
    </w:p>
    <w:p>
      <w:pPr>
        <w:pStyle w:val="Heading1"/>
        <w:numPr>
          <w:ilvl w:val="0"/>
          <w:numId w:val="69"/>
        </w:numPr>
        <w:spacing w:before="200" w:after="200"/>
        <w:rPr>
          <w:noProof/>
        </w:rPr>
      </w:pPr>
      <w:r>
        <w:rPr>
          <w:noProof/>
        </w:rPr>
        <w:t>Ενίσχυση της κοινής ευθύνης</w:t>
      </w:r>
    </w:p>
    <w:p>
      <w:pPr>
        <w:jc w:val="both"/>
        <w:rPr>
          <w:rFonts w:ascii="Times New Roman" w:hAnsi="Times New Roman" w:cs="Times New Roman"/>
          <w:noProof/>
        </w:rPr>
      </w:pPr>
      <w:r>
        <w:rPr>
          <w:rFonts w:ascii="Times New Roman" w:hAnsi="Times New Roman"/>
          <w:noProof/>
          <w:sz w:val="24"/>
          <w:szCs w:val="24"/>
        </w:rPr>
        <w:t xml:space="preserve">Η ευθύνη για τη δικαστική κατάρτιση επιμερίζεται μεταξύ των κρατών μελών, των παρόχων κατάρτισης, των εθνικών και ευρωπαϊκών οργανώσεων επαγγελματιών του τομέα απονομής δικαιοσύνης και της ΕΕ. </w:t>
      </w:r>
      <w:r>
        <w:rPr>
          <w:rFonts w:ascii="Times New Roman" w:hAnsi="Times New Roman"/>
          <w:b/>
          <w:bCs/>
          <w:noProof/>
          <w:sz w:val="24"/>
          <w:szCs w:val="24"/>
        </w:rPr>
        <w:t>Απαιτείται μεγαλύτερη δέσμευση όλων των ενδιαφερομένων.</w:t>
      </w:r>
    </w:p>
    <w:p>
      <w:pPr>
        <w:pStyle w:val="Heading2"/>
        <w:tabs>
          <w:tab w:val="clear" w:pos="1077"/>
        </w:tabs>
        <w:ind w:left="0" w:firstLine="0"/>
        <w:rPr>
          <w:b w:val="0"/>
          <w:noProof/>
          <w:color w:val="000000" w:themeColor="text1"/>
        </w:rPr>
      </w:pPr>
      <w:r>
        <w:rPr>
          <w:noProof/>
          <w:color w:val="000000" w:themeColor="text1"/>
        </w:rPr>
        <w:t>Πρωταρχική ευθύνη έχουν τα εθνικά ενδιαφερόμενα μέρη</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Οι εθνικοί πάροχοι κατάρτισης, τα υπουργεία δικαιοσύνης, τα δικαστικά και εισαγγελικά συμβούλια και οι αρχές που είναι αρμόδιες για τα νομοθετικά κατοχυρωμένα επαγγέλματα αποτελούν βασικούς παράγοντες για να εξασφαλιστεί ότι η παροχή κατάρτισης ανταποκρίνεται στις</w:t>
      </w:r>
      <w:r>
        <w:rPr>
          <w:rFonts w:ascii="Times New Roman" w:hAnsi="Times New Roman"/>
          <w:b/>
          <w:bCs/>
          <w:noProof/>
          <w:color w:val="000000" w:themeColor="text1"/>
          <w:sz w:val="24"/>
          <w:szCs w:val="24"/>
        </w:rPr>
        <w:t xml:space="preserve"> ανάγκες των επαγγελματιών</w:t>
      </w:r>
      <w:r>
        <w:rPr>
          <w:rFonts w:ascii="Times New Roman" w:hAnsi="Times New Roman"/>
          <w:noProof/>
          <w:color w:val="000000" w:themeColor="text1"/>
          <w:sz w:val="24"/>
          <w:szCs w:val="24"/>
        </w:rPr>
        <w:t xml:space="preserve">. Πρέπει να διατεθούν επαρκείς </w:t>
      </w:r>
      <w:r>
        <w:rPr>
          <w:rFonts w:ascii="Times New Roman" w:hAnsi="Times New Roman"/>
          <w:b/>
          <w:bCs/>
          <w:noProof/>
          <w:color w:val="000000" w:themeColor="text1"/>
          <w:sz w:val="24"/>
          <w:szCs w:val="24"/>
        </w:rPr>
        <w:t>πόροι</w:t>
      </w:r>
      <w:r>
        <w:rPr>
          <w:rFonts w:ascii="Times New Roman" w:hAnsi="Times New Roman"/>
          <w:noProof/>
          <w:color w:val="000000" w:themeColor="text1"/>
          <w:sz w:val="24"/>
          <w:szCs w:val="24"/>
        </w:rPr>
        <w:t xml:space="preserve">, τόσο δημοσιονομικοί, όσο και σε προσωπικό για την οργάνωση της κατάρτισης και σε χρόνο για τη συμμετοχή των επαγγελματιών του τομέα απονομής δικαιοσύνης. Ο καθορισμός υποχρεωτικών ποσοστώσεων για την κατάρτιση μπορεί να διασφαλίσει ότι αυτή αντιμετωπίζεται ως μέρος των τακτικών ρυθμίσεων εργασίας. Οι </w:t>
      </w:r>
      <w:r>
        <w:rPr>
          <w:rFonts w:ascii="Times New Roman" w:hAnsi="Times New Roman"/>
          <w:b/>
          <w:bCs/>
          <w:noProof/>
          <w:color w:val="000000" w:themeColor="text1"/>
          <w:sz w:val="24"/>
          <w:szCs w:val="24"/>
        </w:rPr>
        <w:t>πληροφορίες</w:t>
      </w:r>
      <w:r>
        <w:rPr>
          <w:rFonts w:ascii="Times New Roman" w:hAnsi="Times New Roman"/>
          <w:noProof/>
          <w:color w:val="000000" w:themeColor="text1"/>
          <w:sz w:val="24"/>
          <w:szCs w:val="24"/>
        </w:rPr>
        <w:t xml:space="preserve"> σχετικά με την παροχή κατάρτισης σε εθνικό και ενωσιακό επίπεδο πρέπει να διαδίδονται προορατικά και να υποστηρίζεται η συμμετοχή.</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Οι </w:t>
      </w:r>
      <w:r>
        <w:rPr>
          <w:rFonts w:ascii="Times New Roman" w:hAnsi="Times New Roman"/>
          <w:b/>
          <w:bCs/>
          <w:noProof/>
          <w:color w:val="000000" w:themeColor="text1"/>
          <w:sz w:val="24"/>
          <w:szCs w:val="24"/>
        </w:rPr>
        <w:t>επιφανείς και πεπειραμένοι επαγγελματίες του τομέα απονομής δικαιοσύνης</w:t>
      </w:r>
      <w:r>
        <w:rPr>
          <w:rFonts w:ascii="Times New Roman" w:hAnsi="Times New Roman"/>
          <w:noProof/>
          <w:color w:val="000000" w:themeColor="text1"/>
          <w:sz w:val="24"/>
          <w:szCs w:val="24"/>
        </w:rPr>
        <w:t xml:space="preserve"> θα πρέπει να συμμετέχουν στη διαμόρφωση ουσιαστικής κουλτούρας κατάρτισης. Απαιτείται αλλαγή στάσης για να καταστούν οι δικαστικοί και επαγγελματικοί φορείς </w:t>
      </w:r>
      <w:r>
        <w:rPr>
          <w:rFonts w:ascii="Times New Roman" w:hAnsi="Times New Roman"/>
          <w:b/>
          <w:bCs/>
          <w:noProof/>
          <w:color w:val="000000" w:themeColor="text1"/>
          <w:sz w:val="24"/>
          <w:szCs w:val="24"/>
        </w:rPr>
        <w:t>μαθησιακοί οργανισμοί</w:t>
      </w:r>
      <w:r>
        <w:rPr>
          <w:rFonts w:ascii="Times New Roman" w:hAnsi="Times New Roman"/>
          <w:noProof/>
          <w:color w:val="000000" w:themeColor="text1"/>
          <w:sz w:val="24"/>
          <w:szCs w:val="24"/>
        </w:rPr>
        <w:t>, στους οποίους η κατάρτιση θεωρείται επένδυση και όχι διάσπαση της προσοχής από την καθημερινή εργασία.</w:t>
      </w:r>
    </w:p>
    <w:p>
      <w:pPr>
        <w:pStyle w:val="Heading2"/>
        <w:tabs>
          <w:tab w:val="clear" w:pos="1077"/>
        </w:tabs>
        <w:ind w:left="0" w:firstLine="0"/>
        <w:rPr>
          <w:noProof/>
          <w:color w:val="000000" w:themeColor="text1"/>
        </w:rPr>
      </w:pPr>
      <w:r>
        <w:rPr>
          <w:noProof/>
          <w:color w:val="000000" w:themeColor="text1"/>
        </w:rPr>
        <w:t>Δίκτυα εμπειρογνωμόνων σε θέματα ενωσιακού δικαίου</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Οι επαγγελματίες του τομέα απονομής δικαιοσύνης δεν είναι υποχρεωμένοι να κατέχουν όλες τις λεπτομέρειες του ενωσιακού δικαίου, αλλά οφείλουν να συμμορφώνονται μ’ αυτό όταν προκύπτει ανάγκη. Θα πρέπει να μπορούν να βασίζονται σε </w:t>
      </w:r>
      <w:r>
        <w:rPr>
          <w:rFonts w:ascii="Times New Roman" w:hAnsi="Times New Roman"/>
          <w:b/>
          <w:bCs/>
          <w:noProof/>
          <w:color w:val="000000" w:themeColor="text1"/>
          <w:sz w:val="24"/>
          <w:szCs w:val="24"/>
        </w:rPr>
        <w:t>ομοτίμους</w:t>
      </w:r>
      <w:r>
        <w:rPr>
          <w:rFonts w:ascii="Times New Roman" w:hAnsi="Times New Roman"/>
          <w:noProof/>
          <w:color w:val="000000" w:themeColor="text1"/>
          <w:sz w:val="24"/>
          <w:szCs w:val="24"/>
        </w:rPr>
        <w:t xml:space="preserve"> τους που θα μπορούν να τους παρέχουν </w:t>
      </w:r>
      <w:r>
        <w:rPr>
          <w:rFonts w:ascii="Times New Roman" w:hAnsi="Times New Roman"/>
          <w:b/>
          <w:bCs/>
          <w:noProof/>
          <w:color w:val="000000" w:themeColor="text1"/>
          <w:sz w:val="24"/>
          <w:szCs w:val="24"/>
        </w:rPr>
        <w:t>εμπειρογνωμοσύνη και βοήθεια σχετικά με το ενωσιακό δίκαιο</w:t>
      </w:r>
      <w:r>
        <w:rPr>
          <w:rFonts w:ascii="Times New Roman" w:hAnsi="Times New Roman"/>
          <w:noProof/>
          <w:color w:val="000000" w:themeColor="text1"/>
          <w:sz w:val="24"/>
          <w:szCs w:val="24"/>
        </w:rPr>
        <w:t xml:space="preserve"> με πλήρη δικαστική ανεξαρτησία και που θα ανήκουν σε δίκτυο που δημιουργείται για τον σκοπό αυτό σε εθνικό επίπεδο. Αυτή είναι η αναγνωρισμένη προστιθέμενη αξία των εθνικών δικτύων δικαστικών συντονιστών ενωσιακού δικαίου.</w:t>
      </w:r>
    </w:p>
    <w:p>
      <w:pPr>
        <w:pStyle w:val="Heading2"/>
        <w:tabs>
          <w:tab w:val="clear" w:pos="1077"/>
        </w:tabs>
        <w:ind w:left="709" w:hanging="709"/>
        <w:rPr>
          <w:noProof/>
        </w:rPr>
      </w:pPr>
      <w:r>
        <w:rPr>
          <w:noProof/>
        </w:rPr>
        <w:t>Ο μοναδικός ρόλος του Ευρωπαϊκού δικτύου κατάρτισης δικαστικών</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Το ΕΔΚΔ είναι το πλέον κατάλληλο για να συντονίζει, μέσω των μελών του, τις εθνικές δραστηριότητες κατάρτισης στο ενωσιακό δίκαιο και για να εκπονεί διασυνοριακή κατάρτιση για δικαστές και εισαγγελείς, συμπεριλαμβανομένων των ανταλλαγών</w:t>
      </w:r>
      <w:r>
        <w:rPr>
          <w:rStyle w:val="FootnoteReference"/>
          <w:rFonts w:ascii="Times New Roman" w:hAnsi="Times New Roman" w:cs="Times New Roman"/>
          <w:noProof/>
          <w:color w:val="000000" w:themeColor="text1"/>
          <w:sz w:val="24"/>
          <w:szCs w:val="24"/>
          <w:lang w:eastAsia="fr-BE"/>
        </w:rPr>
        <w:footnoteReference w:id="44"/>
      </w:r>
      <w:r>
        <w:rPr>
          <w:rFonts w:ascii="Times New Roman" w:hAnsi="Times New Roman"/>
          <w:noProof/>
          <w:color w:val="000000" w:themeColor="text1"/>
          <w:sz w:val="24"/>
          <w:szCs w:val="24"/>
        </w:rPr>
        <w:t>. Οι εννέα «αρχές της δικαστικής κατάρτισης»</w:t>
      </w:r>
      <w:r>
        <w:rPr>
          <w:rStyle w:val="FootnoteReference"/>
          <w:rFonts w:ascii="Times New Roman" w:hAnsi="Times New Roman" w:cs="Times New Roman"/>
          <w:noProof/>
          <w:color w:val="000000" w:themeColor="text1"/>
          <w:sz w:val="24"/>
          <w:szCs w:val="24"/>
          <w:lang w:eastAsia="fr-BE"/>
        </w:rPr>
        <w:footnoteReference w:id="45"/>
      </w:r>
      <w:r>
        <w:rPr>
          <w:rFonts w:ascii="Times New Roman" w:hAnsi="Times New Roman"/>
          <w:noProof/>
          <w:color w:val="000000" w:themeColor="text1"/>
          <w:sz w:val="24"/>
          <w:szCs w:val="24"/>
        </w:rPr>
        <w:t xml:space="preserve"> καθίστανται καθολικό σημείο αναφοράς για την καλή δικαστική κατάρτιση. Χρειάζεται σταθερή και κατάλληλη χρηματοδότηση.</w:t>
      </w:r>
    </w:p>
    <w:p>
      <w:pPr>
        <w:pStyle w:val="Heading2"/>
        <w:tabs>
          <w:tab w:val="clear" w:pos="1077"/>
        </w:tabs>
        <w:ind w:left="709" w:hanging="709"/>
        <w:rPr>
          <w:noProof/>
        </w:rPr>
      </w:pPr>
      <w:r>
        <w:rPr>
          <w:noProof/>
        </w:rPr>
        <w:t>Οι παράγοντες σε επίπεδο ΕΕ είναι σημαντικοί πολλαπλασιαστές</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Η </w:t>
      </w:r>
      <w:r>
        <w:rPr>
          <w:rFonts w:ascii="Times New Roman" w:hAnsi="Times New Roman"/>
          <w:b/>
          <w:bCs/>
          <w:noProof/>
          <w:color w:val="000000" w:themeColor="text1"/>
          <w:sz w:val="24"/>
          <w:szCs w:val="24"/>
        </w:rPr>
        <w:t>Ακαδημία Ευρωπαϊκού Δικαίου (ERA)</w:t>
      </w:r>
      <w:r>
        <w:rPr>
          <w:rFonts w:ascii="Times New Roman" w:hAnsi="Times New Roman"/>
          <w:noProof/>
          <w:color w:val="000000" w:themeColor="text1"/>
          <w:sz w:val="24"/>
          <w:szCs w:val="24"/>
        </w:rPr>
        <w:t xml:space="preserve"> και το </w:t>
      </w:r>
      <w:r>
        <w:rPr>
          <w:rFonts w:ascii="Times New Roman" w:hAnsi="Times New Roman"/>
          <w:b/>
          <w:bCs/>
          <w:noProof/>
          <w:color w:val="000000" w:themeColor="text1"/>
          <w:sz w:val="24"/>
          <w:szCs w:val="24"/>
        </w:rPr>
        <w:t>Ευρωπαϊκό Ινστιτούτο Δημόσιας Διοίκησης (EIPA, Λουξεμβούργο)</w:t>
      </w:r>
      <w:r>
        <w:rPr>
          <w:rFonts w:ascii="Times New Roman" w:hAnsi="Times New Roman"/>
          <w:noProof/>
          <w:color w:val="000000" w:themeColor="text1"/>
          <w:sz w:val="24"/>
          <w:szCs w:val="24"/>
        </w:rPr>
        <w:t xml:space="preserve"> συμβάλλουν στην παγίωση των γνώσεων σχετικά με το ενωσιακό δίκαιο. Θα πρέπει να ενισχύσουν περαιτέρω την παροχή κατάρτισης, να εξασφαλίσουν την ποιότητα των δραστηριοτήτων τους και να προωθήσουν τη δυνατότητα μεταφοράς των αποτελεσμάτων τους.</w:t>
      </w:r>
    </w:p>
    <w:p>
      <w:pPr>
        <w:jc w:val="both"/>
        <w:rPr>
          <w:rFonts w:ascii="Times New Roman" w:eastAsia="Calibri" w:hAnsi="Times New Roman" w:cs="Times New Roman"/>
          <w:noProof/>
          <w:sz w:val="24"/>
          <w:szCs w:val="24"/>
        </w:rPr>
      </w:pPr>
      <w:r>
        <w:rPr>
          <w:rFonts w:ascii="Times New Roman" w:hAnsi="Times New Roman"/>
          <w:noProof/>
          <w:color w:val="000000" w:themeColor="text1"/>
          <w:sz w:val="24"/>
          <w:szCs w:val="24"/>
        </w:rPr>
        <w:t xml:space="preserve">Τα </w:t>
      </w:r>
      <w:r>
        <w:rPr>
          <w:rFonts w:ascii="Times New Roman" w:hAnsi="Times New Roman"/>
          <w:b/>
          <w:bCs/>
          <w:noProof/>
          <w:color w:val="000000" w:themeColor="text1"/>
          <w:sz w:val="24"/>
          <w:szCs w:val="24"/>
        </w:rPr>
        <w:t>δίκτυα επαγγελματιών του τομέα απονομής δικαιοσύνης</w:t>
      </w:r>
      <w:r>
        <w:rPr>
          <w:rFonts w:ascii="Times New Roman" w:hAnsi="Times New Roman"/>
          <w:noProof/>
          <w:color w:val="000000" w:themeColor="text1"/>
          <w:sz w:val="24"/>
          <w:szCs w:val="24"/>
        </w:rPr>
        <w:t xml:space="preserve">, όπως το </w:t>
      </w:r>
      <w:r>
        <w:rPr>
          <w:rFonts w:ascii="Times New Roman" w:hAnsi="Times New Roman"/>
          <w:b/>
          <w:bCs/>
          <w:noProof/>
          <w:color w:val="000000" w:themeColor="text1"/>
          <w:sz w:val="24"/>
          <w:szCs w:val="24"/>
        </w:rPr>
        <w:t>Συμβούλιο των Δικηγορικών Συλλόγων της Ευρωπαϊκής Ένωσης (CCBE)</w:t>
      </w:r>
      <w:r>
        <w:rPr>
          <w:rFonts w:ascii="Times New Roman" w:hAnsi="Times New Roman"/>
          <w:noProof/>
          <w:color w:val="000000" w:themeColor="text1"/>
          <w:sz w:val="24"/>
          <w:szCs w:val="24"/>
        </w:rPr>
        <w:t xml:space="preserve"> για τους δικηγόρους, οι </w:t>
      </w:r>
      <w:r>
        <w:rPr>
          <w:rFonts w:ascii="Times New Roman" w:hAnsi="Times New Roman"/>
          <w:b/>
          <w:bCs/>
          <w:noProof/>
          <w:color w:val="000000" w:themeColor="text1"/>
          <w:sz w:val="24"/>
          <w:szCs w:val="24"/>
        </w:rPr>
        <w:t>Συμβολαιογράφοι της Ευρώπης (CNUE)</w:t>
      </w:r>
      <w:r>
        <w:rPr>
          <w:rFonts w:ascii="Times New Roman" w:hAnsi="Times New Roman"/>
          <w:noProof/>
          <w:color w:val="000000" w:themeColor="text1"/>
          <w:sz w:val="24"/>
          <w:szCs w:val="24"/>
        </w:rPr>
        <w:t xml:space="preserve"> για τους συμβολαιογράφους και η </w:t>
      </w:r>
      <w:r>
        <w:rPr>
          <w:rFonts w:ascii="Times New Roman" w:hAnsi="Times New Roman"/>
          <w:b/>
          <w:bCs/>
          <w:noProof/>
          <w:color w:val="000000" w:themeColor="text1"/>
          <w:sz w:val="24"/>
          <w:szCs w:val="24"/>
        </w:rPr>
        <w:t>Ευρωπαϊκή Ένωση Δικαστικών Υπαλλήλων (UEHJ)</w:t>
      </w:r>
      <w:r>
        <w:rPr>
          <w:rFonts w:ascii="Times New Roman" w:hAnsi="Times New Roman"/>
          <w:noProof/>
          <w:color w:val="000000" w:themeColor="text1"/>
          <w:sz w:val="24"/>
          <w:szCs w:val="24"/>
        </w:rPr>
        <w:t xml:space="preserve"> για τους δικαστικούς επιμελητές, διαδραματίζουν επίσης καίριο ρόλο στη βελτίωση της κατάρτισης στο ενωσιακό δίκαιο. Έχουν ουσιαστική σημασία για την πλήρη εφαρμογή της παρούσας στρατηγικής, καθώς διασφαλίζουν ότι το εκπαιδευτικό υλικό αξιοποιείται και επαναχρησιμοποιείται από τα μέλη τους, και καθώς προωθούν την ανάπτυξη δραστηριοτήτων κατάρτισης σε εθνικό επίπεδο. </w:t>
      </w:r>
      <w:r>
        <w:rPr>
          <w:rFonts w:ascii="Times New Roman" w:hAnsi="Times New Roman"/>
          <w:noProof/>
          <w:sz w:val="24"/>
          <w:szCs w:val="24"/>
        </w:rPr>
        <w:t>Η ανταλλαγή εμπειριών μεταξύ παρόχων κατάρτισης από διαφορετικά κράτη μέλη θα τους επιτρέψει να εξετάσουν τα κενά στην παρεχόμενη κατάρτιση, να καινοτομήσουν και να αξιοποιήσουν ορθές πρακτικές με αποδεδειγμένα αποτελέσματα.</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Τα </w:t>
      </w:r>
      <w:r>
        <w:rPr>
          <w:rFonts w:ascii="Times New Roman" w:hAnsi="Times New Roman"/>
          <w:b/>
          <w:bCs/>
          <w:noProof/>
          <w:color w:val="000000" w:themeColor="text1"/>
          <w:sz w:val="24"/>
          <w:szCs w:val="24"/>
        </w:rPr>
        <w:t>ευρωπαϊκά δίκτυα επαγγελματιών του τομέα απονομής δικαιοσύνης</w:t>
      </w:r>
      <w:r>
        <w:rPr>
          <w:rFonts w:ascii="Times New Roman" w:hAnsi="Times New Roman"/>
          <w:noProof/>
          <w:color w:val="000000" w:themeColor="text1"/>
          <w:sz w:val="24"/>
          <w:szCs w:val="24"/>
        </w:rPr>
        <w:t xml:space="preserve"> που επικεντρώνονται σε επιμέρους τομείς του ενωσιακού δικαίου διαδραματίζουν επίσης σημαντικό ρόλο ως πολλαπλασιαστές.</w:t>
      </w:r>
    </w:p>
    <w:p>
      <w:pPr>
        <w:pStyle w:val="Heading2"/>
        <w:tabs>
          <w:tab w:val="clear" w:pos="1077"/>
        </w:tabs>
        <w:ind w:left="709" w:hanging="709"/>
        <w:rPr>
          <w:noProof/>
        </w:rPr>
      </w:pPr>
      <w:r>
        <w:rPr>
          <w:noProof/>
        </w:rPr>
        <w:t>Στήριξη από την Επιτροπή</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θα στηρίξει </w:t>
      </w:r>
      <w:r>
        <w:rPr>
          <w:rFonts w:ascii="Times New Roman" w:hAnsi="Times New Roman"/>
          <w:b/>
          <w:bCs/>
          <w:noProof/>
          <w:sz w:val="24"/>
          <w:szCs w:val="24"/>
        </w:rPr>
        <w:t>υψηλής ποιότητας έργα κατάρτισης με ευρωπαϊκή διάσταση</w:t>
      </w:r>
      <w:r>
        <w:rPr>
          <w:rFonts w:ascii="Times New Roman" w:hAnsi="Times New Roman"/>
          <w:noProof/>
          <w:sz w:val="24"/>
          <w:szCs w:val="24"/>
        </w:rPr>
        <w:t>, μέσω του προγράμματος «Δικαιοσύνη» και άλλων σχετικών μηχανισμών χρηματοδότησης</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Θα στηρίξει την κατάρτιση των πολλαπλασιαστών, συμπεριλαμβανομένων των εκπαιδευτών, και θα ενισχύσει διασυνοριακές κοινοπραξίες παρόχων κατάρτισης. Θα τονώσει περαιτέρω το έργο των δικτύων που εμπλέκονται στον τομέα, θα ενθαρρύνει τη συνεργασία τους μέσω διασκέψεων και θα προωθήσει τη χρήση σύγχρονων τεχνολογιών και της διαδικτυακής πύλης της ευρωπαϊκής ηλεκτρονικής δικαιοσύνης.</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Η Επιτροπή θα στηρίξει </w:t>
      </w:r>
      <w:r>
        <w:rPr>
          <w:rFonts w:ascii="Times New Roman" w:hAnsi="Times New Roman"/>
          <w:b/>
          <w:bCs/>
          <w:noProof/>
          <w:color w:val="000000" w:themeColor="text1"/>
          <w:sz w:val="24"/>
          <w:szCs w:val="24"/>
        </w:rPr>
        <w:t>έργα που καλύπτουν τομείς προτεραιότητας της ΕΕ</w:t>
      </w:r>
      <w:r>
        <w:rPr>
          <w:rFonts w:ascii="Times New Roman" w:hAnsi="Times New Roman"/>
          <w:noProof/>
          <w:color w:val="000000" w:themeColor="text1"/>
          <w:sz w:val="24"/>
          <w:szCs w:val="24"/>
        </w:rPr>
        <w:t xml:space="preserve">, δοκιμάζουν νέες ιδέες και ανταποκρίνονται σε ειδικές ad hoc ανάγκες. </w:t>
      </w:r>
      <w:r>
        <w:rPr>
          <w:rFonts w:ascii="Times New Roman" w:hAnsi="Times New Roman"/>
          <w:noProof/>
          <w:sz w:val="24"/>
          <w:szCs w:val="24"/>
        </w:rPr>
        <w:t>Θα δώσει ιδιαίτερη προσοχή στην αξιολόγηση των αναγκών κατάρτισης και στη βιωσιμότητα των αποτελεσμάτων.</w:t>
      </w:r>
      <w:r>
        <w:rPr>
          <w:rFonts w:ascii="Times New Roman" w:hAnsi="Times New Roman"/>
          <w:noProof/>
          <w:color w:val="000000" w:themeColor="text1"/>
          <w:sz w:val="24"/>
          <w:szCs w:val="24"/>
        </w:rPr>
        <w:t xml:space="preserve"> Θα απαιτήσει από τους παρόχους που επωφελούνται από τη συγχρηματοδότηση της ΕΕ να καταβάλουν περισσότερες προσπάθειες για να διασφαλίσουν την ανθεκτικότητα της κατάρτισης στον χρόνο και άλλα αποτελέσματα. Θα χρησιμοποιήσει όλα τα μέσα που προβλέπει ο δημοσιονομικός κανονισμός για να απλουστεύσει την πρόσβαση στη χρηματοδότηση της ΕΕ, συμπεριλαμβανομένων των διαδικασιών υποβολής αιτήσεων και διαχείρισης των επιχορηγήσεων</w:t>
      </w:r>
      <w:r>
        <w:rPr>
          <w:rStyle w:val="FootnoteReference"/>
          <w:rFonts w:ascii="Times New Roman" w:hAnsi="Times New Roman" w:cs="Times New Roman"/>
          <w:noProof/>
          <w:color w:val="000000" w:themeColor="text1"/>
          <w:sz w:val="24"/>
          <w:szCs w:val="24"/>
          <w:lang w:eastAsia="fr-BE"/>
        </w:rPr>
        <w:footnoteReference w:id="47"/>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Στόχευση επαγγελματιών του τομέα απονομής δικαιοσύνης εκτός ΕΕ</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Η ευρωπαϊκή δικαστική κατάρτιση επικεντρώνεται στους επαγγελματίες του τομέα απονομής δικαιοσύνης στην ΕΕ. Ωστόσο, με την πάροδο των ετών, η συνεργασία έχει επεκταθεί στις</w:t>
      </w:r>
      <w:r>
        <w:rPr>
          <w:rFonts w:ascii="Times New Roman" w:hAnsi="Times New Roman"/>
          <w:b/>
          <w:bCs/>
          <w:noProof/>
          <w:sz w:val="24"/>
          <w:szCs w:val="24"/>
        </w:rPr>
        <w:t xml:space="preserve"> υποψήφιες και δυνάμει υποψήφιες χώρες</w:t>
      </w:r>
      <w:r>
        <w:rPr>
          <w:rFonts w:ascii="Times New Roman" w:hAnsi="Times New Roman"/>
          <w:noProof/>
          <w:sz w:val="24"/>
          <w:szCs w:val="24"/>
        </w:rPr>
        <w:t xml:space="preserve"> για προσχώρηση στην ΕΕ, καθώς και σε άλλες χώρες που είχαν εκδηλώσει ενδιαφέρον να εξοικειωθούν με τη δικαστική κουλτούρα της ΕΕ</w:t>
      </w:r>
      <w:r>
        <w:rPr>
          <w:rStyle w:val="FootnoteReference"/>
          <w:rFonts w:ascii="Times New Roman" w:eastAsia="Calibri" w:hAnsi="Times New Roman" w:cs="Times New Roman"/>
          <w:noProof/>
          <w:color w:val="000000" w:themeColor="text1"/>
          <w:sz w:val="24"/>
          <w:szCs w:val="24"/>
          <w:lang w:eastAsia="en-GB"/>
        </w:rPr>
        <w:footnoteReference w:id="48"/>
      </w:r>
      <w:r>
        <w:rPr>
          <w:rFonts w:ascii="Times New Roman" w:hAnsi="Times New Roman"/>
          <w:noProof/>
          <w:sz w:val="24"/>
          <w:szCs w:val="24"/>
        </w:rPr>
        <w:t xml:space="preserve"> προκειμένου να βελτιώσουν τη λειτουργία των συστημάτων απονομής δικαιοσύνης τους. Συγκεκριμένα, η κατάρτιση σχετικά με το κεκτημένο στο κράτος δικαίου είναι απαραίτητη για τις υποψήφιες και δυνάμει υποψήφιες χώρες</w:t>
      </w:r>
      <w:r>
        <w:rPr>
          <w:rStyle w:val="FootnoteReference"/>
          <w:rFonts w:ascii="Times New Roman" w:eastAsia="Calibri" w:hAnsi="Times New Roman" w:cs="Times New Roman"/>
          <w:noProof/>
          <w:color w:val="000000" w:themeColor="text1"/>
          <w:sz w:val="24"/>
          <w:szCs w:val="24"/>
          <w:lang w:eastAsia="en-GB"/>
        </w:rPr>
        <w:footnoteReference w:id="49"/>
      </w:r>
      <w:r>
        <w:rPr>
          <w:rFonts w:ascii="Times New Roman" w:hAnsi="Times New Roman"/>
          <w:noProof/>
          <w:sz w:val="24"/>
          <w:szCs w:val="24"/>
        </w:rPr>
        <w:t>, δεδομένου ότι πρέπει να δώσουν προτεραιότητα στις εργασίες προώθησης της δημοκρατίας, του κράτους δικαίου και του σεβασμού των θεμελιωδών δικαιωμάτων, προκειμένου να προετοιμαστούν για την προσχώρησή τους στην ΕΕ</w:t>
      </w:r>
      <w:r>
        <w:rPr>
          <w:rStyle w:val="FootnoteReference"/>
          <w:rFonts w:ascii="Times New Roman" w:eastAsia="Calibri" w:hAnsi="Times New Roman" w:cs="Times New Roman"/>
          <w:noProof/>
          <w:color w:val="000000" w:themeColor="text1"/>
          <w:sz w:val="24"/>
          <w:szCs w:val="24"/>
          <w:lang w:eastAsia="en-GB"/>
        </w:rPr>
        <w:footnoteReference w:id="50"/>
      </w:r>
      <w:r>
        <w:rPr>
          <w:rFonts w:ascii="Times New Roman" w:hAnsi="Times New Roman"/>
          <w:noProof/>
          <w:sz w:val="24"/>
          <w:szCs w:val="24"/>
        </w:rPr>
        <w:t>.</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Η Επιτροπή ενθαρρύνει ιδιαίτερα τη συμμετοχή επαγγελματιών του τομέα απονομής δικαιοσύνης από την περιοχή των </w:t>
      </w:r>
      <w:r>
        <w:rPr>
          <w:rFonts w:ascii="Times New Roman" w:hAnsi="Times New Roman"/>
          <w:b/>
          <w:bCs/>
          <w:noProof/>
          <w:sz w:val="24"/>
          <w:szCs w:val="24"/>
        </w:rPr>
        <w:t>Δυτικών Βαλκανίων</w:t>
      </w:r>
      <w:r>
        <w:rPr>
          <w:rFonts w:ascii="Times New Roman" w:hAnsi="Times New Roman"/>
          <w:noProof/>
          <w:sz w:val="24"/>
          <w:szCs w:val="24"/>
        </w:rPr>
        <w:t xml:space="preserve"> σε διασυνοριακή δικαστική κατάρτιση. Η στήριξη της ΕΕ στην εν λόγω περιοχή αποσκοπεί στη διασφάλιση συνοχής και βιωσιμότητας, καθώς και στην αντιμετώπιση των προκλήσεων, με βάση μια ορθή εκτίμηση των αναγκών κατάρτισης και μια προσέγγιση προσανατολισμένη στα προβλήματα (και όχι στους χορηγούς). Η διαρθρωτική συνεργασία των παρόχων δικαστικής κατάρτισης στα Δυτικά Βαλκάνια θα πρέπει να ενισχυθεί περαιτέρω, τόσο σε περιφερειακό επίπεδο όσο και με την ΕΕ. Κατά περίπτωση, αυτό θα πρέπει να περιλαμβάνει την εδραίωση του ρόλου του ΕΔΚΔ, το οποίο αποτελεί κόμβο εμπειρογνωμοσύνης και θα μπορούσε να στηρίξει την ανάπτυξη ικανοτήτων και τη βελτίωση των μεθοδολογιών.</w:t>
      </w:r>
    </w:p>
    <w:p>
      <w:pPr>
        <w:jc w:val="both"/>
        <w:rPr>
          <w:rFonts w:ascii="Times New Roman" w:eastAsia="Calibri" w:hAnsi="Times New Roman" w:cs="Times New Roman"/>
          <w:noProof/>
          <w:color w:val="000000" w:themeColor="text1"/>
          <w:sz w:val="28"/>
          <w:szCs w:val="28"/>
        </w:rPr>
      </w:pPr>
      <w:r>
        <w:rPr>
          <w:rFonts w:ascii="Times New Roman" w:hAnsi="Times New Roman"/>
          <w:noProof/>
          <w:color w:val="000000" w:themeColor="text1"/>
          <w:sz w:val="24"/>
          <w:szCs w:val="24"/>
        </w:rPr>
        <w:t xml:space="preserve">Θα μπορούσαν να αναζητηθούν περαιτέρω συνέργειες με χρηματοδοτούμενες από την ΕΕ πρωτοβουλίες δικαστικής κατάρτισης σε </w:t>
      </w:r>
      <w:r>
        <w:rPr>
          <w:rFonts w:ascii="Times New Roman" w:hAnsi="Times New Roman"/>
          <w:b/>
          <w:bCs/>
          <w:noProof/>
          <w:color w:val="000000" w:themeColor="text1"/>
          <w:sz w:val="24"/>
          <w:szCs w:val="24"/>
        </w:rPr>
        <w:t>άλλες χώρες εκτός ΕΕ</w:t>
      </w:r>
      <w:r>
        <w:rPr>
          <w:rFonts w:ascii="Times New Roman" w:hAnsi="Times New Roman"/>
          <w:noProof/>
          <w:color w:val="000000" w:themeColor="text1"/>
          <w:sz w:val="24"/>
          <w:szCs w:val="24"/>
        </w:rPr>
        <w:t>, ιδίως στην Αφρική και τη Λατινική Αμερική, με σκοπό τη συμβολή στην ενίσχυση της δημοκρατίας, των ανθρωπίνων δικαιωμάτων και του κράτους δικαίου</w:t>
      </w:r>
      <w:r>
        <w:rPr>
          <w:rStyle w:val="FootnoteReference"/>
          <w:rFonts w:ascii="Times New Roman" w:hAnsi="Times New Roman" w:cs="Times New Roman"/>
          <w:noProof/>
          <w:color w:val="000000" w:themeColor="text1"/>
          <w:sz w:val="24"/>
          <w:szCs w:val="24"/>
        </w:rPr>
        <w:footnoteReference w:id="51"/>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Βιωσιμότητα</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Θα ενθαρρυνθεί ιδιαίτερα η διάδοση, εφαρμογή, επαναχρησιμοποίηση, επικαιροποίηση και προσαρμογή στο εθνικό πλαίσιο των </w:t>
      </w:r>
      <w:r>
        <w:rPr>
          <w:rFonts w:ascii="Times New Roman" w:hAnsi="Times New Roman"/>
          <w:b/>
          <w:bCs/>
          <w:noProof/>
          <w:sz w:val="24"/>
          <w:szCs w:val="24"/>
        </w:rPr>
        <w:t>εκπαιδευτικών ενοτήτων, πακέτων και δημοσιεύσεων κατάρτισης</w:t>
      </w:r>
      <w:r>
        <w:rPr>
          <w:rFonts w:ascii="Times New Roman" w:hAnsi="Times New Roman"/>
          <w:noProof/>
          <w:sz w:val="24"/>
          <w:szCs w:val="24"/>
        </w:rPr>
        <w:t>, π.χ. εγχειριδίων και κατευθυντήριων γραμμών, όπως αυτά καταρτίζονται με την υποστήριξη από κονδύλια της ΕΕ</w:t>
      </w:r>
      <w:r>
        <w:rPr>
          <w:rStyle w:val="FootnoteReference"/>
          <w:rFonts w:ascii="Times New Roman" w:eastAsia="Calibri" w:hAnsi="Times New Roman" w:cs="Times New Roman"/>
          <w:noProof/>
          <w:sz w:val="24"/>
          <w:szCs w:val="24"/>
          <w:lang w:eastAsia="en-GB"/>
        </w:rPr>
        <w:footnoteReference w:id="52"/>
      </w:r>
      <w:r>
        <w:rPr>
          <w:rFonts w:ascii="Times New Roman" w:hAnsi="Times New Roman"/>
          <w:noProof/>
          <w:sz w:val="24"/>
          <w:szCs w:val="24"/>
        </w:rPr>
        <w:t xml:space="preserve"> και ανταλλάσσονται μεταξύ παρόχων κατάρτισης σε εθνικό και ενωσιακό επίπεδο, καθώς και η κατάρτιση που στοχεύει σε πολλαπλασιαστές, όπως οι εκπαιδευτές.</w:t>
      </w:r>
    </w:p>
    <w:p>
      <w:pPr>
        <w:pStyle w:val="Heading2"/>
        <w:tabs>
          <w:tab w:val="clear" w:pos="1077"/>
        </w:tabs>
        <w:ind w:left="709" w:hanging="709"/>
        <w:rPr>
          <w:noProof/>
        </w:rPr>
      </w:pPr>
      <w:r>
        <w:rPr>
          <w:noProof/>
        </w:rPr>
        <w:t>Παρακολούθηση</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Η Επιτροπή θα συνεχίσει να υποβάλλει </w:t>
      </w:r>
      <w:r>
        <w:rPr>
          <w:rFonts w:ascii="Times New Roman" w:hAnsi="Times New Roman"/>
          <w:b/>
          <w:bCs/>
          <w:noProof/>
          <w:color w:val="000000" w:themeColor="text1"/>
          <w:sz w:val="24"/>
          <w:szCs w:val="24"/>
        </w:rPr>
        <w:t>εκθέσεις</w:t>
      </w:r>
      <w:r>
        <w:rPr>
          <w:rFonts w:ascii="Times New Roman" w:hAnsi="Times New Roman"/>
          <w:noProof/>
          <w:color w:val="000000" w:themeColor="text1"/>
          <w:sz w:val="24"/>
          <w:szCs w:val="24"/>
        </w:rPr>
        <w:t xml:space="preserve"> σχετικά με την πρόοδο της κατάρτισης των επαγγελματιών του τομέα απονομής δικαιοσύνης στο ενωσιακό δίκαιο. Θα εξετάσει από κοινού με τα ενδιαφερόμενα μέρη τρόπους βελτίωσης της συλλογής και ανάλυσης δεδομένων.</w:t>
      </w:r>
      <w:bookmarkEnd w:id="5"/>
    </w:p>
    <w:p>
      <w:pPr>
        <w:spacing w:after="160" w:line="259" w:lineRule="auto"/>
        <w:rPr>
          <w:rFonts w:ascii="Times New Roman" w:hAnsi="Times New Roman" w:cs="Times New Roman"/>
          <w:b/>
          <w:bCs/>
          <w:i/>
          <w:iCs/>
          <w:noProof/>
          <w:sz w:val="24"/>
          <w:szCs w:val="24"/>
        </w:rPr>
      </w:pPr>
      <w:r>
        <w:rPr>
          <w:noProof/>
        </w:rPr>
        <w:br w:type="page"/>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Συστάσεις:</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b/>
          <w:bCs/>
          <w:noProof/>
        </w:rPr>
        <w:t>Όλα τα κράτη μέλη</w:t>
      </w:r>
      <w:r>
        <w:rPr>
          <w:noProof/>
        </w:rPr>
        <w:t xml:space="preserve"> — δημιουργία </w:t>
      </w:r>
      <w:r>
        <w:rPr>
          <w:b/>
          <w:bCs/>
          <w:noProof/>
        </w:rPr>
        <w:t>εθνικού δικτύου συντονιστών του ενωσιακού δικαίου</w:t>
      </w:r>
      <w:r>
        <w:rPr>
          <w:noProof/>
        </w:rPr>
        <w:t xml:space="preserve"> για δικαστές και εισαγγελείς· προώθηση της διασυνοριακής συνεργασίας μεταξύ των εν λόγω δικτύων.</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b/>
          <w:bCs/>
          <w:noProof/>
        </w:rPr>
        <w:t>Άλλα επαγγέλματα του τομέα απονομής δικαιοσύνης</w:t>
      </w:r>
      <w:r>
        <w:rPr>
          <w:noProof/>
        </w:rPr>
        <w:t xml:space="preserve"> — δημιουργία παρόμοιων θέσεων για την υποστήριξη της πρακτικής εκμάθησης, κατά τη διάρκεια της εργασίας, από ομοτίμους.</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bCs/>
          <w:i/>
          <w:iCs/>
          <w:noProof/>
          <w:sz w:val="24"/>
          <w:szCs w:val="24"/>
        </w:rPr>
        <w:t>Ενέργειες για τα ενδιαφερόμενα μέρη:</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b/>
          <w:bCs/>
          <w:noProof/>
        </w:rPr>
        <w:t>ΕΔΚΔ</w:t>
      </w:r>
      <w:r>
        <w:rPr>
          <w:noProof/>
        </w:rPr>
        <w:t xml:space="preserve"> — υλοποίηση </w:t>
      </w:r>
      <w:r>
        <w:rPr>
          <w:b/>
          <w:bCs/>
          <w:noProof/>
        </w:rPr>
        <w:t>ποιοτικής κατάρτισης</w:t>
      </w:r>
      <w:r>
        <w:rPr>
          <w:noProof/>
        </w:rPr>
        <w:t>, μεταξύ άλλων με ηλεκτρονική μάθηση, για δικαστές και εισαγγελείς, ανταπόκριση στις ανάγκες των δικαστικών υπαλλήλων και αύξηση του πολλαπλασιαστικού αποτελέσματος των παραδοτέων σε ενωσιακό επίπεδο, μέσω της προώθησης της παροχής κατάρτισης στο ενωσιακό δίκαιο από τα μέλη του.</w:t>
      </w:r>
    </w:p>
    <w:p>
      <w:pPr>
        <w:pStyle w:val="ListBullet2"/>
        <w:pBdr>
          <w:top w:val="single" w:sz="4" w:space="1" w:color="auto"/>
          <w:left w:val="single" w:sz="4" w:space="4" w:color="auto"/>
          <w:bottom w:val="single" w:sz="4" w:space="15" w:color="auto"/>
          <w:right w:val="single" w:sz="4" w:space="4" w:color="auto"/>
        </w:pBdr>
        <w:spacing w:after="120" w:line="276" w:lineRule="auto"/>
        <w:rPr>
          <w:noProof/>
          <w:color w:val="000000" w:themeColor="text1"/>
        </w:rPr>
      </w:pPr>
      <w:r>
        <w:rPr>
          <w:b/>
          <w:bCs/>
          <w:noProof/>
        </w:rPr>
        <w:t>Δίκτυα σε επίπεδο ΕΕ, πάροχοι κατάρτισης και οργανώσεις για επαγγελματίες του τομέα απονομής δικαιοσύνης</w:t>
      </w:r>
      <w:r>
        <w:rPr>
          <w:noProof/>
        </w:rPr>
        <w:t xml:space="preserve"> — περαιτέρω προώθηση, συντονισμός και/ή οργάνωση </w:t>
      </w:r>
      <w:r>
        <w:rPr>
          <w:b/>
          <w:bCs/>
          <w:noProof/>
        </w:rPr>
        <w:t>διασυνοριακών δραστηριοτήτων κατάρτισης</w:t>
      </w:r>
      <w:r>
        <w:rPr>
          <w:noProof/>
        </w:rPr>
        <w:t>, συμπεριλαμβανομένων των διαδραστικών ηλεκτρονικών δραστηριοτήτων, με παράλληλο πολλαπλασιασμό των αποτελεσμάτων της κατάρτισης.</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bCs/>
          <w:i/>
          <w:iCs/>
          <w:noProof/>
          <w:sz w:val="24"/>
          <w:szCs w:val="24"/>
        </w:rPr>
        <w:t>Ενέργειες της Επιτροπής:</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Στήριξη της </w:t>
      </w:r>
      <w:r>
        <w:rPr>
          <w:b/>
          <w:bCs/>
          <w:noProof/>
        </w:rPr>
        <w:t>συνεργασίας μεταξύ των ενδιαφερόμενων μερών</w:t>
      </w:r>
      <w:r>
        <w:rPr>
          <w:noProof/>
        </w:rPr>
        <w:t xml:space="preserve"> για την επίτευξη των στόχων της παρούσας στρατηγικής.</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Χορήγηση χρηματοδοτικής στήριξης από την ΕΕ σε </w:t>
      </w:r>
      <w:r>
        <w:rPr>
          <w:b/>
          <w:bCs/>
          <w:noProof/>
        </w:rPr>
        <w:t>έργα υψηλής ποιότητας</w:t>
      </w:r>
      <w:r>
        <w:rPr>
          <w:noProof/>
        </w:rPr>
        <w:t xml:space="preserve"> που αντιμετωπίζουν συγκεκριμένες ανάγκες κατάρτισης με </w:t>
      </w:r>
      <w:r>
        <w:rPr>
          <w:b/>
          <w:bCs/>
          <w:noProof/>
        </w:rPr>
        <w:t>βιώσιμο</w:t>
      </w:r>
      <w:r>
        <w:rPr>
          <w:noProof/>
        </w:rPr>
        <w:t xml:space="preserve"> τρόπο, καθώς και στο ΕΔΚΔ μέσω του προγράμματος «Δικαιοσύνη».</w:t>
      </w:r>
    </w:p>
    <w:p>
      <w:pPr>
        <w:pStyle w:val="ListBullet2"/>
        <w:pBdr>
          <w:top w:val="single" w:sz="4" w:space="1" w:color="auto"/>
          <w:left w:val="single" w:sz="4" w:space="4" w:color="auto"/>
          <w:bottom w:val="single" w:sz="4" w:space="15" w:color="auto"/>
          <w:right w:val="single" w:sz="4" w:space="4" w:color="auto"/>
        </w:pBdr>
        <w:spacing w:after="200" w:line="276" w:lineRule="auto"/>
        <w:rPr>
          <w:noProof/>
        </w:rPr>
      </w:pPr>
      <w:r>
        <w:rPr>
          <w:noProof/>
        </w:rPr>
        <w:t xml:space="preserve">Σε συνεργασία με τα ενδιαφερόμενα μέρη, καθιέρωση βελτιωμένου συστήματος </w:t>
      </w:r>
      <w:r>
        <w:rPr>
          <w:b/>
          <w:bCs/>
          <w:noProof/>
        </w:rPr>
        <w:t>παρακολούθησης</w:t>
      </w:r>
      <w:r>
        <w:rPr>
          <w:noProof/>
        </w:rPr>
        <w:t>.</w:t>
      </w:r>
    </w:p>
    <w:p>
      <w:pPr>
        <w:pStyle w:val="Heading1"/>
        <w:numPr>
          <w:ilvl w:val="0"/>
          <w:numId w:val="69"/>
        </w:numPr>
        <w:spacing w:before="200" w:after="200"/>
        <w:rPr>
          <w:noProof/>
        </w:rPr>
      </w:pPr>
      <w:r>
        <w:rPr>
          <w:noProof/>
        </w:rPr>
        <w:t>Συμπέρασμα</w:t>
      </w:r>
    </w:p>
    <w:p>
      <w:pPr>
        <w:jc w:val="both"/>
        <w:rPr>
          <w:rFonts w:ascii="Times New Roman" w:hAnsi="Times New Roman" w:cs="Times New Roman"/>
          <w:noProof/>
          <w:sz w:val="24"/>
          <w:szCs w:val="24"/>
        </w:rPr>
      </w:pPr>
      <w:r>
        <w:rPr>
          <w:rFonts w:ascii="Times New Roman" w:hAnsi="Times New Roman"/>
          <w:noProof/>
          <w:sz w:val="24"/>
          <w:szCs w:val="24"/>
        </w:rPr>
        <w:t>Η παρούσα στρατηγική για την ευρωπαϊκή δικαστική κατάρτιση 2021-2024 καθορίζει το πλαίσιο για μια φιλόδοξη δέσμη βασικών δράσεων με στόχο την προώθηση της ορθής και αποτελεσματικής εφαρμογής του ενωσιακού δικαίου. Αποσκοπεί στην εδραίωση κοινής ευρωπαϊκής δικαστικής κουλτούρας με βάση το κράτος δικαίου, τα θεμελιώδη δικαιώματα και την αμοιβαία εμπιστοσύνη.</w:t>
      </w:r>
    </w:p>
    <w:p>
      <w:pPr>
        <w:jc w:val="both"/>
        <w:rPr>
          <w:rFonts w:ascii="Times New Roman" w:hAnsi="Times New Roman" w:cs="Times New Roman"/>
          <w:noProof/>
          <w:sz w:val="24"/>
          <w:szCs w:val="24"/>
        </w:rPr>
      </w:pPr>
      <w:r>
        <w:rPr>
          <w:rFonts w:ascii="Times New Roman" w:hAnsi="Times New Roman"/>
          <w:noProof/>
          <w:sz w:val="24"/>
          <w:szCs w:val="24"/>
        </w:rPr>
        <w:t>Προκειμένου να διασφαλιστεί η επιτυχία της στρατηγικής, η Επιτροπή καλεί όλα τα ενδιαφερόμενα μέρη —υπουργεία δικαιοσύνης, δικαστικά και εισαγγελικά συμβούλια, συμβούλια αυτορρυθμιζόμενων επαγγελμάτων, ευρωπαϊκές ενώσεις επαγγελματιών του τομέα απονομής δικαιοσύνης, παρόχους κατάρτισης σε εθνικό και ενωσιακό επίπεδο, θεσμικά όργανα και οργανισμούς της ΕΕ— να δεσμευτούν για την επίτευξη των ποσοτικών και ποιοτικών στόχων της.</w:t>
      </w:r>
    </w:p>
    <w:p>
      <w:pPr>
        <w:jc w:val="both"/>
        <w:rPr>
          <w:rFonts w:ascii="Times New Roman" w:hAnsi="Times New Roman" w:cs="Times New Roman"/>
          <w:noProof/>
          <w:sz w:val="24"/>
          <w:szCs w:val="24"/>
        </w:rPr>
      </w:pPr>
      <w:r>
        <w:rPr>
          <w:rFonts w:ascii="Times New Roman" w:hAnsi="Times New Roman"/>
          <w:noProof/>
          <w:sz w:val="24"/>
          <w:szCs w:val="24"/>
        </w:rPr>
        <w:t>Η Επιτροπή θα παρακολουθεί τακτικά την εφαρμογή της στρατηγικής και θα συνεργάζεται με τα άλλα θεσμικά όργανα της ΕΕ για να εξασφαλίσει την απαιτούμενη πολιτική στήριξη για την επίτευξη των στόχων.</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847"/>
      <w:docPartObj>
        <w:docPartGallery w:val="Page Numbers (Bottom of Page)"/>
        <w:docPartUnique/>
      </w:docPartObj>
    </w:sdtPr>
    <w:sdtEndPr>
      <w:rPr>
        <w:rFonts w:ascii="Times New Roman" w:hAnsi="Times New Roman" w:cs="Times New Roman"/>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Άρθρο 81 παράγραφος 2 στοιχείο η) και άρθρο 82 παράγραφος 1 στοιχείο γ) της Συνθήκης για τη λειτουργία της Ευρωπαϊκής Ένωσης.</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COM(2011) 551 final.</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iCs/>
        </w:rPr>
        <w:t>Judicial training in the EU Member States</w:t>
      </w:r>
      <w:r>
        <w:rPr>
          <w:rFonts w:ascii="Times New Roman" w:hAnsi="Times New Roman"/>
        </w:rPr>
        <w:t xml:space="preserve"> (Δικαστική κατάρτιση στα κράτη μέλη της ΕΕ), μελέτη του Ευρωπαϊκού Κοινοβουλίου [IPOL-JURI-ET(2011)453.198].</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iCs/>
        </w:rPr>
        <w:t>Evaluation of the 2011-2020 European judicial training strategy</w:t>
      </w:r>
      <w:r>
        <w:rPr>
          <w:rFonts w:ascii="Times New Roman" w:hAnsi="Times New Roman"/>
        </w:rPr>
        <w:t xml:space="preserve"> (Αξιολόγηση της στρατηγικής για την ευρωπαϊκή δικαστική κατάρτιση 2011-2020), έγγραφο εργασίας των υπηρεσιών της Επιτροπής [SWD(2019) 380].</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Εκθέσεις της Γενικής Διεύθυνσης Δικαιοσύνης και Καταναλωτών της Επιτροπής.</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https://ec.europa.eu/info/consultations/training-justice-professionals-eu-law-evaluation_el</w:t>
        </w:r>
      </w:hyperlink>
      <w:r>
        <w:t>.</w:t>
      </w:r>
    </w:p>
  </w:footnote>
  <w:footnote w:id="8">
    <w:p>
      <w:pPr>
        <w:pStyle w:val="FootnoteText"/>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Ανακοινώσεις της Επιτροπής, </w:t>
      </w:r>
      <w:r>
        <w:rPr>
          <w:rFonts w:ascii="Times New Roman" w:hAnsi="Times New Roman"/>
          <w:i/>
          <w:iCs/>
        </w:rPr>
        <w:t>Ενίσχυση του κράτους δικαίου εντός της Ένωσης — Στρατηγικό σχέδιο δράσης</w:t>
      </w:r>
      <w:r>
        <w:rPr>
          <w:rFonts w:ascii="Times New Roman" w:hAnsi="Times New Roman"/>
        </w:rPr>
        <w:t xml:space="preserve"> [COM(2019) 343 final] και </w:t>
      </w:r>
      <w:r>
        <w:rPr>
          <w:rFonts w:ascii="Times New Roman" w:hAnsi="Times New Roman"/>
          <w:i/>
          <w:iCs/>
        </w:rPr>
        <w:t>Έκθεση του 2020 για το κράτος δικαίου — Η κατάσταση του κράτους δικαίου στην Ευρωπαϊκή Ένωση</w:t>
      </w:r>
      <w:r>
        <w:rPr>
          <w:rFonts w:ascii="Times New Roman" w:hAnsi="Times New Roman"/>
        </w:rPr>
        <w:t xml:space="preserve"> [COM (2020) 580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τον γενικό κανονισμό για την προστασία δεδομένων, την οδηγία για την επιβολή του νόμου και την πρόσφατη νομολογία του ΔΕΕ, π.χ. απόφαση της 8ης Απριλίου 2014, </w:t>
      </w:r>
      <w:r>
        <w:rPr>
          <w:rFonts w:ascii="Times New Roman" w:hAnsi="Times New Roman"/>
          <w:i/>
          <w:iCs/>
        </w:rPr>
        <w:t>Digital Rights</w:t>
      </w:r>
      <w:r>
        <w:rPr>
          <w:rFonts w:ascii="Times New Roman" w:hAnsi="Times New Roman"/>
        </w:rPr>
        <w:t xml:space="preserve">, συνεκδικασθείσες υποθέσεις C-293/12 και C-594/12· απόφαση της 21ης Δεκεμβρίου 2016, </w:t>
      </w:r>
      <w:r>
        <w:rPr>
          <w:rFonts w:ascii="Times New Roman" w:hAnsi="Times New Roman"/>
          <w:i/>
          <w:iCs/>
        </w:rPr>
        <w:t>Tele2 Sverige</w:t>
      </w:r>
      <w:r>
        <w:rPr>
          <w:rFonts w:ascii="Times New Roman" w:hAnsi="Times New Roman"/>
        </w:rPr>
        <w:t>, C-203/15.</w:t>
      </w:r>
    </w:p>
  </w:footnote>
  <w:footnote w:id="10">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 xml:space="preserve">Ανακοίνωση της Επιτροπής, </w:t>
      </w:r>
      <w:r>
        <w:rPr>
          <w:rFonts w:ascii="Times New Roman" w:hAnsi="Times New Roman"/>
          <w:i/>
          <w:iCs/>
        </w:rPr>
        <w:t>Strategy to reinforce the application of the Charter of Fundamental Rights in the EU</w:t>
      </w:r>
      <w:r>
        <w:rPr>
          <w:rFonts w:ascii="Times New Roman" w:hAnsi="Times New Roman"/>
        </w:rPr>
        <w:t xml:space="preserve"> (Στρατηγική ενίσχυσης της εφαρμογής του Χάρτη των Θεμελιωδών Δικαιωμάτων στην ΕΕ) [COM(2020) 711 final].</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Σύμφωνα με την ανακοίνωση της Επιτροπής </w:t>
      </w:r>
      <w:r>
        <w:rPr>
          <w:rFonts w:ascii="Times New Roman" w:hAnsi="Times New Roman"/>
          <w:i/>
          <w:iCs/>
        </w:rPr>
        <w:t>Digitalisation of justice in the EU</w:t>
      </w:r>
      <w:r>
        <w:rPr>
          <w:rFonts w:ascii="Times New Roman" w:hAnsi="Times New Roman"/>
        </w:rPr>
        <w:t xml:space="preserve"> (Ψηφιοποίηση της δικαιοσύνης στην ΕΕ) [COM (2020) 710 final].</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Συμπεράσματα του Συμβουλίου </w:t>
      </w:r>
      <w:r>
        <w:rPr>
          <w:rFonts w:ascii="Times New Roman" w:hAnsi="Times New Roman"/>
          <w:i/>
          <w:iCs/>
        </w:rPr>
        <w:t>Πρόσβαση στη δικαιοσύνη — αξιοποίηση των ευκαιριών της ψηφιοποίησης</w:t>
      </w:r>
      <w:r>
        <w:rPr>
          <w:rFonts w:ascii="Times New Roman" w:hAnsi="Times New Roman"/>
        </w:rPr>
        <w:t xml:space="preserve"> (2020/C 342 I/01).</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Ανακοίνωση της Επιτροπής, </w:t>
      </w:r>
      <w:r>
        <w:rPr>
          <w:rFonts w:ascii="Times New Roman" w:hAnsi="Times New Roman"/>
          <w:i/>
          <w:iCs/>
        </w:rPr>
        <w:t>Στρατηγική της ΕΕ για τα δικαιώματα των θυμάτων (2020-2025)</w:t>
      </w:r>
      <w:r>
        <w:rPr>
          <w:rFonts w:ascii="Times New Roman" w:hAnsi="Times New Roman"/>
        </w:rPr>
        <w:t xml:space="preserve"> [COM (2020) 258 final].</w:t>
      </w:r>
    </w:p>
  </w:footnote>
  <w:footnote w:id="1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Επικείμενη </w:t>
      </w:r>
      <w:r>
        <w:rPr>
          <w:rFonts w:ascii="Times New Roman" w:hAnsi="Times New Roman"/>
          <w:i/>
          <w:iCs/>
        </w:rPr>
        <w:t>στρατηγική της ΕΕ για τα δικαιώματα του παιδιού</w:t>
      </w:r>
      <w:r>
        <w:rPr>
          <w:rFonts w:ascii="Times New Roman" w:hAnsi="Times New Roman"/>
        </w:rPr>
        <w:t xml:space="preserve"> (θα εγκριθεί το 2021).</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τον οδηγό της Διεθνούς Επιτροπής Νομικών με θέμα </w:t>
      </w:r>
      <w:r>
        <w:rPr>
          <w:rFonts w:ascii="Times New Roman" w:hAnsi="Times New Roman"/>
          <w:i/>
          <w:iCs/>
        </w:rPr>
        <w:t>Women’s access to justice for gender-based violence</w:t>
      </w:r>
      <w:r>
        <w:rPr>
          <w:rFonts w:ascii="Times New Roman" w:hAnsi="Times New Roman"/>
        </w:rPr>
        <w:t xml:space="preserve"> (Πρόσβαση των γυναικών στη δικαιοσύνη για τη βία με βάση το φύλο): </w:t>
      </w:r>
      <w:hyperlink r:id="rId2" w:history="1">
        <w:r>
          <w:rPr>
            <w:rStyle w:val="Hyperlink"/>
            <w:rFonts w:ascii="Times New Roman" w:hAnsi="Times New Roman"/>
          </w:rPr>
          <w:t>http://www.icj.org/wp-content/uploads/2016/03/Universal-Womens-accesss-to-justice-Publications-Practitioners-Guide-Series-2016-ENG.pdf</w:t>
        </w:r>
      </w:hyperlink>
      <w:r>
        <w:t>.</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Διά βίου επαγγελματική κατάρτιση.</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Σ’ αυτήν περιλαμβάνεται η κατάρτιση στους μοναδικούς μηχανισμούς συνεργασίας για την επιβολή της νομοθεσίας, π.χ. στο πλαίσιο του κανονισμού σχετικά με τη συνεργασία για την προστασία των καταναλωτών [κανονισμός (ΕΕ) 2017/2394].</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Π.χ. ανέντιμοι έμποροι που καταφεύγουν σε αθέμιτες εμπορικές πρακτικές, μαζικές ακυρώσεις πτήσεων χωρίς να γίνεται σεβαστό το δικαίωμα των καταναλωτών στην επιστροφή των χρημάτων.</w:t>
      </w:r>
    </w:p>
  </w:footnote>
  <w:footnote w:id="19">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 xml:space="preserve">Ανακοίνωση της Επιτροπής, </w:t>
      </w:r>
      <w:r>
        <w:rPr>
          <w:rFonts w:ascii="Times New Roman" w:hAnsi="Times New Roman"/>
          <w:i/>
          <w:iCs/>
        </w:rPr>
        <w:t>Μακροπρόθεσμο σχέδιο δράσης για τη βελτίωση της εφαρμογής και της επιβολής των κανόνων της ενιαίας αγοράς</w:t>
      </w:r>
      <w:r>
        <w:rPr>
          <w:rFonts w:ascii="Times New Roman" w:hAnsi="Times New Roman"/>
        </w:rPr>
        <w:t xml:space="preserve"> [COM(2020) 94 final].</w:t>
      </w:r>
    </w:p>
  </w:footnote>
  <w:footnote w:id="20">
    <w:p>
      <w:pPr>
        <w:pStyle w:val="NormalWeb"/>
        <w:spacing w:before="0" w:beforeAutospacing="0" w:after="0" w:afterAutospacing="0"/>
        <w:ind w:left="284" w:hanging="284"/>
        <w:rPr>
          <w:sz w:val="20"/>
          <w:szCs w:val="20"/>
        </w:rPr>
      </w:pPr>
      <w:r>
        <w:rPr>
          <w:rStyle w:val="FootnoteReference"/>
          <w:sz w:val="20"/>
          <w:szCs w:val="20"/>
        </w:rPr>
        <w:footnoteRef/>
      </w:r>
      <w:r>
        <w:rPr>
          <w:sz w:val="20"/>
          <w:szCs w:val="20"/>
        </w:rPr>
        <w:t xml:space="preserve"> </w:t>
      </w:r>
      <w:r>
        <w:rPr>
          <w:sz w:val="20"/>
          <w:szCs w:val="20"/>
        </w:rPr>
        <w:tab/>
        <w:t xml:space="preserve">Ανακοίνωση της Επιτροπής, </w:t>
      </w:r>
      <w:r>
        <w:rPr>
          <w:i/>
          <w:iCs/>
          <w:sz w:val="20"/>
          <w:szCs w:val="20"/>
        </w:rPr>
        <w:t>Προστασία των ενδοενωσιακών επενδύσεων</w:t>
      </w:r>
      <w:r>
        <w:rPr>
          <w:sz w:val="20"/>
          <w:szCs w:val="20"/>
        </w:rPr>
        <w:t xml:space="preserve"> [COM(2018) 547 final].</w:t>
      </w:r>
    </w:p>
  </w:footnote>
  <w:footnote w:id="2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Π.χ. κυβερνοεπιθέσεις στον κλάδο της υγείας, εμπόριο παραποιημένων φαρμάκων, απάτη σχετικά με προστατευτικό εξοπλισμό ή τεστ COVID-19 και παράνομη διάθεση υγειονομικών αποβλήτων.</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https://www.cepol.europa.eu/media/news/cepol-issues-fast-track-needs-analysis-impact-covid-19-law-enforcement-training</w:t>
        </w:r>
      </w:hyperlink>
      <w:r>
        <w:t>.</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Δηλ. το σύνολο των δικαστικών δεξιοτήτων και στάσεων.</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υποσημείωση 5 και την έκθεση του 2020· </w:t>
      </w:r>
      <w:hyperlink r:id="rId4" w:history="1">
        <w:r>
          <w:rPr>
            <w:rStyle w:val="Hyperlink"/>
            <w:rFonts w:ascii="Times New Roman" w:hAnsi="Times New Roman"/>
          </w:rPr>
          <w:t>https://ec.europa.eu/info/law/cross-border-cases/training-legal-practitioners-and-training-practices_el</w:t>
        </w:r>
      </w:hyperlink>
      <w:r>
        <w:rPr>
          <w:rFonts w:ascii="Times New Roman" w:hAnsi="Times New Roman"/>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Αφορά όλα τα δικαστήρια, συμπεριλαμβανομένων των διοικητικών.</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Βλ. ανακοίνωση της Επιτροπής COM(2013) 172.</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απόφαση της 5ης Απριλίου 2016, </w:t>
      </w:r>
      <w:r>
        <w:rPr>
          <w:rFonts w:ascii="Times New Roman" w:hAnsi="Times New Roman"/>
          <w:i/>
          <w:iCs/>
        </w:rPr>
        <w:t>PPU Aranyosi και Căldăraru</w:t>
      </w:r>
      <w:r>
        <w:rPr>
          <w:rFonts w:ascii="Times New Roman" w:hAnsi="Times New Roman"/>
        </w:rPr>
        <w:t xml:space="preserve">, C-404/15 και C-659/15, απόφαση της 25ης Ιουλίου 2018, </w:t>
      </w:r>
      <w:r>
        <w:rPr>
          <w:rFonts w:ascii="Times New Roman" w:hAnsi="Times New Roman"/>
          <w:i/>
          <w:iCs/>
        </w:rPr>
        <w:t>PPU ML</w:t>
      </w:r>
      <w:r>
        <w:rPr>
          <w:rFonts w:ascii="Times New Roman" w:hAnsi="Times New Roman"/>
        </w:rPr>
        <w:t xml:space="preserve">, C-220/18, και απόφαση της 15ης Οκτωβρίου 2019, </w:t>
      </w:r>
      <w:r>
        <w:rPr>
          <w:rFonts w:ascii="Times New Roman" w:hAnsi="Times New Roman"/>
          <w:i/>
          <w:iCs/>
        </w:rPr>
        <w:t>Dorobantu</w:t>
      </w:r>
      <w:r>
        <w:rPr>
          <w:rFonts w:ascii="Times New Roman" w:hAnsi="Times New Roman"/>
        </w:rPr>
        <w:t>, C-128/18.</w:t>
      </w:r>
    </w:p>
  </w:footnote>
  <w:footnote w:id="28">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i/>
          <w:iCs/>
          <w:color w:val="000000" w:themeColor="text1"/>
        </w:rPr>
        <w:t>Θεματολόγιο και σχέδιο δράσης της ΕΕ για τα ναρκωτικά (2021-2025)</w:t>
      </w:r>
      <w:r>
        <w:rPr>
          <w:rFonts w:ascii="Times New Roman" w:hAnsi="Times New Roman"/>
          <w:color w:val="000000" w:themeColor="text1"/>
        </w:rPr>
        <w:t xml:space="preserve"> [COM (2020) 606].</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Οδηγία 2008/52/ΕΚ του Ευρωπαϊκού Κοινοβουλίου και του Συμβουλίου, της 21ης Μαΐου 2008, για ορισμένα θέματα διαμεσολάβησης σε αστικές και εμπορικές υποθέσεις (ΕΕ L 136 της 24.5.2008, σ. 3).</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Συμπεράσματα του Συμβουλίου και σχέδιο δράσης για τα επόμενα βήματα με στόχο τη δημιουργία Ευρωπαϊκού Εγκληματολογικού Χώρου (10128/16).</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Κανονισμός (EE) 2015/848 του Ευρωπαϊκού Κοινοβουλίου και του Συμβουλίου, της 20ής Μαΐου 2015, περί των διαδικασιών αφερεγγυότητας (ΕΕ L 141 της 5.6.2015, σ. 19) και οδηγία (ΕΕ) 2019/1023 του Ευρωπαϊκού Κοινοβουλίου και του Συμβουλίου, της 20ής Ιουνίου 2019, περί πλαισίου για την προληπτική αναδιάρθρωση, την απαλλαγή από τα χρέη και τις ανικανότητες ή την έκπτωση οφειλετών, καθώς και περί μέτρων βελτίωσης των διαδικασιών αυτών, και για την τροποποίηση της οδηγίας (ΕΕ) 2017/1132 (Οδηγία για την αναδιάρθρωση και την αφερεγγυότητα) (ΕΕ L 172 της 26.6.2019, σ. 18).</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Οδηγία 2010/64/ΕΕ του Ευρωπαϊκού Κοινοβουλίου και του Συμβουλίου, της 20ής Οκτωβρίου 2010, σχετικά με το δικαίωμα σε διερμηνεία και μετάφραση κατά την ποινική διαδικασία (ΕΕ L 280 της 26.10.2010, σ. 1).</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Οι δυσκολίες στη συλλογή δεδομένων θα ληφθούν υπόψη κατά την παρακολούθηση της κατάρτισης των δικηγόρων.</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Η Επιτροπή χαιρετίζει την απόφαση του ΕΔΚΔ να επεκτείνει το κοινό-στόχο του στους δικαστικούς και εισαγγελικούς υπαλλήλους.</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Σημερινά μέλη της ΕΕ: Αυστρία, Βέλγιο, Βουλγαρία, Τσεχία, Γερμανία, Εσθονία, Ισπανία, Φινλανδία, Γαλλία, Κροατία, Ιρλανδία, Ιταλία, Λουξεμβούργο, Λετονία, Κάτω Χώρες, Πολωνία, Πορτογαλία, Ρουμανία, Σλοβενία και Σουηδία.</w:t>
      </w:r>
    </w:p>
  </w:footnote>
  <w:footnote w:id="36">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Π.χ. εκπαίδευση με εικονική φυσική παρουσία: διαδραστική εικονική αίθουσα διδασκαλίας· εικονική πραγματικότητα: εικονικό περιβάλλον κατάρτισης προσβάσιμο με ψηφιακές συσκευές· επαυξημένη πραγματικότητα: πραγματικό περιβάλλον, του οποίου τα στοιχεία επαυξάνονται με πληροφορίες παραγόμενες από υπολογιστή· μικτή πραγματικότητα: εικονικά στοιχεία προστίθενται στον πραγματικό κόσμο.</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Βλ. ΕΔΚΔ, </w:t>
      </w:r>
      <w:r>
        <w:rPr>
          <w:rFonts w:ascii="Times New Roman" w:hAnsi="Times New Roman"/>
          <w:i/>
          <w:iCs/>
        </w:rPr>
        <w:t>Guidelines for the evaluation of judicial training practices</w:t>
      </w:r>
      <w:r>
        <w:rPr>
          <w:rFonts w:ascii="Times New Roman" w:hAnsi="Times New Roman"/>
        </w:rPr>
        <w:t xml:space="preserve"> (Κατευθυντήριες γραμμές για την αξιολόγηση των πρακτικών δικαστικής κατάρτισης): </w:t>
      </w:r>
      <w:hyperlink r:id="rId5" w:history="1">
        <w:r>
          <w:rPr>
            <w:rStyle w:val="Hyperlink"/>
            <w:rFonts w:ascii="Times New Roman" w:hAnsi="Times New Roman"/>
          </w:rPr>
          <w:t>https://bit.ly/2UDmqtX</w:t>
        </w:r>
      </w:hyperlink>
      <w:r>
        <w:t>.</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 w:history="1">
        <w:r>
          <w:rPr>
            <w:rStyle w:val="Hyperlink"/>
            <w:rFonts w:ascii="Times New Roman" w:hAnsi="Times New Roman"/>
          </w:rPr>
          <w:t>https://e-justice.europa.eu/fileDownload.do?id=b9734471-2e0b-40cb-a3b8-d3a8cd9c6bbd</w:t>
        </w:r>
      </w:hyperlink>
      <w:r>
        <w:t>.</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 w:history="1">
        <w:r>
          <w:rPr>
            <w:rStyle w:val="Hyperlink"/>
            <w:rFonts w:ascii="Times New Roman" w:hAnsi="Times New Roman"/>
          </w:rPr>
          <w:t>http://www.ejtn.eu/PageFiles/11019/JUST_EL-TRA-00.pdf</w:t>
        </w:r>
      </w:hyperlink>
      <w:r>
        <w:t>.</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https://e-justice.europa.eu/content_european_training_platform-37158-el.do</w:t>
        </w:r>
      </w:hyperlink>
      <w:r>
        <w:t>.</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Κατάρτιση για μελλοντικούς ή νεοδιορισθέντες επαγγελματίες.</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Γενικές αρχές του ενωσιακού δικαίου και μέσα έννομης προστασίας, ρόλος του ΔΕΕ, τρόπος λειτουργίας της δικαστικής συνεργασίας, πού υπάρχουν σχετικές πληροφορίες και έντυπα κ.λπ.</w:t>
      </w:r>
    </w:p>
  </w:footnote>
  <w:footnote w:id="4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Το πρόγραμμα AIAKOS φέρνει κοντά μελλοντικούς ή νεοδιορισθέντες δικαστές από διάφορα κράτη μέλη σε έναν οργανισμό δικαστικής κατάρτισης ή σε δικαστήρια/εισαγγελίες, με σκοπό την προώθηση της αμοιβαίας κατανόησης των διαφόρων ευρωπαϊκών δικαστικών παραδόσεων και συστημάτων και την αύξηση της ευαισθητοποίησής τους όσον αφορά την ευρωπαϊκή διάσταση των (μελλοντικών) εργασιών τους.</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Συμπεράσματα του Συμβουλίου, </w:t>
      </w:r>
      <w:r>
        <w:rPr>
          <w:rFonts w:ascii="Times New Roman" w:hAnsi="Times New Roman"/>
          <w:i/>
          <w:iCs/>
        </w:rPr>
        <w:t>Κατάρτιση των ασκούντων νομικά επαγγέλματα: θεμελιώδες εργαλείο για την παγίωση του ενωσιακού κεκτημένου</w:t>
      </w:r>
      <w:r>
        <w:rPr>
          <w:rFonts w:ascii="Times New Roman" w:hAnsi="Times New Roman"/>
        </w:rPr>
        <w:t xml:space="preserve"> (2014/C 443/04).</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https://eur-lex.europa.eu/legal-content/EL/TXT/PDF/?uri=CELEX:52014XG1211(01)&amp;from=EN</w:t>
        </w:r>
      </w:hyperlink>
      <w:r>
        <w:t>.</w:t>
      </w:r>
      <w:r>
        <w:rPr>
          <w:rFonts w:ascii="Times New Roman" w:hAnsi="Times New Roman"/>
        </w:rPr>
        <w:t xml:space="preserve">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Σ’ αυτούς περιλαμβάνονται οι προτάσεις της Επιτροπής για κανονισμούς του Ευρωπαϊκού Κοινοβουλίου και του Συμβουλίου για το Ευρωπαϊκό Κοινωνικό Ταμείο+ (ΕΚΤ+) [COM(2018) 382], για τη θέσπιση του προγράμματος «Erasmus»: το πρόγραμμα της Ένωσης για την εκπαίδευση, την κατάρτιση, τη νεολαία και τον αθλητισμό [COM(2018) 367], για τη θέσπιση του προγράμματος «Δικαιώματα και αξίες» (2021-2027) [COM(2018) 383], για τη θέσπιση Προγράμματος για το Περιβάλλον και τη Δράση για το Κλίμα (LIFE) [COM(2018) 385], για τη θέσπιση του προγράμματος της ΕΕ για την καταπολέμηση της απάτης [COM(2018) 386] και για τη θέσπιση του Μηχανισμού Προενταξιακής Βοήθειας (ΜΠΒ ΙΙΙ) [COM(2018) 465].</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Βλ. υποσημείωση 4 (σ. 44).</w:t>
      </w:r>
    </w:p>
  </w:footnote>
  <w:footnote w:id="48">
    <w:p>
      <w:pPr>
        <w:pStyle w:val="FootnoteText"/>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Κοινή ανακοίνωση, </w:t>
      </w:r>
      <w:r>
        <w:rPr>
          <w:rFonts w:ascii="Times New Roman" w:hAnsi="Times New Roman"/>
          <w:i/>
          <w:iCs/>
        </w:rPr>
        <w:t>Επανεξέταση της Ευρωπαϊκής Πολιτικής Γειτονίας</w:t>
      </w:r>
      <w:r>
        <w:rPr>
          <w:rFonts w:ascii="Times New Roman" w:hAnsi="Times New Roman"/>
        </w:rPr>
        <w:t xml:space="preserve"> [JOIN(2015) 50 final]· </w:t>
      </w:r>
      <w:r>
        <w:rPr>
          <w:rFonts w:ascii="Times New Roman" w:hAnsi="Times New Roman"/>
          <w:i/>
          <w:iCs/>
        </w:rPr>
        <w:t>Πολιτική για την Ανατολική Εταιρική Σχέση μετά το 2020: Ενίσχυση της ανθεκτικότητας — μια ανατολική εταιρική σχέση που αποφέρει αποτελέσματα για όλους</w:t>
      </w:r>
      <w:r>
        <w:rPr>
          <w:rFonts w:ascii="Times New Roman" w:hAnsi="Times New Roman"/>
        </w:rPr>
        <w:t xml:space="preserve"> [JOIN(2020) 7 final].</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Ανακοίνωση της Επιτροπής, </w:t>
      </w:r>
      <w:r>
        <w:rPr>
          <w:rFonts w:ascii="Times New Roman" w:hAnsi="Times New Roman"/>
          <w:i/>
          <w:iCs/>
        </w:rPr>
        <w:t>Ενίσχυση της διαδικασίας προσχώρησης — Μια αξιόπιστη προοπτική της ΕΕ για τα Δυτικά Βαλκάνια</w:t>
      </w:r>
      <w:r>
        <w:rPr>
          <w:rFonts w:ascii="Times New Roman" w:hAnsi="Times New Roman"/>
        </w:rPr>
        <w:t xml:space="preserve"> [COM(2020) 57 final].</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Συμπεράσματα του Συμβουλίου σχετικά με τη διεύρυνση και τη διαδικασία σταθεροποίησης και σύνδεσης (7002/20).</w:t>
      </w:r>
    </w:p>
  </w:footnote>
  <w:footnote w:id="5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i/>
          <w:iCs/>
          <w:color w:val="000000" w:themeColor="text1"/>
        </w:rPr>
        <w:t>Προς μια ολοκληρωμένη στρατηγική με την Αφρική</w:t>
      </w:r>
      <w:r>
        <w:rPr>
          <w:rFonts w:ascii="Times New Roman" w:hAnsi="Times New Roman"/>
          <w:color w:val="000000" w:themeColor="text1"/>
        </w:rPr>
        <w:t xml:space="preserve"> [JOIN(2020) 4 final]· </w:t>
      </w:r>
      <w:r>
        <w:rPr>
          <w:rFonts w:ascii="Times New Roman" w:hAnsi="Times New Roman"/>
          <w:i/>
          <w:iCs/>
          <w:color w:val="000000" w:themeColor="text1"/>
        </w:rPr>
        <w:t>Λατινική Αμερική και Καραϊβική: συνένωση δυνάμεων για ένα κοινό μέλλον</w:t>
      </w:r>
      <w:r>
        <w:rPr>
          <w:rFonts w:ascii="Times New Roman" w:hAnsi="Times New Roman"/>
          <w:color w:val="000000" w:themeColor="text1"/>
        </w:rPr>
        <w:t xml:space="preserve"> [JOIN(2019) 6 final].</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Π.χ. </w:t>
      </w:r>
      <w:r>
        <w:rPr>
          <w:rFonts w:ascii="Times New Roman" w:hAnsi="Times New Roman"/>
          <w:i/>
          <w:iCs/>
        </w:rPr>
        <w:t>Training guide on the rule of law for judges and prosecutors</w:t>
      </w:r>
      <w:r>
        <w:rPr>
          <w:rFonts w:ascii="Times New Roman" w:hAnsi="Times New Roman"/>
        </w:rPr>
        <w:t xml:space="preserve"> (Οδηγός κατάρτισης σχετικά με το κράτος δικαίου για δικαστές και εισαγγελείς) (</w:t>
      </w:r>
      <w:hyperlink r:id="rId10" w:history="1">
        <w:r>
          <w:rPr>
            <w:rStyle w:val="Hyperlink"/>
            <w:rFonts w:ascii="Times New Roman" w:hAnsi="Times New Roman"/>
          </w:rPr>
          <w:t>http://www.ejtn.eu/PageFiles/16144/2019-056-Training%20guide-v5_FINAL.pdf</w:t>
        </w:r>
      </w:hyperlink>
      <w:r>
        <w:rPr>
          <w:rFonts w:ascii="Times New Roman" w:hAnsi="Times New Roman"/>
        </w:rPr>
        <w:t xml:space="preserve">)· </w:t>
      </w:r>
      <w:r>
        <w:rPr>
          <w:rFonts w:ascii="Times New Roman" w:hAnsi="Times New Roman"/>
          <w:i/>
          <w:iCs/>
        </w:rPr>
        <w:t>Rule of law in Europe – perspectives from practitioners and academics</w:t>
      </w:r>
      <w:r>
        <w:rPr>
          <w:rFonts w:ascii="Times New Roman" w:hAnsi="Times New Roman"/>
        </w:rPr>
        <w:t xml:space="preserve"> (Κράτος δικαίου στην Ευρώπη — απόψεις επαγγελματιών και ακαδημαϊκών) (</w:t>
      </w:r>
      <w:hyperlink r:id="rId11" w:history="1">
        <w:r>
          <w:rPr>
            <w:rStyle w:val="Hyperlink"/>
            <w:rFonts w:ascii="Times New Roman" w:hAnsi="Times New Roman"/>
          </w:rPr>
          <w:t>http://www.ejtn.eu/PageFiles/16144/2019-056-RoL%20Manual-170x240-WEB_FINAL.pdf</w:t>
        </w:r>
      </w:hyperlink>
      <w:r>
        <w:rPr>
          <w:rFonts w:ascii="Times New Roman" w:hAnsi="Times New Roman"/>
        </w:rPr>
        <w:t>)</w:t>
      </w:r>
      <w:r>
        <w:rPr>
          <w:rFonts w:ascii="Times New Roman" w:hAnsi="Times New Roman" w:cs="Times New Roman"/>
        </w:rPr>
        <w:t>·</w:t>
      </w:r>
      <w:r>
        <w:rPr>
          <w:rFonts w:ascii="Times New Roman" w:hAnsi="Times New Roman"/>
        </w:rPr>
        <w:t xml:space="preserve"> </w:t>
      </w:r>
      <w:r>
        <w:rPr>
          <w:rFonts w:ascii="Times New Roman" w:hAnsi="Times New Roman"/>
          <w:i/>
          <w:iCs/>
        </w:rPr>
        <w:t>EU environmental law training package</w:t>
      </w:r>
      <w:r>
        <w:rPr>
          <w:rFonts w:ascii="Times New Roman" w:hAnsi="Times New Roman"/>
        </w:rPr>
        <w:t xml:space="preserve"> (Δέσμη κατάρτισης στο ενωσιακό περιβαλλοντικό δίκαιο) (</w:t>
      </w:r>
      <w:hyperlink r:id="rId12" w:history="1">
        <w:r>
          <w:rPr>
            <w:rStyle w:val="Hyperlink"/>
            <w:rFonts w:ascii="Times New Roman" w:hAnsi="Times New Roman"/>
          </w:rPr>
          <w:t>https://ec.europa.eu/environment/legal/law/training_package.htm</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E1F2BEC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35399"/>
    <w:multiLevelType w:val="hybridMultilevel"/>
    <w:tmpl w:val="420888FE"/>
    <w:lvl w:ilvl="0" w:tplc="B0BA521A">
      <w:start w:val="1"/>
      <w:numFmt w:val="decimal"/>
      <w:lvlText w:val="4.%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3492CBB"/>
    <w:multiLevelType w:val="hybridMultilevel"/>
    <w:tmpl w:val="087AA2F8"/>
    <w:lvl w:ilvl="0" w:tplc="226CD0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49106B6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713DC6"/>
    <w:multiLevelType w:val="multilevel"/>
    <w:tmpl w:val="2770806E"/>
    <w:lvl w:ilvl="0">
      <w:start w:val="1"/>
      <w:numFmt w:val="decimal"/>
      <w:lvlText w:val="%1."/>
      <w:lvlJc w:val="left"/>
      <w:pPr>
        <w:ind w:left="720" w:hanging="360"/>
      </w:p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nsid w:val="12F2747C"/>
    <w:multiLevelType w:val="hybridMultilevel"/>
    <w:tmpl w:val="920652E2"/>
    <w:lvl w:ilvl="0" w:tplc="F7A2C6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F0F1B"/>
    <w:multiLevelType w:val="hybridMultilevel"/>
    <w:tmpl w:val="1366A452"/>
    <w:lvl w:ilvl="0" w:tplc="080C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8">
    <w:nsid w:val="1A6F476E"/>
    <w:multiLevelType w:val="hybridMultilevel"/>
    <w:tmpl w:val="186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53AA8"/>
    <w:multiLevelType w:val="hybridMultilevel"/>
    <w:tmpl w:val="8828E3E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212120BD"/>
    <w:multiLevelType w:val="hybridMultilevel"/>
    <w:tmpl w:val="7458D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36B69C9"/>
    <w:multiLevelType w:val="hybridMultilevel"/>
    <w:tmpl w:val="1640D2E4"/>
    <w:lvl w:ilvl="0" w:tplc="92C2AD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5A96FAA"/>
    <w:multiLevelType w:val="hybridMultilevel"/>
    <w:tmpl w:val="2592A2F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DFDF8"/>
    <w:multiLevelType w:val="multilevel"/>
    <w:tmpl w:val="FAE01C1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F66487"/>
    <w:multiLevelType w:val="hybridMultilevel"/>
    <w:tmpl w:val="0D8E7E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71965CB"/>
    <w:multiLevelType w:val="hybridMultilevel"/>
    <w:tmpl w:val="A92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C4029"/>
    <w:multiLevelType w:val="hybridMultilevel"/>
    <w:tmpl w:val="2C82CF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3D7C7450"/>
    <w:multiLevelType w:val="hybridMultilevel"/>
    <w:tmpl w:val="877AC158"/>
    <w:lvl w:ilvl="0" w:tplc="DEE81D76">
      <w:start w:val="1"/>
      <w:numFmt w:val="decimal"/>
      <w:lvlText w:val="2.%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41261B73"/>
    <w:multiLevelType w:val="hybridMultilevel"/>
    <w:tmpl w:val="0F962A12"/>
    <w:lvl w:ilvl="0" w:tplc="A7E81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BF37D6"/>
    <w:multiLevelType w:val="hybridMultilevel"/>
    <w:tmpl w:val="CB88DD9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95012"/>
    <w:multiLevelType w:val="hybridMultilevel"/>
    <w:tmpl w:val="F08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027F2A"/>
    <w:multiLevelType w:val="hybridMultilevel"/>
    <w:tmpl w:val="45EE12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C0345"/>
    <w:multiLevelType w:val="hybridMultilevel"/>
    <w:tmpl w:val="D4D45E7E"/>
    <w:lvl w:ilvl="0" w:tplc="08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FC2DD0"/>
    <w:multiLevelType w:val="hybridMultilevel"/>
    <w:tmpl w:val="87C6427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16B36"/>
    <w:multiLevelType w:val="hybridMultilevel"/>
    <w:tmpl w:val="A41A2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5E813EE"/>
    <w:multiLevelType w:val="hybridMultilevel"/>
    <w:tmpl w:val="67CA4EC2"/>
    <w:lvl w:ilvl="0" w:tplc="382674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5145E"/>
    <w:multiLevelType w:val="multilevel"/>
    <w:tmpl w:val="D28CD5D0"/>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29"/>
  </w:num>
  <w:num w:numId="4">
    <w:abstractNumId w:val="20"/>
    <w:lvlOverride w:ilvl="0">
      <w:startOverride w:val="1"/>
    </w:lvlOverride>
  </w:num>
  <w:num w:numId="5">
    <w:abstractNumId w:val="1"/>
  </w:num>
  <w:num w:numId="6">
    <w:abstractNumId w:val="0"/>
  </w:num>
  <w:num w:numId="7">
    <w:abstractNumId w:val="15"/>
  </w:num>
  <w:num w:numId="8">
    <w:abstractNumId w:val="26"/>
  </w:num>
  <w:num w:numId="9">
    <w:abstractNumId w:val="8"/>
  </w:num>
  <w:num w:numId="10">
    <w:abstractNumId w:val="16"/>
  </w:num>
  <w:num w:numId="11">
    <w:abstractNumId w:val="14"/>
  </w:num>
  <w:num w:numId="12">
    <w:abstractNumId w:val="12"/>
  </w:num>
  <w:num w:numId="13">
    <w:abstractNumId w:val="5"/>
  </w:num>
  <w:num w:numId="14">
    <w:abstractNumId w:val="7"/>
  </w:num>
  <w:num w:numId="15">
    <w:abstractNumId w:val="24"/>
  </w:num>
  <w:num w:numId="16">
    <w:abstractNumId w:val="10"/>
  </w:num>
  <w:num w:numId="17">
    <w:abstractNumId w:val="19"/>
  </w:num>
  <w:num w:numId="18">
    <w:abstractNumId w:val="21"/>
  </w:num>
  <w:num w:numId="19">
    <w:abstractNumId w:val="28"/>
  </w:num>
  <w:num w:numId="20">
    <w:abstractNumId w:val="13"/>
  </w:num>
  <w:num w:numId="21">
    <w:abstractNumId w:val="13"/>
  </w:num>
  <w:num w:numId="22">
    <w:abstractNumId w:val="13"/>
  </w:num>
  <w:num w:numId="23">
    <w:abstractNumId w:val="28"/>
  </w:num>
  <w:num w:numId="24">
    <w:abstractNumId w:val="13"/>
  </w:num>
  <w:num w:numId="25">
    <w:abstractNumId w:val="13"/>
  </w:num>
  <w:num w:numId="26">
    <w:abstractNumId w:val="13"/>
  </w:num>
  <w:num w:numId="27">
    <w:abstractNumId w:val="13"/>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13"/>
  </w:num>
  <w:num w:numId="51">
    <w:abstractNumId w:val="13"/>
  </w:num>
  <w:num w:numId="52">
    <w:abstractNumId w:val="13"/>
  </w:num>
  <w:num w:numId="53">
    <w:abstractNumId w:val="13"/>
  </w:num>
  <w:num w:numId="54">
    <w:abstractNumId w:val="13"/>
  </w:num>
  <w:num w:numId="55">
    <w:abstractNumId w:val="28"/>
  </w:num>
  <w:num w:numId="56">
    <w:abstractNumId w:val="28"/>
  </w:num>
  <w:num w:numId="57">
    <w:abstractNumId w:val="13"/>
  </w:num>
  <w:num w:numId="58">
    <w:abstractNumId w:val="13"/>
  </w:num>
  <w:num w:numId="59">
    <w:abstractNumId w:val="6"/>
  </w:num>
  <w:num w:numId="60">
    <w:abstractNumId w:val="25"/>
  </w:num>
  <w:num w:numId="61">
    <w:abstractNumId w:val="17"/>
  </w:num>
  <w:num w:numId="62">
    <w:abstractNumId w:val="13"/>
  </w:num>
  <w:num w:numId="63">
    <w:abstractNumId w:val="13"/>
  </w:num>
  <w:num w:numId="64">
    <w:abstractNumId w:val="13"/>
  </w:num>
  <w:num w:numId="65">
    <w:abstractNumId w:val="13"/>
  </w:num>
  <w:num w:numId="66">
    <w:abstractNumId w:val="13"/>
  </w:num>
  <w:num w:numId="67">
    <w:abstractNumId w:val="28"/>
  </w:num>
  <w:num w:numId="68">
    <w:abstractNumId w:val="27"/>
  </w:num>
  <w:num w:numId="69">
    <w:abstractNumId w:val="9"/>
  </w:num>
  <w:num w:numId="70">
    <w:abstractNumId w:val="13"/>
  </w:num>
  <w:num w:numId="71">
    <w:abstractNumId w:val="4"/>
  </w:num>
  <w:num w:numId="72">
    <w:abstractNumId w:val="11"/>
  </w:num>
  <w:num w:numId="73">
    <w:abstractNumId w:val="3"/>
  </w:num>
  <w:num w:numId="74">
    <w:abstractNumId w:val="13"/>
  </w:num>
  <w:num w:numId="75">
    <w:abstractNumId w:val="18"/>
  </w:num>
  <w:num w:numId="76">
    <w:abstractNumId w:val="2"/>
  </w:num>
  <w:num w:numId="77">
    <w:abstractNumId w:val="23"/>
  </w:num>
  <w:num w:numId="78">
    <w:abstractNumId w:val="22"/>
  </w:num>
  <w:num w:numId="79">
    <w:abstractNumId w:val="13"/>
  </w:num>
  <w:num w:numId="80">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66D8D3-848D-4947-A5DF-D129F59981FA"/>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Βρυξέλλες, "/>
    <w:docVar w:name="LW_EMISSION_SUFFIX" w:val=" "/>
    <w:docVar w:name="LW_ID_DOCTYPE_NONLW" w:val="CP-014"/>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916?\u953?\u945?\u963?\u966?\u940?\u955?\u953?\u963?\u951? \u964?\u951?\u962? \u948?\u953?\u954?\u945?\u953?\u959?\u963?\u973?\u957?\u951?\u962? \u963?\u964?\u951?\u957? \u917?\u917? \u8212? \u931?\u964?\u961?\u945?\u964?\u951?\u947?\u953?\u954?\u942? \u947?\u953?\u945? \u964?\u951?\u957? \u949?\u965?\u961?\u969?\u960?\u945?\u970?\u954?\u942? \u948?\u953?\u954?\u945?\u963?\u964?\u953?\u954?\u942? \u954?\u945?\u964?\u940?\u961?\u964?\u953?\u963?\u951? 2021-2024"/>
    <w:docVar w:name="LW_TYPE.DOC.CP" w:val="\u913?\u925?\u913?\u922?\u927?\u921?\u925?\u93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 w:name="LW_TYPE.DOC.CP.USERTEXT" w:val="&lt;EMPTY&gt;"/>
    <w:docVar w:name="Stamp" w:val="\\dossiers.dgt.cec.eu.int\dossiers\JUST\JUST-2020-05374\JUST-2020-05374-00-00-EN-EDT-00.20201013124921075307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l-GR"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l-GR"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l-GR"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l-GR"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l-GR"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l-GR"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l-GR"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l-GR"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l-GR"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l-G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l-G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el-GR"/>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l-GR"/>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l-GR"/>
    </w:rPr>
  </w:style>
  <w:style w:type="paragraph" w:styleId="Revision">
    <w:name w:val="Revision"/>
    <w:hidden/>
    <w:uiPriority w:val="99"/>
    <w:semiHidden/>
    <w:pPr>
      <w:spacing w:after="0" w:line="240" w:lineRule="auto"/>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l-GR"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l-GR"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l-GR"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l-GR"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l-GR"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l-GR"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l-GR"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l-GR"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l-GR"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l-G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l-G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el-GR"/>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l-GR"/>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l-GR"/>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l-GR"/>
    </w:rPr>
  </w:style>
  <w:style w:type="paragraph" w:styleId="Revision">
    <w:name w:val="Revision"/>
    <w:hidden/>
    <w:uiPriority w:val="99"/>
    <w:semiHidden/>
    <w:pPr>
      <w:spacing w:after="0" w:line="240" w:lineRule="auto"/>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231">
      <w:bodyDiv w:val="1"/>
      <w:marLeft w:val="0"/>
      <w:marRight w:val="0"/>
      <w:marTop w:val="0"/>
      <w:marBottom w:val="0"/>
      <w:divBdr>
        <w:top w:val="none" w:sz="0" w:space="0" w:color="auto"/>
        <w:left w:val="none" w:sz="0" w:space="0" w:color="auto"/>
        <w:bottom w:val="none" w:sz="0" w:space="0" w:color="auto"/>
        <w:right w:val="none" w:sz="0" w:space="0" w:color="auto"/>
      </w:divBdr>
    </w:div>
    <w:div w:id="177159799">
      <w:bodyDiv w:val="1"/>
      <w:marLeft w:val="0"/>
      <w:marRight w:val="0"/>
      <w:marTop w:val="0"/>
      <w:marBottom w:val="0"/>
      <w:divBdr>
        <w:top w:val="none" w:sz="0" w:space="0" w:color="auto"/>
        <w:left w:val="none" w:sz="0" w:space="0" w:color="auto"/>
        <w:bottom w:val="none" w:sz="0" w:space="0" w:color="auto"/>
        <w:right w:val="none" w:sz="0" w:space="0" w:color="auto"/>
      </w:divBdr>
      <w:divsChild>
        <w:div w:id="1407847101">
          <w:marLeft w:val="0"/>
          <w:marRight w:val="0"/>
          <w:marTop w:val="0"/>
          <w:marBottom w:val="0"/>
          <w:divBdr>
            <w:top w:val="none" w:sz="0" w:space="0" w:color="auto"/>
            <w:left w:val="none" w:sz="0" w:space="0" w:color="auto"/>
            <w:bottom w:val="none" w:sz="0" w:space="0" w:color="auto"/>
            <w:right w:val="none" w:sz="0" w:space="0" w:color="auto"/>
          </w:divBdr>
          <w:divsChild>
            <w:div w:id="1084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7371">
      <w:bodyDiv w:val="1"/>
      <w:marLeft w:val="0"/>
      <w:marRight w:val="0"/>
      <w:marTop w:val="0"/>
      <w:marBottom w:val="0"/>
      <w:divBdr>
        <w:top w:val="none" w:sz="0" w:space="0" w:color="auto"/>
        <w:left w:val="none" w:sz="0" w:space="0" w:color="auto"/>
        <w:bottom w:val="none" w:sz="0" w:space="0" w:color="auto"/>
        <w:right w:val="none" w:sz="0" w:space="0" w:color="auto"/>
      </w:divBdr>
    </w:div>
    <w:div w:id="471092967">
      <w:bodyDiv w:val="1"/>
      <w:marLeft w:val="0"/>
      <w:marRight w:val="0"/>
      <w:marTop w:val="0"/>
      <w:marBottom w:val="0"/>
      <w:divBdr>
        <w:top w:val="none" w:sz="0" w:space="0" w:color="auto"/>
        <w:left w:val="none" w:sz="0" w:space="0" w:color="auto"/>
        <w:bottom w:val="none" w:sz="0" w:space="0" w:color="auto"/>
        <w:right w:val="none" w:sz="0" w:space="0" w:color="auto"/>
      </w:divBdr>
    </w:div>
    <w:div w:id="493572709">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76785031">
      <w:bodyDiv w:val="1"/>
      <w:marLeft w:val="0"/>
      <w:marRight w:val="0"/>
      <w:marTop w:val="0"/>
      <w:marBottom w:val="0"/>
      <w:divBdr>
        <w:top w:val="none" w:sz="0" w:space="0" w:color="auto"/>
        <w:left w:val="none" w:sz="0" w:space="0" w:color="auto"/>
        <w:bottom w:val="none" w:sz="0" w:space="0" w:color="auto"/>
        <w:right w:val="none" w:sz="0" w:space="0" w:color="auto"/>
      </w:divBdr>
    </w:div>
    <w:div w:id="867983844">
      <w:bodyDiv w:val="1"/>
      <w:marLeft w:val="0"/>
      <w:marRight w:val="0"/>
      <w:marTop w:val="0"/>
      <w:marBottom w:val="0"/>
      <w:divBdr>
        <w:top w:val="none" w:sz="0" w:space="0" w:color="auto"/>
        <w:left w:val="none" w:sz="0" w:space="0" w:color="auto"/>
        <w:bottom w:val="none" w:sz="0" w:space="0" w:color="auto"/>
        <w:right w:val="none" w:sz="0" w:space="0" w:color="auto"/>
      </w:divBdr>
    </w:div>
    <w:div w:id="1110130275">
      <w:bodyDiv w:val="1"/>
      <w:marLeft w:val="0"/>
      <w:marRight w:val="0"/>
      <w:marTop w:val="0"/>
      <w:marBottom w:val="0"/>
      <w:divBdr>
        <w:top w:val="none" w:sz="0" w:space="0" w:color="auto"/>
        <w:left w:val="none" w:sz="0" w:space="0" w:color="auto"/>
        <w:bottom w:val="none" w:sz="0" w:space="0" w:color="auto"/>
        <w:right w:val="none" w:sz="0" w:space="0" w:color="auto"/>
      </w:divBdr>
      <w:divsChild>
        <w:div w:id="1139229689">
          <w:marLeft w:val="0"/>
          <w:marRight w:val="0"/>
          <w:marTop w:val="0"/>
          <w:marBottom w:val="0"/>
          <w:divBdr>
            <w:top w:val="none" w:sz="0" w:space="0" w:color="auto"/>
            <w:left w:val="none" w:sz="0" w:space="0" w:color="auto"/>
            <w:bottom w:val="none" w:sz="0" w:space="0" w:color="auto"/>
            <w:right w:val="none" w:sz="0" w:space="0" w:color="auto"/>
          </w:divBdr>
          <w:divsChild>
            <w:div w:id="16409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312">
      <w:bodyDiv w:val="1"/>
      <w:marLeft w:val="0"/>
      <w:marRight w:val="0"/>
      <w:marTop w:val="0"/>
      <w:marBottom w:val="0"/>
      <w:divBdr>
        <w:top w:val="none" w:sz="0" w:space="0" w:color="auto"/>
        <w:left w:val="none" w:sz="0" w:space="0" w:color="auto"/>
        <w:bottom w:val="none" w:sz="0" w:space="0" w:color="auto"/>
        <w:right w:val="none" w:sz="0" w:space="0" w:color="auto"/>
      </w:divBdr>
    </w:div>
    <w:div w:id="1170439970">
      <w:bodyDiv w:val="1"/>
      <w:marLeft w:val="0"/>
      <w:marRight w:val="0"/>
      <w:marTop w:val="0"/>
      <w:marBottom w:val="0"/>
      <w:divBdr>
        <w:top w:val="none" w:sz="0" w:space="0" w:color="auto"/>
        <w:left w:val="none" w:sz="0" w:space="0" w:color="auto"/>
        <w:bottom w:val="none" w:sz="0" w:space="0" w:color="auto"/>
        <w:right w:val="none" w:sz="0" w:space="0" w:color="auto"/>
      </w:divBdr>
      <w:divsChild>
        <w:div w:id="2109084305">
          <w:marLeft w:val="0"/>
          <w:marRight w:val="0"/>
          <w:marTop w:val="0"/>
          <w:marBottom w:val="0"/>
          <w:divBdr>
            <w:top w:val="none" w:sz="0" w:space="0" w:color="auto"/>
            <w:left w:val="none" w:sz="0" w:space="0" w:color="auto"/>
            <w:bottom w:val="none" w:sz="0" w:space="0" w:color="auto"/>
            <w:right w:val="none" w:sz="0" w:space="0" w:color="auto"/>
          </w:divBdr>
          <w:divsChild>
            <w:div w:id="629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180">
      <w:bodyDiv w:val="1"/>
      <w:marLeft w:val="0"/>
      <w:marRight w:val="0"/>
      <w:marTop w:val="0"/>
      <w:marBottom w:val="0"/>
      <w:divBdr>
        <w:top w:val="none" w:sz="0" w:space="0" w:color="auto"/>
        <w:left w:val="none" w:sz="0" w:space="0" w:color="auto"/>
        <w:bottom w:val="none" w:sz="0" w:space="0" w:color="auto"/>
        <w:right w:val="none" w:sz="0" w:space="0" w:color="auto"/>
      </w:divBdr>
    </w:div>
    <w:div w:id="1224439531">
      <w:bodyDiv w:val="1"/>
      <w:marLeft w:val="0"/>
      <w:marRight w:val="0"/>
      <w:marTop w:val="0"/>
      <w:marBottom w:val="0"/>
      <w:divBdr>
        <w:top w:val="none" w:sz="0" w:space="0" w:color="auto"/>
        <w:left w:val="none" w:sz="0" w:space="0" w:color="auto"/>
        <w:bottom w:val="none" w:sz="0" w:space="0" w:color="auto"/>
        <w:right w:val="none" w:sz="0" w:space="0" w:color="auto"/>
      </w:divBdr>
      <w:divsChild>
        <w:div w:id="1046635662">
          <w:marLeft w:val="0"/>
          <w:marRight w:val="0"/>
          <w:marTop w:val="0"/>
          <w:marBottom w:val="0"/>
          <w:divBdr>
            <w:top w:val="none" w:sz="0" w:space="0" w:color="auto"/>
            <w:left w:val="none" w:sz="0" w:space="0" w:color="auto"/>
            <w:bottom w:val="none" w:sz="0" w:space="0" w:color="auto"/>
            <w:right w:val="none" w:sz="0" w:space="0" w:color="auto"/>
          </w:divBdr>
          <w:divsChild>
            <w:div w:id="1542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511">
      <w:bodyDiv w:val="1"/>
      <w:marLeft w:val="0"/>
      <w:marRight w:val="0"/>
      <w:marTop w:val="0"/>
      <w:marBottom w:val="0"/>
      <w:divBdr>
        <w:top w:val="none" w:sz="0" w:space="0" w:color="auto"/>
        <w:left w:val="none" w:sz="0" w:space="0" w:color="auto"/>
        <w:bottom w:val="none" w:sz="0" w:space="0" w:color="auto"/>
        <w:right w:val="none" w:sz="0" w:space="0" w:color="auto"/>
      </w:divBdr>
      <w:divsChild>
        <w:div w:id="437799263">
          <w:marLeft w:val="0"/>
          <w:marRight w:val="0"/>
          <w:marTop w:val="0"/>
          <w:marBottom w:val="0"/>
          <w:divBdr>
            <w:top w:val="none" w:sz="0" w:space="0" w:color="auto"/>
            <w:left w:val="none" w:sz="0" w:space="0" w:color="auto"/>
            <w:bottom w:val="none" w:sz="0" w:space="0" w:color="auto"/>
            <w:right w:val="none" w:sz="0" w:space="0" w:color="auto"/>
          </w:divBdr>
          <w:divsChild>
            <w:div w:id="4900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7465">
      <w:bodyDiv w:val="1"/>
      <w:marLeft w:val="0"/>
      <w:marRight w:val="0"/>
      <w:marTop w:val="0"/>
      <w:marBottom w:val="0"/>
      <w:divBdr>
        <w:top w:val="none" w:sz="0" w:space="0" w:color="auto"/>
        <w:left w:val="none" w:sz="0" w:space="0" w:color="auto"/>
        <w:bottom w:val="none" w:sz="0" w:space="0" w:color="auto"/>
        <w:right w:val="none" w:sz="0" w:space="0" w:color="auto"/>
      </w:divBdr>
    </w:div>
    <w:div w:id="1415319869">
      <w:bodyDiv w:val="1"/>
      <w:marLeft w:val="0"/>
      <w:marRight w:val="0"/>
      <w:marTop w:val="0"/>
      <w:marBottom w:val="0"/>
      <w:divBdr>
        <w:top w:val="none" w:sz="0" w:space="0" w:color="auto"/>
        <w:left w:val="none" w:sz="0" w:space="0" w:color="auto"/>
        <w:bottom w:val="none" w:sz="0" w:space="0" w:color="auto"/>
        <w:right w:val="none" w:sz="0" w:space="0" w:color="auto"/>
      </w:divBdr>
    </w:div>
    <w:div w:id="1419935629">
      <w:bodyDiv w:val="1"/>
      <w:marLeft w:val="0"/>
      <w:marRight w:val="0"/>
      <w:marTop w:val="0"/>
      <w:marBottom w:val="0"/>
      <w:divBdr>
        <w:top w:val="none" w:sz="0" w:space="0" w:color="auto"/>
        <w:left w:val="none" w:sz="0" w:space="0" w:color="auto"/>
        <w:bottom w:val="none" w:sz="0" w:space="0" w:color="auto"/>
        <w:right w:val="none" w:sz="0" w:space="0" w:color="auto"/>
      </w:divBdr>
    </w:div>
    <w:div w:id="1491604473">
      <w:bodyDiv w:val="1"/>
      <w:marLeft w:val="0"/>
      <w:marRight w:val="0"/>
      <w:marTop w:val="0"/>
      <w:marBottom w:val="0"/>
      <w:divBdr>
        <w:top w:val="none" w:sz="0" w:space="0" w:color="auto"/>
        <w:left w:val="none" w:sz="0" w:space="0" w:color="auto"/>
        <w:bottom w:val="none" w:sz="0" w:space="0" w:color="auto"/>
        <w:right w:val="none" w:sz="0" w:space="0" w:color="auto"/>
      </w:divBdr>
    </w:div>
    <w:div w:id="1633830939">
      <w:bodyDiv w:val="1"/>
      <w:marLeft w:val="0"/>
      <w:marRight w:val="0"/>
      <w:marTop w:val="0"/>
      <w:marBottom w:val="0"/>
      <w:divBdr>
        <w:top w:val="none" w:sz="0" w:space="0" w:color="auto"/>
        <w:left w:val="none" w:sz="0" w:space="0" w:color="auto"/>
        <w:bottom w:val="none" w:sz="0" w:space="0" w:color="auto"/>
        <w:right w:val="none" w:sz="0" w:space="0" w:color="auto"/>
      </w:divBdr>
    </w:div>
    <w:div w:id="1688017824">
      <w:bodyDiv w:val="1"/>
      <w:marLeft w:val="0"/>
      <w:marRight w:val="0"/>
      <w:marTop w:val="0"/>
      <w:marBottom w:val="0"/>
      <w:divBdr>
        <w:top w:val="none" w:sz="0" w:space="0" w:color="auto"/>
        <w:left w:val="none" w:sz="0" w:space="0" w:color="auto"/>
        <w:bottom w:val="none" w:sz="0" w:space="0" w:color="auto"/>
        <w:right w:val="none" w:sz="0" w:space="0" w:color="auto"/>
      </w:divBdr>
      <w:divsChild>
        <w:div w:id="2028602548">
          <w:marLeft w:val="0"/>
          <w:marRight w:val="0"/>
          <w:marTop w:val="0"/>
          <w:marBottom w:val="0"/>
          <w:divBdr>
            <w:top w:val="none" w:sz="0" w:space="0" w:color="auto"/>
            <w:left w:val="none" w:sz="0" w:space="0" w:color="auto"/>
            <w:bottom w:val="none" w:sz="0" w:space="0" w:color="auto"/>
            <w:right w:val="none" w:sz="0" w:space="0" w:color="auto"/>
          </w:divBdr>
          <w:divsChild>
            <w:div w:id="143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436">
      <w:bodyDiv w:val="1"/>
      <w:marLeft w:val="0"/>
      <w:marRight w:val="0"/>
      <w:marTop w:val="0"/>
      <w:marBottom w:val="0"/>
      <w:divBdr>
        <w:top w:val="none" w:sz="0" w:space="0" w:color="auto"/>
        <w:left w:val="none" w:sz="0" w:space="0" w:color="auto"/>
        <w:bottom w:val="none" w:sz="0" w:space="0" w:color="auto"/>
        <w:right w:val="none" w:sz="0" w:space="0" w:color="auto"/>
      </w:divBdr>
    </w:div>
    <w:div w:id="1986933591">
      <w:bodyDiv w:val="1"/>
      <w:marLeft w:val="0"/>
      <w:marRight w:val="0"/>
      <w:marTop w:val="0"/>
      <w:marBottom w:val="0"/>
      <w:divBdr>
        <w:top w:val="none" w:sz="0" w:space="0" w:color="auto"/>
        <w:left w:val="none" w:sz="0" w:space="0" w:color="auto"/>
        <w:bottom w:val="none" w:sz="0" w:space="0" w:color="auto"/>
        <w:right w:val="none" w:sz="0" w:space="0" w:color="auto"/>
      </w:divBdr>
      <w:divsChild>
        <w:div w:id="444274819">
          <w:marLeft w:val="0"/>
          <w:marRight w:val="0"/>
          <w:marTop w:val="0"/>
          <w:marBottom w:val="0"/>
          <w:divBdr>
            <w:top w:val="none" w:sz="0" w:space="0" w:color="auto"/>
            <w:left w:val="none" w:sz="0" w:space="0" w:color="auto"/>
            <w:bottom w:val="none" w:sz="0" w:space="0" w:color="auto"/>
            <w:right w:val="none" w:sz="0" w:space="0" w:color="auto"/>
          </w:divBdr>
          <w:divsChild>
            <w:div w:id="213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78">
      <w:bodyDiv w:val="1"/>
      <w:marLeft w:val="0"/>
      <w:marRight w:val="0"/>
      <w:marTop w:val="0"/>
      <w:marBottom w:val="0"/>
      <w:divBdr>
        <w:top w:val="none" w:sz="0" w:space="0" w:color="auto"/>
        <w:left w:val="none" w:sz="0" w:space="0" w:color="auto"/>
        <w:bottom w:val="none" w:sz="0" w:space="0" w:color="auto"/>
        <w:right w:val="none" w:sz="0" w:space="0" w:color="auto"/>
      </w:divBdr>
    </w:div>
    <w:div w:id="20477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justice.europa.eu/content_european_training_platform-37158-el.do" TargetMode="External"/><Relationship Id="rId3" Type="http://schemas.openxmlformats.org/officeDocument/2006/relationships/hyperlink" Target="https://www.cepol.europa.eu/media/news/cepol-issues-fast-track-needs-analysis-impact-covid-19-law-enforcement-training" TargetMode="External"/><Relationship Id="rId7" Type="http://schemas.openxmlformats.org/officeDocument/2006/relationships/hyperlink" Target="http://www.ejtn.eu/PageFiles/11019/JUST_EL-TRA-00.pdf" TargetMode="External"/><Relationship Id="rId12" Type="http://schemas.openxmlformats.org/officeDocument/2006/relationships/hyperlink" Target="https://ec.europa.eu/environment/legal/law/training_package.htm" TargetMode="External"/><Relationship Id="rId2" Type="http://schemas.openxmlformats.org/officeDocument/2006/relationships/hyperlink" Target="http://www.icj.org/wp-content/uploads/2016/03/Universal-Womens-accesss-to-justice-Publications-Practitioners-Guide-Series-2016-ENG.pdf" TargetMode="External"/><Relationship Id="rId1" Type="http://schemas.openxmlformats.org/officeDocument/2006/relationships/hyperlink" Target="https://ec.europa.eu/info/consultations/training-justice-professionals-eu-law-evaluation_el" TargetMode="External"/><Relationship Id="rId6" Type="http://schemas.openxmlformats.org/officeDocument/2006/relationships/hyperlink" Target="https://e-justice.europa.eu/fileDownload.do?id=b9734471-2e0b-40cb-a3b8-d3a8cd9c6bbd" TargetMode="External"/><Relationship Id="rId11" Type="http://schemas.openxmlformats.org/officeDocument/2006/relationships/hyperlink" Target="http://www.ejtn.eu/PageFiles/16144/2019-056-RoL%20Manual-170x240-WEB_FINAL.pdf" TargetMode="External"/><Relationship Id="rId5" Type="http://schemas.openxmlformats.org/officeDocument/2006/relationships/hyperlink" Target="https://bit.ly/2UDmqtX" TargetMode="External"/><Relationship Id="rId10" Type="http://schemas.openxmlformats.org/officeDocument/2006/relationships/hyperlink" Target="http://www.ejtn.eu/PageFiles/16144/2019-056-Training%20guide-v5_FINAL.pdf" TargetMode="External"/><Relationship Id="rId4" Type="http://schemas.openxmlformats.org/officeDocument/2006/relationships/hyperlink" Target="https://ec.europa.eu/info/law/cross-border-cases/training-legal-practitioners-and-training-practices_el" TargetMode="External"/><Relationship Id="rId9" Type="http://schemas.openxmlformats.org/officeDocument/2006/relationships/hyperlink" Target="https://eur-lex.europa.eu/legal-content/EL/TXT/PDF/?uri=CELEX:52014XG1211(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8626-300D-48B6-8FBF-9D1DBF9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5560</Words>
  <Characters>35144</Characters>
  <Application>Microsoft Office Word</Application>
  <DocSecurity>0</DocSecurity>
  <Lines>650</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2020-11-04T15:15:00Z</dcterms:created>
  <dcterms:modified xsi:type="dcterms:W3CDTF">2020-12-02T07:26:00Z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