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CEBFA3F0-C798-460F-992F-4B294989F4C9" style="width:450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itle"/>
        <w:jc w:val="center"/>
        <w:rPr>
          <w:rFonts w:ascii="Times New Roman" w:hAnsi="Times New Roman" w:cs="Times New Roman"/>
          <w:noProof/>
          <w:sz w:val="32"/>
          <w:szCs w:val="32"/>
        </w:rPr>
      </w:pPr>
      <w:bookmarkStart w:id="1" w:name="_GoBack"/>
      <w:bookmarkEnd w:id="1"/>
      <w:r>
        <w:rPr>
          <w:rFonts w:ascii="Times New Roman" w:hAnsi="Times New Roman"/>
          <w:noProof/>
          <w:sz w:val="32"/>
          <w:szCs w:val="32"/>
        </w:rPr>
        <w:lastRenderedPageBreak/>
        <w:t>Strategie pentru consolidarea aplicării Cartei drepturilor fundamentale în UE</w:t>
      </w:r>
    </w:p>
    <w:p>
      <w:pPr>
        <w:pStyle w:val="Heading1"/>
        <w:rPr>
          <w:rFonts w:ascii="Times New Roman" w:hAnsi="Times New Roman" w:cs="Times New Roman"/>
          <w:noProof/>
        </w:rPr>
      </w:pPr>
      <w:r>
        <w:rPr>
          <w:rFonts w:ascii="Times New Roman" w:hAnsi="Times New Roman"/>
          <w:noProof/>
        </w:rPr>
        <w:t>Introducere</w:t>
      </w:r>
    </w:p>
    <w:p>
      <w:pPr>
        <w:rPr>
          <w:i/>
          <w:noProof/>
        </w:rPr>
      </w:pPr>
    </w:p>
    <w:p>
      <w:pPr>
        <w:jc w:val="both"/>
        <w:rPr>
          <w:rFonts w:ascii="Times New Roman" w:hAnsi="Times New Roman" w:cs="Times New Roman"/>
          <w:b/>
          <w:i/>
          <w:noProof/>
          <w:sz w:val="24"/>
          <w:szCs w:val="24"/>
        </w:rPr>
      </w:pPr>
      <w:r>
        <w:rPr>
          <w:rFonts w:ascii="Times New Roman" w:hAnsi="Times New Roman"/>
          <w:b/>
          <w:i/>
          <w:noProof/>
          <w:sz w:val="24"/>
          <w:szCs w:val="24"/>
        </w:rPr>
        <w:t>Consolidarea declarației noastre a drepturilor omului în UE pentru a aborda noi provocări</w:t>
      </w:r>
    </w:p>
    <w:p>
      <w:pPr>
        <w:jc w:val="both"/>
        <w:rPr>
          <w:rFonts w:ascii="Times New Roman" w:hAnsi="Times New Roman" w:cs="Times New Roman"/>
          <w:noProof/>
          <w:sz w:val="24"/>
          <w:szCs w:val="24"/>
        </w:rPr>
      </w:pPr>
      <w:r>
        <w:rPr>
          <w:rFonts w:ascii="Times New Roman" w:hAnsi="Times New Roman"/>
          <w:noProof/>
          <w:sz w:val="24"/>
          <w:szCs w:val="24"/>
        </w:rPr>
        <w:t>Proclamată acum 20 de ani și având valoare juridică obligatorie din 2009</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Carta drepturilor fundamentale a UE</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xml:space="preserve"> („carta”) a reprezentat un pas uriaș pentru integrarea europeană. Aceasta a reafirmat, într-un mod semnificativ, că UE se bazează pe drepturile fundamentale, pe democrație și pe statul de drept</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Aceste valori sunt strâns legate. Drepturile fundamentale pot fi eficace în viața oamenilor numai într-o societate în care instanțe independente garantează protecția lor și în care poate exista o dezbatere democratică deschisă și informată, cu o mass­media independentă și o societate civilă activă.</w:t>
      </w:r>
    </w:p>
    <w:p>
      <w:pPr>
        <w:jc w:val="both"/>
        <w:rPr>
          <w:rFonts w:ascii="Times New Roman" w:hAnsi="Times New Roman" w:cs="Times New Roman"/>
          <w:noProof/>
          <w:sz w:val="24"/>
          <w:szCs w:val="24"/>
        </w:rPr>
      </w:pPr>
      <w:r>
        <w:rPr>
          <w:rFonts w:ascii="Times New Roman" w:hAnsi="Times New Roman"/>
          <w:noProof/>
          <w:sz w:val="24"/>
          <w:szCs w:val="24"/>
        </w:rPr>
        <w:t>Carta se aplică instituțiilor UE în ceea ce privește toate acțiunile acestora. Strategia din 2010 a Comisiei Europene pentru punerea în aplicare efectivă a Cartei drepturilor fundamentale de către Uniunea Europeană</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a subliniat importanța ca UE să fie exemplară și să stabilească modul în care Comisia urma să asigure că aceasta respectă pe deplin carta. Carta este de asemenea aplicabilă statelor membre atunci când pun în aplicare dreptul Uniunii, iar strategia a exprimat hotărârea Comisiei de a utiliza toate mijloacele de care dispune pentru a asigura respectarea acesteia.</w:t>
      </w:r>
    </w:p>
    <w:p>
      <w:pPr>
        <w:jc w:val="both"/>
        <w:rPr>
          <w:rFonts w:ascii="Times New Roman" w:hAnsi="Times New Roman" w:cs="Times New Roman"/>
          <w:noProof/>
          <w:sz w:val="24"/>
          <w:szCs w:val="24"/>
        </w:rPr>
      </w:pPr>
      <w:r>
        <w:rPr>
          <w:rFonts w:ascii="Times New Roman" w:hAnsi="Times New Roman"/>
          <w:noProof/>
          <w:sz w:val="24"/>
          <w:szCs w:val="24"/>
        </w:rPr>
        <w:t xml:space="preserve">În ultimul deceniu, </w:t>
      </w:r>
      <w:r>
        <w:rPr>
          <w:rFonts w:ascii="Times New Roman" w:hAnsi="Times New Roman"/>
          <w:b/>
          <w:noProof/>
          <w:sz w:val="24"/>
          <w:szCs w:val="24"/>
        </w:rPr>
        <w:t>carta a avut drept rezultat o mai mare promovare și protecție a drepturilor fundamentale ale cetățenilor în UE</w:t>
      </w:r>
      <w:r>
        <w:rPr>
          <w:rFonts w:ascii="Times New Roman" w:hAnsi="Times New Roman"/>
          <w:noProof/>
          <w:sz w:val="24"/>
          <w:szCs w:val="24"/>
        </w:rPr>
        <w:t>. Carta a determinat adoptarea unei noi legislații UE care protejează și promovează în mod direct anumite drepturi esențiale. Noile reglementări privind protecția datelor, egalitatea de gen, protejarea avertizorilor de integritate, drepturile la un proces echitabil și la apărare, precum și victimele infracționalității sunt exemple-cheie</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Jurisprudența Curții de Justiție a UE („Curtea”) în care este invocată carta s-a dezvoltat considerabil</w:t>
      </w:r>
      <w:r>
        <w:rPr>
          <w:rFonts w:ascii="Times New Roman" w:hAnsi="Times New Roman" w:cs="Times New Roman"/>
          <w:noProof/>
          <w:sz w:val="24"/>
          <w:szCs w:val="24"/>
          <w:vertAlign w:val="superscript"/>
        </w:rPr>
        <w:footnoteReference w:id="6"/>
      </w:r>
      <w:r>
        <w:rPr>
          <w:rFonts w:ascii="Times New Roman" w:hAnsi="Times New Roman"/>
          <w:noProof/>
          <w:sz w:val="24"/>
          <w:szCs w:val="24"/>
        </w:rPr>
        <w:t xml:space="preserve"> într-o arie largă de domenii de politică</w:t>
      </w:r>
      <w:r>
        <w:rPr>
          <w:rFonts w:ascii="Times New Roman" w:hAnsi="Times New Roman" w:cs="Times New Roman"/>
          <w:noProof/>
          <w:sz w:val="24"/>
          <w:szCs w:val="24"/>
          <w:vertAlign w:val="superscript"/>
        </w:rPr>
        <w:footnoteReference w:id="7"/>
      </w:r>
      <w:r>
        <w:rPr>
          <w:rFonts w:ascii="Times New Roman" w:hAnsi="Times New Roman"/>
          <w:noProof/>
          <w:sz w:val="24"/>
          <w:szCs w:val="24"/>
        </w:rPr>
        <w:t>. Agenția pentru Drepturi Fundamentale a UE a devenit un organism de încredere al UE care furnizează date și analize comparative cu privire la drepturile fundamentale pentru a susține activitatea instituțiilor UE și a statelor membre</w:t>
      </w:r>
      <w:r>
        <w:rPr>
          <w:rStyle w:val="FootnoteReference"/>
          <w:rFonts w:ascii="Times New Roman" w:hAnsi="Times New Roman"/>
          <w:noProof/>
          <w:sz w:val="24"/>
          <w:szCs w:val="24"/>
        </w:rPr>
        <w:footnoteReference w:id="8"/>
      </w:r>
      <w:r>
        <w:rPr>
          <w:rFonts w:ascii="Times New Roman" w:hAnsi="Times New Roman"/>
          <w:noProof/>
          <w:sz w:val="24"/>
          <w:szCs w:val="24"/>
        </w:rPr>
        <w:t>. Numărul de organisme naționale independente privind drepturile omului a crescut de asemenea într-o măsură semnificativă în UE</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punând baze solide pentru asigurarea respectării drepturilor cetățenilor în practică.</w:t>
      </w:r>
    </w:p>
    <w:p>
      <w:pPr>
        <w:jc w:val="both"/>
        <w:rPr>
          <w:rFonts w:ascii="Times New Roman" w:hAnsi="Times New Roman" w:cs="Times New Roman"/>
          <w:noProof/>
          <w:sz w:val="24"/>
          <w:szCs w:val="24"/>
        </w:rPr>
      </w:pPr>
      <w:r>
        <w:rPr>
          <w:rFonts w:ascii="Times New Roman" w:hAnsi="Times New Roman"/>
          <w:b/>
          <w:noProof/>
          <w:sz w:val="24"/>
          <w:szCs w:val="24"/>
        </w:rPr>
        <w:t xml:space="preserve">Cu toate acestea, protecția drepturilor fundamentale nu este de la sine înțeleasă. </w:t>
      </w:r>
      <w:r>
        <w:rPr>
          <w:rFonts w:ascii="Times New Roman" w:hAnsi="Times New Roman"/>
          <w:noProof/>
          <w:sz w:val="24"/>
          <w:szCs w:val="24"/>
        </w:rPr>
        <w:t>În ultimii zece ani au apărut provocări noi, de exemplu în domeniile migrației și al securității și, cel mai recent, în contextul crizei provocate de pandemia de COVID-19, care a generat restricții în privința unei game largi de drepturi și libertăți fundamentale</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xml:space="preserve"> și a amplificat inegalitățile. Tranziție către o economie verde</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și transformarea digitală oferă noi posibilități de a face drepturile fundamentale mai eficiente, însă generează și provocări. De exemplu, în timp ce automatizarea digitală este un factor esențial de progres, permițând creșterea eficienței și noi moduri de prelucrare a informațiilor, aceasta poate de asemenea să conducă la răspândirea discursurilor ilegale de instigare la ură, la împiedicarea libertății de exprimare, la creșterea supravegherii și la o discriminare severă</w:t>
      </w:r>
      <w:r>
        <w:rPr>
          <w:rStyle w:val="FootnoteReference"/>
          <w:rFonts w:ascii="Times New Roman" w:hAnsi="Times New Roman" w:cs="Times New Roman"/>
          <w:noProof/>
          <w:sz w:val="24"/>
          <w:szCs w:val="24"/>
          <w:lang w:val="en-IE"/>
        </w:rPr>
        <w:footnoteReference w:id="12"/>
      </w:r>
      <w:r>
        <w:rPr>
          <w:rFonts w:ascii="Times New Roman" w:hAnsi="Times New Roman"/>
          <w:noProof/>
          <w:sz w:val="24"/>
          <w:szCs w:val="24"/>
        </w:rPr>
        <w:t>, să aducă prejudicii copiilor și să agraveze vulnerabilitatea anumitor grupuri</w:t>
      </w:r>
      <w:r>
        <w:rPr>
          <w:rStyle w:val="FootnoteReference"/>
          <w:rFonts w:ascii="Times New Roman" w:hAnsi="Times New Roman" w:cs="Times New Roman"/>
          <w:noProof/>
          <w:sz w:val="24"/>
          <w:szCs w:val="24"/>
          <w:lang w:val="en-IE"/>
        </w:rPr>
        <w:footnoteReference w:id="13"/>
      </w:r>
      <w:r>
        <w:rPr>
          <w:rFonts w:ascii="Times New Roman" w:hAnsi="Times New Roman"/>
          <w:noProof/>
          <w:sz w:val="24"/>
          <w:szCs w:val="24"/>
        </w:rPr>
        <w:t>. Existența unor drepturi fundamentale eficace este o condiție prealabilă pentru îndeplinirea angajamentului UE de a nu lăsa pe nimeni în urmă.</w:t>
      </w:r>
    </w:p>
    <w:p>
      <w:pPr>
        <w:jc w:val="both"/>
        <w:rPr>
          <w:rFonts w:ascii="Times New Roman" w:hAnsi="Times New Roman" w:cs="Times New Roman"/>
          <w:noProof/>
          <w:sz w:val="24"/>
          <w:szCs w:val="24"/>
        </w:rPr>
      </w:pPr>
      <w:r>
        <w:rPr>
          <w:rFonts w:ascii="Times New Roman" w:hAnsi="Times New Roman"/>
          <w:noProof/>
          <w:sz w:val="24"/>
          <w:szCs w:val="24"/>
        </w:rPr>
        <w:t xml:space="preserve">Aceste noi provocări și evoluții necesită </w:t>
      </w:r>
      <w:r>
        <w:rPr>
          <w:rFonts w:ascii="Times New Roman" w:hAnsi="Times New Roman"/>
          <w:b/>
          <w:noProof/>
          <w:sz w:val="24"/>
          <w:szCs w:val="24"/>
        </w:rPr>
        <w:t>un angajament reînnoit</w:t>
      </w:r>
      <w:r>
        <w:rPr>
          <w:rFonts w:ascii="Times New Roman" w:hAnsi="Times New Roman"/>
          <w:noProof/>
          <w:sz w:val="24"/>
          <w:szCs w:val="24"/>
        </w:rPr>
        <w:t xml:space="preserve"> pentru a se asigura că instituțiile UE și statele membre aplică carta la potențialul său maxim. </w:t>
      </w:r>
    </w:p>
    <w:p>
      <w:pPr>
        <w:jc w:val="both"/>
        <w:rPr>
          <w:rFonts w:ascii="Times New Roman" w:hAnsi="Times New Roman" w:cs="Times New Roman"/>
          <w:b/>
          <w:i/>
          <w:noProof/>
          <w:sz w:val="24"/>
          <w:szCs w:val="24"/>
        </w:rPr>
      </w:pPr>
      <w:r>
        <w:rPr>
          <w:rFonts w:ascii="Times New Roman" w:hAnsi="Times New Roman"/>
          <w:b/>
          <w:i/>
          <w:noProof/>
          <w:sz w:val="24"/>
          <w:szCs w:val="24"/>
        </w:rPr>
        <w:t>Transformarea cartei într-o realitate pentru toți</w:t>
      </w:r>
    </w:p>
    <w:p>
      <w:pPr>
        <w:jc w:val="both"/>
        <w:rPr>
          <w:rFonts w:ascii="Times New Roman" w:hAnsi="Times New Roman" w:cs="Times New Roman"/>
          <w:noProof/>
          <w:sz w:val="24"/>
          <w:szCs w:val="24"/>
        </w:rPr>
      </w:pPr>
      <w:r>
        <w:rPr>
          <w:rFonts w:ascii="Times New Roman" w:hAnsi="Times New Roman"/>
          <w:noProof/>
          <w:sz w:val="24"/>
          <w:szCs w:val="24"/>
        </w:rPr>
        <w:t>Această strategie propune acțiuni specifice pentru</w:t>
      </w:r>
      <w:r>
        <w:rPr>
          <w:rFonts w:ascii="Times New Roman" w:hAnsi="Times New Roman"/>
          <w:b/>
          <w:noProof/>
          <w:sz w:val="24"/>
          <w:szCs w:val="24"/>
        </w:rPr>
        <w:t xml:space="preserve"> consolidarea aplicării cartei, în special în statele membre</w:t>
      </w:r>
      <w:r>
        <w:rPr>
          <w:rFonts w:ascii="Times New Roman" w:hAnsi="Times New Roman"/>
          <w:noProof/>
          <w:sz w:val="24"/>
          <w:szCs w:val="24"/>
        </w:rPr>
        <w:t xml:space="preserve">. Strategia se axează pe patru direcții: </w:t>
      </w:r>
    </w:p>
    <w:p>
      <w:pPr>
        <w:pStyle w:val="ListParagraph"/>
        <w:numPr>
          <w:ilvl w:val="0"/>
          <w:numId w:val="26"/>
        </w:numPr>
        <w:jc w:val="both"/>
        <w:rPr>
          <w:rFonts w:ascii="Times New Roman" w:hAnsi="Times New Roman" w:cs="Times New Roman"/>
          <w:noProof/>
          <w:sz w:val="24"/>
          <w:szCs w:val="24"/>
        </w:rPr>
      </w:pPr>
      <w:r>
        <w:rPr>
          <w:rFonts w:ascii="Times New Roman" w:hAnsi="Times New Roman"/>
          <w:noProof/>
          <w:sz w:val="24"/>
          <w:szCs w:val="24"/>
        </w:rPr>
        <w:t>asigurarea aplicării efective a cartei de către statele membre;</w:t>
      </w:r>
    </w:p>
    <w:p>
      <w:pPr>
        <w:pStyle w:val="ListParagraph"/>
        <w:numPr>
          <w:ilvl w:val="0"/>
          <w:numId w:val="26"/>
        </w:numPr>
        <w:jc w:val="both"/>
        <w:rPr>
          <w:rFonts w:ascii="Times New Roman" w:hAnsi="Times New Roman" w:cs="Times New Roman"/>
          <w:noProof/>
          <w:sz w:val="24"/>
          <w:szCs w:val="24"/>
        </w:rPr>
      </w:pPr>
      <w:r>
        <w:rPr>
          <w:rFonts w:ascii="Times New Roman" w:hAnsi="Times New Roman"/>
          <w:noProof/>
          <w:sz w:val="24"/>
          <w:szCs w:val="24"/>
        </w:rPr>
        <w:t>consolidarea rolului organizațiilor societății civile, al apărătorilor drepturilor omului și al practicienilor din domeniul justiției;</w:t>
      </w:r>
    </w:p>
    <w:p>
      <w:pPr>
        <w:pStyle w:val="ListParagraph"/>
        <w:numPr>
          <w:ilvl w:val="0"/>
          <w:numId w:val="26"/>
        </w:numPr>
        <w:jc w:val="both"/>
        <w:rPr>
          <w:rFonts w:ascii="Times New Roman" w:hAnsi="Times New Roman" w:cs="Times New Roman"/>
          <w:noProof/>
          <w:sz w:val="24"/>
          <w:szCs w:val="24"/>
        </w:rPr>
      </w:pPr>
      <w:r>
        <w:rPr>
          <w:rFonts w:ascii="Times New Roman" w:hAnsi="Times New Roman"/>
          <w:noProof/>
          <w:sz w:val="24"/>
          <w:szCs w:val="24"/>
        </w:rPr>
        <w:t>încurajarea utilizării cartei drept punct de reper pentru instituțiile UE și</w:t>
      </w:r>
    </w:p>
    <w:p>
      <w:pPr>
        <w:pStyle w:val="ListParagraph"/>
        <w:numPr>
          <w:ilvl w:val="0"/>
          <w:numId w:val="26"/>
        </w:numPr>
        <w:jc w:val="both"/>
        <w:rPr>
          <w:rFonts w:ascii="Times New Roman" w:hAnsi="Times New Roman" w:cs="Times New Roman"/>
          <w:noProof/>
          <w:sz w:val="24"/>
          <w:szCs w:val="24"/>
        </w:rPr>
      </w:pPr>
      <w:r>
        <w:rPr>
          <w:rFonts w:ascii="Times New Roman" w:hAnsi="Times New Roman"/>
          <w:noProof/>
          <w:sz w:val="24"/>
          <w:szCs w:val="24"/>
        </w:rPr>
        <w:t>consolidarea conștientizării de către cetățeni a drepturilor care le sunt conferite de cartă.</w:t>
      </w:r>
    </w:p>
    <w:p>
      <w:pPr>
        <w:jc w:val="both"/>
        <w:rPr>
          <w:rFonts w:ascii="Times New Roman" w:hAnsi="Times New Roman" w:cs="Times New Roman"/>
          <w:noProof/>
          <w:sz w:val="24"/>
          <w:szCs w:val="24"/>
        </w:rPr>
      </w:pPr>
      <w:r>
        <w:rPr>
          <w:rFonts w:ascii="Times New Roman" w:hAnsi="Times New Roman"/>
          <w:noProof/>
          <w:sz w:val="24"/>
          <w:szCs w:val="24"/>
        </w:rPr>
        <w:t>Strategia răspunde solicitărilor Parlamentului European privind o monitorizare mai atentă a aplicării cartei în statele membre</w:t>
      </w:r>
      <w:r>
        <w:rPr>
          <w:rFonts w:ascii="Times New Roman" w:hAnsi="Times New Roman" w:cs="Times New Roman"/>
          <w:noProof/>
          <w:sz w:val="24"/>
          <w:szCs w:val="24"/>
          <w:vertAlign w:val="superscript"/>
        </w:rPr>
        <w:footnoteReference w:id="14"/>
      </w:r>
      <w:r>
        <w:rPr>
          <w:rFonts w:ascii="Times New Roman" w:hAnsi="Times New Roman"/>
          <w:noProof/>
          <w:sz w:val="24"/>
          <w:szCs w:val="24"/>
        </w:rPr>
        <w:t>, concluziilor Consiliului privind instituirea unor modalități de îmbunătățire a aplicării cartei</w:t>
      </w:r>
      <w:r>
        <w:rPr>
          <w:rFonts w:ascii="Times New Roman" w:hAnsi="Times New Roman" w:cs="Times New Roman"/>
          <w:noProof/>
          <w:sz w:val="24"/>
          <w:szCs w:val="24"/>
          <w:vertAlign w:val="superscript"/>
        </w:rPr>
        <w:footnoteReference w:id="15"/>
      </w:r>
      <w:r>
        <w:rPr>
          <w:rFonts w:ascii="Times New Roman" w:hAnsi="Times New Roman"/>
          <w:noProof/>
          <w:sz w:val="24"/>
          <w:szCs w:val="24"/>
        </w:rPr>
        <w:t xml:space="preserve"> și contribuțiile statelor membre</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 xml:space="preserve">Acțiunile instituite prin această strategie se vor axa pe </w:t>
      </w:r>
      <w:r>
        <w:rPr>
          <w:rFonts w:ascii="Times New Roman" w:hAnsi="Times New Roman"/>
          <w:b/>
          <w:noProof/>
          <w:sz w:val="24"/>
          <w:szCs w:val="24"/>
        </w:rPr>
        <w:t>prevenire, promovare, punere în aplicare și asigurarea respectării</w:t>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Asigurarea respectării drepturilor și valorilor fundamentale ale UE constituie o responsabilitate comună și necesită un efort colectiv din partea tuturor celor implicați: instituții, organisme și agenții ale UE,</w:t>
      </w:r>
      <w:r>
        <w:rPr>
          <w:rFonts w:ascii="Times New Roman" w:hAnsi="Times New Roman" w:cs="Times New Roman"/>
          <w:noProof/>
          <w:vertAlign w:val="superscript"/>
        </w:rPr>
        <w:footnoteReference w:id="17"/>
      </w:r>
      <w:r>
        <w:rPr>
          <w:rFonts w:ascii="Times New Roman" w:hAnsi="Times New Roman"/>
          <w:noProof/>
          <w:sz w:val="24"/>
          <w:szCs w:val="24"/>
        </w:rPr>
        <w:t xml:space="preserve"> autorități naționale și locale, inclusiv autorități de aplicare a legii, apărători ai drepturilor omului</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xml:space="preserve">, legiuitori, judecători și alți practicieni din domeniul dreptului, precum și organizații ale societății civile active în domeniul drepturilor fundamentale. Toate aceste </w:t>
      </w:r>
      <w:r>
        <w:rPr>
          <w:rFonts w:ascii="Times New Roman" w:hAnsi="Times New Roman"/>
          <w:b/>
          <w:noProof/>
          <w:sz w:val="24"/>
          <w:szCs w:val="24"/>
        </w:rPr>
        <w:t>părți esențiale</w:t>
      </w:r>
      <w:r>
        <w:rPr>
          <w:rFonts w:ascii="Times New Roman" w:hAnsi="Times New Roman"/>
          <w:noProof/>
          <w:sz w:val="24"/>
          <w:szCs w:val="24"/>
        </w:rPr>
        <w:t xml:space="preserve"> </w:t>
      </w:r>
      <w:r>
        <w:rPr>
          <w:rFonts w:ascii="Times New Roman" w:hAnsi="Times New Roman"/>
          <w:b/>
          <w:noProof/>
          <w:sz w:val="24"/>
          <w:szCs w:val="24"/>
        </w:rPr>
        <w:t>pentru aplicarea efectivă a cartei</w:t>
      </w:r>
      <w:r>
        <w:rPr>
          <w:rFonts w:ascii="Times New Roman" w:hAnsi="Times New Roman"/>
          <w:noProof/>
          <w:sz w:val="24"/>
          <w:szCs w:val="24"/>
        </w:rPr>
        <w:t xml:space="preserve"> au un rol privind transformarea cartei într-o realitate în viața oamenilor.</w:t>
      </w:r>
    </w:p>
    <w:p>
      <w:pPr>
        <w:jc w:val="both"/>
        <w:rPr>
          <w:rFonts w:ascii="Times New Roman" w:hAnsi="Times New Roman" w:cs="Times New Roman"/>
          <w:noProof/>
          <w:sz w:val="24"/>
          <w:szCs w:val="24"/>
        </w:rPr>
      </w:pPr>
      <w:r>
        <w:rPr>
          <w:rFonts w:ascii="Times New Roman" w:hAnsi="Times New Roman"/>
          <w:noProof/>
          <w:sz w:val="24"/>
          <w:szCs w:val="24"/>
        </w:rPr>
        <w:t xml:space="preserve">În cadrul pregătirii acestei noi strategii, Comisia a ascultat cu grijă </w:t>
      </w:r>
      <w:r>
        <w:rPr>
          <w:rFonts w:ascii="Times New Roman" w:hAnsi="Times New Roman"/>
          <w:b/>
          <w:noProof/>
          <w:sz w:val="24"/>
          <w:szCs w:val="24"/>
        </w:rPr>
        <w:t>părțile interesate și publicul larg</w:t>
      </w:r>
      <w:r>
        <w:rPr>
          <w:rFonts w:ascii="Times New Roman" w:hAnsi="Times New Roman"/>
          <w:noProof/>
          <w:sz w:val="24"/>
          <w:szCs w:val="24"/>
        </w:rPr>
        <w:t>. În acest context, Comisia a efectuat un sondaj Eurobarometru</w:t>
      </w:r>
      <w:r>
        <w:rPr>
          <w:rFonts w:ascii="Times New Roman" w:hAnsi="Times New Roman" w:cs="Times New Roman"/>
          <w:noProof/>
          <w:sz w:val="24"/>
          <w:szCs w:val="24"/>
          <w:vertAlign w:val="superscript"/>
        </w:rPr>
        <w:footnoteReference w:id="19"/>
      </w:r>
      <w:r>
        <w:rPr>
          <w:rFonts w:ascii="Times New Roman" w:hAnsi="Times New Roman"/>
          <w:noProof/>
          <w:sz w:val="24"/>
          <w:szCs w:val="24"/>
        </w:rPr>
        <w:t xml:space="preserve"> cu privire la conștientizarea de către public a cartei, care a arătat că oamenii nu au suficiente cunoștințe cu privire la drepturile care le sunt conferite de cartă, dar ar dori să aibă mai multe informații, inclusiv cu privire la modalități de obținere a unei reparații. Consultările</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xml:space="preserve"> au evidențiat nevoia de a identifica modalități de susținere a părților implicate în asigurarea respectării cartei pentru aplicarea acesteia în mod eficient în beneficiul tuturor.</w:t>
      </w:r>
    </w:p>
    <w:p>
      <w:pPr>
        <w:jc w:val="both"/>
        <w:rPr>
          <w:rFonts w:ascii="Times New Roman" w:hAnsi="Times New Roman" w:cs="Times New Roman"/>
          <w:b/>
          <w:i/>
          <w:noProof/>
          <w:sz w:val="24"/>
          <w:szCs w:val="24"/>
        </w:rPr>
      </w:pPr>
      <w:r>
        <w:rPr>
          <w:rFonts w:ascii="Times New Roman" w:hAnsi="Times New Roman"/>
          <w:b/>
          <w:i/>
          <w:noProof/>
          <w:sz w:val="24"/>
          <w:szCs w:val="24"/>
        </w:rPr>
        <w:t>Angajamentul UE de a promova valorile UE</w:t>
      </w:r>
    </w:p>
    <w:p>
      <w:pPr>
        <w:jc w:val="both"/>
        <w:rPr>
          <w:rFonts w:ascii="Times New Roman" w:hAnsi="Times New Roman" w:cs="Times New Roman"/>
          <w:noProof/>
          <w:sz w:val="24"/>
          <w:szCs w:val="24"/>
        </w:rPr>
      </w:pPr>
      <w:r>
        <w:rPr>
          <w:rFonts w:ascii="Times New Roman" w:hAnsi="Times New Roman"/>
          <w:noProof/>
          <w:sz w:val="24"/>
          <w:szCs w:val="24"/>
        </w:rPr>
        <w:t xml:space="preserve">Această strategie completează </w:t>
      </w:r>
      <w:r>
        <w:rPr>
          <w:rFonts w:ascii="Times New Roman" w:hAnsi="Times New Roman"/>
          <w:b/>
          <w:noProof/>
          <w:sz w:val="24"/>
          <w:szCs w:val="24"/>
        </w:rPr>
        <w:t>Planul de acțiune privind democrația europeană</w:t>
      </w:r>
      <w:r>
        <w:rPr>
          <w:rFonts w:ascii="Times New Roman" w:hAnsi="Times New Roman" w:cs="Times New Roman"/>
          <w:b/>
          <w:noProof/>
          <w:sz w:val="24"/>
          <w:szCs w:val="24"/>
          <w:vertAlign w:val="superscript"/>
        </w:rPr>
        <w:footnoteReference w:id="21"/>
      </w:r>
      <w:r>
        <w:rPr>
          <w:rFonts w:ascii="Times New Roman" w:hAnsi="Times New Roman"/>
          <w:b/>
          <w:noProof/>
          <w:sz w:val="24"/>
          <w:szCs w:val="24"/>
        </w:rPr>
        <w:t xml:space="preserve"> și primul Raport privind statul de drept</w:t>
      </w:r>
      <w:r>
        <w:rPr>
          <w:rFonts w:ascii="Times New Roman" w:hAnsi="Times New Roman" w:cs="Times New Roman"/>
          <w:b/>
          <w:noProof/>
          <w:sz w:val="24"/>
          <w:szCs w:val="24"/>
          <w:vertAlign w:val="superscript"/>
        </w:rPr>
        <w:footnoteReference w:id="22"/>
      </w:r>
      <w:r>
        <w:rPr>
          <w:rFonts w:ascii="Times New Roman" w:hAnsi="Times New Roman"/>
          <w:noProof/>
          <w:sz w:val="24"/>
          <w:szCs w:val="24"/>
        </w:rPr>
        <w:t>, care ilustrează, împreună, abordarea cuprinzătoare a Comisiei privind promovarea și protejarea valorilor fundamentale pe care este întemeiată UE.</w:t>
      </w:r>
    </w:p>
    <w:p>
      <w:pPr>
        <w:jc w:val="both"/>
        <w:rPr>
          <w:rFonts w:ascii="Times New Roman" w:hAnsi="Times New Roman" w:cs="Times New Roman"/>
          <w:noProof/>
          <w:sz w:val="24"/>
          <w:szCs w:val="24"/>
        </w:rPr>
      </w:pPr>
      <w:r>
        <w:rPr>
          <w:rFonts w:ascii="Times New Roman" w:hAnsi="Times New Roman"/>
          <w:noProof/>
          <w:sz w:val="24"/>
          <w:szCs w:val="24"/>
        </w:rPr>
        <w:t xml:space="preserve">Strategia evidențiază natura primordială a cartei și </w:t>
      </w:r>
      <w:r>
        <w:rPr>
          <w:rFonts w:ascii="Times New Roman" w:hAnsi="Times New Roman"/>
          <w:b/>
          <w:noProof/>
          <w:sz w:val="24"/>
          <w:szCs w:val="24"/>
        </w:rPr>
        <w:t>completează</w:t>
      </w:r>
      <w:r>
        <w:rPr>
          <w:rFonts w:ascii="Times New Roman" w:hAnsi="Times New Roman"/>
          <w:noProof/>
          <w:sz w:val="24"/>
          <w:szCs w:val="24"/>
        </w:rPr>
        <w:t xml:space="preserve"> </w:t>
      </w:r>
      <w:r>
        <w:rPr>
          <w:rFonts w:ascii="Times New Roman" w:hAnsi="Times New Roman"/>
          <w:b/>
          <w:noProof/>
          <w:sz w:val="24"/>
          <w:szCs w:val="24"/>
        </w:rPr>
        <w:t>eforturile specifice pentru ca drepturile și valorile UE să devină mai tangibile</w:t>
      </w:r>
      <w:r>
        <w:rPr>
          <w:rFonts w:ascii="Times New Roman" w:hAnsi="Times New Roman"/>
          <w:noProof/>
          <w:sz w:val="24"/>
          <w:szCs w:val="24"/>
        </w:rPr>
        <w:t>, în domenii precum drepturile victimelor și accesul la justiție</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egalitatea și incluziunea</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combaterea rasismului și pluralismul</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drepturile sociale și educația și formarea favorabile incluziunii</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drepturile economice</w:t>
      </w:r>
      <w:r>
        <w:rPr>
          <w:rFonts w:ascii="Times New Roman" w:hAnsi="Times New Roman" w:cs="Times New Roman"/>
          <w:noProof/>
          <w:sz w:val="24"/>
          <w:szCs w:val="24"/>
          <w:vertAlign w:val="superscript"/>
        </w:rPr>
        <w:footnoteReference w:id="27"/>
      </w:r>
      <w:r>
        <w:rPr>
          <w:rFonts w:ascii="Times New Roman" w:hAnsi="Times New Roman"/>
          <w:noProof/>
          <w:sz w:val="24"/>
          <w:szCs w:val="24"/>
        </w:rPr>
        <w:t>, drepturile cetățenilor UE</w:t>
      </w:r>
      <w:r>
        <w:rPr>
          <w:rFonts w:ascii="Times New Roman" w:hAnsi="Times New Roman" w:cs="Times New Roman"/>
          <w:noProof/>
          <w:sz w:val="24"/>
          <w:szCs w:val="24"/>
          <w:vertAlign w:val="superscript"/>
        </w:rPr>
        <w:footnoteReference w:id="28"/>
      </w:r>
      <w:r>
        <w:rPr>
          <w:rFonts w:ascii="Times New Roman" w:hAnsi="Times New Roman"/>
          <w:noProof/>
          <w:sz w:val="24"/>
          <w:szCs w:val="24"/>
        </w:rPr>
        <w:t xml:space="preserve"> și drepturile copilului</w:t>
      </w:r>
      <w:r>
        <w:rPr>
          <w:rFonts w:ascii="Times New Roman" w:hAnsi="Times New Roman" w:cs="Times New Roman"/>
          <w:noProof/>
          <w:sz w:val="24"/>
          <w:szCs w:val="24"/>
          <w:vertAlign w:val="superscript"/>
        </w:rPr>
        <w:footnoteReference w:id="29"/>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b/>
          <w:noProof/>
          <w:sz w:val="24"/>
          <w:szCs w:val="24"/>
        </w:rPr>
        <w:t>Toate</w:t>
      </w:r>
      <w:r>
        <w:rPr>
          <w:rFonts w:ascii="Times New Roman" w:hAnsi="Times New Roman"/>
          <w:noProof/>
          <w:sz w:val="24"/>
          <w:szCs w:val="24"/>
        </w:rPr>
        <w:t xml:space="preserve"> </w:t>
      </w:r>
      <w:r>
        <w:rPr>
          <w:rFonts w:ascii="Times New Roman" w:hAnsi="Times New Roman"/>
          <w:b/>
          <w:noProof/>
          <w:sz w:val="24"/>
          <w:szCs w:val="24"/>
        </w:rPr>
        <w:t>aceste direcții de activitate se consolidează reciproc în vederea protecției efective a drepturilor fundamentale în UE</w:t>
      </w:r>
      <w:r>
        <w:rPr>
          <w:rFonts w:ascii="Times New Roman" w:hAnsi="Times New Roman"/>
          <w:noProof/>
          <w:sz w:val="24"/>
          <w:szCs w:val="24"/>
        </w:rPr>
        <w:t>.</w:t>
      </w:r>
    </w:p>
    <w:p>
      <w:pPr>
        <w:jc w:val="both"/>
        <w:rPr>
          <w:rFonts w:ascii="Times New Roman" w:hAnsi="Times New Roman" w:cs="Times New Roman"/>
          <w:noProof/>
          <w:spacing w:val="-2"/>
          <w:sz w:val="24"/>
          <w:szCs w:val="24"/>
        </w:rPr>
      </w:pPr>
      <w:r>
        <w:rPr>
          <w:rFonts w:ascii="Times New Roman" w:hAnsi="Times New Roman"/>
          <w:noProof/>
          <w:spacing w:val="-2"/>
          <w:sz w:val="24"/>
          <w:szCs w:val="24"/>
        </w:rPr>
        <w:t>Carta se aplică în coroborare cu sistemele naționale și internaționale de protecție a drepturilor fundamentale, inclusiv tradițiile constituționale și obligațiile internaționale comune statelor membre</w:t>
      </w:r>
      <w:r>
        <w:rPr>
          <w:rStyle w:val="FootnoteReference"/>
          <w:rFonts w:ascii="Times New Roman" w:hAnsi="Times New Roman" w:cs="Times New Roman"/>
          <w:noProof/>
          <w:spacing w:val="-2"/>
          <w:sz w:val="24"/>
          <w:szCs w:val="24"/>
        </w:rPr>
        <w:footnoteReference w:id="30"/>
      </w:r>
      <w:r>
        <w:rPr>
          <w:rFonts w:ascii="Times New Roman" w:hAnsi="Times New Roman"/>
          <w:noProof/>
          <w:spacing w:val="-2"/>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 xml:space="preserve">În acest context, </w:t>
      </w:r>
      <w:r>
        <w:rPr>
          <w:rFonts w:ascii="Times New Roman" w:hAnsi="Times New Roman"/>
          <w:b/>
          <w:noProof/>
          <w:sz w:val="24"/>
          <w:szCs w:val="24"/>
        </w:rPr>
        <w:t>aderarea UE la Convenția europeană a drepturilor omului</w:t>
      </w:r>
      <w:r>
        <w:rPr>
          <w:rFonts w:ascii="Times New Roman" w:hAnsi="Times New Roman"/>
          <w:noProof/>
          <w:sz w:val="24"/>
          <w:szCs w:val="24"/>
        </w:rPr>
        <w:t xml:space="preserve"> rămâne o prioritate pentru Comisie. Dacă UE dorește cu adevărat să consolideze drepturile fundamentale, trebuie să fie deschisă către controlul din exterior. Comisia și-a unit forțele cu Consiliul Europei pentru a realiza acest obiectiv, care va contribui la dezvoltarea în continuare a legăturilor dintre cele două cadre privind drepturile fundamentale și la aplicarea lor efectivă la fața locului.</w:t>
      </w:r>
    </w:p>
    <w:p>
      <w:pPr>
        <w:jc w:val="both"/>
        <w:rPr>
          <w:rFonts w:ascii="Times New Roman" w:hAnsi="Times New Roman" w:cs="Times New Roman"/>
          <w:b/>
          <w:i/>
          <w:noProof/>
          <w:sz w:val="24"/>
          <w:szCs w:val="24"/>
        </w:rPr>
      </w:pPr>
      <w:r>
        <w:rPr>
          <w:rFonts w:ascii="Times New Roman" w:hAnsi="Times New Roman"/>
          <w:b/>
          <w:i/>
          <w:noProof/>
          <w:sz w:val="24"/>
          <w:szCs w:val="24"/>
        </w:rPr>
        <w:t>UE ca actor mondial în domeniul drepturilor omului</w:t>
      </w:r>
    </w:p>
    <w:p>
      <w:pPr>
        <w:jc w:val="both"/>
        <w:rPr>
          <w:rFonts w:ascii="Times New Roman" w:hAnsi="Times New Roman" w:cs="Times New Roman"/>
          <w:noProof/>
          <w:sz w:val="24"/>
          <w:szCs w:val="24"/>
        </w:rPr>
      </w:pPr>
      <w:r>
        <w:rPr>
          <w:rFonts w:ascii="Times New Roman" w:hAnsi="Times New Roman"/>
          <w:noProof/>
          <w:sz w:val="24"/>
          <w:szCs w:val="24"/>
        </w:rPr>
        <w:t xml:space="preserve">Promovarea valorilor și a drepturilor fundamentale ale UE reprezintă de asemenea o parte importantă a </w:t>
      </w:r>
      <w:r>
        <w:rPr>
          <w:rFonts w:ascii="Times New Roman" w:hAnsi="Times New Roman"/>
          <w:b/>
          <w:noProof/>
          <w:sz w:val="24"/>
          <w:szCs w:val="24"/>
        </w:rPr>
        <w:t>activității UE pe scena mondială</w:t>
      </w:r>
      <w:r>
        <w:rPr>
          <w:rFonts w:ascii="Times New Roman" w:hAnsi="Times New Roman"/>
          <w:noProof/>
          <w:sz w:val="24"/>
          <w:szCs w:val="24"/>
        </w:rPr>
        <w:t>. Modul în care UE abordează intern aspectele privind drepturile fundamentale este deosebit de relevant în ceea ce privește relațiile sale cu țările din afara UE, la nivel bilateral, regional și multilateral. Întrucât presiunea asupra democrației, a statului de drept și a drepturilor omului la nivel mondial este din ce în ce mai mare, protecția drepturilor omului și sprijinirea democrației în întreaga lume sunt priorități-cheie ale acțiunii externe a UE</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xml:space="preserve">. UE urmărește o abordare solidă și coerentă între politicile sale interne privind drepturile fundamentale și modul în care integrează drepturile omului în activitatea sa cu partenerii externi, astfel cum demonstrează noul </w:t>
      </w:r>
      <w:r>
        <w:rPr>
          <w:rFonts w:ascii="Times New Roman" w:hAnsi="Times New Roman"/>
          <w:b/>
          <w:noProof/>
          <w:sz w:val="24"/>
          <w:szCs w:val="24"/>
        </w:rPr>
        <w:t>Plan de acțiune privind drepturile omului și democrația</w:t>
      </w:r>
      <w:r>
        <w:rPr>
          <w:rStyle w:val="FootnoteReference"/>
          <w:rFonts w:ascii="Times New Roman" w:hAnsi="Times New Roman" w:cs="Times New Roman"/>
          <w:noProof/>
          <w:sz w:val="24"/>
          <w:szCs w:val="24"/>
        </w:rPr>
        <w:footnoteReference w:id="32"/>
      </w:r>
      <w:r>
        <w:rPr>
          <w:rFonts w:ascii="Times New Roman" w:hAnsi="Times New Roman"/>
          <w:noProof/>
          <w:sz w:val="24"/>
          <w:szCs w:val="24"/>
        </w:rPr>
        <w:t xml:space="preserve"> </w:t>
      </w:r>
      <w:r>
        <w:rPr>
          <w:rFonts w:ascii="Times New Roman" w:hAnsi="Times New Roman"/>
          <w:b/>
          <w:noProof/>
          <w:sz w:val="24"/>
          <w:szCs w:val="24"/>
        </w:rPr>
        <w:t>și Planul de acțiune pentru egalitatea de gen III</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xml:space="preserve">, în conformitate cu </w:t>
      </w:r>
      <w:r>
        <w:rPr>
          <w:rFonts w:ascii="Times New Roman" w:hAnsi="Times New Roman"/>
          <w:b/>
          <w:noProof/>
          <w:sz w:val="24"/>
          <w:szCs w:val="24"/>
        </w:rPr>
        <w:t>obiectivele de dezvoltare durabilă</w:t>
      </w:r>
      <w:r>
        <w:rPr>
          <w:rStyle w:val="FootnoteReference"/>
          <w:rFonts w:ascii="Times New Roman" w:hAnsi="Times New Roman" w:cs="Times New Roman"/>
          <w:noProof/>
          <w:sz w:val="24"/>
          <w:szCs w:val="24"/>
        </w:rPr>
        <w:footnoteReference w:id="34"/>
      </w:r>
      <w:r>
        <w:rPr>
          <w:rFonts w:ascii="Times New Roman" w:hAnsi="Times New Roman"/>
          <w:noProof/>
          <w:sz w:val="24"/>
          <w:szCs w:val="24"/>
        </w:rPr>
        <w:t>. UE promovează de asemenea respectarea drepturilor omului prin intermediul politicii sale comerciale.</w:t>
      </w:r>
    </w:p>
    <w:p>
      <w:pPr>
        <w:rPr>
          <w:rFonts w:asciiTheme="majorHAnsi" w:eastAsiaTheme="majorEastAsia" w:hAnsiTheme="majorHAnsi" w:cstheme="majorBidi"/>
          <w:noProof/>
          <w:color w:val="2E74B5" w:themeColor="accent1" w:themeShade="BF"/>
          <w:sz w:val="32"/>
          <w:szCs w:val="32"/>
        </w:rPr>
      </w:pPr>
      <w:r>
        <w:rPr>
          <w:noProof/>
        </w:rPr>
        <w:br w:type="page"/>
      </w:r>
    </w:p>
    <w:p>
      <w:pPr>
        <w:pStyle w:val="Heading1"/>
        <w:rPr>
          <w:rFonts w:ascii="Times New Roman" w:hAnsi="Times New Roman" w:cs="Times New Roman"/>
          <w:noProof/>
        </w:rPr>
      </w:pPr>
      <w:r>
        <w:rPr>
          <w:rFonts w:ascii="Times New Roman" w:hAnsi="Times New Roman"/>
          <w:noProof/>
        </w:rPr>
        <w:t>1 – Asigurarea aplicării efective a cartei de către statele membre</w:t>
      </w:r>
    </w:p>
    <w:p>
      <w:pPr>
        <w:jc w:val="both"/>
        <w:rPr>
          <w:noProof/>
        </w:rPr>
      </w:pPr>
    </w:p>
    <w:p>
      <w:pPr>
        <w:jc w:val="both"/>
        <w:rPr>
          <w:rFonts w:ascii="Times New Roman" w:hAnsi="Times New Roman" w:cs="Times New Roman"/>
          <w:b/>
          <w:i/>
          <w:noProof/>
          <w:sz w:val="24"/>
          <w:szCs w:val="24"/>
        </w:rPr>
      </w:pPr>
      <w:r>
        <w:rPr>
          <w:rFonts w:ascii="Times New Roman" w:hAnsi="Times New Roman"/>
          <w:b/>
          <w:i/>
          <w:noProof/>
          <w:sz w:val="24"/>
          <w:szCs w:val="24"/>
        </w:rPr>
        <w:t xml:space="preserve">1.1 Cooperarea cu statele membre în vederea unei aplicări efective a cartei </w:t>
      </w:r>
    </w:p>
    <w:p>
      <w:pPr>
        <w:jc w:val="both"/>
        <w:rPr>
          <w:rFonts w:ascii="Times New Roman" w:hAnsi="Times New Roman" w:cs="Times New Roman"/>
          <w:noProof/>
          <w:sz w:val="24"/>
          <w:szCs w:val="24"/>
        </w:rPr>
      </w:pPr>
      <w:r>
        <w:rPr>
          <w:rFonts w:ascii="Times New Roman" w:hAnsi="Times New Roman"/>
          <w:noProof/>
          <w:sz w:val="24"/>
          <w:szCs w:val="24"/>
        </w:rPr>
        <w:t xml:space="preserve">Carta este un </w:t>
      </w:r>
      <w:r>
        <w:rPr>
          <w:rFonts w:ascii="Times New Roman" w:hAnsi="Times New Roman"/>
          <w:b/>
          <w:noProof/>
          <w:sz w:val="24"/>
          <w:szCs w:val="24"/>
        </w:rPr>
        <w:t>instrument obligatoriu din punct de vedere juridic</w:t>
      </w:r>
      <w:r>
        <w:rPr>
          <w:rFonts w:ascii="Times New Roman" w:hAnsi="Times New Roman"/>
          <w:noProof/>
          <w:sz w:val="24"/>
          <w:szCs w:val="24"/>
        </w:rPr>
        <w:t xml:space="preserve"> care se adresează statelor membre „</w:t>
      </w:r>
      <w:r>
        <w:rPr>
          <w:rFonts w:ascii="Times New Roman" w:hAnsi="Times New Roman"/>
          <w:i/>
          <w:noProof/>
          <w:sz w:val="24"/>
          <w:szCs w:val="24"/>
        </w:rPr>
        <w:t>numai în cazul în care acestea pun în aplicare dreptul Uniunii</w:t>
      </w:r>
      <w:r>
        <w:rPr>
          <w:rFonts w:ascii="Times New Roman" w:hAnsi="Times New Roman"/>
          <w:noProof/>
          <w:sz w:val="24"/>
          <w:szCs w:val="24"/>
        </w:rPr>
        <w:t>”</w:t>
      </w:r>
      <w:r>
        <w:rPr>
          <w:rStyle w:val="FootnoteReference"/>
          <w:rFonts w:ascii="Times New Roman" w:hAnsi="Times New Roman" w:cs="Times New Roman"/>
          <w:noProof/>
          <w:sz w:val="24"/>
          <w:szCs w:val="24"/>
        </w:rPr>
        <w:footnoteReference w:id="35"/>
      </w:r>
      <w:r>
        <w:rPr>
          <w:rFonts w:ascii="Times New Roman" w:hAnsi="Times New Roman"/>
          <w:noProof/>
          <w:sz w:val="24"/>
          <w:szCs w:val="24"/>
        </w:rPr>
        <w:t>. Aceasta nu urmărește să extindă domeniul de aplicare al dreptului Uniunii</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 Astfel, domeniul de aplicare al cartei urmează domeniul de aplicare al dreptului Uniunii: „carta este o «reflectare» a dreptului Uniunii</w:t>
      </w:r>
      <w:r>
        <w:rPr>
          <w:noProof/>
        </w:rPr>
        <w:t xml:space="preserve">. </w:t>
      </w:r>
      <w:r>
        <w:rPr>
          <w:rFonts w:ascii="Times New Roman" w:hAnsi="Times New Roman"/>
          <w:noProof/>
          <w:sz w:val="24"/>
          <w:szCs w:val="24"/>
        </w:rPr>
        <w:t>Aceasta înseamnă, în esență, că nu poate exista nicio situație reglementată de dreptul Uniunii în care carta să nu se aplice”</w:t>
      </w:r>
      <w:r>
        <w:rPr>
          <w:rStyle w:val="FootnoteReference"/>
          <w:rFonts w:ascii="Times New Roman" w:hAnsi="Times New Roman" w:cs="Times New Roman"/>
          <w:noProof/>
          <w:sz w:val="24"/>
          <w:szCs w:val="24"/>
        </w:rPr>
        <w:footnoteReference w:id="37"/>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 xml:space="preserve">Având în vedere extinderea tot mai mare a dreptului Uniunii, </w:t>
      </w:r>
      <w:r>
        <w:rPr>
          <w:rFonts w:ascii="Times New Roman" w:hAnsi="Times New Roman"/>
          <w:b/>
          <w:noProof/>
          <w:sz w:val="24"/>
          <w:szCs w:val="24"/>
        </w:rPr>
        <w:t>carta se aplică într-un număr din ce în ce mai mare de cauze</w:t>
      </w:r>
      <w:r>
        <w:rPr>
          <w:rFonts w:ascii="Times New Roman" w:hAnsi="Times New Roman"/>
          <w:noProof/>
          <w:sz w:val="24"/>
          <w:szCs w:val="24"/>
        </w:rPr>
        <w:t xml:space="preserve"> și domenii. Acest fapt este ilustrat de jurisprudența UE privind aplicarea dreptului la o cale de atac eficientă</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xml:space="preserve"> dezvoltată în domenii precum cel fiscal, azilul și migrația, independența sistemului judiciar sau egalitatea de tratament în ceea ce privește încadrarea în muncă</w:t>
      </w:r>
      <w:r>
        <w:rPr>
          <w:rFonts w:ascii="Times New Roman" w:hAnsi="Times New Roman" w:cs="Times New Roman"/>
          <w:noProof/>
          <w:sz w:val="24"/>
          <w:szCs w:val="24"/>
          <w:vertAlign w:val="superscript"/>
        </w:rPr>
        <w:footnoteReference w:id="39"/>
      </w:r>
      <w:r>
        <w:rPr>
          <w:rFonts w:ascii="Times New Roman" w:hAnsi="Times New Roman"/>
          <w:noProof/>
          <w:sz w:val="24"/>
          <w:szCs w:val="24"/>
        </w:rPr>
        <w:t>. Curtea s-a referit de asemenea, recent, la dreptul de proprietate</w:t>
      </w:r>
      <w:r>
        <w:rPr>
          <w:rStyle w:val="FootnoteReference"/>
          <w:rFonts w:ascii="Times New Roman" w:hAnsi="Times New Roman" w:cs="Times New Roman"/>
          <w:noProof/>
          <w:sz w:val="24"/>
          <w:szCs w:val="24"/>
        </w:rPr>
        <w:footnoteReference w:id="40"/>
      </w:r>
      <w:r>
        <w:rPr>
          <w:rFonts w:ascii="Times New Roman" w:hAnsi="Times New Roman"/>
          <w:noProof/>
          <w:sz w:val="24"/>
          <w:szCs w:val="24"/>
        </w:rPr>
        <w:t xml:space="preserve"> pentru a consolida protecția investitorilor străini în piața internă</w:t>
      </w:r>
      <w:r>
        <w:rPr>
          <w:rFonts w:ascii="Times New Roman" w:hAnsi="Times New Roman" w:cs="Times New Roman"/>
          <w:noProof/>
          <w:sz w:val="24"/>
          <w:szCs w:val="24"/>
          <w:vertAlign w:val="superscript"/>
        </w:rPr>
        <w:footnoteReference w:id="41"/>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b/>
          <w:noProof/>
          <w:sz w:val="24"/>
          <w:szCs w:val="24"/>
        </w:rPr>
        <w:t xml:space="preserve">Administrațiile naționale și locale, parlamentele statelor membre și autoritățile de aplicare a legii au un rol central în promovarea și protejarea drepturilor prevăzute de cartă. </w:t>
      </w:r>
      <w:r>
        <w:rPr>
          <w:rFonts w:ascii="Times New Roman" w:hAnsi="Times New Roman"/>
          <w:noProof/>
          <w:sz w:val="24"/>
          <w:szCs w:val="24"/>
        </w:rPr>
        <w:t>Comisia plănuiește să colaboreze cu autoritățile naționale și locale ale statelor membre pentru a asigura aplicarea deplină a cartei și a legislației Uniunii care promovează și protejează drepturile prevăzute de aceasta.</w:t>
      </w:r>
    </w:p>
    <w:p>
      <w:pPr>
        <w:jc w:val="both"/>
        <w:rPr>
          <w:rFonts w:ascii="Times New Roman" w:hAnsi="Times New Roman" w:cs="Times New Roman"/>
          <w:noProof/>
          <w:sz w:val="24"/>
          <w:szCs w:val="24"/>
        </w:rPr>
      </w:pPr>
      <w:r>
        <w:rPr>
          <w:rFonts w:ascii="Times New Roman" w:hAnsi="Times New Roman"/>
          <w:b/>
          <w:i/>
          <w:noProof/>
          <w:sz w:val="24"/>
          <w:szCs w:val="24"/>
        </w:rPr>
        <w:t>Prevenirea</w:t>
      </w:r>
      <w:r>
        <w:rPr>
          <w:rFonts w:ascii="Times New Roman" w:hAnsi="Times New Roman"/>
          <w:noProof/>
          <w:sz w:val="24"/>
          <w:szCs w:val="24"/>
        </w:rPr>
        <w:t xml:space="preserve"> - Comisia acordă o importanță majoră dialogului său cu statele membre și este pregătită să le susțină în ceea ce privește transpunerea și punerea în aplicare efectivă a dreptului Uniunii</w:t>
      </w:r>
      <w:r>
        <w:rPr>
          <w:rFonts w:ascii="Times New Roman" w:hAnsi="Times New Roman" w:cs="Times New Roman"/>
          <w:noProof/>
          <w:sz w:val="24"/>
          <w:szCs w:val="24"/>
          <w:vertAlign w:val="superscript"/>
        </w:rPr>
        <w:footnoteReference w:id="42"/>
      </w:r>
      <w:r>
        <w:rPr>
          <w:rFonts w:ascii="Times New Roman" w:hAnsi="Times New Roman"/>
          <w:noProof/>
          <w:sz w:val="24"/>
          <w:szCs w:val="24"/>
        </w:rPr>
        <w:t>. Dialogul regulat cu statele membre și cu autoritățile de aplicare a legii</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 xml:space="preserve"> este esențial pentru a face schimb de practici și pentru a discuta preocupări legate de punerea în aplicare și de asigurarea respectării cartei și a legislației conexe a Uniunii. Acest lucru permite soluționarea, într-o fază incipientă, a oricărei probleme de incompatibilitate care apare.</w:t>
      </w:r>
    </w:p>
    <w:p>
      <w:pPr>
        <w:jc w:val="both"/>
        <w:rPr>
          <w:rFonts w:ascii="Times New Roman" w:hAnsi="Times New Roman" w:cs="Times New Roman"/>
          <w:noProof/>
          <w:sz w:val="24"/>
          <w:szCs w:val="24"/>
        </w:rPr>
      </w:pPr>
      <w:r>
        <w:rPr>
          <w:rFonts w:ascii="Times New Roman" w:hAnsi="Times New Roman"/>
          <w:b/>
          <w:i/>
          <w:noProof/>
          <w:sz w:val="24"/>
          <w:szCs w:val="24"/>
        </w:rPr>
        <w:t>Promovare și punere în aplicare</w:t>
      </w:r>
      <w:r>
        <w:rPr>
          <w:rFonts w:ascii="Times New Roman" w:hAnsi="Times New Roman"/>
          <w:noProof/>
          <w:sz w:val="24"/>
          <w:szCs w:val="24"/>
        </w:rPr>
        <w:t xml:space="preserve"> - consultările</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 xml:space="preserve"> arată că utilizarea și cunoașterea cartei în cadrul administrațiilor naționale și locale și în parlamente este scăzută. Pentru a se conforma obligațiilor lor care decurg din dreptul Uniunii, este important ca statele membre să promoveze dezvoltarea de instrumente, mecanisme de monitorizare, formare și strategii pentru a asigura conformitatea cu carta a inițiativelor care intră în domeniul de aplicare al dreptul Uniunii</w:t>
      </w:r>
      <w:r>
        <w:rPr>
          <w:rStyle w:val="FootnoteReference"/>
          <w:rFonts w:ascii="Times New Roman" w:hAnsi="Times New Roman" w:cs="Times New Roman"/>
          <w:noProof/>
          <w:sz w:val="24"/>
          <w:szCs w:val="24"/>
        </w:rPr>
        <w:footnoteReference w:id="45"/>
      </w:r>
      <w:r>
        <w:rPr>
          <w:rFonts w:ascii="Times New Roman" w:hAnsi="Times New Roman"/>
          <w:noProof/>
          <w:sz w:val="24"/>
          <w:szCs w:val="24"/>
        </w:rPr>
        <w:t>. Statele membre ar trebui să încurajeze învățarea reciprocă prin schimbul de bune practici privind utilizarea și cunoașterea cartei, inclusiv la nivel local</w:t>
      </w:r>
      <w:r>
        <w:rPr>
          <w:rStyle w:val="FootnoteReference"/>
          <w:rFonts w:ascii="Times New Roman" w:hAnsi="Times New Roman" w:cs="Times New Roman"/>
          <w:noProof/>
          <w:sz w:val="24"/>
          <w:szCs w:val="24"/>
        </w:rPr>
        <w:footnoteReference w:id="46"/>
      </w:r>
      <w:r>
        <w:rPr>
          <w:rFonts w:ascii="Times New Roman" w:hAnsi="Times New Roman"/>
          <w:noProof/>
          <w:sz w:val="24"/>
          <w:szCs w:val="24"/>
        </w:rPr>
        <w:t xml:space="preserve">, pe pagina de internet dedicată pusă la dispoziție de Comisie în cadrul </w:t>
      </w:r>
      <w:r>
        <w:rPr>
          <w:rFonts w:ascii="Times New Roman" w:hAnsi="Times New Roman"/>
          <w:b/>
          <w:noProof/>
          <w:sz w:val="24"/>
          <w:szCs w:val="24"/>
        </w:rPr>
        <w:t>portalului european e-justiție</w:t>
      </w:r>
      <w:r>
        <w:rPr>
          <w:rStyle w:val="FootnoteReference"/>
          <w:rFonts w:ascii="Times New Roman" w:hAnsi="Times New Roman" w:cs="Times New Roman"/>
          <w:noProof/>
          <w:sz w:val="24"/>
          <w:szCs w:val="24"/>
        </w:rPr>
        <w:footnoteReference w:id="47"/>
      </w:r>
      <w:r>
        <w:rPr>
          <w:rFonts w:ascii="Times New Roman" w:hAnsi="Times New Roman"/>
          <w:noProof/>
          <w:sz w:val="24"/>
          <w:szCs w:val="24"/>
        </w:rPr>
        <w:t>. Consiliul ar putea promova de asemenea astfel de schimburi în cadrul Grupului său de lucru pentru drepturi fundamentale, drepturile cetățenilor și libera circulație a persoanelor (FREMP), potrivit concluziilor sale cu privire la cartă din 2019</w:t>
      </w:r>
      <w:r>
        <w:rPr>
          <w:rStyle w:val="FootnoteReference"/>
          <w:rFonts w:ascii="Times New Roman" w:hAnsi="Times New Roman" w:cs="Times New Roman"/>
          <w:noProof/>
          <w:sz w:val="24"/>
          <w:szCs w:val="24"/>
        </w:rPr>
        <w:footnoteReference w:id="48"/>
      </w:r>
      <w:r>
        <w:rPr>
          <w:rFonts w:ascii="Times New Roman" w:hAnsi="Times New Roman"/>
          <w:noProof/>
          <w:sz w:val="24"/>
          <w:szCs w:val="24"/>
        </w:rPr>
        <w:t>.</w:t>
      </w:r>
    </w:p>
    <w:p>
      <w:pPr>
        <w:jc w:val="both"/>
        <w:rPr>
          <w:noProof/>
        </w:rPr>
      </w:pPr>
      <w:r>
        <w:rPr>
          <w:rFonts w:ascii="Times New Roman" w:hAnsi="Times New Roman"/>
          <w:b/>
          <w:i/>
          <w:noProof/>
          <w:sz w:val="24"/>
          <w:szCs w:val="24"/>
        </w:rPr>
        <w:t>Coordonarea</w:t>
      </w:r>
      <w:r>
        <w:rPr>
          <w:rFonts w:ascii="Times New Roman" w:hAnsi="Times New Roman"/>
          <w:noProof/>
          <w:sz w:val="24"/>
          <w:szCs w:val="24"/>
        </w:rPr>
        <w:t xml:space="preserve"> - consultările au arătat de asemenea importanța cooperării și a comunicării între diferitele niveluri de guvernare, cu instituțiile UE și cu apărătorii drepturilor omului și organizațiile societății civile. În această privință, Comisia încurajează statele membre să desemneze un </w:t>
      </w:r>
      <w:r>
        <w:rPr>
          <w:rFonts w:ascii="Times New Roman" w:hAnsi="Times New Roman"/>
          <w:b/>
          <w:noProof/>
          <w:sz w:val="24"/>
          <w:szCs w:val="24"/>
        </w:rPr>
        <w:t>punct focal al cartei</w:t>
      </w:r>
      <w:r>
        <w:rPr>
          <w:rFonts w:ascii="Times New Roman" w:hAnsi="Times New Roman"/>
          <w:noProof/>
          <w:sz w:val="24"/>
          <w:szCs w:val="24"/>
        </w:rPr>
        <w:t xml:space="preserve"> pentru a facilita fluxul de informații și bune practici cu privire la cartă și pentru a coordona eforturile de consolidare a capacităților din țară</w:t>
      </w:r>
      <w:r>
        <w:rPr>
          <w:rStyle w:val="FootnoteReference"/>
          <w:rFonts w:ascii="Times New Roman" w:hAnsi="Times New Roman" w:cs="Times New Roman"/>
          <w:noProof/>
          <w:sz w:val="24"/>
          <w:szCs w:val="24"/>
        </w:rPr>
        <w:footnoteReference w:id="49"/>
      </w:r>
      <w:r>
        <w:rPr>
          <w:rFonts w:ascii="Times New Roman" w:hAnsi="Times New Roman"/>
          <w:noProof/>
          <w:sz w:val="24"/>
          <w:szCs w:val="24"/>
        </w:rPr>
        <w:t>. Acest punct focal ar putea de asemenea să transmită informații către și de la instituțiile UE.</w:t>
      </w:r>
    </w:p>
    <w:p>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b/>
          <w:i/>
          <w:noProof/>
          <w:sz w:val="24"/>
          <w:szCs w:val="24"/>
        </w:rPr>
      </w:pPr>
      <w:r>
        <w:rPr>
          <w:rFonts w:ascii="Times New Roman" w:hAnsi="Times New Roman"/>
          <w:b/>
          <w:i/>
          <w:noProof/>
          <w:sz w:val="24"/>
          <w:szCs w:val="24"/>
        </w:rPr>
        <w:t>Comisia:</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își va consolida cooperarea cu statele membre pentru a asigura aplicarea efectivă a cartei;</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va susține schimbul de bune practici între autoritățile locale privind utilizarea și cunoașterea cartei, inclusiv prin intermediul componentei „Rețeaua de orașe” a programului „Cetățeni, egalitate, drepturi și valori”.</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p>
    <w:p>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b/>
          <w:i/>
          <w:noProof/>
          <w:sz w:val="24"/>
          <w:szCs w:val="24"/>
        </w:rPr>
      </w:pPr>
      <w:r>
        <w:rPr>
          <w:rFonts w:ascii="Times New Roman" w:hAnsi="Times New Roman"/>
          <w:b/>
          <w:i/>
          <w:noProof/>
          <w:sz w:val="24"/>
          <w:szCs w:val="24"/>
        </w:rPr>
        <w:t>Comisia invită statele membre:</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să desemneze un punct focal al cartei pentru a facilita coordonarea și cooperarea;</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să utilizeze studii de impact și proceduri de control legislativ pentru a asigura că inițiativele de punere în aplicare a dreptului Uniunii sunt conforme cu carta și să elaboreze orientări și cursuri de formare pentru administrațiile naționale și locale;</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b/>
          <w:i/>
          <w:noProof/>
          <w:sz w:val="24"/>
          <w:szCs w:val="24"/>
        </w:rPr>
      </w:pPr>
      <w:r>
        <w:rPr>
          <w:rFonts w:ascii="Times New Roman" w:hAnsi="Times New Roman"/>
          <w:i/>
          <w:noProof/>
          <w:sz w:val="24"/>
          <w:szCs w:val="24"/>
        </w:rPr>
        <w:t>- să facă schimb de bune practici privind utilizarea și cunoașterea cartei în cadrul portalului european e-justiție.</w:t>
      </w:r>
    </w:p>
    <w:p>
      <w:pPr>
        <w:jc w:val="both"/>
        <w:rPr>
          <w:rFonts w:ascii="Times New Roman" w:hAnsi="Times New Roman" w:cs="Times New Roman"/>
          <w:iCs/>
          <w:noProof/>
          <w:sz w:val="24"/>
          <w:szCs w:val="24"/>
        </w:rPr>
      </w:pPr>
      <w:r>
        <w:rPr>
          <w:rFonts w:ascii="Times New Roman" w:hAnsi="Times New Roman"/>
          <w:b/>
          <w:i/>
          <w:noProof/>
          <w:sz w:val="24"/>
          <w:szCs w:val="24"/>
        </w:rPr>
        <w:t>Asigurarea respectării</w:t>
      </w:r>
      <w:r>
        <w:rPr>
          <w:rFonts w:ascii="Times New Roman" w:hAnsi="Times New Roman"/>
          <w:i/>
          <w:noProof/>
          <w:sz w:val="24"/>
          <w:szCs w:val="24"/>
        </w:rPr>
        <w:t xml:space="preserve"> -</w:t>
      </w:r>
      <w:r>
        <w:rPr>
          <w:rFonts w:ascii="Times New Roman" w:hAnsi="Times New Roman"/>
          <w:noProof/>
          <w:sz w:val="24"/>
          <w:szCs w:val="24"/>
        </w:rPr>
        <w:t xml:space="preserve"> Comisia, în calitate de </w:t>
      </w:r>
      <w:r>
        <w:rPr>
          <w:rFonts w:ascii="Times New Roman" w:hAnsi="Times New Roman"/>
          <w:b/>
          <w:noProof/>
          <w:sz w:val="24"/>
          <w:szCs w:val="24"/>
        </w:rPr>
        <w:t>gardian al tratatelor</w:t>
      </w:r>
      <w:r>
        <w:rPr>
          <w:rFonts w:ascii="Times New Roman" w:hAnsi="Times New Roman"/>
          <w:noProof/>
          <w:sz w:val="24"/>
          <w:szCs w:val="24"/>
        </w:rPr>
        <w:t>, se asigură că legislația națională este conformă cu dreptul Uniunii, astfel încât cetățenii să își poată invoca drepturile, inclusiv drepturile fundamentale, și să beneficieze pe deplin de legislația Uniunii. Comisia își reafirmă angajamentul de a monitoriza aplicarea cartei și a legislației conexe a Uniunii, de a-și consolida dialogul cu statele membre și de a iniția proceduri de constatare a neîndeplinirii obligațiilor, după caz, în cazul încălcării dreptului Uniunii. Aceasta va continua să monitorizeze îndeaproape cazurile în care un stat membru dă dovadă de o neaplicare sistematică a cartei</w:t>
      </w:r>
      <w:r>
        <w:rPr>
          <w:rStyle w:val="FootnoteReference"/>
          <w:rFonts w:ascii="Times New Roman" w:hAnsi="Times New Roman" w:cs="Times New Roman"/>
          <w:noProof/>
          <w:sz w:val="24"/>
          <w:szCs w:val="24"/>
        </w:rPr>
        <w:footnoteReference w:id="50"/>
      </w:r>
      <w:r>
        <w:rPr>
          <w:rFonts w:ascii="Times New Roman" w:hAnsi="Times New Roman"/>
          <w:noProof/>
          <w:sz w:val="24"/>
          <w:szCs w:val="24"/>
        </w:rPr>
        <w:t xml:space="preserve"> la punerea în aplicare a dreptului Uniunii.</w:t>
      </w:r>
      <w:r>
        <w:rPr>
          <w:rFonts w:ascii="Times New Roman" w:hAnsi="Times New Roman"/>
          <w:iCs/>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Din 2021, Comisia va prezenta un </w:t>
      </w:r>
      <w:r>
        <w:rPr>
          <w:rFonts w:ascii="Times New Roman" w:hAnsi="Times New Roman"/>
          <w:b/>
          <w:noProof/>
          <w:sz w:val="24"/>
          <w:szCs w:val="24"/>
        </w:rPr>
        <w:t xml:space="preserve">nou Raport anual privind aplicarea cartei </w:t>
      </w:r>
      <w:r>
        <w:rPr>
          <w:rFonts w:ascii="Times New Roman" w:hAnsi="Times New Roman"/>
          <w:noProof/>
          <w:sz w:val="24"/>
          <w:szCs w:val="24"/>
        </w:rPr>
        <w:t>în UE, care, spre deosebire de rapoartele anterioare ale Comisiei, va</w:t>
      </w:r>
      <w:r>
        <w:rPr>
          <w:rFonts w:ascii="Times New Roman" w:hAnsi="Times New Roman"/>
          <w:b/>
          <w:i/>
          <w:noProof/>
          <w:sz w:val="24"/>
          <w:szCs w:val="24"/>
        </w:rPr>
        <w:t xml:space="preserve"> </w:t>
      </w:r>
      <w:r>
        <w:rPr>
          <w:rFonts w:ascii="Times New Roman" w:hAnsi="Times New Roman"/>
          <w:noProof/>
          <w:sz w:val="24"/>
          <w:szCs w:val="24"/>
        </w:rPr>
        <w:t>analiza mai detaliat aplicarea cartei în statele membre și va oferi Comisiei informații suplimentare pentru evaluarea conformității legislației naționale cu legislația UE. Acesta va adopta o abordare tematică, axându-se pe domeniile de importanță strategică reglementate de dreptul Uniunii. Împreună cu Raportul anual privind statul de drept, noul Raport anual privind aplicarea cartei va contribui la asigurarea în continuare a respectării valorilor fundamentale în UE.</w:t>
      </w:r>
    </w:p>
    <w:p>
      <w:pPr>
        <w:jc w:val="both"/>
        <w:rPr>
          <w:rFonts w:ascii="Times New Roman" w:hAnsi="Times New Roman" w:cs="Times New Roman"/>
          <w:noProof/>
          <w:sz w:val="24"/>
          <w:szCs w:val="24"/>
        </w:rPr>
      </w:pPr>
      <w:r>
        <w:rPr>
          <w:rFonts w:ascii="Times New Roman" w:hAnsi="Times New Roman"/>
          <w:noProof/>
          <w:sz w:val="24"/>
          <w:szCs w:val="24"/>
        </w:rPr>
        <w:t>Comisia va colabora cu alte instituții și agenții ale UE, în special cu Agenția pentru Drepturi Fundamentale a UE (FRA)</w:t>
      </w:r>
      <w:r>
        <w:rPr>
          <w:rStyle w:val="FootnoteReference"/>
          <w:rFonts w:ascii="Times New Roman" w:hAnsi="Times New Roman" w:cs="Times New Roman"/>
          <w:noProof/>
          <w:sz w:val="24"/>
          <w:szCs w:val="24"/>
        </w:rPr>
        <w:footnoteReference w:id="51"/>
      </w:r>
      <w:r>
        <w:rPr>
          <w:rFonts w:ascii="Times New Roman" w:hAnsi="Times New Roman"/>
          <w:noProof/>
          <w:sz w:val="24"/>
          <w:szCs w:val="24"/>
        </w:rPr>
        <w:t>, pentru a colecta informațiile și datele necesare pentru raport. Aceasta se va  baza pe activitatea grupurilor existente de experți ale statelor membre</w:t>
      </w:r>
      <w:r>
        <w:rPr>
          <w:rStyle w:val="FootnoteReference"/>
          <w:rFonts w:ascii="Times New Roman" w:hAnsi="Times New Roman" w:cs="Times New Roman"/>
          <w:noProof/>
          <w:sz w:val="24"/>
          <w:szCs w:val="24"/>
        </w:rPr>
        <w:footnoteReference w:id="52"/>
      </w:r>
      <w:r>
        <w:rPr>
          <w:rFonts w:ascii="Times New Roman" w:hAnsi="Times New Roman"/>
          <w:noProof/>
          <w:sz w:val="24"/>
          <w:szCs w:val="24"/>
        </w:rPr>
        <w:t xml:space="preserve"> și pe informațiile factuale puse la dispoziție de surse respectate, precum organismele Organizației Națiunilor Unite și ale Consiliului Europei, rețele judiciare, organizații ale societății civile, apărători ai drepturilor omului și noile puncte focale ale cartei.</w:t>
      </w:r>
    </w:p>
    <w:p>
      <w:pPr>
        <w:jc w:val="both"/>
        <w:rPr>
          <w:rFonts w:ascii="Times New Roman" w:hAnsi="Times New Roman" w:cs="Times New Roman"/>
          <w:noProof/>
          <w:sz w:val="24"/>
          <w:szCs w:val="24"/>
        </w:rPr>
      </w:pPr>
      <w:r>
        <w:rPr>
          <w:rFonts w:ascii="Times New Roman" w:hAnsi="Times New Roman"/>
          <w:noProof/>
          <w:sz w:val="24"/>
          <w:szCs w:val="24"/>
        </w:rPr>
        <w:t>În 2021, noul Raport privind aplicarea cartei se va axa pe</w:t>
      </w:r>
      <w:r>
        <w:rPr>
          <w:rFonts w:ascii="Times New Roman" w:hAnsi="Times New Roman"/>
          <w:b/>
          <w:noProof/>
          <w:sz w:val="24"/>
          <w:szCs w:val="24"/>
        </w:rPr>
        <w:t xml:space="preserve"> drepturile fundamentale în era digitală</w:t>
      </w:r>
      <w:r>
        <w:rPr>
          <w:rFonts w:ascii="Times New Roman" w:hAnsi="Times New Roman"/>
          <w:noProof/>
          <w:sz w:val="24"/>
          <w:szCs w:val="24"/>
        </w:rPr>
        <w:t>. Raportul ar trebui să conducă la o discuție interinstituțională sinceră și deschisă cu Parlamentul European și Consiliul, precum și la discuții în statele membre, inclusiv în parlamentele naționale.</w:t>
      </w:r>
      <w:r>
        <w:rPr>
          <w:noProof/>
        </w:rPr>
        <w:t xml:space="preserve"> </w:t>
      </w:r>
      <w:r>
        <w:rPr>
          <w:rFonts w:ascii="Times New Roman" w:hAnsi="Times New Roman"/>
          <w:noProof/>
          <w:sz w:val="24"/>
          <w:szCs w:val="24"/>
        </w:rPr>
        <w:t>Aceste discuții ar sprijini eforturile statelor membre de a se conforma cartei atunci când pun în aplicare dreptul Uniunii.</w:t>
      </w:r>
    </w:p>
    <w:p>
      <w:pPr>
        <w:jc w:val="both"/>
        <w:rPr>
          <w:rFonts w:ascii="Times New Roman" w:hAnsi="Times New Roman" w:cs="Times New Roman"/>
          <w:noProof/>
          <w:sz w:val="24"/>
          <w:szCs w:val="24"/>
        </w:rPr>
      </w:pPr>
    </w:p>
    <w:p>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b/>
          <w:i/>
          <w:noProof/>
          <w:sz w:val="24"/>
          <w:szCs w:val="24"/>
        </w:rPr>
      </w:pPr>
      <w:r>
        <w:rPr>
          <w:rFonts w:ascii="Times New Roman" w:hAnsi="Times New Roman"/>
          <w:b/>
          <w:i/>
          <w:noProof/>
          <w:sz w:val="24"/>
          <w:szCs w:val="24"/>
        </w:rPr>
        <w:t>Comisia:</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din 2021, va prezenta un Raport anual privind aplicarea cartei, care va examina impactul cartei asupra situației din statele membre în anumite domenii de politică;</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bCs/>
          <w:i/>
          <w:iCs/>
          <w:noProof/>
          <w:sz w:val="24"/>
          <w:szCs w:val="24"/>
        </w:rPr>
      </w:pPr>
      <w:r>
        <w:rPr>
          <w:rFonts w:ascii="Times New Roman" w:hAnsi="Times New Roman"/>
          <w:i/>
          <w:noProof/>
          <w:sz w:val="24"/>
          <w:szCs w:val="24"/>
        </w:rPr>
        <w:t>- se va asigura că statele membre aplică efectiv carta atunci când pun în aplicare dreptul Uniunii</w:t>
      </w:r>
      <w:r>
        <w:rPr>
          <w:rFonts w:ascii="Times New Roman" w:hAnsi="Times New Roman"/>
          <w:noProof/>
          <w:sz w:val="24"/>
          <w:szCs w:val="24"/>
        </w:rPr>
        <w:t xml:space="preserve"> </w:t>
      </w:r>
      <w:r>
        <w:rPr>
          <w:rFonts w:ascii="Times New Roman" w:hAnsi="Times New Roman"/>
          <w:i/>
          <w:noProof/>
          <w:sz w:val="24"/>
          <w:szCs w:val="24"/>
        </w:rPr>
        <w:t>și va iniția proceduri de constatare a neîndeplinirii obligațiilor, după caz, în cazul încălcării dreptului Uniunii</w:t>
      </w:r>
      <w:r>
        <w:rPr>
          <w:rFonts w:ascii="Times New Roman" w:hAnsi="Times New Roman"/>
          <w:bCs/>
          <w:i/>
          <w:iCs/>
          <w:noProof/>
          <w:sz w:val="24"/>
          <w:szCs w:val="24"/>
        </w:rPr>
        <w:t>.</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p>
    <w:p>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b/>
          <w:i/>
          <w:noProof/>
          <w:sz w:val="24"/>
          <w:szCs w:val="24"/>
        </w:rPr>
      </w:pPr>
      <w:r>
        <w:rPr>
          <w:rFonts w:ascii="Times New Roman" w:hAnsi="Times New Roman"/>
          <w:b/>
          <w:i/>
          <w:noProof/>
          <w:sz w:val="24"/>
          <w:szCs w:val="24"/>
        </w:rPr>
        <w:t>Comisia invită:</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0"/>
        <w:jc w:val="both"/>
        <w:rPr>
          <w:rFonts w:ascii="Times New Roman" w:hAnsi="Times New Roman" w:cs="Times New Roman"/>
          <w:i/>
          <w:noProof/>
          <w:sz w:val="24"/>
          <w:szCs w:val="24"/>
        </w:rPr>
      </w:pPr>
      <w:r>
        <w:rPr>
          <w:rFonts w:ascii="Times New Roman" w:hAnsi="Times New Roman"/>
          <w:i/>
          <w:noProof/>
          <w:sz w:val="24"/>
          <w:szCs w:val="24"/>
        </w:rPr>
        <w:t>- Parlamentul European și Consiliul să organizeze o discuție de fond privind aplicarea cartei, pentru a monitoriza raportul anual al Comisiei. Comisia este pregătită să sprijine:</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hAnsi="Times New Roman" w:cs="Times New Roman"/>
          <w:b/>
          <w:i/>
          <w:noProof/>
          <w:sz w:val="24"/>
          <w:szCs w:val="24"/>
        </w:rPr>
      </w:pPr>
      <w:r>
        <w:rPr>
          <w:rFonts w:ascii="Times New Roman" w:hAnsi="Times New Roman"/>
          <w:i/>
          <w:noProof/>
          <w:sz w:val="24"/>
          <w:szCs w:val="24"/>
        </w:rPr>
        <w:t>- Parlamentul European și parlamentele naționale pentru a dezvolta o cooperare interparlamentară privind aspecte referitoare la aplicarea cartei, la care Comisia este pregătită să contribuie.</w:t>
      </w:r>
    </w:p>
    <w:p>
      <w:pPr>
        <w:jc w:val="both"/>
        <w:rPr>
          <w:rFonts w:ascii="Times New Roman" w:hAnsi="Times New Roman" w:cs="Times New Roman"/>
          <w:b/>
          <w:i/>
          <w:noProof/>
          <w:sz w:val="24"/>
          <w:szCs w:val="24"/>
        </w:rPr>
      </w:pPr>
    </w:p>
    <w:p>
      <w:pPr>
        <w:jc w:val="both"/>
        <w:rPr>
          <w:rFonts w:ascii="Times New Roman" w:hAnsi="Times New Roman" w:cs="Times New Roman"/>
          <w:b/>
          <w:i/>
          <w:noProof/>
          <w:sz w:val="24"/>
          <w:szCs w:val="24"/>
        </w:rPr>
      </w:pPr>
    </w:p>
    <w:p>
      <w:pPr>
        <w:jc w:val="both"/>
        <w:rPr>
          <w:rFonts w:ascii="Times New Roman" w:hAnsi="Times New Roman" w:cs="Times New Roman"/>
          <w:b/>
          <w:i/>
          <w:noProof/>
          <w:sz w:val="24"/>
          <w:szCs w:val="24"/>
        </w:rPr>
      </w:pPr>
      <w:r>
        <w:rPr>
          <w:rFonts w:ascii="Times New Roman" w:hAnsi="Times New Roman"/>
          <w:b/>
          <w:i/>
          <w:noProof/>
          <w:sz w:val="24"/>
          <w:szCs w:val="24"/>
        </w:rPr>
        <w:t xml:space="preserve">1.2. Asigurarea aplicării cartei în cadrul finanțării UE </w:t>
      </w:r>
    </w:p>
    <w:p>
      <w:pPr>
        <w:jc w:val="both"/>
        <w:rPr>
          <w:rFonts w:ascii="Times New Roman" w:hAnsi="Times New Roman" w:cs="Times New Roman"/>
          <w:noProof/>
          <w:sz w:val="24"/>
          <w:szCs w:val="24"/>
        </w:rPr>
      </w:pPr>
      <w:r>
        <w:rPr>
          <w:rFonts w:ascii="Times New Roman" w:hAnsi="Times New Roman"/>
          <w:noProof/>
          <w:sz w:val="24"/>
          <w:szCs w:val="24"/>
        </w:rPr>
        <w:t>Finanțarea UE este esențială pentru sprijinirea punerii în aplicare a politicilor UE în statele membre. Statele membre și Comisia trebuie să asigure că toate proiectele finanțate de UE sunt conforme cu dreptul UE, inclusiv cu Carta drepturilor fundamentale, după caz.</w:t>
      </w:r>
    </w:p>
    <w:p>
      <w:pPr>
        <w:jc w:val="both"/>
        <w:rPr>
          <w:rFonts w:ascii="Times New Roman" w:hAnsi="Times New Roman" w:cs="Times New Roman"/>
          <w:noProof/>
          <w:sz w:val="24"/>
          <w:szCs w:val="24"/>
        </w:rPr>
      </w:pPr>
      <w:r>
        <w:rPr>
          <w:rFonts w:ascii="Times New Roman" w:hAnsi="Times New Roman"/>
          <w:noProof/>
          <w:sz w:val="24"/>
          <w:szCs w:val="24"/>
        </w:rPr>
        <w:t>Comisia a luat recent măsuri pentru a ajuta statele membre să se asigure că pun în aplicare programele finanțate de UE în conformitate cu dispozițiile relevante ale cartei. În special, propunerea sa referitoare la Regulamentul privind dispozițiile comune (RDC)</w:t>
      </w:r>
      <w:r>
        <w:rPr>
          <w:rStyle w:val="FootnoteReference"/>
          <w:rFonts w:ascii="Times New Roman" w:hAnsi="Times New Roman" w:cs="Times New Roman"/>
          <w:noProof/>
          <w:sz w:val="24"/>
          <w:szCs w:val="24"/>
        </w:rPr>
        <w:footnoteReference w:id="53"/>
      </w:r>
      <w:r>
        <w:rPr>
          <w:rFonts w:ascii="Times New Roman" w:hAnsi="Times New Roman"/>
          <w:noProof/>
          <w:sz w:val="24"/>
          <w:szCs w:val="24"/>
        </w:rPr>
        <w:t>, care instituie normele privind următorul buget al UE pentru perioada 2021-2027, cuprinde o „condiție favorizantă”</w:t>
      </w:r>
      <w:r>
        <w:rPr>
          <w:rFonts w:ascii="Times New Roman" w:hAnsi="Times New Roman" w:cs="Times New Roman"/>
          <w:noProof/>
          <w:sz w:val="24"/>
          <w:szCs w:val="24"/>
          <w:vertAlign w:val="superscript"/>
        </w:rPr>
        <w:footnoteReference w:id="54"/>
      </w:r>
      <w:r>
        <w:rPr>
          <w:rFonts w:ascii="Times New Roman" w:hAnsi="Times New Roman"/>
          <w:noProof/>
          <w:sz w:val="24"/>
          <w:szCs w:val="24"/>
        </w:rPr>
        <w:t xml:space="preserve"> referitoare la cartă. Concret, aceasta înseamnă că, pentru toate programele finanțate din fonduri UE care intră sub incidența RDC</w:t>
      </w:r>
      <w:r>
        <w:rPr>
          <w:rFonts w:ascii="Times New Roman" w:hAnsi="Times New Roman" w:cs="Times New Roman"/>
          <w:noProof/>
          <w:sz w:val="24"/>
          <w:szCs w:val="24"/>
          <w:vertAlign w:val="superscript"/>
        </w:rPr>
        <w:footnoteReference w:id="55"/>
      </w:r>
      <w:r>
        <w:rPr>
          <w:rFonts w:ascii="Times New Roman" w:hAnsi="Times New Roman"/>
          <w:noProof/>
          <w:sz w:val="24"/>
          <w:szCs w:val="24"/>
        </w:rPr>
        <w:t xml:space="preserve"> („fonduri RDC”), trebuie să existe mecanisme eficace care asigură respectarea de către acestea a cartei, de la elaborarea și până la punerea lor în aplicare</w:t>
      </w:r>
      <w:r>
        <w:rPr>
          <w:rFonts w:ascii="Times New Roman" w:hAnsi="Times New Roman" w:cs="Times New Roman"/>
          <w:noProof/>
          <w:sz w:val="24"/>
          <w:szCs w:val="24"/>
          <w:vertAlign w:val="superscript"/>
        </w:rPr>
        <w:footnoteReference w:id="56"/>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RDC</w:t>
      </w:r>
      <w:r>
        <w:rPr>
          <w:rFonts w:ascii="Times New Roman" w:hAnsi="Times New Roman" w:cs="Times New Roman"/>
          <w:noProof/>
          <w:sz w:val="24"/>
          <w:szCs w:val="24"/>
          <w:vertAlign w:val="superscript"/>
        </w:rPr>
        <w:footnoteReference w:id="57"/>
      </w:r>
      <w:r>
        <w:rPr>
          <w:rFonts w:ascii="Times New Roman" w:hAnsi="Times New Roman"/>
          <w:noProof/>
          <w:sz w:val="24"/>
          <w:szCs w:val="24"/>
        </w:rPr>
        <w:t xml:space="preserve"> impune statelor membre să instituie următoarele:</w:t>
      </w:r>
    </w:p>
    <w:p>
      <w:pPr>
        <w:pStyle w:val="ListParagraph"/>
        <w:ind w:left="0"/>
        <w:jc w:val="both"/>
        <w:rPr>
          <w:rFonts w:ascii="Times New Roman" w:hAnsi="Times New Roman" w:cs="Times New Roman"/>
          <w:noProof/>
          <w:sz w:val="24"/>
          <w:szCs w:val="24"/>
        </w:rPr>
      </w:pPr>
      <w:r>
        <w:rPr>
          <w:rFonts w:ascii="Times New Roman" w:hAnsi="Times New Roman"/>
          <w:b/>
          <w:noProof/>
          <w:sz w:val="24"/>
          <w:szCs w:val="24"/>
        </w:rPr>
        <w:t>- modalități</w:t>
      </w:r>
      <w:r>
        <w:rPr>
          <w:rFonts w:ascii="Times New Roman" w:hAnsi="Times New Roman"/>
          <w:noProof/>
          <w:sz w:val="24"/>
          <w:szCs w:val="24"/>
        </w:rPr>
        <w:t xml:space="preserve"> </w:t>
      </w:r>
      <w:r>
        <w:rPr>
          <w:rFonts w:ascii="Times New Roman" w:hAnsi="Times New Roman"/>
          <w:b/>
          <w:noProof/>
          <w:sz w:val="24"/>
          <w:szCs w:val="24"/>
        </w:rPr>
        <w:t xml:space="preserve">care să asigure că </w:t>
      </w:r>
      <w:r>
        <w:rPr>
          <w:rFonts w:ascii="Times New Roman" w:hAnsi="Times New Roman"/>
          <w:b/>
          <w:bCs/>
          <w:noProof/>
          <w:sz w:val="24"/>
          <w:szCs w:val="24"/>
        </w:rPr>
        <w:t>programele</w:t>
      </w:r>
      <w:r>
        <w:rPr>
          <w:rFonts w:ascii="Times New Roman" w:hAnsi="Times New Roman"/>
          <w:b/>
          <w:noProof/>
          <w:sz w:val="24"/>
          <w:szCs w:val="24"/>
        </w:rPr>
        <w:t xml:space="preserve"> sprijinite prin fondurile RDC </w:t>
      </w:r>
      <w:r>
        <w:rPr>
          <w:rFonts w:ascii="Times New Roman" w:hAnsi="Times New Roman"/>
          <w:b/>
          <w:bCs/>
          <w:noProof/>
          <w:sz w:val="24"/>
          <w:szCs w:val="24"/>
        </w:rPr>
        <w:t xml:space="preserve">și punerea lor în aplicare sunt conforme </w:t>
      </w:r>
      <w:r>
        <w:rPr>
          <w:rFonts w:ascii="Times New Roman" w:hAnsi="Times New Roman"/>
          <w:b/>
          <w:noProof/>
          <w:sz w:val="24"/>
          <w:szCs w:val="24"/>
        </w:rPr>
        <w:t>cu</w:t>
      </w:r>
      <w:r>
        <w:rPr>
          <w:rFonts w:ascii="Times New Roman" w:hAnsi="Times New Roman"/>
          <w:b/>
          <w:bCs/>
          <w:noProof/>
          <w:sz w:val="24"/>
          <w:szCs w:val="24"/>
        </w:rPr>
        <w:t xml:space="preserve"> </w:t>
      </w:r>
      <w:r>
        <w:rPr>
          <w:rFonts w:ascii="Times New Roman" w:hAnsi="Times New Roman"/>
          <w:b/>
          <w:noProof/>
          <w:sz w:val="24"/>
          <w:szCs w:val="24"/>
        </w:rPr>
        <w:t>carta</w:t>
      </w:r>
      <w:r>
        <w:rPr>
          <w:rFonts w:ascii="Times New Roman" w:hAnsi="Times New Roman"/>
          <w:noProof/>
          <w:sz w:val="24"/>
          <w:szCs w:val="24"/>
        </w:rPr>
        <w:t>. În cadrul acestor modalități, statele membre trebuie să stabilească, de exemplu, rolul și sarcinile diferitor autorități și organisme implicate în asigurarea conformității cu carta a programelor și să explice modul în care va fi verificată respectarea cartei pe parcursul punerii în aplicare a programelor.</w:t>
      </w:r>
    </w:p>
    <w:p>
      <w:pPr>
        <w:pStyle w:val="ListParagraph"/>
        <w:ind w:left="0"/>
        <w:jc w:val="both"/>
        <w:rPr>
          <w:rFonts w:ascii="Times New Roman" w:hAnsi="Times New Roman" w:cs="Times New Roman"/>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b/>
          <w:noProof/>
          <w:sz w:val="24"/>
          <w:szCs w:val="24"/>
        </w:rPr>
        <w:t>- modalități de raportare către comitetul de monitorizare</w:t>
      </w:r>
      <w:r>
        <w:rPr>
          <w:rStyle w:val="FootnoteReference"/>
          <w:rFonts w:ascii="Times New Roman" w:hAnsi="Times New Roman" w:cs="Times New Roman"/>
          <w:noProof/>
          <w:sz w:val="24"/>
          <w:szCs w:val="24"/>
        </w:rPr>
        <w:footnoteReference w:id="58"/>
      </w:r>
      <w:r>
        <w:rPr>
          <w:rFonts w:ascii="Times New Roman" w:hAnsi="Times New Roman"/>
          <w:b/>
          <w:noProof/>
          <w:sz w:val="24"/>
          <w:szCs w:val="24"/>
        </w:rPr>
        <w:t xml:space="preserve"> a cazurilor de nerespectare a cartei de către operațiunile sprijinite de fondurile RDC și a plângerilor referitoare la</w:t>
      </w:r>
      <w:r>
        <w:rPr>
          <w:rFonts w:ascii="Times New Roman" w:hAnsi="Times New Roman"/>
          <w:b/>
          <w:bCs/>
          <w:noProof/>
          <w:sz w:val="24"/>
          <w:szCs w:val="24"/>
        </w:rPr>
        <w:t xml:space="preserve"> cartă</w:t>
      </w:r>
      <w:r>
        <w:rPr>
          <w:rFonts w:ascii="Times New Roman" w:hAnsi="Times New Roman"/>
          <w:bCs/>
          <w:noProof/>
          <w:sz w:val="24"/>
          <w:szCs w:val="24"/>
        </w:rPr>
        <w:t>.</w:t>
      </w:r>
      <w:r>
        <w:rPr>
          <w:rFonts w:ascii="Times New Roman" w:hAnsi="Times New Roman"/>
          <w:b/>
          <w:bCs/>
          <w:noProof/>
          <w:sz w:val="24"/>
          <w:szCs w:val="24"/>
        </w:rPr>
        <w:t xml:space="preserve"> </w:t>
      </w:r>
      <w:r>
        <w:rPr>
          <w:rFonts w:ascii="Times New Roman" w:hAnsi="Times New Roman"/>
          <w:bCs/>
          <w:noProof/>
          <w:sz w:val="24"/>
          <w:szCs w:val="24"/>
        </w:rPr>
        <w:t xml:space="preserve">Statele membre trebuie să explice, de exemplu, modalitatea și frecvența cu care vor raporta cu privire la aceste două aspecte </w:t>
      </w:r>
      <w:r>
        <w:rPr>
          <w:rFonts w:ascii="Times New Roman" w:hAnsi="Times New Roman"/>
          <w:b/>
          <w:bCs/>
          <w:noProof/>
          <w:sz w:val="24"/>
          <w:szCs w:val="24"/>
        </w:rPr>
        <w:t>comitetelor de monitorizare</w:t>
      </w:r>
      <w:r>
        <w:rPr>
          <w:rFonts w:ascii="Times New Roman" w:hAnsi="Times New Roman"/>
          <w:bCs/>
          <w:noProof/>
          <w:sz w:val="24"/>
          <w:szCs w:val="24"/>
        </w:rPr>
        <w:t>. Raportarea ar trebui să indice ce măsuri corective au fost adoptate, ce acțiuni vor fi întreprinse pentru a preveni astfel de cazuri în viitor și ce mecanisme de reparare sunt sau au fost instituite.</w:t>
      </w:r>
    </w:p>
    <w:p>
      <w:pPr>
        <w:rPr>
          <w:noProof/>
        </w:rPr>
      </w:pPr>
      <w:r>
        <w:rPr>
          <w:rFonts w:ascii="Times New Roman" w:hAnsi="Times New Roman"/>
          <w:noProof/>
          <w:sz w:val="24"/>
          <w:szCs w:val="24"/>
        </w:rPr>
        <w:t>Atunci când pregătesc programele, statele membre trebuie să comunice aceste modalități Comisiei, care va evalua îndeplinirea „condiției favorizante”.</w:t>
      </w:r>
    </w:p>
    <w:p>
      <w:pPr>
        <w:jc w:val="both"/>
        <w:rPr>
          <w:rFonts w:ascii="Times New Roman" w:hAnsi="Times New Roman" w:cs="Times New Roman"/>
          <w:noProof/>
          <w:sz w:val="24"/>
          <w:szCs w:val="24"/>
        </w:rPr>
      </w:pPr>
      <w:r>
        <w:rPr>
          <w:rFonts w:ascii="Times New Roman" w:hAnsi="Times New Roman"/>
          <w:noProof/>
          <w:sz w:val="24"/>
          <w:szCs w:val="24"/>
        </w:rPr>
        <w:t>În temeiul normelor aplicabile noii perioade de programare, comitetele de monitorizare ar trebui să includă organisme din domeniul drepturilor fundamentale</w:t>
      </w:r>
      <w:r>
        <w:rPr>
          <w:rStyle w:val="FootnoteReference"/>
          <w:rFonts w:ascii="Times New Roman" w:hAnsi="Times New Roman" w:cs="Times New Roman"/>
          <w:noProof/>
          <w:sz w:val="24"/>
          <w:szCs w:val="24"/>
        </w:rPr>
        <w:footnoteReference w:id="59"/>
      </w:r>
      <w:r>
        <w:rPr>
          <w:rFonts w:ascii="Times New Roman" w:hAnsi="Times New Roman"/>
          <w:noProof/>
          <w:sz w:val="24"/>
          <w:szCs w:val="24"/>
        </w:rPr>
        <w:t xml:space="preserve"> pentru a contribui la evaluarea conformității cu carta. Având în vedere statutul lor independent și expertiza în ceea ce privește monitorizarea și consilierea autorităților, </w:t>
      </w:r>
      <w:r>
        <w:rPr>
          <w:rFonts w:ascii="Times New Roman" w:hAnsi="Times New Roman"/>
          <w:b/>
          <w:noProof/>
          <w:sz w:val="24"/>
          <w:szCs w:val="24"/>
        </w:rPr>
        <w:t>instituțiile naționale din domeniul drepturilor omului</w:t>
      </w:r>
      <w:r>
        <w:rPr>
          <w:rFonts w:ascii="Times New Roman" w:hAnsi="Times New Roman"/>
          <w:noProof/>
          <w:sz w:val="24"/>
          <w:szCs w:val="24"/>
        </w:rPr>
        <w:t xml:space="preserve"> (INDO) ar putea avea un rol în a asigura că programele finanțate din fonduri UE sunt concepute și puse în aplicare în conformitate cu carta</w:t>
      </w:r>
      <w:r>
        <w:rPr>
          <w:rFonts w:ascii="Times New Roman" w:hAnsi="Times New Roman" w:cs="Times New Roman"/>
          <w:noProof/>
          <w:vertAlign w:val="superscript"/>
        </w:rPr>
        <w:footnoteReference w:id="60"/>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Statele membre ar trebui, în cooperare cu Comisia, să sprijine, prin intermediul asistenței tehnice, personalul național și local la elaborarea și punerea în aplicare a programelor în conformitate cu carta, pe baza orientărilor elaborate pentru a asigura respectarea cartei în cadrul finanțării UE</w:t>
      </w:r>
      <w:r>
        <w:rPr>
          <w:rStyle w:val="FootnoteReference"/>
          <w:rFonts w:ascii="Times New Roman" w:hAnsi="Times New Roman" w:cs="Times New Roman"/>
          <w:noProof/>
          <w:sz w:val="24"/>
          <w:szCs w:val="24"/>
        </w:rPr>
        <w:footnoteReference w:id="61"/>
      </w:r>
      <w:r>
        <w:rPr>
          <w:rFonts w:ascii="Times New Roman" w:hAnsi="Times New Roman"/>
          <w:noProof/>
          <w:sz w:val="24"/>
          <w:szCs w:val="24"/>
        </w:rPr>
        <w:t>. Statele membre sunt, de asemenea, încurajate să se coordoneze în vederea punerii în aplicare coerente a „condiției favorizante” în întreaga UE. Un punct național de contact ar facilita această cooperare și coordonare</w:t>
      </w:r>
      <w:r>
        <w:rPr>
          <w:rStyle w:val="FootnoteReference"/>
          <w:rFonts w:ascii="Times New Roman" w:hAnsi="Times New Roman" w:cs="Times New Roman"/>
          <w:noProof/>
          <w:sz w:val="24"/>
          <w:szCs w:val="24"/>
        </w:rPr>
        <w:footnoteReference w:id="62"/>
      </w:r>
      <w:r>
        <w:rPr>
          <w:rFonts w:ascii="Times New Roman" w:hAnsi="Times New Roman"/>
          <w:noProof/>
          <w:sz w:val="24"/>
          <w:szCs w:val="24"/>
        </w:rPr>
        <w:t>.</w:t>
      </w:r>
    </w:p>
    <w:p>
      <w:pPr>
        <w:jc w:val="both"/>
        <w:rPr>
          <w:noProof/>
        </w:rPr>
      </w:pPr>
      <w:r>
        <w:rPr>
          <w:rFonts w:ascii="Times New Roman" w:hAnsi="Times New Roman"/>
          <w:bCs/>
          <w:noProof/>
          <w:sz w:val="24"/>
          <w:szCs w:val="24"/>
        </w:rPr>
        <w:t>Comisia va monitoriza și se va asigura, împreună cu statele membre, că plângerile referitoare la cartă în ceea ce privește punerea în aplicare a finanțării UE sunt adresate în mod corespunzător și primesc răspuns în mod sistematic.</w:t>
      </w:r>
    </w:p>
    <w:p>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firstLine="0"/>
        <w:jc w:val="both"/>
        <w:rPr>
          <w:rFonts w:ascii="Times New Roman" w:hAnsi="Times New Roman" w:cs="Times New Roman"/>
          <w:b/>
          <w:i/>
          <w:noProof/>
          <w:sz w:val="24"/>
          <w:szCs w:val="24"/>
        </w:rPr>
      </w:pPr>
      <w:r>
        <w:rPr>
          <w:rFonts w:ascii="Times New Roman" w:hAnsi="Times New Roman"/>
          <w:b/>
          <w:i/>
          <w:noProof/>
          <w:sz w:val="24"/>
          <w:szCs w:val="24"/>
        </w:rPr>
        <w:t>Comisia:</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i/>
          <w:noProof/>
          <w:sz w:val="24"/>
          <w:szCs w:val="24"/>
        </w:rPr>
      </w:pPr>
      <w:r>
        <w:rPr>
          <w:rFonts w:ascii="Times New Roman" w:hAnsi="Times New Roman"/>
          <w:noProof/>
          <w:sz w:val="24"/>
          <w:szCs w:val="24"/>
        </w:rPr>
        <w:t>- va elabora un modul de formare și va furniza asistență tehnică pentru a asigura o punere în aplicare coerentă și efectivă a „condiției favorizante” prevăzută în Regulamentul privind dispozițiile comune</w:t>
      </w:r>
      <w:r>
        <w:rPr>
          <w:rFonts w:ascii="Times New Roman" w:hAnsi="Times New Roman"/>
          <w:i/>
          <w:noProof/>
          <w:sz w:val="24"/>
          <w:szCs w:val="24"/>
        </w:rPr>
        <w:t>;</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i/>
          <w:noProof/>
          <w:sz w:val="24"/>
          <w:szCs w:val="24"/>
        </w:rPr>
      </w:pPr>
      <w:r>
        <w:rPr>
          <w:rFonts w:ascii="Times New Roman" w:hAnsi="Times New Roman"/>
          <w:i/>
          <w:noProof/>
          <w:sz w:val="24"/>
          <w:szCs w:val="24"/>
        </w:rPr>
        <w:t xml:space="preserve">- va evalua îndeplinirea </w:t>
      </w:r>
      <w:r>
        <w:rPr>
          <w:rFonts w:ascii="Times New Roman" w:hAnsi="Times New Roman"/>
          <w:noProof/>
          <w:sz w:val="24"/>
          <w:szCs w:val="24"/>
        </w:rPr>
        <w:t xml:space="preserve">„condiției favorizante” </w:t>
      </w:r>
      <w:r>
        <w:rPr>
          <w:rFonts w:ascii="Times New Roman" w:hAnsi="Times New Roman"/>
          <w:i/>
          <w:iCs/>
          <w:noProof/>
          <w:sz w:val="24"/>
          <w:szCs w:val="24"/>
        </w:rPr>
        <w:t>privind carta</w:t>
      </w:r>
      <w:r>
        <w:rPr>
          <w:rFonts w:ascii="Times New Roman" w:hAnsi="Times New Roman"/>
          <w:noProof/>
          <w:sz w:val="24"/>
          <w:szCs w:val="24"/>
        </w:rPr>
        <w:t>;</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bCs/>
          <w:i/>
          <w:noProof/>
          <w:sz w:val="24"/>
          <w:szCs w:val="24"/>
        </w:rPr>
      </w:pPr>
      <w:r>
        <w:rPr>
          <w:rFonts w:ascii="Times New Roman" w:hAnsi="Times New Roman"/>
          <w:bCs/>
          <w:i/>
          <w:noProof/>
          <w:sz w:val="24"/>
          <w:szCs w:val="24"/>
        </w:rPr>
        <w:t>- va monitoriza utilizarea fondurilor UE în conformitate cu carta și va lua măsuri adecvate, cum ar fi posibila întrerupere sau suspendare a finanțării UE sau corecții financiare în cazul în care cheltuielile neconforme nu au fost corectate de statele membre, atunci când acest lucru este justificat.</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bCs/>
          <w:i/>
          <w:noProof/>
          <w:sz w:val="24"/>
          <w:szCs w:val="24"/>
        </w:rPr>
      </w:pP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firstLine="0"/>
        <w:jc w:val="both"/>
        <w:rPr>
          <w:rFonts w:ascii="Times New Roman" w:hAnsi="Times New Roman" w:cs="Times New Roman"/>
          <w:b/>
          <w:i/>
          <w:noProof/>
          <w:sz w:val="24"/>
          <w:szCs w:val="24"/>
        </w:rPr>
      </w:pPr>
      <w:r>
        <w:rPr>
          <w:rFonts w:ascii="Times New Roman" w:hAnsi="Times New Roman"/>
          <w:b/>
          <w:i/>
          <w:noProof/>
          <w:sz w:val="24"/>
          <w:szCs w:val="24"/>
        </w:rPr>
        <w:t>Comisia invită statele membre:</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i/>
          <w:noProof/>
          <w:sz w:val="24"/>
          <w:szCs w:val="24"/>
        </w:rPr>
      </w:pPr>
      <w:r>
        <w:rPr>
          <w:rFonts w:ascii="Times New Roman" w:hAnsi="Times New Roman"/>
          <w:i/>
          <w:noProof/>
          <w:sz w:val="24"/>
          <w:szCs w:val="24"/>
        </w:rPr>
        <w:t>- să se asigure că fondurile UE sunt utilizate în conformitate cu carta și să stabilească modalitățile prevăzute în Regulamentul privind dispozițiile comune;</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i/>
          <w:noProof/>
          <w:sz w:val="24"/>
          <w:szCs w:val="24"/>
        </w:rPr>
      </w:pPr>
      <w:r>
        <w:rPr>
          <w:rFonts w:ascii="Times New Roman" w:hAnsi="Times New Roman"/>
          <w:i/>
          <w:noProof/>
          <w:sz w:val="24"/>
          <w:szCs w:val="24"/>
        </w:rPr>
        <w:t>- să sprijine personalul național și local în conceperea și punerea în aplicare a unor programe conforme cu carta, în cooperare cu Comisia;</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i/>
          <w:noProof/>
          <w:sz w:val="24"/>
          <w:szCs w:val="24"/>
        </w:rPr>
      </w:pPr>
      <w:r>
        <w:rPr>
          <w:rFonts w:ascii="Times New Roman" w:hAnsi="Times New Roman"/>
          <w:i/>
          <w:noProof/>
          <w:sz w:val="24"/>
          <w:szCs w:val="24"/>
        </w:rPr>
        <w:t>- să faciliteze coordonarea și punerea în aplicare coerentă a „condiției favorizante” și să utilizeze cât mai bine posibil asistența tehnică disponibilă.</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ind w:left="0"/>
        <w:jc w:val="both"/>
        <w:rPr>
          <w:rFonts w:ascii="Times New Roman" w:hAnsi="Times New Roman" w:cs="Times New Roman"/>
          <w:i/>
          <w:noProof/>
          <w:sz w:val="24"/>
          <w:szCs w:val="24"/>
        </w:rPr>
      </w:pPr>
      <w:r>
        <w:rPr>
          <w:rFonts w:ascii="Times New Roman" w:hAnsi="Times New Roman"/>
          <w:i/>
          <w:noProof/>
          <w:sz w:val="24"/>
          <w:szCs w:val="24"/>
        </w:rPr>
        <w:t>- să includă organismele din domeniul drepturilor fundamentale în comitetele de monitorizare.</w:t>
      </w:r>
    </w:p>
    <w:p>
      <w:pPr>
        <w:pStyle w:val="Heading1"/>
        <w:rPr>
          <w:rFonts w:ascii="Times New Roman" w:hAnsi="Times New Roman" w:cs="Times New Roman"/>
          <w:noProof/>
        </w:rPr>
      </w:pPr>
      <w:r>
        <w:rPr>
          <w:rFonts w:ascii="Times New Roman" w:hAnsi="Times New Roman"/>
          <w:noProof/>
        </w:rPr>
        <w:t>2 - Consolidarea rolului organizațiilor societății civile, al apărătorilor drepturilor omului și al practicienilor din domeniul justiției</w:t>
      </w:r>
    </w:p>
    <w:p>
      <w:pPr>
        <w:jc w:val="both"/>
        <w:rPr>
          <w:rFonts w:ascii="Times New Roman" w:hAnsi="Times New Roman" w:cs="Times New Roman"/>
          <w:b/>
          <w:noProof/>
          <w:sz w:val="24"/>
          <w:szCs w:val="24"/>
        </w:rPr>
      </w:pPr>
    </w:p>
    <w:p>
      <w:pPr>
        <w:jc w:val="both"/>
        <w:rPr>
          <w:rFonts w:ascii="Times New Roman" w:hAnsi="Times New Roman" w:cs="Times New Roman"/>
          <w:b/>
          <w:i/>
          <w:noProof/>
          <w:sz w:val="24"/>
          <w:szCs w:val="24"/>
        </w:rPr>
      </w:pPr>
      <w:r>
        <w:rPr>
          <w:rFonts w:ascii="Times New Roman" w:hAnsi="Times New Roman"/>
          <w:b/>
          <w:i/>
          <w:noProof/>
          <w:sz w:val="24"/>
          <w:szCs w:val="24"/>
        </w:rPr>
        <w:t>2.1 Protejarea și sprijinirea organizațiilor societății civile și a apărătorilor drepturilor omului</w:t>
      </w:r>
    </w:p>
    <w:p>
      <w:pPr>
        <w:jc w:val="both"/>
        <w:rPr>
          <w:rFonts w:ascii="Times New Roman" w:hAnsi="Times New Roman" w:cs="Times New Roman"/>
          <w:i/>
          <w:noProof/>
          <w:sz w:val="24"/>
          <w:szCs w:val="24"/>
        </w:rPr>
      </w:pPr>
      <w:r>
        <w:rPr>
          <w:rFonts w:ascii="Times New Roman" w:hAnsi="Times New Roman"/>
          <w:i/>
          <w:noProof/>
          <w:sz w:val="24"/>
          <w:szCs w:val="24"/>
        </w:rPr>
        <w:t>Un mediu favorabil</w:t>
      </w:r>
    </w:p>
    <w:p>
      <w:pPr>
        <w:jc w:val="both"/>
        <w:rPr>
          <w:rFonts w:ascii="Times New Roman" w:hAnsi="Times New Roman" w:cs="Times New Roman"/>
          <w:noProof/>
          <w:sz w:val="24"/>
          <w:szCs w:val="24"/>
        </w:rPr>
      </w:pPr>
      <w:r>
        <w:rPr>
          <w:rFonts w:ascii="Times New Roman" w:hAnsi="Times New Roman"/>
          <w:noProof/>
          <w:sz w:val="24"/>
          <w:szCs w:val="24"/>
        </w:rPr>
        <w:t>Organizațiile societății civile și apărătorii drepturilor omului sunt vitali pentru o democrație sănătoasă și pentru o societate în care oamenii se pot bucura de drepturile lor fundamentale. Acestea sunt părți esențiale în procesul de aplicare a cartei care joacă un rol important în promovarea utilizării și a cunoașterii cartei și a unei culturi a valorilor întemeiate pe statul de drept, democrație și drepturi fundamentale.</w:t>
      </w:r>
    </w:p>
    <w:p>
      <w:pPr>
        <w:jc w:val="both"/>
        <w:rPr>
          <w:rFonts w:ascii="Times New Roman" w:hAnsi="Times New Roman" w:cs="Times New Roman"/>
          <w:noProof/>
          <w:sz w:val="24"/>
          <w:szCs w:val="24"/>
        </w:rPr>
      </w:pPr>
      <w:r>
        <w:rPr>
          <w:rFonts w:ascii="Times New Roman" w:hAnsi="Times New Roman"/>
          <w:noProof/>
          <w:sz w:val="24"/>
          <w:szCs w:val="24"/>
        </w:rPr>
        <w:t>Acestea se confruntă totuși cu un număr din ce în ce mai mare de provocări, care includ</w:t>
      </w:r>
      <w:r>
        <w:rPr>
          <w:rFonts w:ascii="Times New Roman" w:hAnsi="Times New Roman"/>
          <w:b/>
          <w:noProof/>
          <w:sz w:val="24"/>
          <w:szCs w:val="24"/>
        </w:rPr>
        <w:t xml:space="preserve"> constrângerile normative și dificultățile de acces la finanțare</w:t>
      </w:r>
      <w:r>
        <w:rPr>
          <w:rStyle w:val="FootnoteReference"/>
          <w:rFonts w:ascii="Times New Roman" w:hAnsi="Times New Roman" w:cs="Times New Roman"/>
          <w:noProof/>
          <w:sz w:val="24"/>
          <w:szCs w:val="24"/>
        </w:rPr>
        <w:footnoteReference w:id="63"/>
      </w:r>
      <w:r>
        <w:rPr>
          <w:rFonts w:ascii="Times New Roman" w:hAnsi="Times New Roman"/>
          <w:noProof/>
          <w:sz w:val="24"/>
          <w:szCs w:val="24"/>
        </w:rPr>
        <w:t>. Curtea</w:t>
      </w:r>
      <w:r>
        <w:rPr>
          <w:rStyle w:val="FootnoteReference"/>
          <w:rFonts w:ascii="Times New Roman" w:hAnsi="Times New Roman" w:cs="Times New Roman"/>
          <w:noProof/>
          <w:sz w:val="24"/>
          <w:szCs w:val="24"/>
        </w:rPr>
        <w:footnoteReference w:id="64"/>
      </w:r>
      <w:r>
        <w:rPr>
          <w:rFonts w:ascii="Times New Roman" w:hAnsi="Times New Roman"/>
          <w:noProof/>
          <w:sz w:val="24"/>
          <w:szCs w:val="24"/>
        </w:rPr>
        <w:t>, într-o cauză privind o lege care a restrâns finanțarea organizațiilor societății civile din străinătate, a recunoscut că dreptul la libertatea de asociere constituie unul dintre fundamentele esențiale ale unei societăți democratice și pluraliste, întrucât permite cetățenilor să acționeze în mod colectiv în domenii de interes comun și să contribuie astfel la buna funcționare a vieții publice. Curtea a precizat că organizațiile societății civile „</w:t>
      </w:r>
      <w:r>
        <w:rPr>
          <w:rFonts w:ascii="Times New Roman" w:hAnsi="Times New Roman"/>
          <w:i/>
          <w:noProof/>
          <w:sz w:val="24"/>
          <w:szCs w:val="24"/>
        </w:rPr>
        <w:t>trebuie să aibă posibilitatea să își [...] poată continua activitățile și să funcționeze fără ingerința nejustificată a statului</w:t>
      </w:r>
      <w:r>
        <w:rPr>
          <w:rFonts w:ascii="Times New Roman" w:hAnsi="Times New Roman"/>
          <w:noProof/>
          <w:sz w:val="24"/>
          <w:szCs w:val="24"/>
        </w:rPr>
        <w:t>”</w:t>
      </w:r>
      <w:r>
        <w:rPr>
          <w:rStyle w:val="FootnoteReference"/>
          <w:rFonts w:ascii="Times New Roman" w:hAnsi="Times New Roman" w:cs="Times New Roman"/>
          <w:noProof/>
          <w:sz w:val="24"/>
          <w:szCs w:val="24"/>
        </w:rPr>
        <w:footnoteReference w:id="65"/>
      </w:r>
      <w:r>
        <w:rPr>
          <w:rFonts w:ascii="Times New Roman" w:hAnsi="Times New Roman"/>
          <w:noProof/>
          <w:sz w:val="24"/>
          <w:szCs w:val="24"/>
        </w:rPr>
        <w:t>.</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În unele state membre, </w:t>
      </w:r>
      <w:r>
        <w:rPr>
          <w:rFonts w:ascii="Times New Roman" w:hAnsi="Times New Roman"/>
          <w:b/>
          <w:noProof/>
          <w:sz w:val="24"/>
          <w:szCs w:val="24"/>
        </w:rPr>
        <w:t>campaniile de denigrare</w:t>
      </w:r>
      <w:r>
        <w:rPr>
          <w:rFonts w:ascii="Times New Roman" w:hAnsi="Times New Roman"/>
          <w:noProof/>
          <w:sz w:val="24"/>
          <w:szCs w:val="24"/>
        </w:rPr>
        <w:t xml:space="preserve"> influențează negativ opinia publică și afectează credibilitatea și legitimitatea societății civile. Organizațiile societății civile și activiștii în domeniul drepturilor omului din unele țări ale UE se confruntă cu atacuri fizice și verbale, intimidare și hărțuire, inclusiv procese abuzive (acțiuni strategice în justiție împotriva mobilizării publice – SLAPP)</w:t>
      </w:r>
      <w:r>
        <w:rPr>
          <w:rStyle w:val="FootnoteReference"/>
          <w:rFonts w:ascii="Times New Roman" w:hAnsi="Times New Roman" w:cs="Times New Roman"/>
          <w:noProof/>
          <w:sz w:val="24"/>
          <w:szCs w:val="24"/>
        </w:rPr>
        <w:footnoteReference w:id="66"/>
      </w:r>
      <w:r>
        <w:rPr>
          <w:rFonts w:ascii="Times New Roman" w:hAnsi="Times New Roman"/>
          <w:noProof/>
          <w:sz w:val="24"/>
          <w:szCs w:val="24"/>
        </w:rPr>
        <w:t>, violență și discursuri de instigare la ură online și offline</w:t>
      </w:r>
      <w:r>
        <w:rPr>
          <w:rStyle w:val="FootnoteReference"/>
          <w:rFonts w:ascii="Times New Roman" w:hAnsi="Times New Roman" w:cs="Times New Roman"/>
          <w:noProof/>
          <w:sz w:val="24"/>
          <w:szCs w:val="24"/>
        </w:rPr>
        <w:footnoteReference w:id="67"/>
      </w:r>
      <w:r>
        <w:rPr>
          <w:rFonts w:ascii="Times New Roman" w:hAnsi="Times New Roman"/>
          <w:noProof/>
          <w:sz w:val="24"/>
          <w:szCs w:val="24"/>
        </w:rPr>
        <w:t>. Organizațiile societății civile și apărătorii drepturilor omului ar trebui să își poată desfășura activitatea fără teamă, într-un mediu favorabil.</w:t>
      </w:r>
    </w:p>
    <w:p>
      <w:pPr>
        <w:pStyle w:val="ListParagraph"/>
        <w:pageBreakBefore/>
        <w:numPr>
          <w:ilvl w:val="0"/>
          <w:numId w:val="13"/>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i/>
          <w:noProof/>
          <w:sz w:val="24"/>
          <w:szCs w:val="24"/>
        </w:rPr>
      </w:pPr>
      <w:r>
        <w:rPr>
          <w:rFonts w:ascii="Times New Roman" w:hAnsi="Times New Roman"/>
          <w:b/>
          <w:i/>
          <w:noProof/>
          <w:sz w:val="24"/>
          <w:szCs w:val="24"/>
        </w:rPr>
        <w:t xml:space="preserve">Comisia: </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xml:space="preserve">- va acționa împotriva măsurilor care încalcă dreptul Uniunii, inclusiv carta, afectând activitățile organizațiilor societății civile; </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va sprijini un mediu favorabil pentru organizațiile societății civile, în special prin intermediul noii componente „valorile Uniunii” a programului „Cetățeni, egalitate, drepturi și valori”.</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p>
    <w:p>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b/>
          <w:noProof/>
        </w:rPr>
      </w:pPr>
      <w:r>
        <w:rPr>
          <w:rFonts w:ascii="Times New Roman" w:hAnsi="Times New Roman"/>
          <w:b/>
          <w:i/>
          <w:noProof/>
          <w:sz w:val="24"/>
          <w:szCs w:val="24"/>
        </w:rPr>
        <w:t>Comisia invită statele membre:</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b/>
          <w:noProof/>
        </w:rPr>
      </w:pPr>
      <w:r>
        <w:rPr>
          <w:rFonts w:ascii="Times New Roman" w:hAnsi="Times New Roman"/>
          <w:i/>
          <w:noProof/>
          <w:sz w:val="24"/>
          <w:szCs w:val="24"/>
        </w:rPr>
        <w:t>- să promoveze un mediu favorabil și sigur pentru organizațiile societății civile și pentru apărătorii drepturilor omului în țara lor, inclusiv la nivel local.</w:t>
      </w:r>
    </w:p>
    <w:p>
      <w:pPr>
        <w:jc w:val="both"/>
        <w:rPr>
          <w:rFonts w:ascii="Times New Roman" w:hAnsi="Times New Roman" w:cs="Times New Roman"/>
          <w:i/>
          <w:noProof/>
          <w:sz w:val="24"/>
          <w:szCs w:val="24"/>
        </w:rPr>
      </w:pPr>
    </w:p>
    <w:p>
      <w:pPr>
        <w:jc w:val="both"/>
        <w:rPr>
          <w:rFonts w:ascii="Times New Roman" w:hAnsi="Times New Roman" w:cs="Times New Roman"/>
          <w:i/>
          <w:noProof/>
          <w:sz w:val="24"/>
          <w:szCs w:val="24"/>
        </w:rPr>
      </w:pPr>
      <w:r>
        <w:rPr>
          <w:rFonts w:ascii="Times New Roman" w:hAnsi="Times New Roman"/>
          <w:i/>
          <w:noProof/>
          <w:sz w:val="24"/>
          <w:szCs w:val="24"/>
        </w:rPr>
        <w:t xml:space="preserve">Instituții naționale din domeniul drepturilor omului solide și independente </w:t>
      </w:r>
    </w:p>
    <w:p>
      <w:pPr>
        <w:jc w:val="both"/>
        <w:rPr>
          <w:rFonts w:ascii="Times New Roman" w:hAnsi="Times New Roman" w:cs="Times New Roman"/>
          <w:noProof/>
          <w:sz w:val="24"/>
          <w:szCs w:val="24"/>
        </w:rPr>
      </w:pPr>
      <w:r>
        <w:rPr>
          <w:rFonts w:ascii="Times New Roman" w:hAnsi="Times New Roman"/>
          <w:noProof/>
          <w:sz w:val="24"/>
          <w:szCs w:val="24"/>
        </w:rPr>
        <w:t>Instituțiile naționale din domeniul drepturilor omului solide și eficiente</w:t>
      </w:r>
      <w:r>
        <w:rPr>
          <w:rStyle w:val="FootnoteReference"/>
          <w:rFonts w:ascii="Times New Roman" w:hAnsi="Times New Roman" w:cs="Times New Roman"/>
          <w:noProof/>
          <w:sz w:val="24"/>
          <w:szCs w:val="24"/>
        </w:rPr>
        <w:footnoteReference w:id="68"/>
      </w:r>
      <w:r>
        <w:rPr>
          <w:rFonts w:ascii="Times New Roman" w:hAnsi="Times New Roman"/>
          <w:noProof/>
          <w:sz w:val="24"/>
          <w:szCs w:val="24"/>
        </w:rPr>
        <w:t xml:space="preserve"> (INDO) reprezintă legătura critică dintre guvern și societatea civilă, în măsura în care abordează „decalajul în materie de protecție” dintre drepturile cetățenilor și responsabilitățile statelor. Funcția lor principală este de a aborda discriminarea în toate formele ei și de a promova protecția tuturor drepturilor fundamentale</w:t>
      </w:r>
      <w:r>
        <w:rPr>
          <w:rFonts w:ascii="Times New Roman" w:hAnsi="Times New Roman" w:cs="Times New Roman"/>
          <w:noProof/>
          <w:sz w:val="24"/>
          <w:szCs w:val="24"/>
          <w:vertAlign w:val="superscript"/>
        </w:rPr>
        <w:footnoteReference w:id="69"/>
      </w:r>
      <w:r>
        <w:rPr>
          <w:rFonts w:ascii="Times New Roman" w:hAnsi="Times New Roman"/>
          <w:noProof/>
          <w:sz w:val="24"/>
          <w:szCs w:val="24"/>
        </w:rPr>
        <w:t>. INDO monitorizează aplicarea și promovarea cartei la fața locului, furnizează informații, sprijină victimele încălcărilor drepturilor omului și cooperează cu instituțiile naționale pentru a îmbunătăți utilizarea și cunoașterea de către acestea a cartei.</w:t>
      </w:r>
    </w:p>
    <w:p>
      <w:pPr>
        <w:jc w:val="both"/>
        <w:rPr>
          <w:rFonts w:ascii="Times New Roman" w:hAnsi="Times New Roman" w:cs="Times New Roman"/>
          <w:noProof/>
          <w:sz w:val="24"/>
          <w:szCs w:val="24"/>
        </w:rPr>
      </w:pPr>
      <w:r>
        <w:rPr>
          <w:rFonts w:ascii="Times New Roman" w:hAnsi="Times New Roman"/>
          <w:noProof/>
          <w:sz w:val="24"/>
          <w:szCs w:val="24"/>
        </w:rPr>
        <w:t>Trei state membre</w:t>
      </w:r>
      <w:r>
        <w:rPr>
          <w:rStyle w:val="FootnoteReference"/>
          <w:rFonts w:ascii="Times New Roman" w:hAnsi="Times New Roman" w:cs="Times New Roman"/>
          <w:noProof/>
          <w:sz w:val="24"/>
          <w:szCs w:val="24"/>
        </w:rPr>
        <w:footnoteReference w:id="70"/>
      </w:r>
      <w:r>
        <w:rPr>
          <w:rFonts w:ascii="Times New Roman" w:hAnsi="Times New Roman"/>
          <w:noProof/>
          <w:sz w:val="24"/>
          <w:szCs w:val="24"/>
        </w:rPr>
        <w:t xml:space="preserve"> nu au o INDO, două nu au o INDO acreditată</w:t>
      </w:r>
      <w:r>
        <w:rPr>
          <w:rStyle w:val="FootnoteReference"/>
          <w:rFonts w:ascii="Times New Roman" w:hAnsi="Times New Roman" w:cs="Times New Roman"/>
          <w:noProof/>
          <w:sz w:val="24"/>
          <w:szCs w:val="24"/>
        </w:rPr>
        <w:footnoteReference w:id="71"/>
      </w:r>
      <w:r>
        <w:rPr>
          <w:rFonts w:ascii="Times New Roman" w:hAnsi="Times New Roman"/>
          <w:noProof/>
          <w:sz w:val="24"/>
          <w:szCs w:val="24"/>
        </w:rPr>
        <w:t>, iar șase</w:t>
      </w:r>
      <w:r>
        <w:rPr>
          <w:rStyle w:val="FootnoteReference"/>
          <w:rFonts w:ascii="Times New Roman" w:hAnsi="Times New Roman" w:cs="Times New Roman"/>
          <w:noProof/>
          <w:sz w:val="24"/>
          <w:szCs w:val="24"/>
        </w:rPr>
        <w:footnoteReference w:id="72"/>
      </w:r>
      <w:r>
        <w:rPr>
          <w:rFonts w:ascii="Times New Roman" w:hAnsi="Times New Roman"/>
          <w:noProof/>
          <w:sz w:val="24"/>
          <w:szCs w:val="24"/>
        </w:rPr>
        <w:t xml:space="preserve"> nu au un statut INDO „A”</w:t>
      </w:r>
      <w:r>
        <w:rPr>
          <w:rStyle w:val="FootnoteReference"/>
          <w:rFonts w:ascii="Times New Roman" w:hAnsi="Times New Roman" w:cs="Times New Roman"/>
          <w:noProof/>
          <w:sz w:val="24"/>
          <w:szCs w:val="24"/>
        </w:rPr>
        <w:footnoteReference w:id="73"/>
      </w:r>
      <w:r>
        <w:rPr>
          <w:rFonts w:ascii="Times New Roman" w:hAnsi="Times New Roman"/>
          <w:noProof/>
          <w:sz w:val="24"/>
          <w:szCs w:val="24"/>
        </w:rPr>
        <w:t xml:space="preserve"> în conformitate cu Principiile de la Paris definite de ONU</w:t>
      </w:r>
      <w:r>
        <w:rPr>
          <w:rStyle w:val="FootnoteReference"/>
          <w:rFonts w:ascii="Times New Roman" w:hAnsi="Times New Roman" w:cs="Times New Roman"/>
          <w:noProof/>
          <w:sz w:val="24"/>
          <w:szCs w:val="24"/>
        </w:rPr>
        <w:footnoteReference w:id="74"/>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Raportul din 2020 privind statul de drept a subliniat importanța INDO-urilor independente ca parte a sistemelor naționale de control și echilibru</w:t>
      </w:r>
      <w:r>
        <w:rPr>
          <w:rStyle w:val="FootnoteReference"/>
          <w:rFonts w:ascii="Times New Roman" w:hAnsi="Times New Roman" w:cs="Times New Roman"/>
          <w:noProof/>
          <w:sz w:val="24"/>
          <w:szCs w:val="24"/>
        </w:rPr>
        <w:footnoteReference w:id="75"/>
      </w:r>
      <w:r>
        <w:rPr>
          <w:rFonts w:ascii="Times New Roman" w:hAnsi="Times New Roman"/>
          <w:noProof/>
          <w:sz w:val="24"/>
          <w:szCs w:val="24"/>
        </w:rPr>
        <w:t>.</w:t>
      </w:r>
      <w:r>
        <w:rPr>
          <w:rFonts w:ascii="Times New Roman" w:hAnsi="Times New Roman"/>
          <w:i/>
          <w:noProof/>
          <w:sz w:val="24"/>
          <w:szCs w:val="24"/>
        </w:rPr>
        <w:t xml:space="preserve"> </w:t>
      </w:r>
      <w:r>
        <w:rPr>
          <w:rFonts w:ascii="Times New Roman" w:hAnsi="Times New Roman"/>
          <w:noProof/>
          <w:sz w:val="24"/>
          <w:szCs w:val="24"/>
        </w:rPr>
        <w:t>Rețeaua europeană a instituțiilor naționale din domeniul drepturilor omului (ENNHRI) poate, cu ajutorul Comisiei, să sprijine statele membre cu privire la instituirea și promovarea INDO cu statut „A” în conformitate cu Principiile de la Paris.</w:t>
      </w:r>
    </w:p>
    <w:p>
      <w:pPr>
        <w:pStyle w:val="ListParagraph"/>
        <w:pageBreakBefore/>
        <w:numPr>
          <w:ilvl w:val="0"/>
          <w:numId w:val="13"/>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noProof/>
        </w:rPr>
      </w:pPr>
      <w:r>
        <w:rPr>
          <w:rFonts w:ascii="Times New Roman" w:hAnsi="Times New Roman"/>
          <w:b/>
          <w:i/>
          <w:noProof/>
          <w:sz w:val="24"/>
          <w:szCs w:val="24"/>
        </w:rPr>
        <w:t>Comisia invită:</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statele membre care nu au instituit încă o INDO independentă să facă acest lucru;</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noProof/>
        </w:rPr>
      </w:pPr>
      <w:r>
        <w:rPr>
          <w:rFonts w:ascii="Times New Roman" w:hAnsi="Times New Roman"/>
          <w:i/>
          <w:noProof/>
          <w:sz w:val="24"/>
          <w:szCs w:val="24"/>
        </w:rPr>
        <w:t>- statele membre în care au fost instituite INDO să se asigure că acestea dispun de instrumentele și de mijloacele necesare pentru a se conforma Principiilor de la Paris și pentru a se raporta la cartă în cadrul mandatului lor.</w:t>
      </w:r>
    </w:p>
    <w:p>
      <w:pPr>
        <w:jc w:val="both"/>
        <w:rPr>
          <w:rFonts w:ascii="Times New Roman" w:hAnsi="Times New Roman" w:cs="Times New Roman"/>
          <w:i/>
          <w:noProof/>
          <w:sz w:val="24"/>
          <w:szCs w:val="24"/>
        </w:rPr>
      </w:pPr>
    </w:p>
    <w:p>
      <w:pPr>
        <w:jc w:val="both"/>
        <w:rPr>
          <w:rFonts w:ascii="Times New Roman" w:hAnsi="Times New Roman" w:cs="Times New Roman"/>
          <w:i/>
          <w:noProof/>
          <w:sz w:val="24"/>
          <w:szCs w:val="24"/>
        </w:rPr>
      </w:pPr>
      <w:r>
        <w:rPr>
          <w:rFonts w:ascii="Times New Roman" w:hAnsi="Times New Roman"/>
          <w:i/>
          <w:noProof/>
          <w:sz w:val="24"/>
          <w:szCs w:val="24"/>
        </w:rPr>
        <w:t>Consolidarea capacităților de apărare a drepturilor cetățenilor</w:t>
      </w:r>
    </w:p>
    <w:p>
      <w:pPr>
        <w:jc w:val="both"/>
        <w:rPr>
          <w:rFonts w:ascii="Times New Roman" w:hAnsi="Times New Roman" w:cs="Times New Roman"/>
          <w:noProof/>
          <w:sz w:val="24"/>
          <w:szCs w:val="24"/>
        </w:rPr>
      </w:pPr>
      <w:r>
        <w:rPr>
          <w:rFonts w:ascii="Times New Roman" w:hAnsi="Times New Roman"/>
          <w:noProof/>
          <w:sz w:val="24"/>
          <w:szCs w:val="24"/>
        </w:rPr>
        <w:t xml:space="preserve">Organizațiile societății civile și apărătorii drepturilor omului au un rol esențial pentru creșterea conștientizării de către cetățeni a drepturilor care le sunt conferite de cartă și pentru a-i ajuta să beneficieze de o </w:t>
      </w:r>
      <w:r>
        <w:rPr>
          <w:rFonts w:ascii="Times New Roman" w:hAnsi="Times New Roman"/>
          <w:b/>
          <w:noProof/>
          <w:sz w:val="24"/>
          <w:szCs w:val="24"/>
        </w:rPr>
        <w:t>protecție jurisdicțională efectivă</w:t>
      </w:r>
      <w:r>
        <w:rPr>
          <w:rFonts w:ascii="Times New Roman" w:hAnsi="Times New Roman"/>
          <w:noProof/>
          <w:sz w:val="24"/>
          <w:szCs w:val="24"/>
        </w:rPr>
        <w:t>. Atunci când alte căi, precum prevenirea și dialogul, se dovedesc a fi lipsite de succes, protecția jurisdicțională efectivă include de asemenea litigiile strategice, care contribuie la o punere în aplicare și aplicare mai coerente a dreptului Uniunii și la asigurarea respectării drepturilor cetățenilor. În urma unei inițiative a Parlamentului European, Comisia a desfășurat consultări și a comandat un studiu</w:t>
      </w:r>
      <w:r>
        <w:rPr>
          <w:rStyle w:val="FootnoteReference"/>
          <w:rFonts w:ascii="Times New Roman" w:hAnsi="Times New Roman" w:cs="Times New Roman"/>
          <w:noProof/>
          <w:sz w:val="24"/>
          <w:szCs w:val="24"/>
        </w:rPr>
        <w:footnoteReference w:id="76"/>
      </w:r>
      <w:r>
        <w:rPr>
          <w:rFonts w:ascii="Times New Roman" w:hAnsi="Times New Roman"/>
          <w:noProof/>
          <w:sz w:val="24"/>
          <w:szCs w:val="24"/>
        </w:rPr>
        <w:t xml:space="preserve"> care arată că consolidarea capacităților este esențială pentru a-i ajuta pe acești „agenți ai Cartei” să sprijine într-un mod mai eficient cetățenii cu privire la utilizarea drepturilor care le sunt conferite de cartă. Studiul a concluzionat că este necesară sporirea „nivelului de cunoaștere a practicilor și procedurilor relevante ale dreptului Uniunii” de către avocați și actualizarea capacităților lor, „cu rezultatul previzibil că numărul litigiilor în materie de drepturi fundamentale va crește în Europa, iar drepturile prevăzute de cartă vor fi promovate și protejate într-un mod mai sistematic”.</w:t>
      </w:r>
    </w:p>
    <w:p>
      <w:pPr>
        <w:jc w:val="both"/>
        <w:rPr>
          <w:rFonts w:ascii="Times New Roman" w:hAnsi="Times New Roman" w:cs="Times New Roman"/>
          <w:noProof/>
          <w:sz w:val="24"/>
          <w:szCs w:val="24"/>
        </w:rPr>
      </w:pPr>
      <w:r>
        <w:rPr>
          <w:rFonts w:ascii="Times New Roman" w:hAnsi="Times New Roman"/>
          <w:b/>
          <w:noProof/>
          <w:sz w:val="24"/>
          <w:szCs w:val="24"/>
        </w:rPr>
        <w:t>Rețelele europene de apărători ai drepturilor omului</w:t>
      </w:r>
      <w:r>
        <w:rPr>
          <w:rFonts w:ascii="Times New Roman" w:hAnsi="Times New Roman"/>
          <w:noProof/>
          <w:sz w:val="24"/>
          <w:szCs w:val="24"/>
        </w:rPr>
        <w:t>, precum Rețeaua europeană a instituțiilor naționale din domeniul drepturilor omului (ENNHRI), Rețeaua europeană a organismelor naționale de promovare a egalității (Equinet) și Rețeaua europeană a ombudsmanilor (ENO) pot juca un rol important în coordonarea consolidării capacităților și în schimbul de practici cu privire la cartă printre membrii acestora. Personalul instruit în cadrul unor formări transnaționale ar trebui să acționeze ca multiplicatori și să își formeze colegii în cadrul instituției lor naționale</w:t>
      </w:r>
      <w:r>
        <w:rPr>
          <w:rFonts w:ascii="Times New Roman" w:hAnsi="Times New Roman" w:cs="Times New Roman"/>
          <w:noProof/>
          <w:sz w:val="24"/>
          <w:szCs w:val="24"/>
          <w:vertAlign w:val="superscript"/>
        </w:rPr>
        <w:footnoteReference w:id="77"/>
      </w:r>
      <w:r>
        <w:rPr>
          <w:rFonts w:ascii="Times New Roman" w:hAnsi="Times New Roman"/>
          <w:noProof/>
          <w:sz w:val="24"/>
          <w:szCs w:val="24"/>
        </w:rPr>
        <w:t xml:space="preserve">. Rețelele ar trebui să învețe una de la cealaltă pentru a-și atinge obiectivele. De exemplu, </w:t>
      </w:r>
      <w:r>
        <w:rPr>
          <w:rFonts w:ascii="Times New Roman" w:hAnsi="Times New Roman"/>
          <w:b/>
          <w:noProof/>
          <w:sz w:val="24"/>
          <w:szCs w:val="24"/>
        </w:rPr>
        <w:t>ENNHRI</w:t>
      </w:r>
      <w:r>
        <w:rPr>
          <w:rFonts w:ascii="Times New Roman" w:hAnsi="Times New Roman"/>
          <w:noProof/>
          <w:sz w:val="24"/>
          <w:szCs w:val="24"/>
        </w:rPr>
        <w:t xml:space="preserve"> a colectat practici de la membrii săi pentru a arăta modul în care INDO din întreaga Europă lucrează în direcția punerii în aplicare la nivel național a cartei</w:t>
      </w:r>
      <w:r>
        <w:rPr>
          <w:rFonts w:ascii="Times New Roman" w:hAnsi="Times New Roman" w:cs="Times New Roman"/>
          <w:i/>
          <w:noProof/>
          <w:sz w:val="24"/>
          <w:szCs w:val="24"/>
          <w:vertAlign w:val="superscript"/>
        </w:rPr>
        <w:footnoteReference w:id="78"/>
      </w:r>
      <w:r>
        <w:rPr>
          <w:rFonts w:ascii="Times New Roman" w:hAnsi="Times New Roman"/>
          <w:noProof/>
          <w:sz w:val="24"/>
          <w:szCs w:val="24"/>
        </w:rPr>
        <w:t>.</w:t>
      </w:r>
      <w:r>
        <w:rPr>
          <w:rFonts w:ascii="Times New Roman" w:hAnsi="Times New Roman"/>
          <w:i/>
          <w:noProof/>
          <w:sz w:val="24"/>
          <w:szCs w:val="24"/>
        </w:rPr>
        <w:t xml:space="preserve"> </w:t>
      </w:r>
      <w:r>
        <w:rPr>
          <w:rFonts w:ascii="Times New Roman" w:hAnsi="Times New Roman"/>
          <w:noProof/>
          <w:sz w:val="24"/>
          <w:szCs w:val="24"/>
        </w:rPr>
        <w:t>FRA a elaborat instrumente pentru a sprijini această activitate și este pregătită să susțină în continuare eforturile de consolidare a capacităților</w:t>
      </w:r>
      <w:r>
        <w:rPr>
          <w:rStyle w:val="FootnoteReference"/>
          <w:rFonts w:ascii="Times New Roman" w:hAnsi="Times New Roman" w:cs="Times New Roman"/>
          <w:noProof/>
          <w:sz w:val="24"/>
          <w:szCs w:val="24"/>
        </w:rPr>
        <w:footnoteReference w:id="79"/>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Alte rețele, destinate unor grupuri specifice, cum ar fi cadrele Convenției ONU privind drepturile persoanelor cu handicap sau Rețeaua europeană a mediatorilor pentru copii, ar putea juca, de asemenea, un rol esențial în promovarea cartei în rândul membrilor lor.</w:t>
      </w:r>
    </w:p>
    <w:p>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b/>
          <w:i/>
          <w:noProof/>
          <w:sz w:val="24"/>
          <w:szCs w:val="24"/>
        </w:rPr>
      </w:pPr>
      <w:r>
        <w:rPr>
          <w:rFonts w:ascii="Times New Roman" w:hAnsi="Times New Roman"/>
          <w:b/>
          <w:i/>
          <w:noProof/>
          <w:sz w:val="24"/>
          <w:szCs w:val="24"/>
        </w:rPr>
        <w:t xml:space="preserve">Comisia: </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va sprijini, în special în temeiul programului „Justiție”, consolidarea capacităților referitoare la cartă pentru apărătorii drepturilor omului și organizațiile societății civile, pentru a facilita accesul la justiție pentru toți.</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p>
    <w:p>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b/>
          <w:i/>
          <w:noProof/>
          <w:sz w:val="24"/>
          <w:szCs w:val="24"/>
        </w:rPr>
      </w:pPr>
      <w:r>
        <w:rPr>
          <w:rFonts w:ascii="Times New Roman" w:hAnsi="Times New Roman"/>
          <w:b/>
          <w:i/>
          <w:noProof/>
          <w:sz w:val="24"/>
          <w:szCs w:val="24"/>
        </w:rPr>
        <w:t>Comisia invită rețelele de organizații ale societății civile și de apărători ai drepturilor omului:</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xml:space="preserve">- să coopereze în materie de formare cu privire la cartă și să facă schimb de practici, pe baza sprijinului și a instrumentelor oferite de Comisie și de FRA. </w:t>
      </w:r>
    </w:p>
    <w:p>
      <w:pPr>
        <w:jc w:val="both"/>
        <w:rPr>
          <w:rFonts w:ascii="Times New Roman" w:hAnsi="Times New Roman" w:cs="Times New Roman"/>
          <w:b/>
          <w:i/>
          <w:noProof/>
          <w:sz w:val="24"/>
          <w:szCs w:val="24"/>
        </w:rPr>
      </w:pPr>
    </w:p>
    <w:p>
      <w:pPr>
        <w:jc w:val="both"/>
        <w:rPr>
          <w:rFonts w:ascii="Times New Roman" w:hAnsi="Times New Roman" w:cs="Times New Roman"/>
          <w:i/>
          <w:noProof/>
          <w:sz w:val="24"/>
          <w:szCs w:val="24"/>
        </w:rPr>
      </w:pPr>
      <w:r>
        <w:rPr>
          <w:rFonts w:ascii="Times New Roman" w:hAnsi="Times New Roman"/>
          <w:b/>
          <w:i/>
          <w:noProof/>
          <w:sz w:val="24"/>
          <w:szCs w:val="24"/>
        </w:rPr>
        <w:t>2.2 Sprijinirea judecătorilor și a altor practicieni din domeniul justiției</w:t>
      </w:r>
      <w:r>
        <w:rPr>
          <w:rFonts w:ascii="Times New Roman" w:hAnsi="Times New Roman"/>
          <w:i/>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Judecătorii independenți și calificați sunt esențiali pentru a face carta relevantă în viața oamenilor. Deși instanțele naționale utilizează carta pe scară din ce în ce mai largă și se adresează Curții pentru asistență privind interpretarea acesteia</w:t>
      </w:r>
      <w:r>
        <w:rPr>
          <w:rStyle w:val="FootnoteReference"/>
          <w:rFonts w:ascii="Times New Roman" w:hAnsi="Times New Roman" w:cs="Times New Roman"/>
          <w:noProof/>
          <w:sz w:val="24"/>
          <w:szCs w:val="24"/>
        </w:rPr>
        <w:footnoteReference w:id="80"/>
      </w:r>
      <w:r>
        <w:rPr>
          <w:rFonts w:ascii="Times New Roman" w:hAnsi="Times New Roman"/>
          <w:noProof/>
          <w:sz w:val="24"/>
          <w:szCs w:val="24"/>
        </w:rPr>
        <w:t xml:space="preserve">, </w:t>
      </w:r>
      <w:r>
        <w:rPr>
          <w:rFonts w:ascii="Times New Roman" w:hAnsi="Times New Roman"/>
          <w:b/>
          <w:noProof/>
          <w:sz w:val="24"/>
          <w:szCs w:val="24"/>
        </w:rPr>
        <w:t>cunoștințele rămân scăzute</w:t>
      </w:r>
      <w:r>
        <w:rPr>
          <w:rFonts w:ascii="Times New Roman" w:hAnsi="Times New Roman"/>
          <w:noProof/>
          <w:sz w:val="24"/>
          <w:szCs w:val="24"/>
        </w:rPr>
        <w:t xml:space="preserve"> printre practicienii naționali din domeniul justiției</w:t>
      </w:r>
      <w:r>
        <w:rPr>
          <w:rStyle w:val="FootnoteReference"/>
          <w:rFonts w:ascii="Times New Roman" w:hAnsi="Times New Roman" w:cs="Times New Roman"/>
          <w:noProof/>
          <w:sz w:val="24"/>
          <w:szCs w:val="24"/>
        </w:rPr>
        <w:footnoteReference w:id="81"/>
      </w:r>
      <w:r>
        <w:rPr>
          <w:rFonts w:ascii="Times New Roman" w:hAnsi="Times New Roman"/>
          <w:noProof/>
          <w:sz w:val="24"/>
          <w:szCs w:val="24"/>
        </w:rPr>
        <w:t>. Până în prezent, mai puțin de o treime din totalul grupurilor profesionale consultate în cadrul consultărilor specifice pentru judecători, practicieni din domeniul justiției și instituții de formare au beneficiat de formare cu privire la cartă. Cei mai mulți dintre judecătorii și practicienii din domeniul justiției care au răspuns la consultare au precizat că formarea cu privire la cartă ar fi binevenită, inclusiv formarea comună pentru judecători și alți practicieni din domeniul dreptului pentru a face schimb de experiențe. Aceștia consideră de asemenea că ar fi binevenită consolidarea schimburilor între instanțele naționale și europene</w:t>
      </w:r>
      <w:r>
        <w:rPr>
          <w:rStyle w:val="FootnoteReference"/>
          <w:rFonts w:ascii="Times New Roman" w:hAnsi="Times New Roman" w:cs="Times New Roman"/>
          <w:noProof/>
          <w:sz w:val="24"/>
          <w:szCs w:val="24"/>
        </w:rPr>
        <w:footnoteReference w:id="82"/>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 xml:space="preserve">Comisia a adoptat o </w:t>
      </w:r>
      <w:r>
        <w:rPr>
          <w:rFonts w:ascii="Times New Roman" w:hAnsi="Times New Roman"/>
          <w:b/>
          <w:noProof/>
          <w:sz w:val="24"/>
          <w:szCs w:val="24"/>
        </w:rPr>
        <w:t>nouă strategie de formare judiciară europeană</w:t>
      </w:r>
      <w:r>
        <w:rPr>
          <w:rFonts w:ascii="Times New Roman" w:hAnsi="Times New Roman"/>
          <w:noProof/>
          <w:sz w:val="24"/>
          <w:szCs w:val="24"/>
        </w:rPr>
        <w:t xml:space="preserve"> care subliniază importanța instruirii judecătorilor și a altor practicieni din domeniul justiției cu privire la cartă pentru a asigura aplicarea efectivă a acesteia</w:t>
      </w:r>
      <w:r>
        <w:rPr>
          <w:rStyle w:val="FootnoteReference"/>
          <w:rFonts w:ascii="Times New Roman" w:hAnsi="Times New Roman" w:cs="Times New Roman"/>
          <w:noProof/>
          <w:sz w:val="24"/>
          <w:szCs w:val="24"/>
        </w:rPr>
        <w:footnoteReference w:id="83"/>
      </w:r>
      <w:r>
        <w:rPr>
          <w:rFonts w:ascii="Times New Roman" w:hAnsi="Times New Roman"/>
          <w:noProof/>
          <w:sz w:val="24"/>
          <w:szCs w:val="24"/>
        </w:rPr>
        <w:t>. A fost de asemenea subliniată relevanța formării interprofesionale și a schimbului de bune practici. FRA își va actualiza Cartapedia și manualul privind aplicarea cartei pentru practicieni</w:t>
      </w:r>
      <w:r>
        <w:rPr>
          <w:rFonts w:ascii="Times New Roman" w:hAnsi="Times New Roman" w:cs="Times New Roman"/>
          <w:noProof/>
          <w:sz w:val="24"/>
          <w:szCs w:val="24"/>
          <w:vertAlign w:val="superscript"/>
        </w:rPr>
        <w:footnoteReference w:id="84"/>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Pandemia de COVID-19 a creat provocări suplimentare pentru sistemele de justiție, însă a stimulat de asemenea digitalizarea procedurilor în mai multe state membre</w:t>
      </w:r>
      <w:r>
        <w:rPr>
          <w:rStyle w:val="FootnoteReference"/>
          <w:rFonts w:ascii="Times New Roman" w:hAnsi="Times New Roman" w:cs="Times New Roman"/>
          <w:noProof/>
          <w:sz w:val="24"/>
          <w:szCs w:val="24"/>
        </w:rPr>
        <w:footnoteReference w:id="85"/>
      </w:r>
      <w:r>
        <w:rPr>
          <w:rFonts w:ascii="Times New Roman" w:hAnsi="Times New Roman"/>
          <w:noProof/>
          <w:sz w:val="24"/>
          <w:szCs w:val="24"/>
        </w:rPr>
        <w:t xml:space="preserve">. </w:t>
      </w:r>
      <w:r>
        <w:rPr>
          <w:rFonts w:ascii="Times New Roman" w:hAnsi="Times New Roman"/>
          <w:b/>
          <w:noProof/>
          <w:sz w:val="24"/>
          <w:szCs w:val="24"/>
        </w:rPr>
        <w:t>Digitalizarea justiției,</w:t>
      </w:r>
      <w:r>
        <w:rPr>
          <w:rFonts w:ascii="Times New Roman" w:hAnsi="Times New Roman"/>
          <w:noProof/>
          <w:sz w:val="24"/>
          <w:szCs w:val="24"/>
        </w:rPr>
        <w:t xml:space="preserve"> dacă este pusă în aplicare în mod adecvat, va avea de asemenea un efect pozitiv asupra capacității instanțelor de a gestiona eficient aspectele legate de drepturile fundamentale, în special într-un context în care resursele umane sunt reduse</w:t>
      </w:r>
      <w:r>
        <w:rPr>
          <w:rStyle w:val="FootnoteReference"/>
          <w:rFonts w:ascii="Times New Roman" w:hAnsi="Times New Roman" w:cs="Times New Roman"/>
          <w:noProof/>
          <w:sz w:val="24"/>
          <w:szCs w:val="24"/>
        </w:rPr>
        <w:footnoteReference w:id="86"/>
      </w:r>
      <w:r>
        <w:rPr>
          <w:rFonts w:ascii="Times New Roman" w:hAnsi="Times New Roman"/>
          <w:noProof/>
          <w:sz w:val="24"/>
          <w:szCs w:val="24"/>
        </w:rPr>
        <w:t>.</w:t>
      </w:r>
    </w:p>
    <w:p>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jc w:val="both"/>
        <w:rPr>
          <w:rFonts w:ascii="Times New Roman" w:hAnsi="Times New Roman" w:cs="Times New Roman"/>
          <w:b/>
          <w:i/>
          <w:noProof/>
          <w:sz w:val="24"/>
          <w:szCs w:val="24"/>
        </w:rPr>
      </w:pPr>
      <w:r>
        <w:rPr>
          <w:rFonts w:ascii="Times New Roman" w:hAnsi="Times New Roman"/>
          <w:b/>
          <w:i/>
          <w:noProof/>
          <w:sz w:val="24"/>
          <w:szCs w:val="24"/>
        </w:rPr>
        <w:t>Comisia:</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jc w:val="both"/>
        <w:rPr>
          <w:rFonts w:ascii="Times New Roman" w:hAnsi="Times New Roman" w:cs="Times New Roman"/>
          <w:i/>
          <w:noProof/>
          <w:sz w:val="24"/>
          <w:szCs w:val="24"/>
        </w:rPr>
      </w:pPr>
      <w:r>
        <w:rPr>
          <w:rFonts w:ascii="Times New Roman" w:hAnsi="Times New Roman"/>
          <w:i/>
          <w:noProof/>
          <w:sz w:val="24"/>
          <w:szCs w:val="24"/>
        </w:rPr>
        <w:t>- va prioritiza, în temeiul noului program „Justiție” al UE, oportunități de formare cu privire la cartă pentru judecători și alți practicieni din domeniul justiției și va sprijini dezvoltarea unui instrument dedicat de e-learning pentru judecători;</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i/>
          <w:noProof/>
          <w:sz w:val="24"/>
          <w:szCs w:val="24"/>
        </w:rPr>
        <w:t xml:space="preserve">- va promova activități de formare și materiale referitoare la cartă pe noua </w:t>
      </w:r>
      <w:r>
        <w:rPr>
          <w:rFonts w:ascii="Times New Roman" w:hAnsi="Times New Roman"/>
          <w:noProof/>
          <w:sz w:val="24"/>
          <w:szCs w:val="24"/>
        </w:rPr>
        <w:t>„Platformă europeană de formare”</w:t>
      </w:r>
      <w:r>
        <w:rPr>
          <w:rFonts w:ascii="Times New Roman" w:hAnsi="Times New Roman"/>
          <w:i/>
          <w:noProof/>
          <w:sz w:val="24"/>
          <w:szCs w:val="24"/>
        </w:rPr>
        <w:t xml:space="preserve"> a portalului european e-justiție</w:t>
      </w:r>
      <w:r>
        <w:rPr>
          <w:rStyle w:val="FootnoteReference"/>
          <w:rFonts w:ascii="Times New Roman" w:hAnsi="Times New Roman" w:cs="Times New Roman"/>
          <w:b/>
          <w:i/>
          <w:noProof/>
          <w:sz w:val="24"/>
          <w:szCs w:val="24"/>
        </w:rPr>
        <w:footnoteReference w:id="87"/>
      </w:r>
      <w:r>
        <w:rPr>
          <w:rFonts w:ascii="Times New Roman" w:hAnsi="Times New Roman"/>
          <w:i/>
          <w:noProof/>
          <w:sz w:val="24"/>
          <w:szCs w:val="24"/>
        </w:rPr>
        <w:t xml:space="preserve"> prin utilizarea fondurilor UE.</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rFonts w:ascii="Times New Roman" w:hAnsi="Times New Roman" w:cs="Times New Roman"/>
          <w:i/>
          <w:noProof/>
          <w:sz w:val="24"/>
          <w:szCs w:val="24"/>
        </w:rPr>
      </w:pPr>
      <w:r>
        <w:rPr>
          <w:rFonts w:ascii="Times New Roman" w:hAnsi="Times New Roman"/>
          <w:b/>
          <w:i/>
          <w:noProof/>
          <w:sz w:val="24"/>
          <w:szCs w:val="24"/>
        </w:rPr>
        <w:t>Comisia invită</w:t>
      </w:r>
      <w:r>
        <w:rPr>
          <w:rFonts w:ascii="Times New Roman" w:hAnsi="Times New Roman"/>
          <w:i/>
          <w:noProof/>
          <w:sz w:val="24"/>
          <w:szCs w:val="24"/>
        </w:rPr>
        <w:t xml:space="preserve"> </w:t>
      </w:r>
      <w:r>
        <w:rPr>
          <w:rFonts w:ascii="Times New Roman" w:hAnsi="Times New Roman"/>
          <w:b/>
          <w:i/>
          <w:noProof/>
          <w:sz w:val="24"/>
          <w:szCs w:val="24"/>
        </w:rPr>
        <w:t>rețelele de judecători și alți practicieni din domeniul justiției:</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i/>
          <w:noProof/>
          <w:sz w:val="24"/>
          <w:szCs w:val="24"/>
        </w:rPr>
        <w:t>- să coopereze cu privire la formarea și la schimbul de practici referitoare la aplicarea cartei, pe baza sprijinului și a instrumentelor oferite de Comisie, de Rețeaua Europeană de Formare Judiciară (EJTN) și de FRA.</w:t>
      </w:r>
      <w:r>
        <w:rPr>
          <w:noProof/>
        </w:rPr>
        <w:br w:type="page"/>
      </w:r>
    </w:p>
    <w:p>
      <w:pPr>
        <w:pStyle w:val="Heading1"/>
        <w:rPr>
          <w:rFonts w:ascii="Times New Roman" w:hAnsi="Times New Roman" w:cs="Times New Roman"/>
          <w:noProof/>
        </w:rPr>
      </w:pPr>
      <w:r>
        <w:rPr>
          <w:rFonts w:ascii="Times New Roman" w:hAnsi="Times New Roman"/>
          <w:noProof/>
        </w:rPr>
        <w:t>3 - Încurajarea utilizării cartei drept punct de reper pentru instituțiile UE</w:t>
      </w:r>
    </w:p>
    <w:p>
      <w:pPr>
        <w:rPr>
          <w:noProof/>
        </w:rPr>
      </w:pPr>
    </w:p>
    <w:p>
      <w:pPr>
        <w:jc w:val="both"/>
        <w:rPr>
          <w:rFonts w:ascii="Times New Roman" w:hAnsi="Times New Roman" w:cs="Times New Roman"/>
          <w:b/>
          <w:noProof/>
          <w:sz w:val="24"/>
          <w:szCs w:val="24"/>
        </w:rPr>
      </w:pPr>
      <w:r>
        <w:rPr>
          <w:rFonts w:ascii="Times New Roman" w:hAnsi="Times New Roman"/>
          <w:b/>
          <w:i/>
          <w:noProof/>
          <w:sz w:val="24"/>
          <w:szCs w:val="24"/>
        </w:rPr>
        <w:t>3.1 Actualizarea și dezvoltarea instrumentelor din cadrul Comisiei</w:t>
      </w:r>
    </w:p>
    <w:p>
      <w:pPr>
        <w:jc w:val="both"/>
        <w:rPr>
          <w:rFonts w:ascii="Times New Roman" w:hAnsi="Times New Roman" w:cs="Times New Roman"/>
          <w:noProof/>
          <w:sz w:val="24"/>
          <w:szCs w:val="24"/>
        </w:rPr>
      </w:pPr>
      <w:r>
        <w:rPr>
          <w:rFonts w:ascii="Times New Roman" w:hAnsi="Times New Roman"/>
          <w:b/>
          <w:noProof/>
          <w:sz w:val="24"/>
          <w:szCs w:val="24"/>
        </w:rPr>
        <w:t>Toate acțiunile instituțiilor UE trebuie să fie conforme cu carta</w:t>
      </w:r>
      <w:r>
        <w:rPr>
          <w:rFonts w:ascii="Times New Roman" w:hAnsi="Times New Roman"/>
          <w:noProof/>
          <w:sz w:val="24"/>
          <w:szCs w:val="24"/>
        </w:rPr>
        <w:t>, inclusiv atunci când acestea acționează în afara cadrului juridic al Uniunii</w:t>
      </w:r>
      <w:r>
        <w:rPr>
          <w:rStyle w:val="FootnoteReference"/>
          <w:rFonts w:ascii="Times New Roman" w:hAnsi="Times New Roman" w:cs="Times New Roman"/>
          <w:noProof/>
          <w:sz w:val="24"/>
          <w:szCs w:val="24"/>
        </w:rPr>
        <w:footnoteReference w:id="88"/>
      </w:r>
      <w:r>
        <w:rPr>
          <w:rFonts w:ascii="Times New Roman" w:hAnsi="Times New Roman"/>
          <w:noProof/>
          <w:sz w:val="24"/>
          <w:szCs w:val="24"/>
        </w:rPr>
        <w:t xml:space="preserve"> și în afara teritoriului statelor membre</w:t>
      </w:r>
      <w:r>
        <w:rPr>
          <w:rStyle w:val="FootnoteReference"/>
          <w:rFonts w:ascii="Times New Roman" w:hAnsi="Times New Roman" w:cs="Times New Roman"/>
          <w:noProof/>
          <w:sz w:val="24"/>
          <w:szCs w:val="24"/>
        </w:rPr>
        <w:footnoteReference w:id="89"/>
      </w:r>
      <w:r>
        <w:rPr>
          <w:rFonts w:ascii="Times New Roman" w:hAnsi="Times New Roman"/>
          <w:noProof/>
          <w:sz w:val="24"/>
          <w:szCs w:val="24"/>
        </w:rPr>
        <w:t>.</w:t>
      </w:r>
    </w:p>
    <w:p>
      <w:pPr>
        <w:jc w:val="both"/>
        <w:rPr>
          <w:rFonts w:ascii="Times New Roman" w:hAnsi="Times New Roman" w:cs="Times New Roman"/>
          <w:i/>
          <w:noProof/>
          <w:sz w:val="24"/>
          <w:szCs w:val="24"/>
        </w:rPr>
      </w:pPr>
      <w:r>
        <w:rPr>
          <w:rFonts w:ascii="Times New Roman" w:hAnsi="Times New Roman"/>
          <w:noProof/>
          <w:sz w:val="24"/>
          <w:szCs w:val="24"/>
        </w:rPr>
        <w:t xml:space="preserve">Pe baza Strategiei sale din 2010 privind punerea în aplicare a cartei de către UE, </w:t>
      </w:r>
      <w:r>
        <w:rPr>
          <w:rFonts w:ascii="Times New Roman" w:hAnsi="Times New Roman"/>
          <w:b/>
          <w:noProof/>
          <w:sz w:val="24"/>
          <w:szCs w:val="24"/>
        </w:rPr>
        <w:t>Comisia</w:t>
      </w:r>
      <w:r>
        <w:rPr>
          <w:rFonts w:ascii="Times New Roman" w:hAnsi="Times New Roman"/>
          <w:noProof/>
          <w:sz w:val="24"/>
          <w:szCs w:val="24"/>
        </w:rPr>
        <w:t xml:space="preserve"> a elaborat orientări</w:t>
      </w:r>
      <w:r>
        <w:rPr>
          <w:rStyle w:val="FootnoteReference"/>
          <w:rFonts w:ascii="Times New Roman" w:hAnsi="Times New Roman" w:cs="Times New Roman"/>
          <w:noProof/>
          <w:sz w:val="24"/>
          <w:szCs w:val="24"/>
        </w:rPr>
        <w:footnoteReference w:id="90"/>
      </w:r>
      <w:r>
        <w:rPr>
          <w:rFonts w:ascii="Times New Roman" w:hAnsi="Times New Roman"/>
          <w:noProof/>
          <w:sz w:val="24"/>
          <w:szCs w:val="24"/>
        </w:rPr>
        <w:t xml:space="preserve"> pentru a asigura că fiecare nouă inițiativă respectă carta și că, acolo unde anumite drepturi sunt afectate, este oferită o justificare privind motivul pentru care măsura este necesară și proporțională și sunt aplicate soluții pentru a atenua potențialele efecte negative ale măsurii asupra drepturilor cetățenilor. Noul Grup operativ al Comisiei pentru egalitate se va asigura că aspectele privind egalitatea sunt integrate în activitățile Comisiei.</w:t>
      </w:r>
    </w:p>
    <w:p>
      <w:pPr>
        <w:jc w:val="both"/>
        <w:rPr>
          <w:rFonts w:ascii="Times New Roman" w:hAnsi="Times New Roman" w:cs="Times New Roman"/>
          <w:iCs/>
          <w:noProof/>
          <w:sz w:val="24"/>
          <w:szCs w:val="24"/>
        </w:rPr>
      </w:pPr>
      <w:r>
        <w:rPr>
          <w:rFonts w:ascii="Times New Roman" w:hAnsi="Times New Roman"/>
          <w:noProof/>
          <w:sz w:val="24"/>
          <w:szCs w:val="24"/>
        </w:rPr>
        <w:t>Inițiativele-cheie ale Comisiei care ar putea avea un impact major asupra drepturilor prevăzute de cartă vor continua să fie verificate începând din etapa pregătitoare a inițiativei, iar respectarea cartei va rămâne o preocupare centrală pentru Comisie în cadrul procesului decizional. De exemplu, strategia digitală a Europei</w:t>
      </w:r>
      <w:r>
        <w:rPr>
          <w:rStyle w:val="FootnoteReference"/>
          <w:rFonts w:ascii="Times New Roman" w:hAnsi="Times New Roman" w:cs="Times New Roman"/>
          <w:noProof/>
          <w:sz w:val="24"/>
          <w:szCs w:val="24"/>
        </w:rPr>
        <w:footnoteReference w:id="91"/>
      </w:r>
      <w:r>
        <w:rPr>
          <w:rFonts w:ascii="Times New Roman" w:hAnsi="Times New Roman"/>
          <w:noProof/>
          <w:sz w:val="24"/>
          <w:szCs w:val="24"/>
        </w:rPr>
        <w:t xml:space="preserve"> subliniază importanța respectării drepturilor fundamentale în transformarea digitală. Viitorul cadru de reglementare privind inteligența artificială</w:t>
      </w:r>
      <w:r>
        <w:rPr>
          <w:rFonts w:ascii="Times New Roman" w:hAnsi="Times New Roman" w:cs="Times New Roman"/>
          <w:noProof/>
          <w:sz w:val="24"/>
          <w:szCs w:val="24"/>
          <w:vertAlign w:val="superscript"/>
        </w:rPr>
        <w:footnoteReference w:id="92"/>
      </w:r>
      <w:r>
        <w:rPr>
          <w:rFonts w:ascii="Times New Roman" w:hAnsi="Times New Roman"/>
          <w:noProof/>
          <w:sz w:val="24"/>
          <w:szCs w:val="24"/>
        </w:rPr>
        <w:t xml:space="preserve"> va </w:t>
      </w:r>
      <w:r>
        <w:rPr>
          <w:rFonts w:ascii="Times New Roman" w:hAnsi="Times New Roman"/>
          <w:iCs/>
          <w:noProof/>
          <w:sz w:val="24"/>
          <w:szCs w:val="24"/>
        </w:rPr>
        <w:t>introduce cerințe privind responsabilitatea, documentația și testarea pentru a asigura respectarea efectivă a drepturilor fundamentale.</w:t>
      </w:r>
      <w:r>
        <w:rPr>
          <w:rFonts w:ascii="Calibri" w:hAnsi="Calibri"/>
          <w:noProof/>
        </w:rPr>
        <w:t xml:space="preserve"> </w:t>
      </w:r>
      <w:r>
        <w:rPr>
          <w:rFonts w:ascii="Times New Roman" w:hAnsi="Times New Roman"/>
          <w:noProof/>
          <w:sz w:val="24"/>
          <w:szCs w:val="24"/>
        </w:rPr>
        <w:t>Viitoarea propunere de act legislativ privind serviciile digitale va stabili responsabilitățile intermediarilor online, în special ale platformelor online, cu privire la toate formele de conținut online ilegal, pentru a se asigura că intermediarii online abordează conținutul ilegal, protejând, în același timp, conținutul legal, și respectă drepturile fundamentale, inclusiv dreptul la libertatea de exprimare al utilizatorilor de servicii online.</w:t>
      </w:r>
    </w:p>
    <w:p>
      <w:pPr>
        <w:jc w:val="both"/>
        <w:rPr>
          <w:rFonts w:ascii="Times New Roman" w:hAnsi="Times New Roman" w:cs="Times New Roman"/>
          <w:noProof/>
          <w:sz w:val="24"/>
          <w:szCs w:val="24"/>
        </w:rPr>
      </w:pPr>
      <w:r>
        <w:rPr>
          <w:rFonts w:ascii="Times New Roman" w:hAnsi="Times New Roman"/>
          <w:noProof/>
          <w:sz w:val="24"/>
          <w:szCs w:val="24"/>
        </w:rPr>
        <w:t>În pregătirea inițiativelor, Comisia se bazează pe contribuțiile principalelor părți interesate</w:t>
      </w:r>
      <w:r>
        <w:rPr>
          <w:rStyle w:val="FootnoteReference"/>
          <w:rFonts w:ascii="Times New Roman" w:hAnsi="Times New Roman" w:cs="Times New Roman"/>
          <w:noProof/>
          <w:sz w:val="24"/>
          <w:szCs w:val="24"/>
        </w:rPr>
        <w:footnoteReference w:id="93"/>
      </w:r>
      <w:r>
        <w:rPr>
          <w:rFonts w:ascii="Times New Roman" w:hAnsi="Times New Roman"/>
          <w:noProof/>
          <w:sz w:val="24"/>
          <w:szCs w:val="24"/>
        </w:rPr>
        <w:t>. Un dialog deschis și constructiv cu organizațiile societății civile sprijină eforturile Comisiei de integrare a cartei în toate politicile și propunerile sale legislative.</w:t>
      </w:r>
    </w:p>
    <w:p>
      <w:pPr>
        <w:jc w:val="both"/>
        <w:rPr>
          <w:rFonts w:ascii="Times New Roman" w:hAnsi="Times New Roman" w:cs="Times New Roman"/>
          <w:noProof/>
          <w:color w:val="000000" w:themeColor="text1"/>
          <w:sz w:val="23"/>
          <w:szCs w:val="23"/>
        </w:rPr>
      </w:pPr>
      <w:r>
        <w:rPr>
          <w:rFonts w:ascii="Times New Roman" w:hAnsi="Times New Roman"/>
          <w:noProof/>
          <w:sz w:val="24"/>
          <w:szCs w:val="24"/>
        </w:rPr>
        <w:t>Asigurarea respectării drepturilor fundamentale este o problemă mondială și este important ca acțiunile interne și cele externe în materie de promovare și protecție a drepturilor fundamentale să fie coerente și să se susțină reciproc. Noul Plan de acțiune privind drepturile omului și democrația pentru perioada 2020-2024</w:t>
      </w:r>
      <w:r>
        <w:rPr>
          <w:rStyle w:val="FootnoteReference"/>
          <w:rFonts w:ascii="Times New Roman" w:hAnsi="Times New Roman" w:cs="Times New Roman"/>
          <w:noProof/>
          <w:sz w:val="24"/>
          <w:szCs w:val="24"/>
        </w:rPr>
        <w:footnoteReference w:id="94"/>
      </w:r>
      <w:r>
        <w:rPr>
          <w:rFonts w:ascii="Times New Roman" w:hAnsi="Times New Roman"/>
          <w:noProof/>
          <w:sz w:val="24"/>
          <w:szCs w:val="24"/>
        </w:rPr>
        <w:t xml:space="preserve"> reafirmă angajamentul UE de a promova și de a proteja drepturile omului și valorile fundamentale </w:t>
      </w:r>
      <w:r>
        <w:rPr>
          <w:rFonts w:ascii="Times New Roman" w:hAnsi="Times New Roman"/>
          <w:noProof/>
          <w:color w:val="000000" w:themeColor="text1"/>
          <w:sz w:val="24"/>
          <w:szCs w:val="24"/>
        </w:rPr>
        <w:t>la nivel mondial.</w:t>
      </w:r>
      <w:r>
        <w:rPr>
          <w:noProof/>
          <w:color w:val="000000" w:themeColor="text1"/>
          <w:sz w:val="23"/>
          <w:szCs w:val="23"/>
        </w:rPr>
        <w:t xml:space="preserve"> </w:t>
      </w:r>
      <w:r>
        <w:rPr>
          <w:rFonts w:ascii="Times New Roman" w:hAnsi="Times New Roman"/>
          <w:noProof/>
          <w:color w:val="000000" w:themeColor="text1"/>
          <w:sz w:val="24"/>
          <w:szCs w:val="24"/>
        </w:rPr>
        <w:t>Drepturile omului și democrația vor fi promovate în mod consecvent și coerent în toate domeniile de acțiune externă a UE, asigurând coerența internă și externă în promovarea drepturilor fundamentale în conformitate cu carta.</w:t>
      </w:r>
    </w:p>
    <w:p>
      <w:pPr>
        <w:jc w:val="both"/>
        <w:rPr>
          <w:rFonts w:ascii="Times New Roman" w:hAnsi="Times New Roman" w:cs="Times New Roman"/>
          <w:noProof/>
          <w:sz w:val="24"/>
          <w:szCs w:val="24"/>
        </w:rPr>
      </w:pPr>
      <w:r>
        <w:rPr>
          <w:rFonts w:ascii="Times New Roman" w:hAnsi="Times New Roman"/>
          <w:noProof/>
          <w:sz w:val="24"/>
          <w:szCs w:val="24"/>
        </w:rPr>
        <w:t>Comisia, în calitate de instituție a UE, va continua să ia în considerare carta în cadrul pregătirii și negocierii acordurilor comerciale și de investiții ale UE</w:t>
      </w:r>
      <w:r>
        <w:rPr>
          <w:rFonts w:ascii="Times New Roman" w:hAnsi="Times New Roman" w:cs="Times New Roman"/>
          <w:noProof/>
          <w:sz w:val="24"/>
          <w:szCs w:val="24"/>
          <w:vertAlign w:val="superscript"/>
        </w:rPr>
        <w:footnoteReference w:id="95"/>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Comisia va insista în continuare ca țările care urmăresc să adere la UE („țările implicate în procesul de aderare”) să se alinieze la standardele UE privind protecția drepturilor fundamentale. Comisia va furniza sprijin și asistență tehnică țărilor implicate în procesul de aderare</w:t>
      </w:r>
      <w:r>
        <w:rPr>
          <w:rStyle w:val="FootnoteReference"/>
          <w:rFonts w:ascii="Times New Roman" w:hAnsi="Times New Roman" w:cs="Times New Roman"/>
          <w:noProof/>
          <w:sz w:val="24"/>
          <w:szCs w:val="24"/>
        </w:rPr>
        <w:footnoteReference w:id="96"/>
      </w:r>
      <w:r>
        <w:rPr>
          <w:rFonts w:ascii="Times New Roman" w:hAnsi="Times New Roman"/>
          <w:noProof/>
          <w:sz w:val="24"/>
          <w:szCs w:val="24"/>
        </w:rPr>
        <w:t xml:space="preserve"> și va monitoriza progresul prin intermediul pachetului anual privind extinderea din cadrul rapoartelor de țară. Țările candidate și țările cu care s-a încheiat un acord de stabilizare și asociere pot solicita să participe la activitățile Agenției pentru Drepturi Fundamentale a UE în calitate de observatori, în vederea facilitării alinierii lor treptate la dreptul Uniunii</w:t>
      </w:r>
      <w:r>
        <w:rPr>
          <w:rStyle w:val="FootnoteReference"/>
          <w:rFonts w:ascii="Times New Roman" w:hAnsi="Times New Roman" w:cs="Times New Roman"/>
          <w:noProof/>
          <w:sz w:val="24"/>
          <w:szCs w:val="24"/>
        </w:rPr>
        <w:footnoteReference w:id="97"/>
      </w:r>
      <w:r>
        <w:rPr>
          <w:rFonts w:ascii="Times New Roman" w:hAnsi="Times New Roman"/>
          <w:noProof/>
          <w:sz w:val="24"/>
          <w:szCs w:val="24"/>
        </w:rPr>
        <w:t>.</w:t>
      </w:r>
    </w:p>
    <w:p>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rFonts w:ascii="Times New Roman" w:hAnsi="Times New Roman" w:cs="Times New Roman"/>
          <w:i/>
          <w:noProof/>
          <w:sz w:val="24"/>
          <w:szCs w:val="24"/>
        </w:rPr>
      </w:pPr>
      <w:r>
        <w:rPr>
          <w:rFonts w:ascii="Times New Roman" w:hAnsi="Times New Roman"/>
          <w:b/>
          <w:i/>
          <w:noProof/>
          <w:sz w:val="24"/>
          <w:szCs w:val="24"/>
        </w:rPr>
        <w:t>Comisia:</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i/>
          <w:noProof/>
          <w:sz w:val="24"/>
          <w:szCs w:val="24"/>
        </w:rPr>
        <w:t>- va sprijini dezvoltarea unui instrument de învățare online cu privire la cartă, accesibil tuturor;</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i/>
          <w:noProof/>
          <w:sz w:val="24"/>
          <w:szCs w:val="24"/>
        </w:rPr>
        <w:t>- va actualiza Orientările din 2011 pentru personalul său privind aplicarea cartei în cadrul studiilor de impact și le va distribui ca sursă de informații pentru persoanele responsabile de elaborarea politicilor la nivel național și local;</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i/>
          <w:noProof/>
          <w:sz w:val="24"/>
          <w:szCs w:val="24"/>
        </w:rPr>
        <w:t>- va elabora un set de instrumente pentru integrarea egalității și un plan de formare pentru tot personalul, pentru a se asigura că aspectele privind egalitatea fac parte din toate inițiativele Comisiei.</w:t>
      </w:r>
    </w:p>
    <w:p>
      <w:pPr>
        <w:rPr>
          <w:rFonts w:ascii="Times New Roman" w:hAnsi="Times New Roman" w:cs="Times New Roman"/>
          <w:b/>
          <w:i/>
          <w:noProof/>
          <w:sz w:val="24"/>
          <w:szCs w:val="24"/>
        </w:rPr>
      </w:pPr>
    </w:p>
    <w:p>
      <w:pPr>
        <w:rPr>
          <w:rFonts w:ascii="Times New Roman" w:hAnsi="Times New Roman" w:cs="Times New Roman"/>
          <w:b/>
          <w:i/>
          <w:noProof/>
          <w:sz w:val="24"/>
          <w:szCs w:val="24"/>
        </w:rPr>
      </w:pPr>
      <w:r>
        <w:rPr>
          <w:rFonts w:ascii="Times New Roman" w:hAnsi="Times New Roman"/>
          <w:b/>
          <w:i/>
          <w:noProof/>
          <w:sz w:val="24"/>
          <w:szCs w:val="24"/>
        </w:rPr>
        <w:t xml:space="preserve">3.2 Consolidarea integrării cartei în cadrul întregului proces legislativ „european” </w:t>
      </w:r>
    </w:p>
    <w:p>
      <w:pPr>
        <w:jc w:val="both"/>
        <w:rPr>
          <w:rFonts w:ascii="Times New Roman" w:hAnsi="Times New Roman" w:cs="Times New Roman"/>
          <w:noProof/>
          <w:sz w:val="24"/>
          <w:szCs w:val="24"/>
        </w:rPr>
      </w:pPr>
      <w:r>
        <w:rPr>
          <w:rFonts w:ascii="Times New Roman" w:hAnsi="Times New Roman"/>
          <w:noProof/>
          <w:sz w:val="24"/>
          <w:szCs w:val="24"/>
        </w:rPr>
        <w:t xml:space="preserve">Este esențial pentru aplicarea efectivă a cartei de către UE ca </w:t>
      </w:r>
      <w:r>
        <w:rPr>
          <w:rFonts w:ascii="Times New Roman" w:hAnsi="Times New Roman"/>
          <w:b/>
          <w:noProof/>
          <w:sz w:val="24"/>
          <w:szCs w:val="24"/>
        </w:rPr>
        <w:t>Parlamentul European</w:t>
      </w:r>
      <w:r>
        <w:rPr>
          <w:rFonts w:ascii="Times New Roman" w:hAnsi="Times New Roman"/>
          <w:noProof/>
          <w:sz w:val="24"/>
          <w:szCs w:val="24"/>
        </w:rPr>
        <w:t xml:space="preserve"> și </w:t>
      </w:r>
      <w:r>
        <w:rPr>
          <w:rFonts w:ascii="Times New Roman" w:hAnsi="Times New Roman"/>
          <w:b/>
          <w:noProof/>
          <w:sz w:val="24"/>
          <w:szCs w:val="24"/>
        </w:rPr>
        <w:t xml:space="preserve">Consiliul </w:t>
      </w:r>
      <w:r>
        <w:rPr>
          <w:rFonts w:ascii="Times New Roman" w:hAnsi="Times New Roman"/>
          <w:noProof/>
          <w:sz w:val="24"/>
          <w:szCs w:val="24"/>
        </w:rPr>
        <w:t>să se axeze pe asigurarea conformității cu carta în cadrul procesului legislativ. Comisia este pregătită să le sprijine în acest sens. Asigurarea conformității cu carta este elementul-cheie pentru durabilitatea legislației Uniunii</w:t>
      </w:r>
      <w:r>
        <w:rPr>
          <w:rStyle w:val="FootnoteReference"/>
          <w:rFonts w:ascii="Times New Roman" w:hAnsi="Times New Roman" w:cs="Times New Roman"/>
          <w:noProof/>
          <w:sz w:val="24"/>
          <w:szCs w:val="24"/>
        </w:rPr>
        <w:footnoteReference w:id="98"/>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În 2015, Consiliul a publicat orientări privind verificarea conformității cu drepturile fundamentale</w:t>
      </w:r>
      <w:r>
        <w:rPr>
          <w:rStyle w:val="FootnoteReference"/>
          <w:rFonts w:ascii="Times New Roman" w:hAnsi="Times New Roman" w:cs="Times New Roman"/>
          <w:noProof/>
          <w:sz w:val="24"/>
          <w:szCs w:val="24"/>
        </w:rPr>
        <w:footnoteReference w:id="99"/>
      </w:r>
      <w:r>
        <w:rPr>
          <w:rFonts w:ascii="Times New Roman" w:hAnsi="Times New Roman"/>
          <w:noProof/>
          <w:sz w:val="24"/>
          <w:szCs w:val="24"/>
        </w:rPr>
        <w:t>, care ar trebuie distribuite și explicate în mod regulat</w:t>
      </w:r>
      <w:r>
        <w:rPr>
          <w:rStyle w:val="FootnoteReference"/>
          <w:rFonts w:ascii="Times New Roman" w:hAnsi="Times New Roman" w:cs="Times New Roman"/>
          <w:noProof/>
          <w:sz w:val="24"/>
          <w:szCs w:val="24"/>
        </w:rPr>
        <w:footnoteReference w:id="100"/>
      </w:r>
      <w:r>
        <w:rPr>
          <w:rFonts w:ascii="Times New Roman" w:hAnsi="Times New Roman"/>
          <w:noProof/>
          <w:sz w:val="24"/>
          <w:szCs w:val="24"/>
        </w:rPr>
        <w:t xml:space="preserve">. </w:t>
      </w:r>
      <w:r>
        <w:rPr>
          <w:rFonts w:ascii="Times New Roman" w:hAnsi="Times New Roman"/>
          <w:bCs/>
          <w:noProof/>
          <w:sz w:val="24"/>
          <w:szCs w:val="24"/>
        </w:rPr>
        <w:t>Grupul de lucru</w:t>
      </w:r>
      <w:r>
        <w:rPr>
          <w:rFonts w:ascii="Times New Roman" w:hAnsi="Times New Roman"/>
          <w:noProof/>
          <w:sz w:val="24"/>
          <w:szCs w:val="24"/>
        </w:rPr>
        <w:t xml:space="preserve"> al Consiliului pentru drepturi fundamentale, drepturile cetățenilor și libera circulație a persoanelor (FREMP) joacă un rol esențial în această privință. Comisia Parlamentului European pentru libertăți civile, justiție și afaceri interne (LIBE) poate emite avize cu privire la conformitatea unui act legislativ cu drepturile fundamentale</w:t>
      </w:r>
      <w:r>
        <w:rPr>
          <w:rStyle w:val="FootnoteReference"/>
          <w:rFonts w:ascii="Times New Roman" w:hAnsi="Times New Roman" w:cs="Times New Roman"/>
          <w:noProof/>
          <w:sz w:val="24"/>
          <w:szCs w:val="24"/>
        </w:rPr>
        <w:footnoteReference w:id="101"/>
      </w:r>
      <w:r>
        <w:rPr>
          <w:rFonts w:ascii="Times New Roman" w:hAnsi="Times New Roman"/>
          <w:noProof/>
          <w:sz w:val="24"/>
          <w:szCs w:val="24"/>
        </w:rPr>
        <w:t>. În temeiul Acordului interinstituțional privind o mai bună legiferare, Parlamentul European și Consiliul pot efectua evaluări ale impactului în legătură cu modificările substanțiale pe care le aduc unei propuneri a Comisiei. Acesta prevede că studiile de impact ar trebui să abordeze aspectele privind drepturile fundamentale</w:t>
      </w:r>
      <w:r>
        <w:rPr>
          <w:rStyle w:val="FootnoteReference"/>
          <w:rFonts w:ascii="Times New Roman" w:hAnsi="Times New Roman" w:cs="Times New Roman"/>
          <w:noProof/>
          <w:sz w:val="24"/>
          <w:szCs w:val="24"/>
        </w:rPr>
        <w:footnoteReference w:id="102"/>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Există câteva exemple recente de integrare a cartei în legislația Uniunii, iar multe altele pot fi găsite în rapoartele anuale ale Comisiei</w:t>
      </w:r>
      <w:r>
        <w:rPr>
          <w:rStyle w:val="FootnoteReference"/>
          <w:rFonts w:ascii="Times New Roman" w:hAnsi="Times New Roman" w:cs="Times New Roman"/>
          <w:noProof/>
          <w:sz w:val="24"/>
          <w:szCs w:val="24"/>
          <w:lang w:val="en-US"/>
        </w:rPr>
        <w:footnoteReference w:id="103"/>
      </w:r>
      <w:r>
        <w:rPr>
          <w:rFonts w:ascii="Times New Roman" w:hAnsi="Times New Roman"/>
          <w:noProof/>
          <w:sz w:val="24"/>
          <w:szCs w:val="24"/>
        </w:rPr>
        <w:t>. Actul european privind accesibilitatea</w:t>
      </w:r>
      <w:r>
        <w:rPr>
          <w:rFonts w:ascii="Times New Roman" w:hAnsi="Times New Roman" w:cs="Times New Roman"/>
          <w:noProof/>
          <w:sz w:val="24"/>
          <w:szCs w:val="24"/>
          <w:vertAlign w:val="superscript"/>
        </w:rPr>
        <w:footnoteReference w:id="104"/>
      </w:r>
      <w:r>
        <w:rPr>
          <w:rFonts w:ascii="Times New Roman" w:hAnsi="Times New Roman"/>
          <w:noProof/>
          <w:sz w:val="24"/>
          <w:szCs w:val="24"/>
        </w:rPr>
        <w:t xml:space="preserve"> urmărește să garanteze că persoanele cu handicap beneficiază de măsuri care să le asigure autonomia, integrarea socială și profesională, precum și participarea la viața comunității. Regulamentul privind poliția de frontieră și garda de coastă la nivel european</w:t>
      </w:r>
      <w:r>
        <w:rPr>
          <w:rFonts w:ascii="Times New Roman" w:hAnsi="Times New Roman" w:cs="Times New Roman"/>
          <w:noProof/>
          <w:sz w:val="24"/>
          <w:szCs w:val="24"/>
          <w:vertAlign w:val="superscript"/>
        </w:rPr>
        <w:footnoteReference w:id="105"/>
      </w:r>
      <w:r>
        <w:rPr>
          <w:rFonts w:ascii="Times New Roman" w:hAnsi="Times New Roman"/>
          <w:noProof/>
          <w:sz w:val="24"/>
          <w:szCs w:val="24"/>
        </w:rPr>
        <w:t xml:space="preserve"> face din drepturile fundamentale </w:t>
      </w:r>
      <w:r>
        <w:rPr>
          <w:rFonts w:ascii="Times New Roman" w:hAnsi="Times New Roman"/>
          <w:bCs/>
          <w:noProof/>
          <w:sz w:val="24"/>
          <w:szCs w:val="24"/>
        </w:rPr>
        <w:t>o parte esențială a punerii în aplicare a gestionării integrate a frontierelor externe</w:t>
      </w:r>
      <w:r>
        <w:rPr>
          <w:rFonts w:ascii="Times New Roman" w:hAnsi="Times New Roman"/>
          <w:noProof/>
          <w:sz w:val="24"/>
          <w:szCs w:val="24"/>
        </w:rPr>
        <w:t>.</w:t>
      </w:r>
    </w:p>
    <w:p>
      <w:pPr>
        <w:jc w:val="both"/>
        <w:rPr>
          <w:noProof/>
        </w:rPr>
      </w:pPr>
    </w:p>
    <w:p>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rFonts w:ascii="Times New Roman" w:hAnsi="Times New Roman" w:cs="Times New Roman"/>
          <w:i/>
          <w:noProof/>
          <w:sz w:val="24"/>
          <w:szCs w:val="24"/>
        </w:rPr>
      </w:pPr>
      <w:r>
        <w:rPr>
          <w:rFonts w:ascii="Times New Roman" w:hAnsi="Times New Roman"/>
          <w:b/>
          <w:i/>
          <w:noProof/>
          <w:sz w:val="24"/>
          <w:szCs w:val="24"/>
        </w:rPr>
        <w:t xml:space="preserve">Comisia invită Parlamentul European și Consiliul </w:t>
      </w:r>
      <w:r>
        <w:rPr>
          <w:rFonts w:ascii="Times New Roman" w:hAnsi="Times New Roman"/>
          <w:i/>
          <w:noProof/>
          <w:sz w:val="24"/>
          <w:szCs w:val="24"/>
        </w:rPr>
        <w:t>să utilizeze instrumentele</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noProof/>
        </w:rPr>
      </w:pPr>
      <w:r>
        <w:rPr>
          <w:rFonts w:ascii="Times New Roman" w:hAnsi="Times New Roman"/>
          <w:i/>
          <w:noProof/>
          <w:sz w:val="24"/>
          <w:szCs w:val="24"/>
        </w:rPr>
        <w:t>aflate la dispoziția lor pentru a asigura aplicarea efectivă a cartei în cadrul activității lor.</w:t>
      </w:r>
      <w:r>
        <w:rPr>
          <w:rFonts w:ascii="Times New Roman" w:hAnsi="Times New Roman"/>
          <w:noProof/>
          <w:sz w:val="24"/>
          <w:szCs w:val="24"/>
        </w:rPr>
        <w:t xml:space="preserve"> </w:t>
      </w:r>
      <w:r>
        <w:rPr>
          <w:rFonts w:ascii="Times New Roman" w:hAnsi="Times New Roman"/>
          <w:i/>
          <w:noProof/>
          <w:sz w:val="24"/>
          <w:szCs w:val="24"/>
        </w:rPr>
        <w:t>Comisia este pregătită să le sprijine în acest sens.</w:t>
      </w:r>
    </w:p>
    <w:p>
      <w:pPr>
        <w:rPr>
          <w:rFonts w:asciiTheme="majorHAnsi" w:eastAsiaTheme="majorEastAsia" w:hAnsiTheme="majorHAnsi" w:cstheme="majorBidi"/>
          <w:noProof/>
          <w:color w:val="2E74B5" w:themeColor="accent1" w:themeShade="BF"/>
          <w:sz w:val="32"/>
          <w:szCs w:val="32"/>
        </w:rPr>
      </w:pPr>
      <w:r>
        <w:rPr>
          <w:noProof/>
        </w:rPr>
        <w:br w:type="page"/>
      </w:r>
    </w:p>
    <w:p>
      <w:pPr>
        <w:pStyle w:val="Heading1"/>
        <w:rPr>
          <w:rFonts w:ascii="Times New Roman" w:hAnsi="Times New Roman" w:cs="Times New Roman"/>
          <w:noProof/>
        </w:rPr>
      </w:pPr>
      <w:r>
        <w:rPr>
          <w:rFonts w:ascii="Times New Roman" w:hAnsi="Times New Roman"/>
          <w:noProof/>
        </w:rPr>
        <w:t>4 - Consolidarea conștientizării de către cetățeni a drepturilor care le sunt conferite de cartă</w:t>
      </w:r>
    </w:p>
    <w:p>
      <w:pPr>
        <w:rPr>
          <w:rFonts w:ascii="Times New Roman" w:hAnsi="Times New Roman" w:cs="Times New Roman"/>
          <w:b/>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 xml:space="preserve">Un Eurobarometru recent privind cunoașterea cartei arată că numai 42 % dintre respondenți au auzit de cartă și numai 12 % știu într-adevăr ce este. </w:t>
      </w:r>
    </w:p>
    <w:p>
      <w:pPr>
        <w:jc w:val="both"/>
        <w:rPr>
          <w:rFonts w:ascii="Times New Roman" w:hAnsi="Times New Roman" w:cs="Times New Roman"/>
          <w:noProof/>
          <w:sz w:val="24"/>
          <w:szCs w:val="24"/>
        </w:rPr>
      </w:pPr>
      <w:r>
        <w:rPr>
          <w:noProof/>
          <w:lang w:val="en-GB" w:eastAsia="en-GB"/>
        </w:rPr>
        <w:drawing>
          <wp:inline distT="0" distB="0" distL="0" distR="0">
            <wp:extent cx="5400675" cy="3533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00675" cy="3533775"/>
                    </a:xfrm>
                    <a:prstGeom prst="rect">
                      <a:avLst/>
                    </a:prstGeom>
                  </pic:spPr>
                </pic:pic>
              </a:graphicData>
            </a:graphic>
          </wp:inline>
        </w:drawing>
      </w:r>
    </w:p>
    <w:p>
      <w:pPr>
        <w:jc w:val="both"/>
        <w:rPr>
          <w:rFonts w:ascii="Times New Roman" w:hAnsi="Times New Roman" w:cs="Times New Roman"/>
          <w:noProof/>
          <w:sz w:val="24"/>
          <w:szCs w:val="24"/>
        </w:rPr>
      </w:pPr>
      <w:r>
        <w:rPr>
          <w:rFonts w:ascii="Times New Roman" w:hAnsi="Times New Roman"/>
          <w:noProof/>
          <w:sz w:val="24"/>
          <w:szCs w:val="24"/>
        </w:rPr>
        <w:t>Șase din zece respondenți doresc să afle mai multe informații despre drepturile lor și unde să se adreseze în cazul încălcării drepturilor care le sunt conferite de cartă</w:t>
      </w:r>
      <w:r>
        <w:rPr>
          <w:rStyle w:val="FootnoteReference"/>
          <w:rFonts w:ascii="Times New Roman" w:hAnsi="Times New Roman" w:cs="Times New Roman"/>
          <w:noProof/>
          <w:sz w:val="24"/>
          <w:szCs w:val="24"/>
        </w:rPr>
        <w:footnoteReference w:id="106"/>
      </w:r>
      <w:r>
        <w:rPr>
          <w:rFonts w:ascii="Times New Roman" w:hAnsi="Times New Roman"/>
          <w:noProof/>
          <w:sz w:val="24"/>
          <w:szCs w:val="24"/>
        </w:rPr>
        <w:t>.</w:t>
      </w:r>
    </w:p>
    <w:p>
      <w:pPr>
        <w:jc w:val="both"/>
        <w:rPr>
          <w:rFonts w:ascii="Times New Roman" w:hAnsi="Times New Roman" w:cs="Times New Roman"/>
          <w:noProof/>
          <w:sz w:val="24"/>
          <w:szCs w:val="24"/>
        </w:rPr>
      </w:pPr>
      <w:r>
        <w:rPr>
          <w:noProof/>
          <w:lang w:val="en-GB" w:eastAsia="en-GB"/>
        </w:rPr>
        <w:drawing>
          <wp:inline distT="0" distB="0" distL="0" distR="0">
            <wp:extent cx="5731510" cy="3861435"/>
            <wp:effectExtent l="0" t="0" r="254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3861435"/>
                    </a:xfrm>
                    <a:prstGeom prst="rect">
                      <a:avLst/>
                    </a:prstGeom>
                  </pic:spPr>
                </pic:pic>
              </a:graphicData>
            </a:graphic>
          </wp:inline>
        </w:drawing>
      </w:r>
    </w:p>
    <w:p>
      <w:pPr>
        <w:jc w:val="both"/>
        <w:rPr>
          <w:rFonts w:ascii="Times New Roman" w:hAnsi="Times New Roman" w:cs="Times New Roman"/>
          <w:noProof/>
          <w:sz w:val="24"/>
          <w:szCs w:val="24"/>
        </w:rPr>
      </w:pPr>
      <w:r>
        <w:rPr>
          <w:rFonts w:ascii="Times New Roman" w:hAnsi="Times New Roman"/>
          <w:noProof/>
          <w:sz w:val="24"/>
          <w:szCs w:val="24"/>
        </w:rPr>
        <w:t>Cele mai multe (80 %) organizații ale societății civile raportează că cetățenii apelează la ele pentru informații cu privire la drepturile lor și un procent și mai mare (85 %) doresc ca ele să desfășoare activități de sensibilizare cu privire la drepturi</w:t>
      </w:r>
      <w:r>
        <w:rPr>
          <w:rFonts w:ascii="Times New Roman" w:hAnsi="Times New Roman" w:cs="Times New Roman"/>
          <w:noProof/>
          <w:sz w:val="24"/>
          <w:szCs w:val="24"/>
          <w:vertAlign w:val="superscript"/>
        </w:rPr>
        <w:footnoteReference w:id="107"/>
      </w:r>
      <w:r>
        <w:rPr>
          <w:rFonts w:ascii="Times New Roman" w:hAnsi="Times New Roman"/>
          <w:noProof/>
          <w:sz w:val="24"/>
          <w:szCs w:val="24"/>
        </w:rPr>
        <w:t>. Autoritățile locale sunt, de asemenea, bine plasate pentru a sensibiliza publicul cu privire la drepturile cetățenilor și la ceea ce pot face în cazul în care le sunt încălcate drepturile</w:t>
      </w:r>
      <w:r>
        <w:rPr>
          <w:rStyle w:val="FootnoteReference"/>
          <w:rFonts w:ascii="Times New Roman" w:hAnsi="Times New Roman" w:cs="Times New Roman"/>
          <w:noProof/>
          <w:sz w:val="24"/>
          <w:szCs w:val="24"/>
        </w:rPr>
        <w:footnoteReference w:id="108"/>
      </w:r>
      <w:r>
        <w:rPr>
          <w:rFonts w:ascii="Times New Roman" w:hAnsi="Times New Roman"/>
          <w:noProof/>
          <w:sz w:val="24"/>
          <w:szCs w:val="24"/>
        </w:rPr>
        <w:t>.Este esențială explicarea drepturilor și a ce înseamnă ele pentru cetățeni, prin intermediul unor povești din viața reală</w:t>
      </w:r>
      <w:r>
        <w:rPr>
          <w:rFonts w:ascii="Times New Roman" w:hAnsi="Times New Roman" w:cs="Times New Roman"/>
          <w:noProof/>
          <w:sz w:val="24"/>
          <w:szCs w:val="24"/>
          <w:vertAlign w:val="superscript"/>
        </w:rPr>
        <w:footnoteReference w:id="109"/>
      </w:r>
      <w:r>
        <w:rPr>
          <w:rFonts w:ascii="Times New Roman" w:hAnsi="Times New Roman"/>
          <w:i/>
          <w:noProof/>
          <w:sz w:val="24"/>
          <w:szCs w:val="24"/>
        </w:rPr>
        <w:t>.</w:t>
      </w:r>
    </w:p>
    <w:p>
      <w:pPr>
        <w:jc w:val="both"/>
        <w:rPr>
          <w:rFonts w:ascii="Times New Roman" w:hAnsi="Times New Roman" w:cs="Times New Roman"/>
          <w:iCs/>
          <w:noProof/>
          <w:sz w:val="24"/>
          <w:szCs w:val="24"/>
        </w:rPr>
      </w:pPr>
      <w:r>
        <w:rPr>
          <w:rFonts w:ascii="Times New Roman" w:hAnsi="Times New Roman"/>
          <w:iCs/>
          <w:noProof/>
          <w:sz w:val="24"/>
          <w:szCs w:val="24"/>
        </w:rPr>
        <w:t>Forumul FRA din 2021 privind drepturile fundamentale</w:t>
      </w:r>
      <w:r>
        <w:rPr>
          <w:rStyle w:val="FootnoteReference"/>
          <w:rFonts w:ascii="Times New Roman" w:hAnsi="Times New Roman" w:cs="Times New Roman"/>
          <w:iCs/>
          <w:noProof/>
          <w:sz w:val="24"/>
          <w:szCs w:val="24"/>
        </w:rPr>
        <w:footnoteReference w:id="110"/>
      </w:r>
      <w:r>
        <w:rPr>
          <w:rFonts w:ascii="Times New Roman" w:hAnsi="Times New Roman"/>
          <w:iCs/>
          <w:noProof/>
          <w:sz w:val="24"/>
          <w:szCs w:val="24"/>
        </w:rPr>
        <w:t xml:space="preserve"> reprezintă o oportunitate pentru sensibilizarea privind Carta drepturilor fundamentale și pentru a reflecta cu privire la modalități de a dezvolta în continuare o cultură a valorilor în UE. Conferința privind viitorul Europei le va oferi cetățenilor posibilitatea de a discuta drepturile fundamentale și valorile UE care sunt esențiale pentru Uniunea noastră și pentru viitorul acesteia.</w:t>
      </w:r>
    </w:p>
    <w:p>
      <w:pPr>
        <w:jc w:val="both"/>
        <w:rPr>
          <w:rFonts w:ascii="Times New Roman" w:hAnsi="Times New Roman" w:cs="Times New Roman"/>
          <w:noProof/>
          <w:sz w:val="24"/>
          <w:szCs w:val="24"/>
        </w:rPr>
      </w:pPr>
      <w:r>
        <w:rPr>
          <w:rFonts w:ascii="Times New Roman" w:hAnsi="Times New Roman"/>
          <w:noProof/>
          <w:sz w:val="24"/>
          <w:szCs w:val="24"/>
        </w:rPr>
        <w:t>Comisia va elabora o campanie de sensibilizare, care va viza o mai bună informare a cetățenilor cu privire la drepturile care le sunt conferite de cartă și la organismele cărora pot să se adreseze în cazul în care drepturile le sunt încălcate. Aceasta va fi accesibilă persoanelor cu handicap.</w:t>
      </w:r>
    </w:p>
    <w:p>
      <w:pPr>
        <w:jc w:val="both"/>
        <w:rPr>
          <w:rFonts w:ascii="Times New Roman" w:hAnsi="Times New Roman" w:cs="Times New Roman"/>
          <w:noProof/>
          <w:sz w:val="24"/>
          <w:szCs w:val="24"/>
        </w:rPr>
      </w:pPr>
      <w:r>
        <w:rPr>
          <w:rFonts w:ascii="Times New Roman" w:hAnsi="Times New Roman"/>
          <w:noProof/>
          <w:sz w:val="24"/>
          <w:szCs w:val="24"/>
        </w:rPr>
        <w:t>Comisia își va intensifica de asemenea eforturile pentru a comunica mai eficient tinerilor drepturile prevăzute de cartă, utilizând cât mai bine programul Erasmus+. În special, aceasta va face trimitere la informații privind carta în cadrul Cartei studentului Erasmus+, care se adresează tuturor studenților Erasmus+; va include „drepturile fundamentale” ca prioritate-cheie în cadrul acțiunii Jean Monnet pentru învățământul superior; va încuraja instituțiile de învățământ superior să ofere formare sau cursuri online privind angajamentele civice europene și să promoveze Carta drepturilor fundamentale și va elabora resurse online pentru profesori în scopul sensibilizării cu privire la drepturile fundamentale în școli</w:t>
      </w:r>
      <w:r>
        <w:rPr>
          <w:rFonts w:ascii="Times New Roman" w:hAnsi="Times New Roman"/>
          <w:i/>
          <w:noProof/>
          <w:sz w:val="24"/>
          <w:szCs w:val="24"/>
        </w:rPr>
        <w:t>.</w:t>
      </w:r>
      <w:r>
        <w:rPr>
          <w:rFonts w:ascii="Times New Roman" w:hAnsi="Times New Roman"/>
          <w:b/>
          <w:i/>
          <w:noProof/>
          <w:sz w:val="24"/>
          <w:szCs w:val="24"/>
        </w:rPr>
        <w:t xml:space="preserve"> </w:t>
      </w:r>
      <w:r>
        <w:rPr>
          <w:rFonts w:ascii="Times New Roman" w:hAnsi="Times New Roman"/>
          <w:noProof/>
          <w:sz w:val="24"/>
          <w:szCs w:val="24"/>
        </w:rPr>
        <w:t>Aceasta va iniția un dialog cu tinerii în ceea ce privește valorile fundamentale și problemele globale legate de cetățenie, inclusiv obiectivele de dezvoltare durabilă, prin intermediul programului Educația pentru dezvoltare și acțiuni de sensibilizare (DEAR)</w:t>
      </w:r>
      <w:r>
        <w:rPr>
          <w:rStyle w:val="FootnoteReference"/>
          <w:rFonts w:ascii="Times New Roman" w:hAnsi="Times New Roman" w:cs="Times New Roman"/>
          <w:noProof/>
          <w:sz w:val="24"/>
          <w:szCs w:val="24"/>
        </w:rPr>
        <w:footnoteReference w:id="111"/>
      </w:r>
      <w:r>
        <w:rPr>
          <w:rFonts w:ascii="Times New Roman" w:hAnsi="Times New Roman"/>
          <w:noProof/>
          <w:sz w:val="24"/>
          <w:szCs w:val="24"/>
        </w:rPr>
        <w:t>. În cadrul strategiei sale viitoare privind drepturile copilului, Comisia va explora de asemenea modalități de comunicare privind drepturile copilului într-un mod adaptat copiilor.</w:t>
      </w:r>
    </w:p>
    <w:p>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rFonts w:ascii="Times New Roman" w:hAnsi="Times New Roman" w:cs="Times New Roman"/>
          <w:b/>
          <w:i/>
          <w:noProof/>
          <w:sz w:val="24"/>
          <w:szCs w:val="24"/>
        </w:rPr>
      </w:pPr>
      <w:r>
        <w:rPr>
          <w:rFonts w:ascii="Times New Roman" w:hAnsi="Times New Roman"/>
          <w:b/>
          <w:i/>
          <w:noProof/>
          <w:sz w:val="24"/>
          <w:szCs w:val="24"/>
        </w:rPr>
        <w:t>Comisia:</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i/>
          <w:noProof/>
          <w:sz w:val="24"/>
          <w:szCs w:val="24"/>
        </w:rPr>
        <w:t>- va iniția o campanie de sensibilizare pentru a sensibiliza cetățenii cu privire la drepturile care le sunt conferite de cartă și la modul în care le pot utiliza, prin exemple specifice și cooperarea cu actorii de la fața locului;</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i/>
          <w:noProof/>
          <w:sz w:val="24"/>
          <w:szCs w:val="24"/>
        </w:rPr>
        <w:t>- va dezvolta conștientizarea de către tineri a drepturilor care le sunt conferite de cartă prin intermediul programului Erasmus+;</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r>
        <w:rPr>
          <w:rFonts w:ascii="Times New Roman" w:hAnsi="Times New Roman"/>
          <w:i/>
          <w:noProof/>
          <w:sz w:val="24"/>
          <w:szCs w:val="24"/>
        </w:rPr>
        <w:t>- va sensibiliza copiii cu privire la drepturile lor ca rezultat al viitoarei strategii privind drepturile copilului.</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Times New Roman" w:hAnsi="Times New Roman" w:cs="Times New Roman"/>
          <w:i/>
          <w:noProof/>
          <w:sz w:val="24"/>
          <w:szCs w:val="24"/>
        </w:rPr>
      </w:pPr>
    </w:p>
    <w:p>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rFonts w:ascii="Times New Roman" w:hAnsi="Times New Roman" w:cs="Times New Roman"/>
          <w:i/>
          <w:noProof/>
          <w:sz w:val="24"/>
          <w:szCs w:val="24"/>
        </w:rPr>
      </w:pPr>
      <w:r>
        <w:rPr>
          <w:rFonts w:ascii="Times New Roman" w:hAnsi="Times New Roman"/>
          <w:b/>
          <w:i/>
          <w:noProof/>
          <w:sz w:val="24"/>
          <w:szCs w:val="24"/>
        </w:rPr>
        <w:t>Comisia invită statele membre</w:t>
      </w:r>
      <w:r>
        <w:rPr>
          <w:rFonts w:ascii="Times New Roman" w:hAnsi="Times New Roman"/>
          <w:i/>
          <w:noProof/>
          <w:sz w:val="24"/>
          <w:szCs w:val="24"/>
        </w:rPr>
        <w:t xml:space="preserve"> să dezvolte inițiative de promovare a sensibilizării cetățenilor cu privire la drepturile care le sunt conferite de cartă și la organismele cărora pot să se adreseze în cazul în care drepturile le sunt încălcate, în special prin consolidarea rolului actorilor locali</w:t>
      </w:r>
      <w:r>
        <w:rPr>
          <w:rStyle w:val="FootnoteReference"/>
          <w:rFonts w:ascii="Times New Roman" w:hAnsi="Times New Roman" w:cs="Times New Roman"/>
          <w:i/>
          <w:noProof/>
          <w:sz w:val="24"/>
          <w:szCs w:val="24"/>
        </w:rPr>
        <w:footnoteReference w:id="112"/>
      </w:r>
      <w:r>
        <w:rPr>
          <w:rFonts w:ascii="Times New Roman" w:hAnsi="Times New Roman"/>
          <w:i/>
          <w:noProof/>
          <w:sz w:val="24"/>
          <w:szCs w:val="24"/>
        </w:rPr>
        <w:t>.</w:t>
      </w:r>
    </w:p>
    <w:p>
      <w:pPr>
        <w:pStyle w:val="Heading1"/>
        <w:rPr>
          <w:rFonts w:ascii="Times New Roman" w:hAnsi="Times New Roman" w:cs="Times New Roman"/>
          <w:noProof/>
        </w:rPr>
      </w:pPr>
      <w:r>
        <w:rPr>
          <w:rFonts w:ascii="Times New Roman" w:hAnsi="Times New Roman"/>
          <w:noProof/>
        </w:rPr>
        <w:t>Concluzie</w:t>
      </w:r>
    </w:p>
    <w:p>
      <w:pPr>
        <w:rPr>
          <w:noProof/>
        </w:rPr>
      </w:pPr>
    </w:p>
    <w:p>
      <w:pPr>
        <w:jc w:val="both"/>
        <w:rPr>
          <w:rFonts w:ascii="Times New Roman" w:hAnsi="Times New Roman" w:cs="Times New Roman"/>
          <w:noProof/>
          <w:sz w:val="24"/>
          <w:szCs w:val="24"/>
        </w:rPr>
      </w:pPr>
      <w:r>
        <w:rPr>
          <w:rFonts w:ascii="Times New Roman" w:hAnsi="Times New Roman"/>
          <w:noProof/>
          <w:sz w:val="24"/>
          <w:szCs w:val="24"/>
        </w:rPr>
        <w:t>Caracterul obligatoriu al cartei a permis ordinii juridice a Uniunii să devină un reper al protecției drepturilor fundamentale. Aceasta s-a dovedit a fi întruparea a ceea ce înseamnă drepturile și valorile Uniunii - un simbol al identității europene. Ea a condus la o interpretare mai coerentă și mai cuprinzătoare a drepturilor fundamentale în întreaga Uniune.</w:t>
      </w:r>
    </w:p>
    <w:p>
      <w:pPr>
        <w:jc w:val="both"/>
        <w:rPr>
          <w:rFonts w:ascii="Times New Roman" w:hAnsi="Times New Roman" w:cs="Times New Roman"/>
          <w:noProof/>
          <w:sz w:val="24"/>
          <w:szCs w:val="24"/>
        </w:rPr>
      </w:pPr>
      <w:r>
        <w:rPr>
          <w:rFonts w:ascii="Times New Roman" w:hAnsi="Times New Roman"/>
          <w:noProof/>
          <w:sz w:val="24"/>
          <w:szCs w:val="24"/>
        </w:rPr>
        <w:t>Instituțiile UE, statele membre și diverșii actori implicați în procesul de aplicare a cartei au obligația de a se asigura că carta devine un instrument viu, care protejează drepturile fundamentale în Europa în beneficiul tuturor.</w:t>
      </w:r>
    </w:p>
    <w:p>
      <w:pPr>
        <w:jc w:val="both"/>
        <w:rPr>
          <w:rFonts w:ascii="Times New Roman" w:hAnsi="Times New Roman" w:cs="Times New Roman"/>
          <w:noProof/>
          <w:sz w:val="24"/>
          <w:szCs w:val="24"/>
        </w:rPr>
      </w:pPr>
      <w:r>
        <w:rPr>
          <w:rFonts w:ascii="Times New Roman" w:hAnsi="Times New Roman"/>
          <w:iCs/>
          <w:noProof/>
          <w:sz w:val="24"/>
          <w:szCs w:val="24"/>
        </w:rPr>
        <w:t>Comisia va prezenta un raport anual privind aplicarea cartei,</w:t>
      </w:r>
      <w:r>
        <w:rPr>
          <w:rFonts w:ascii="Times New Roman" w:hAnsi="Times New Roman"/>
          <w:noProof/>
          <w:sz w:val="24"/>
          <w:szCs w:val="24"/>
        </w:rPr>
        <w:t xml:space="preserve"> care ar trebui să constituie temeiul unei discuții interinstituționale</w:t>
      </w:r>
      <w:r>
        <w:rPr>
          <w:rFonts w:ascii="Times New Roman" w:hAnsi="Times New Roman"/>
          <w:iCs/>
          <w:noProof/>
          <w:sz w:val="24"/>
          <w:szCs w:val="24"/>
        </w:rPr>
        <w:t>. În 2025,</w:t>
      </w:r>
      <w:r>
        <w:rPr>
          <w:rFonts w:ascii="Times New Roman" w:hAnsi="Times New Roman"/>
          <w:i/>
          <w:iCs/>
          <w:noProof/>
          <w:sz w:val="24"/>
          <w:szCs w:val="24"/>
        </w:rPr>
        <w:t xml:space="preserve"> </w:t>
      </w:r>
      <w:r>
        <w:rPr>
          <w:rFonts w:ascii="Times New Roman" w:hAnsi="Times New Roman"/>
          <w:noProof/>
          <w:sz w:val="24"/>
          <w:szCs w:val="24"/>
        </w:rPr>
        <w:t>Comisia va raporta de asemenea cu privire la punerea în aplicare a prezentei strategii. În 2030, Comisia va iniția un exercițiu de evaluare în cooperare cu principalii actori implicați în asigurarea respectării cartei pentru a evalua progresul în ceea ce privește sensibilizarea cu privire la cartă și utilizarea acesteia.</w:t>
      </w:r>
    </w:p>
    <w:p>
      <w:pPr>
        <w:jc w:val="both"/>
        <w:rPr>
          <w:rFonts w:ascii="Times New Roman" w:hAnsi="Times New Roman" w:cs="Times New Roman"/>
          <w:noProof/>
          <w:sz w:val="24"/>
          <w:szCs w:val="24"/>
        </w:rPr>
      </w:pPr>
      <w:r>
        <w:rPr>
          <w:rFonts w:ascii="Times New Roman" w:hAnsi="Times New Roman"/>
          <w:noProof/>
          <w:sz w:val="24"/>
          <w:szCs w:val="24"/>
        </w:rPr>
        <w:t>Având în vedere rolul esențial al statelor membre în punerea în aplicare a prezentei strategii, Comisia invită Consiliul să pregătească concluzii de monitorizare.</w:t>
      </w:r>
    </w:p>
    <w:p>
      <w:pPr>
        <w:rPr>
          <w:rFonts w:ascii="Times New Roman" w:hAnsi="Times New Roman" w:cs="Times New Roman"/>
          <w:noProof/>
          <w:sz w:val="24"/>
          <w:szCs w:val="24"/>
        </w:rPr>
      </w:pPr>
    </w:p>
    <w:p>
      <w:pPr>
        <w:rPr>
          <w:rFonts w:ascii="Times New Roman" w:hAnsi="Times New Roman" w:cs="Times New Roman"/>
          <w:noProof/>
          <w:sz w:val="24"/>
          <w:szCs w:val="24"/>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RO</w:t>
    </w:r>
    <w:r>
      <w:rPr>
        <w:rFonts w:ascii="Arial" w:hAnsi="Arial" w:cs="Arial"/>
        <w:b/>
        <w:sz w:val="48"/>
      </w:rPr>
      <w:tab/>
    </w:r>
    <w:r>
      <w:rPr>
        <w:rFonts w:ascii="Arial" w:hAnsi="Arial" w:cs="Arial"/>
        <w:b/>
        <w:sz w:val="48"/>
      </w:rPr>
      <w:tab/>
    </w:r>
    <w:r>
      <w:tab/>
    </w:r>
    <w:r>
      <w:rPr>
        <w:rFonts w:ascii="Arial" w:hAnsi="Arial" w:cs="Arial"/>
        <w:b/>
        <w:sz w:val="48"/>
      </w:rPr>
      <w:t>RO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03161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Articolul 6 alineatul (1) din Tratatul privind Uniunea Europeană. În plus, la articolul 6 alineatul (3) se reamintește că drepturile fundamentale, astfel cum sunt garantate prin Convenția europeană a drepturilor omului și astfel cum rezultă din tradițiile constituționale comune statelor membre, constituie principii generale ale dreptului Uniunii.</w:t>
      </w: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JO C 326, 26.10.2012, p. 391. Carta este un instrument al dreptului primar al UE care consacră drepturile fundamentale de care se bucură cetățenii din UE. Aceasta este un instrument modern și cuprinzător de protecție și de promovare a drepturilor și libertăților cetățenilor în contextul schimbărilor din societate, al progresului social și științific și al dezvoltărilor tehnologice.</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Articolul 2 din Tratatul privind Uniunea Europeană: </w:t>
      </w:r>
      <w:r>
        <w:rPr>
          <w:rFonts w:ascii="Times New Roman" w:hAnsi="Times New Roman"/>
          <w:i/>
        </w:rPr>
        <w:t>Uniunea se întemeiază pe valorile respectării demnității umane, libertății, democrației, egalității, statului de drept, precum și pe respectarea drepturilor omului, inclusiv a drepturilor persoanelor care aparțin minorităților. Aceste valori sunt comune statelor membre într-o societate caracterizată de pluralism, nediscriminare, toleranță, justiție, solidaritate și egalitate între femei și bărbați.</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COM(2010)573.</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A se vedea Raportul anual al Comisiei privind aplicarea cartei: </w:t>
      </w:r>
      <w:hyperlink r:id="rId1" w:history="1">
        <w:r>
          <w:rPr>
            <w:rStyle w:val="Hyperlink"/>
            <w:rFonts w:ascii="Times New Roman" w:hAnsi="Times New Roman"/>
          </w:rPr>
          <w:t>https://ec.europa.eu/info/aid-development-cooperation-fundamental-rights/your-rights-eu/eu-charter-fundamental-rights/application-charter/annual-reports-application-charter_ro</w:t>
        </w:r>
      </w:hyperlink>
      <w:r>
        <w:t>.</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Carta este în prezent invocată în aproximativ 10 % din totalul procedurilor preliminare. Cauzele în care Curtea face trimitere la cartă au crescut de la 27 în 2010 la 371 în 2019. A se vedea Raportul privind drepturile fundamentale 2020 al Agenției pentru Drepturi Fundamentale a UE („Raportul FRA privind drepturile fundamentale 2020”), secțiunea „În prim plan”, p. 4:</w:t>
      </w:r>
      <w:r>
        <w:rPr>
          <w:rFonts w:ascii="Times New Roman" w:hAnsi="Times New Roman"/>
          <w:sz w:val="22"/>
          <w:szCs w:val="22"/>
        </w:rPr>
        <w:t xml:space="preserve"> </w:t>
      </w:r>
      <w:hyperlink r:id="rId2" w:history="1">
        <w:r>
          <w:rPr>
            <w:rStyle w:val="Hyperlink"/>
            <w:rFonts w:ascii="Times New Roman" w:hAnsi="Times New Roman"/>
          </w:rPr>
          <w:t>https://fra.europa.eu/sites/default/files/fra_uploads/fra-2020-fundamental-rights-report-2020-opinions_ro.pdf</w:t>
        </w:r>
      </w:hyperlink>
      <w:r>
        <w:t>.</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Koen Lenaerts, președintele Curții, discursul din cadrul conferinței „Carta drepturilor fundamentale devine o realitate pentru toți” („evenimentul privind carta”): </w:t>
      </w:r>
      <w:hyperlink r:id="rId3" w:history="1">
        <w:r>
          <w:rPr>
            <w:rStyle w:val="Hyperlink"/>
            <w:rFonts w:ascii="Times New Roman" w:hAnsi="Times New Roman"/>
          </w:rPr>
          <w:t>https://ec.europa.eu/info/events/2019-conference-eu-charter-fundamental-rights-2019-nov-12_en</w:t>
        </w:r>
      </w:hyperlink>
      <w:r>
        <w:t>.</w:t>
      </w:r>
    </w:p>
  </w:footnote>
  <w:footnote w:id="8">
    <w:p>
      <w:pPr>
        <w:pStyle w:val="FootnoteText"/>
      </w:pPr>
      <w:r>
        <w:rPr>
          <w:rStyle w:val="FootnoteReference"/>
        </w:rPr>
        <w:footnoteRef/>
      </w:r>
      <w:r>
        <w:t xml:space="preserve"> </w:t>
      </w:r>
      <w:r>
        <w:tab/>
      </w:r>
      <w:hyperlink r:id="rId4" w:history="1">
        <w:r>
          <w:rPr>
            <w:rStyle w:val="Hyperlink"/>
            <w:rFonts w:ascii="Times New Roman" w:hAnsi="Times New Roman"/>
          </w:rPr>
          <w:t>https://fra.europa.eu/ro/about-fra</w:t>
        </w:r>
      </w:hyperlink>
      <w:r>
        <w:t>.</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Secțiunea „În prim plan” din Raportul din 2019 al Comisiei privind aplicarea cartei, COM(2019)257.</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Precum libertatea de circulație, libertatea de întrunire și libertatea religioasă, libertatea de a desfășura o activitate comercială, dreptul la protecția datelor sau libertatea de exprimare. Aceste provocări în contextul COVID-19 au afectat de asemenea desfășurarea alegerilor libere și corecte și a dezbaterii democratice deschise. Comisia lucrează împreună cu statele membre pentru a face schimb de experiență și practici în acest domeniu.</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Aceasta include politicile climatice, protecția mediului (prevăzută la articolul 37 din Cartă) și obiectivele tranziției juste, astfel cum se reflectă în comunicarea intitulată „Pactul ecologic european”, COM (2019) 640.</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Raportul Centrului Comun de Cercetare (JRC) privind influența mass-mediei digitale asupra comportamentului cetățenilor: </w:t>
      </w:r>
      <w:hyperlink r:id="rId5" w:history="1">
        <w:r>
          <w:rPr>
            <w:rStyle w:val="Hyperlink"/>
            <w:rFonts w:ascii="Times New Roman" w:hAnsi="Times New Roman"/>
          </w:rPr>
          <w:t>https://ec.europa.eu/jrc/en/publication/eur-scientific-and-technical-research-reports/technology-and-democracy</w:t>
        </w:r>
      </w:hyperlink>
      <w:r>
        <w:t>.</w:t>
      </w:r>
    </w:p>
  </w:footnote>
  <w:footnote w:id="13">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Cum ar fi persoanele în vârstă (a se vedea Concluziile Consiliului din 9 octombrie 2020: </w:t>
      </w:r>
      <w:hyperlink r:id="rId6" w:history="1">
        <w:r>
          <w:rPr>
            <w:rStyle w:val="Hyperlink"/>
            <w:rFonts w:ascii="Times New Roman" w:hAnsi="Times New Roman"/>
          </w:rPr>
          <w:t>https://data.consilium.europa.eu/doc/document/ST-11717-2020-REV-2/ro/pdf</w:t>
        </w:r>
      </w:hyperlink>
      <w:r>
        <w:rPr>
          <w:rFonts w:ascii="Times New Roman" w:hAnsi="Times New Roman"/>
        </w:rPr>
        <w:t>) și persoanele cu handicap.</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A se vedea Raportul legislativ al raportorului Šimečka privind crearea unui mecanism al UE pentru protejarea democrației, a statului de drept și a drepturilor fundamentale, 2020/2072(INL). A se vedea, de asemenea, Rezoluția Parlamentului European din 26 noiembrie 2020 privind situația drepturilor fundamentale în Uniunea Europeană - Raport anual pentru anii 2018 - 2019 [2019/2199(INI)].</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Concluziile Consiliului privind Carta drepturilor fundamentale după 10 ani: situația actuală și lucrări viitoare, 7 decembrie 2019 („concluziile Consiliului privind carta”). Acestea au urmat Raportului din 2019 al Comisiei privind aplicarea cartei, op. cit.</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A fost organizată o consultare prin intermediul grupului de lucru al Consiliului pentru drepturi fundamentale, drepturile cetățenilor și libera circulație a persoanelor (FREMP) în perioada aprilie - mai 2020.</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Trimiterea la autoritățile locale trebuie înțeleasă în sensul că include de asemenea autoritățile regionale.</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În cadrul acestei strategii, apărătorii drepturilor omului înseamnă autorități independente pentru protecția drepturilor, precum instituțiile naționale pentru apărarea drepturilor omului (INDO), organisme de promovare a egalității, instituții ale Avocatului poporului, autorități pentru protecția datelor etc. Din moment ce strategia nu se axează pe drepturi specifice, ci urmărește să promoveze aplicarea cartei ca întreg, accentul va fi pus în principal pe autoritățile cu un mandat cuprinzător în domeniul drepturilor fundamentale, precum INDO.</w:t>
      </w:r>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Eurobarometrul special 487b.</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Comisia a consultat părțile interesate prin intermediul unui eveniment dedicat privind carta </w:t>
      </w:r>
      <w:r>
        <w:t>(</w:t>
      </w:r>
      <w:hyperlink r:id="rId7" w:history="1">
        <w:r>
          <w:rPr>
            <w:rStyle w:val="Hyperlink"/>
            <w:rFonts w:ascii="Times New Roman" w:hAnsi="Times New Roman"/>
          </w:rPr>
          <w:t>https://ec.europa.eu/info/events/2019-conference-eu-charter-fundamental-rights-2019-nov-12_en</w:t>
        </w:r>
      </w:hyperlink>
      <w:r>
        <w:t>)</w:t>
      </w:r>
      <w:r>
        <w:rPr>
          <w:rFonts w:ascii="Times New Roman" w:hAnsi="Times New Roman"/>
        </w:rPr>
        <w:t xml:space="preserve"> și al unor chestionare specifice, ale căror rezultate au fost analizate de FRA („analiza consultărilor părților interesate”): </w:t>
      </w:r>
      <w:hyperlink r:id="rId8" w:history="1">
        <w:r>
          <w:rPr>
            <w:rStyle w:val="Hyperlink"/>
            <w:rFonts w:ascii="Times New Roman" w:hAnsi="Times New Roman"/>
          </w:rPr>
          <w:t>https://ec.europa.eu/info/files/analysis-targeted-consultations-commissions-new-charter-strategy_en</w:t>
        </w:r>
      </w:hyperlink>
      <w:r>
        <w:t>.</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COM(2020)790.</w:t>
      </w:r>
    </w:p>
  </w:footnote>
  <w:footnote w:id="22">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COM(2020)580.</w:t>
      </w:r>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Strategia UE privind drepturile victimelor, COM(2020)258,</w:t>
      </w:r>
      <w:r>
        <w:t>.</w:t>
      </w:r>
      <w:r>
        <w:rPr>
          <w:rFonts w:ascii="Times New Roman" w:hAnsi="Times New Roman"/>
        </w:rPr>
        <w:t xml:space="preserve"> Propunerea Comisiei de modificare a Regulamentului Aarhus, COM(2020)642</w:t>
      </w:r>
      <w:r>
        <w:rPr>
          <w:rFonts w:ascii="Times New Roman" w:hAnsi="Times New Roman"/>
          <w:sz w:val="24"/>
          <w:szCs w:val="24"/>
        </w:rPr>
        <w:t xml:space="preserve"> </w:t>
      </w:r>
      <w:r>
        <w:rPr>
          <w:rFonts w:ascii="Times New Roman" w:hAnsi="Times New Roman"/>
        </w:rPr>
        <w:t>și Comunicarea privind accesul la justiție în probleme de mediu, COM(2020)643.</w:t>
      </w:r>
    </w:p>
  </w:footnote>
  <w:footnote w:id="2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Strategia privind egalitatea de gen, COM(2020)152,</w:t>
      </w:r>
      <w:r>
        <w:rPr>
          <w:rFonts w:ascii="Times New Roman" w:hAnsi="Times New Roman"/>
          <w:sz w:val="24"/>
          <w:szCs w:val="24"/>
        </w:rPr>
        <w:t xml:space="preserve"> </w:t>
      </w:r>
      <w:r>
        <w:rPr>
          <w:rFonts w:ascii="Times New Roman" w:hAnsi="Times New Roman"/>
        </w:rPr>
        <w:t>Comunicarea privind un nou SEC pentru cercetare și inovare, COM(2020)628, Cadrul strategic al UE pentru egalitatea, incluziunea și participarea romilor, COM(2020)620 și Propunerea de recomandare a Consiliului privind egalitatea, incluziunea și participarea romilor, COM(2020)621, Strategia privind egalitatea pentru persoanele LGBTIQ, COM(2020)698</w:t>
      </w:r>
      <w:r>
        <w:rPr>
          <w:rFonts w:ascii="Times New Roman" w:hAnsi="Times New Roman"/>
          <w:sz w:val="24"/>
          <w:szCs w:val="24"/>
        </w:rPr>
        <w:t xml:space="preserve"> </w:t>
      </w:r>
      <w:r>
        <w:rPr>
          <w:rFonts w:ascii="Times New Roman" w:hAnsi="Times New Roman"/>
        </w:rPr>
        <w:t>și viitoarea strategie privind drepturile persoanelor cu handicap, planificată pentru 2021.</w:t>
      </w:r>
    </w:p>
  </w:footnote>
  <w:footnote w:id="2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Planul de acțiune al UE de combatere a rasismului pentru perioada 2020-2025, COM(2020)565</w:t>
      </w:r>
      <w:r>
        <w:t>.</w:t>
      </w:r>
      <w:r>
        <w:rPr>
          <w:rFonts w:ascii="Times New Roman" w:hAnsi="Times New Roman"/>
        </w:rPr>
        <w:t xml:space="preserve"> și viitoarea strategie privind combaterea antisemitismului, planificată pentru 2021.</w:t>
      </w:r>
    </w:p>
  </w:footnote>
  <w:footnote w:id="2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Pilonul european al drepturilor sociale: </w:t>
      </w:r>
      <w:hyperlink r:id="rId9" w:history="1">
        <w:r>
          <w:rPr>
            <w:rStyle w:val="Hyperlink"/>
            <w:rFonts w:ascii="Times New Roman" w:hAnsi="Times New Roman"/>
          </w:rPr>
          <w:t>https://ec.europa.eu/commission/sites/beta-political/files/social-summit-european-pillar-social-rights-booklet_ro.pdf</w:t>
        </w:r>
      </w:hyperlink>
      <w:r>
        <w:rPr>
          <w:rStyle w:val="Hyperlink"/>
          <w:rFonts w:ascii="Times New Roman" w:hAnsi="Times New Roman"/>
        </w:rPr>
        <w:t xml:space="preserve">. </w:t>
      </w:r>
      <w:r>
        <w:rPr>
          <w:rStyle w:val="Hyperlink"/>
          <w:rFonts w:ascii="Times New Roman" w:hAnsi="Times New Roman"/>
          <w:color w:val="auto"/>
          <w:u w:val="none"/>
        </w:rPr>
        <w:t xml:space="preserve">Un plan de acțiune privind acest pilon va fi prezentat în 2021, precum și </w:t>
      </w:r>
      <w:r>
        <w:rPr>
          <w:rFonts w:ascii="Times New Roman" w:hAnsi="Times New Roman"/>
        </w:rPr>
        <w:t>Comunicarea Comisiei privind realizarea Spațiului european al educației până în 2025 și Planul de acțiune privind educația digitală, COM(2020)624.</w:t>
      </w:r>
    </w:p>
  </w:footnote>
  <w:footnote w:id="2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Cadrul privind protecția și facilitarea investițiilor în UE, planificat pentru 2021.</w:t>
      </w:r>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Raportul Comisiei privind cetățenia UE pentru 2020 „</w:t>
      </w:r>
      <w:r>
        <w:rPr>
          <w:rFonts w:ascii="Times New Roman" w:hAnsi="Times New Roman"/>
          <w:i/>
          <w:iCs/>
        </w:rPr>
        <w:t>Empowering citizens and protecting their rights in challenging times</w:t>
      </w:r>
      <w:r>
        <w:rPr>
          <w:rFonts w:ascii="Times New Roman" w:hAnsi="Times New Roman"/>
        </w:rPr>
        <w:t>”, care urmează a fi adoptat înainte de sfârșitul anului.</w:t>
      </w:r>
    </w:p>
  </w:footnote>
  <w:footnote w:id="29">
    <w:p>
      <w:pPr>
        <w:pStyle w:val="FootnoteText"/>
        <w:jc w:val="both"/>
        <w:rPr>
          <w:rFonts w:ascii="Times New Roman" w:hAnsi="Times New Roman" w:cs="Times New Roman"/>
          <w:spacing w:val="-3"/>
        </w:rPr>
      </w:pPr>
      <w:r>
        <w:rPr>
          <w:rStyle w:val="FootnoteReference"/>
          <w:rFonts w:ascii="Times New Roman" w:hAnsi="Times New Roman" w:cs="Times New Roman"/>
          <w:spacing w:val="-3"/>
        </w:rPr>
        <w:footnoteRef/>
      </w:r>
      <w:r>
        <w:rPr>
          <w:rFonts w:ascii="Times New Roman" w:hAnsi="Times New Roman"/>
          <w:spacing w:val="-3"/>
        </w:rPr>
        <w:tab/>
        <w:t>Strategia privind drepturile copilului</w:t>
      </w:r>
      <w:r>
        <w:rPr>
          <w:rFonts w:ascii="Times New Roman" w:hAnsi="Times New Roman"/>
          <w:spacing w:val="-3"/>
          <w:sz w:val="24"/>
          <w:szCs w:val="24"/>
        </w:rPr>
        <w:t xml:space="preserve"> </w:t>
      </w:r>
      <w:r>
        <w:rPr>
          <w:rFonts w:ascii="Times New Roman" w:hAnsi="Times New Roman"/>
          <w:spacing w:val="-3"/>
        </w:rPr>
        <w:t>și Garanția europeană pentru copii, ambele planificate pentru 2021.</w:t>
      </w:r>
    </w:p>
  </w:footnote>
  <w:footnote w:id="30">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Cum ar fi Carta socială europeană și Convenția Națiunilor Unite privind drepturile persoanelor cu handicap (UNCRPD).</w:t>
      </w:r>
    </w:p>
  </w:footnote>
  <w:footnote w:id="3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Articolul 21 din Tratatul privind Uniunea Europeană:</w:t>
      </w:r>
    </w:p>
  </w:footnote>
  <w:footnote w:id="32">
    <w:p>
      <w:pPr>
        <w:pStyle w:val="FootnoteText"/>
        <w:jc w:val="both"/>
        <w:rPr>
          <w:rFonts w:ascii="Times New Roman" w:hAnsi="Times New Roman" w:cs="Times New Roman"/>
        </w:rPr>
      </w:pPr>
      <w:hyperlink r:id="rId10" w:history="1">
        <w:r>
          <w:rPr>
            <w:rStyle w:val="Hyperlink"/>
            <w:rFonts w:ascii="Times New Roman" w:hAnsi="Times New Roman"/>
          </w:rPr>
          <w:t>https://data.consilium.europa.eu/doc/document/ST-12848-2020-INIT/ro/pdf</w:t>
        </w:r>
      </w:hyperlink>
      <w:r>
        <w:t>.</w:t>
      </w:r>
    </w:p>
  </w:footnote>
  <w:footnote w:id="33">
    <w:p>
      <w:pPr>
        <w:pStyle w:val="FootnoteText"/>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JOIN(2020)17.</w:t>
      </w:r>
    </w:p>
  </w:footnote>
  <w:footnote w:id="3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Agenda 2030 a ONU pentru dezvoltare durabilă și obiectivele sale de dezvoltare durabilă (ODD): </w:t>
      </w:r>
      <w:hyperlink r:id="rId11" w:history="1">
        <w:r>
          <w:rPr>
            <w:rStyle w:val="Hyperlink"/>
            <w:rFonts w:ascii="Times New Roman" w:hAnsi="Times New Roman"/>
          </w:rPr>
          <w:t>https://www.un.org/sustainabledevelopment/</w:t>
        </w:r>
      </w:hyperlink>
      <w:r>
        <w:rPr>
          <w:rFonts w:ascii="Times New Roman" w:hAnsi="Times New Roman"/>
        </w:rPr>
        <w:t xml:space="preserve">. A se vedea, de asemenea, documentul de reflecție al Comisiei Europene privind o Europă durabilă: </w:t>
      </w:r>
      <w:hyperlink r:id="rId12" w:history="1">
        <w:r>
          <w:rPr>
            <w:rStyle w:val="Hyperlink"/>
            <w:rFonts w:ascii="Times New Roman" w:hAnsi="Times New Roman"/>
          </w:rPr>
          <w:t>https://ec.europa.eu/commission/sites/beta-political/files/rp_sustainable_europe_30-01_en_web.pdf</w:t>
        </w:r>
      </w:hyperlink>
    </w:p>
  </w:footnote>
  <w:footnote w:id="3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Articolul 51 alineatul (1).</w:t>
      </w:r>
      <w:r>
        <w:rPr>
          <w:rFonts w:ascii="Times New Roman" w:hAnsi="Times New Roman"/>
          <w:sz w:val="22"/>
          <w:szCs w:val="22"/>
        </w:rPr>
        <w:t xml:space="preserve"> </w:t>
      </w:r>
      <w:r>
        <w:rPr>
          <w:rFonts w:ascii="Times New Roman" w:hAnsi="Times New Roman"/>
        </w:rPr>
        <w:t xml:space="preserve">Hotărârea din 26 februarie 2013, </w:t>
      </w:r>
      <w:r>
        <w:rPr>
          <w:rFonts w:ascii="Times New Roman" w:hAnsi="Times New Roman"/>
          <w:i/>
        </w:rPr>
        <w:t>Åkerberg Fransson</w:t>
      </w:r>
      <w:r>
        <w:rPr>
          <w:rFonts w:ascii="Times New Roman" w:hAnsi="Times New Roman"/>
        </w:rPr>
        <w:t>, C-617/10, EU:C:2013:105.</w:t>
      </w:r>
    </w:p>
  </w:footnote>
  <w:footnote w:id="3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Articolul 5 alineatul (2) și articolul 6 alineatul (1) din Tratatul privind Uniunea Europeană, precum și articolul 51 alineatul (2) din cartă.</w:t>
      </w:r>
    </w:p>
  </w:footnote>
  <w:footnote w:id="3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Koen Lenaerts, discursul din cadrul evenimentului privind carta, op. cit.</w:t>
      </w:r>
    </w:p>
  </w:footnote>
  <w:footnote w:id="38">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Articolul 47 din cartă.</w:t>
      </w:r>
    </w:p>
  </w:footnote>
  <w:footnote w:id="3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A se vedea, de exemplu, hotărârea din 16 mai 2017, Berlioz, C-682/15, EU:C:2017:373, hotărârea din 13 decembrie 2017, El Hassani, C-403/16, EU:C:2017:960, hotărârea din 19 noiembrie 2019, A.K, C-585/18, C­624/18 și C-625/18, EU:C:2019:982 și hotărârea din 17 aprilie 2018, Egenberger, C-414/16, EU:C:2018:257.</w:t>
      </w:r>
    </w:p>
  </w:footnote>
  <w:footnote w:id="40">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Articolul 17 din cartă.</w:t>
      </w:r>
    </w:p>
  </w:footnote>
  <w:footnote w:id="4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Hotărârea din 21 mai 2019, Comisia/Ungaria, C-235/17, EU:C:2019:432.</w:t>
      </w:r>
    </w:p>
  </w:footnote>
  <w:footnote w:id="4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Comisia sprijină o rețea de centre naționale de sprijin (centre SOLVIT), care ajută statele membre să abordeze problemele privind conformitatea cu dreptul Uniunii. A se vedea Recomandarea Comisiei privind principiile care guvernează SOLVIT, C(2013)5869.</w:t>
      </w:r>
    </w:p>
  </w:footnote>
  <w:footnote w:id="4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Precum în contextul Grupului la nivel înalt pentru combaterea rasismului, a xenofobiei și a altor forme de intoleranță, al Grupului la nivel înalt pentru nediscriminare, al grupului de experți pentru drepturile copilului și al rețelei naționale de puncte de contact pentru romi. A se vedea, de asemenea, inițiativele privind activitățile polițienești echitabile din cadrul Planului de acțiune al UE de combatere a rasismului pentru perioada 2020­2025, secțiunea 2.2, op. cit.</w:t>
      </w:r>
    </w:p>
  </w:footnote>
  <w:footnote w:id="4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Analiza consultărilor părților interesate, op. cit.</w:t>
      </w:r>
    </w:p>
  </w:footnote>
  <w:footnote w:id="4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Solicitarea Consiliului din cadrul concluziilor sale privind carta, op. cit., punctele 14 și 15. Comisia își va actualiza orientările și le va publica (a se vedea punctul 3.1). A se vedea de asemenea Manualul FRA privind aplicarea cartei în domeniul legiferării și al elaborării de politici la nivel național: </w:t>
      </w:r>
      <w:hyperlink r:id="rId13" w:history="1">
        <w:r>
          <w:rPr>
            <w:rStyle w:val="Hyperlink"/>
            <w:rFonts w:ascii="Times New Roman" w:hAnsi="Times New Roman"/>
          </w:rPr>
          <w:t>https://fra.europa.eu/sites/default/files/fra_uploads/fra-2018-charter-guidance_ro.pdf</w:t>
        </w:r>
      </w:hyperlink>
      <w:r>
        <w:t>.</w:t>
      </w:r>
    </w:p>
  </w:footnote>
  <w:footnote w:id="4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Dreptul Uniunii este de asemenea pus în aplicare la nivel local, inclusiv alocarea fondurilor UE. Pentru a aborda mai eficient provocările cu care se confruntă, unele orașe s-au declarat „orașe ale drepturilor omului”</w:t>
      </w:r>
      <w:r>
        <w:rPr>
          <w:rFonts w:ascii="Times New Roman" w:hAnsi="Times New Roman"/>
          <w:vertAlign w:val="superscript"/>
        </w:rPr>
        <w:t xml:space="preserve"> </w:t>
      </w:r>
      <w:r>
        <w:rPr>
          <w:rFonts w:ascii="Times New Roman" w:hAnsi="Times New Roman"/>
        </w:rPr>
        <w:t xml:space="preserve">și s-au bazat pe principiile drepturilor omului în elaborarea de politici la nivel local: </w:t>
      </w:r>
      <w:hyperlink r:id="rId14" w:history="1">
        <w:r>
          <w:rPr>
            <w:rStyle w:val="Hyperlink"/>
            <w:rFonts w:ascii="Times New Roman" w:hAnsi="Times New Roman"/>
          </w:rPr>
          <w:t>https://humanrightscities.net/</w:t>
        </w:r>
      </w:hyperlink>
      <w:r>
        <w:rPr>
          <w:rFonts w:ascii="Times New Roman" w:hAnsi="Times New Roman"/>
        </w:rPr>
        <w:t>. FRA cooperează cu orașele, cu rețelele lor și cu parteneri precum Consiliul Europei și Oficiul Înaltului Comisar al Națiunilor Unite pentru Drepturile Omului pentru a elabora un cadru de angajamente pentru orașele drepturilor omului din UE. Cadrul urmează să fie finalizat în 2021.</w:t>
      </w:r>
    </w:p>
  </w:footnote>
  <w:footnote w:id="4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Solicitarea Consiliului din cadrul concluziilor sale privind carta, op. cit., punctul 18.</w:t>
      </w:r>
    </w:p>
  </w:footnote>
  <w:footnote w:id="4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Concluziile Consiliului cu privire la cartă, op. cit., punctul 12.</w:t>
      </w:r>
    </w:p>
  </w:footnote>
  <w:footnote w:id="4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Raportul FRA privind drepturile fundamentale pentru anul 2020, secțiunea „În prim plan - carta”, opinia 1.1.</w:t>
      </w:r>
    </w:p>
  </w:footnote>
  <w:footnote w:id="5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În conformitate cu Comunicarea „Legislația UE: o mai bună aplicare pentru obținerea unor rezultate mai bune”, JO C 18, 19.1.2017, p. 10.</w:t>
      </w:r>
    </w:p>
  </w:footnote>
  <w:footnote w:id="5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Agenția colectează în mod regulat informații și date privind situația drepturilor fundamentale la fața locului și publică anual un raport care rezumă constatările factuale esențiale. Agenția a lansat recent un sistemul european de informare cu privire la drepturile fundamentale (EFRIS), care reunește date și informații din bazele de date existente privind drepturile omului: </w:t>
      </w:r>
      <w:hyperlink r:id="rId15" w:history="1">
        <w:r>
          <w:rPr>
            <w:rStyle w:val="Hyperlink"/>
            <w:rFonts w:ascii="Times New Roman" w:hAnsi="Times New Roman"/>
          </w:rPr>
          <w:t>https://fra.europa.eu/en/databases/efris/</w:t>
        </w:r>
      </w:hyperlink>
      <w:r>
        <w:t>.</w:t>
      </w:r>
      <w:r>
        <w:rPr>
          <w:rFonts w:ascii="Times New Roman" w:hAnsi="Times New Roman"/>
        </w:rPr>
        <w:t xml:space="preserve"> </w:t>
      </w:r>
    </w:p>
  </w:footnote>
  <w:footnote w:id="5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Precum Grupul la nivel înalt pentru combaterea rasismului, a xenofobiei și a altor forme de intoleranță, Grupul la nivel înalt pentru nediscriminare, grupul de experți pentru drepturile copilului și rețeaua națională de puncte de contact pentru persoanele rome.</w:t>
      </w:r>
    </w:p>
  </w:footnote>
  <w:footnote w:id="53">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COM(2018)375.</w:t>
      </w:r>
      <w:r>
        <w:rPr>
          <w:rFonts w:ascii="Times New Roman" w:hAnsi="Times New Roman"/>
        </w:rPr>
        <w:tab/>
        <w:t xml:space="preserve"> </w:t>
      </w:r>
      <w:hyperlink r:id="rId16" w:history="1">
        <w:r>
          <w:rPr>
            <w:rStyle w:val="Hyperlink"/>
            <w:rFonts w:ascii="Times New Roman" w:hAnsi="Times New Roman"/>
          </w:rPr>
          <w:t>https://eur-lex.europa.eu/legal-content/RO/TXT/?uri=COM%3A2018%3A375%3AFIN</w:t>
        </w:r>
      </w:hyperlink>
      <w:r>
        <w:t>.</w:t>
      </w:r>
      <w:r>
        <w:rPr>
          <w:rFonts w:ascii="Times New Roman" w:hAnsi="Times New Roman"/>
        </w:rPr>
        <w:t xml:space="preserve"> </w:t>
      </w:r>
    </w:p>
  </w:footnote>
  <w:footnote w:id="5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Condiția favorizantă orizontală „O aplicare și implementare eficace a Cartei drepturilor fundamentale a UE” prevăzută în anexa III la RDC.</w:t>
      </w:r>
    </w:p>
  </w:footnote>
  <w:footnote w:id="5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Fondul european de dezvoltare regională, Fondul de coeziune, Fondul pentru o tranziție justă, Fondul social european Plus, Fondul european pentru pescuit și afaceri maritime, Fondul pentru azil și migrație, Fondul pentru securitate internă și instrumentul pentru gestionarea frontierelor și vize.</w:t>
      </w:r>
      <w:r>
        <w:rPr>
          <w:rFonts w:ascii="Times New Roman" w:hAnsi="Times New Roman"/>
          <w:color w:val="1F497D"/>
          <w:sz w:val="22"/>
          <w:szCs w:val="22"/>
        </w:rPr>
        <w:t xml:space="preserve"> </w:t>
      </w:r>
      <w:r>
        <w:rPr>
          <w:rFonts w:ascii="Times New Roman" w:hAnsi="Times New Roman"/>
        </w:rPr>
        <w:t>Trebuie menționat de asemenea că Propunerea Comisiei privind planurile strategice care urmează a fi elaborate de statele membre în cadrul politicii agricole comune (planurile strategice PAC), COM(2018)392, reamintește că statele membre vor concepe programele sprijinite de PAC în conformitate cu carta. Statele membre se asigură că comitetul de monitorizare instituit pentru a monitoriza punerea în aplicare a planurilor strategic PAC include reprezentanți ai organismelor responsabile cu promovarea incluziunii sociale, a drepturilor fundamentale, a egalității de gen și a nediscriminării.</w:t>
      </w:r>
    </w:p>
  </w:footnote>
  <w:footnote w:id="5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COM(2018)375, articolul 11 alineatul (6).</w:t>
      </w:r>
    </w:p>
  </w:footnote>
  <w:footnote w:id="5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A se vedea anexa III la RDC.</w:t>
      </w:r>
    </w:p>
  </w:footnote>
  <w:footnote w:id="58">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bCs/>
        </w:rPr>
        <w:t>Comitetele de monitorizare, la care Comisia participă în calitate consultativă, sunt instituite în statele membre pentru a supraveghea punerea în aplicare a programelor.</w:t>
      </w:r>
    </w:p>
  </w:footnote>
  <w:footnote w:id="5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Astfel cum prevăd articolele 6 și 34 din RDC.</w:t>
      </w:r>
    </w:p>
  </w:footnote>
  <w:footnote w:id="60">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 se vedea punctul 2.1 de mai jos.</w:t>
      </w:r>
    </w:p>
  </w:footnote>
  <w:footnote w:id="61">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C/2016/4384, OJ C 269, 23.7.2016, p. 1–19: </w:t>
      </w:r>
      <w:hyperlink r:id="rId17" w:history="1">
        <w:r>
          <w:rPr>
            <w:rStyle w:val="Hyperlink"/>
            <w:rFonts w:ascii="Times New Roman" w:hAnsi="Times New Roman"/>
          </w:rPr>
          <w:t>https://eur-lex.europa.eu/legal-content/RO/TXT/?uri=CELEX%3A52016XC0723(01)</w:t>
        </w:r>
      </w:hyperlink>
      <w:r>
        <w:t>.</w:t>
      </w:r>
    </w:p>
  </w:footnote>
  <w:footnote w:id="62">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Este de competența statelor membre să decidă dacă acest rol ar trebui acordat punctului focal al cartei menționat în secțiunea 1.1.</w:t>
      </w:r>
    </w:p>
  </w:footnote>
  <w:footnote w:id="6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Raportul Comisiei privind statul de drept pentru anul 2020, op. cit. A se vedea de asemenea Raportul FRA „Provocările cu care se confruntă organizațiile societății civile care lucrează în domeniul drepturilor omului în UE”: </w:t>
      </w:r>
      <w:hyperlink r:id="rId18" w:history="1">
        <w:r>
          <w:rPr>
            <w:rStyle w:val="Hyperlink"/>
            <w:rFonts w:ascii="Times New Roman" w:hAnsi="Times New Roman"/>
          </w:rPr>
          <w:t>https://fra.europa.eu/en/publication/2018/challenges-facing-civil-society-organisations-working-human-rights-eu</w:t>
        </w:r>
      </w:hyperlink>
      <w:r>
        <w:rPr>
          <w:rFonts w:ascii="Times New Roman" w:hAnsi="Times New Roman"/>
        </w:rPr>
        <w:t>.</w:t>
      </w:r>
    </w:p>
  </w:footnote>
  <w:footnote w:id="6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Hotărârea din 18 iunie 2020, </w:t>
      </w:r>
      <w:r>
        <w:rPr>
          <w:rFonts w:ascii="Times New Roman" w:hAnsi="Times New Roman"/>
          <w:i/>
        </w:rPr>
        <w:t>Comisia/Ungaria</w:t>
      </w:r>
      <w:r>
        <w:rPr>
          <w:rFonts w:ascii="Times New Roman" w:hAnsi="Times New Roman"/>
        </w:rPr>
        <w:t>, C-78/18, EU:C:2020:476.</w:t>
      </w:r>
    </w:p>
  </w:footnote>
  <w:footnote w:id="65">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Ibid. punctul 133.</w:t>
      </w:r>
    </w:p>
  </w:footnote>
  <w:footnote w:id="6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Comisia va propune măsuri pentru îmbunătățirea siguranței jurnaliștilor și pentru protejarea lor și a societății civile împotriva SLAPP, în cadrul Planului de acțiune pentru democrația europeană. Astfel cum a fost anunțat în programul său de lucru pentru anul viitor, Comisia va propune, la finalul anului 2021, o inițiativă împotriva abuzului de procedură care îi vizează pe acești actori.</w:t>
      </w:r>
    </w:p>
  </w:footnote>
  <w:footnote w:id="67">
    <w:p>
      <w:pPr>
        <w:pStyle w:val="FootnoteText"/>
        <w:jc w:val="both"/>
        <w:rPr>
          <w:rFonts w:ascii="Times New Roman" w:hAnsi="Times New Roman" w:cs="Times New Roman"/>
        </w:rPr>
      </w:pPr>
      <w:r>
        <w:rPr>
          <w:rFonts w:ascii="Times New Roman" w:hAnsi="Times New Roman"/>
        </w:rPr>
        <w:t xml:space="preserve">Raportul FRA „Provocările cu care se confruntă organizațiile societății civile care activează în domeniul drepturilor omului”, op. cit. A se vedea, de asemenea, </w:t>
      </w:r>
      <w:r>
        <w:rPr>
          <w:rFonts w:ascii="Times New Roman" w:hAnsi="Times New Roman"/>
          <w:i/>
          <w:iCs/>
        </w:rPr>
        <w:t>Global Alliance of National Human Rights Institutions</w:t>
      </w:r>
      <w:r>
        <w:rPr>
          <w:rFonts w:ascii="Times New Roman" w:hAnsi="Times New Roman"/>
        </w:rPr>
        <w:t xml:space="preserve"> (Alianța mondială a instituțiilor naționale din domeniul drepturilor omului, GANHRI), </w:t>
      </w:r>
      <w:hyperlink r:id="rId19" w:history="1">
        <w:r>
          <w:rPr>
            <w:rStyle w:val="Hyperlink"/>
            <w:rFonts w:ascii="Times New Roman" w:hAnsi="Times New Roman"/>
          </w:rPr>
          <w:t>Observațiile generale ale SCA</w:t>
        </w:r>
      </w:hyperlink>
      <w:r>
        <w:rPr>
          <w:rFonts w:ascii="Times New Roman" w:hAnsi="Times New Roman"/>
        </w:rPr>
        <w:t>, 2018</w:t>
      </w:r>
      <w:r>
        <w:rPr>
          <w:rFonts w:ascii="Times New Roman" w:hAnsi="Times New Roman" w:cs="Times New Roman"/>
        </w:rPr>
        <w:fldChar w:fldCharType="begin"/>
      </w:r>
      <w:r>
        <w:rPr>
          <w:rFonts w:ascii="Times New Roman" w:hAnsi="Times New Roman" w:cs="Times New Roman"/>
        </w:rPr>
        <w:fldChar w:fldCharType="separate"/>
      </w:r>
      <w:r>
        <w:rPr>
          <w:rFonts w:ascii="Times New Roman" w:hAnsi="Times New Roman" w:cs="Times New Roman"/>
          <w:u w:val="single"/>
        </w:rPr>
        <w:t>SCA General Observations</w:t>
      </w:r>
      <w:r>
        <w:rPr>
          <w:rFonts w:ascii="Times New Roman" w:hAnsi="Times New Roman" w:cs="Times New Roman"/>
        </w:rPr>
        <w:fldChar w:fldCharType="end"/>
      </w:r>
      <w:r>
        <w:rPr>
          <w:rFonts w:ascii="Times New Roman" w:hAnsi="Times New Roman"/>
        </w:rPr>
        <w:t>, p. 1.</w:t>
      </w:r>
    </w:p>
  </w:footnote>
  <w:footnote w:id="6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INDO sunt organisme mandatate de stat, independente față de guvern, cu un mandat larg constituțional sau legal pentru protejarea și promovarea drepturilor omului.</w:t>
      </w:r>
    </w:p>
  </w:footnote>
  <w:footnote w:id="69">
    <w:p>
      <w:pPr>
        <w:pStyle w:val="FootnoteText"/>
        <w:jc w:val="both"/>
        <w:rPr>
          <w:rFonts w:ascii="Times New Roman" w:hAnsi="Times New Roman" w:cs="Times New Roman"/>
        </w:rPr>
      </w:pPr>
      <w:hyperlink r:id="rId20" w:history="1">
        <w:r>
          <w:rPr>
            <w:rStyle w:val="Hyperlink"/>
            <w:rFonts w:ascii="Times New Roman" w:hAnsi="Times New Roman"/>
          </w:rPr>
          <w:t>https://ganhri.org/nhri/</w:t>
        </w:r>
      </w:hyperlink>
      <w:r>
        <w:t>.</w:t>
      </w:r>
    </w:p>
  </w:footnote>
  <w:footnote w:id="7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Cehia, Italia, Malta.</w:t>
      </w:r>
    </w:p>
  </w:footnote>
  <w:footnote w:id="7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Estonia - programată pentru acreditare la sfârșitul anului 2020 - și România.</w:t>
      </w:r>
    </w:p>
  </w:footnote>
  <w:footnote w:id="7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Austria, Belgia, Cipru, Slovacia, Slovenia și Suedia.</w:t>
      </w:r>
    </w:p>
  </w:footnote>
  <w:footnote w:id="73">
    <w:p>
      <w:pPr>
        <w:pStyle w:val="FootnoteText"/>
        <w:jc w:val="both"/>
        <w:rPr>
          <w:rFonts w:ascii="Times New Roman" w:hAnsi="Times New Roman" w:cs="Times New Roman"/>
        </w:rPr>
      </w:pPr>
      <w:hyperlink r:id="rId21" w:history="1">
        <w:r>
          <w:rPr>
            <w:rStyle w:val="Hyperlink"/>
            <w:rFonts w:ascii="Times New Roman" w:hAnsi="Times New Roman"/>
          </w:rPr>
          <w:t>https://nhri.ohchr.org/EN/AboutUs/Pages/ParisPrinciples.aspx</w:t>
        </w:r>
      </w:hyperlink>
      <w:r>
        <w:rPr>
          <w:rFonts w:ascii="Times New Roman" w:hAnsi="Times New Roman"/>
        </w:rPr>
        <w:t>. Consiliul Europei pregătește de asemenea recomandări privind dezvoltarea și consolidarea unor instituții naționale în domeniul drepturilor omului eficiente, pluraliste și independente.</w:t>
      </w:r>
    </w:p>
  </w:footnote>
  <w:footnote w:id="7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Acordarea statutului „A” înseamnă că INDO respectă pe deplin Principiile de la Paris, care constituie standardele internaționale pentru INDO în ceea ce privește promovarea și protejarea drepturilor fundamentale în mod efectiv și independent.</w:t>
      </w:r>
    </w:p>
  </w:footnote>
  <w:footnote w:id="75">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COM(2020)580.</w:t>
      </w:r>
      <w:r>
        <w:rPr>
          <w:rFonts w:ascii="Times New Roman" w:hAnsi="Times New Roman"/>
          <w:sz w:val="24"/>
          <w:szCs w:val="24"/>
        </w:rPr>
        <w:t xml:space="preserve"> </w:t>
      </w:r>
      <w:r>
        <w:rPr>
          <w:rFonts w:ascii="Times New Roman" w:hAnsi="Times New Roman"/>
        </w:rPr>
        <w:t>În concluziile sale cu privire la cartă din 2019, Consiliul a reamintit că „instituțiile naționale din domeniul drepturilor omului independente […] joacă un rol crucial în protejarea și promovarea drepturilor fundamentale și în asigurarea respectării cartei”, op. cit., punctul 22.</w:t>
      </w:r>
    </w:p>
  </w:footnote>
  <w:footnote w:id="7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Studiu de fezabilitate privind sprijinul financiar în cazul litigiilor privind încălcarea democrației, a statului de drept și a drepturilor fundamentale, 28.8.2020: </w:t>
      </w:r>
      <w:hyperlink r:id="rId22" w:history="1">
        <w:r>
          <w:rPr>
            <w:rStyle w:val="Hyperlink"/>
            <w:rFonts w:ascii="Times New Roman" w:hAnsi="Times New Roman"/>
          </w:rPr>
          <w:t>https://ec.europa.eu/info/aid-development-cooperation-fundamental-rights/your-rights-eu/eu-charter-fundamental-rights/application-charter/studies-relating-charter_ro</w:t>
        </w:r>
      </w:hyperlink>
      <w:r>
        <w:t>.</w:t>
      </w:r>
    </w:p>
  </w:footnote>
  <w:footnote w:id="77">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b/>
          <w:i/>
        </w:rPr>
        <w:t>„</w:t>
      </w:r>
      <w:r>
        <w:rPr>
          <w:rFonts w:ascii="Times New Roman" w:hAnsi="Times New Roman"/>
          <w:i/>
        </w:rPr>
        <w:t>Instruirea grupurilor specifice ar trebui să constituie o prioritate. Personalul organismelor naționale de promovare a egalității ar trebui avut în vedere pentru formare transnațională cu privire la utilizarea cartei. [...] Instruirea grupurilor specifice ar trebui să fie urmată de formare orizontală la nivel național, care să reunească actori relevanți care au primit anterior formare pentru grupuri specifice, pentru a identifica interconectările și a construi sinergii privind utilizarea cartei”.</w:t>
      </w:r>
      <w:r>
        <w:rPr>
          <w:rFonts w:ascii="Times New Roman" w:hAnsi="Times New Roman"/>
        </w:rPr>
        <w:t xml:space="preserve"> Contribuția Equinet la Strategia Comisiei privind carta, op. cit.</w:t>
      </w:r>
    </w:p>
  </w:footnote>
  <w:footnote w:id="78">
    <w:p>
      <w:pPr>
        <w:pStyle w:val="FootnoteText"/>
        <w:jc w:val="both"/>
        <w:rPr>
          <w:rFonts w:ascii="Times New Roman" w:hAnsi="Times New Roman" w:cs="Times New Roman"/>
        </w:rPr>
      </w:pPr>
      <w:hyperlink r:id="rId23" w:history="1">
        <w:r>
          <w:rPr>
            <w:rStyle w:val="Hyperlink"/>
            <w:rFonts w:ascii="Times New Roman" w:hAnsi="Times New Roman"/>
          </w:rPr>
          <w:t>http://ennhri.org/wp-content/uploads/2019/11/Implementation-of-the-EU-Charter-of-Fundamental-Rights-Activities-of-NHRIs.pdf</w:t>
        </w:r>
      </w:hyperlink>
      <w:r>
        <w:rPr>
          <w:rFonts w:ascii="Times New Roman" w:hAnsi="Times New Roman"/>
        </w:rPr>
        <w:t>. A se vedea de asemenea cele mai bune practici ale Poloniei, analiza consultării părților interesate, pagina 15.</w:t>
      </w:r>
    </w:p>
  </w:footnote>
  <w:footnote w:id="79">
    <w:p>
      <w:pPr>
        <w:pStyle w:val="FootnoteText"/>
        <w:jc w:val="both"/>
        <w:rPr>
          <w:rFonts w:ascii="Times New Roman" w:hAnsi="Times New Roman" w:cs="Times New Roman"/>
        </w:rPr>
      </w:pPr>
      <w:hyperlink r:id="rId24" w:history="1">
        <w:r>
          <w:rPr>
            <w:rStyle w:val="Hyperlink"/>
            <w:rFonts w:ascii="Times New Roman" w:hAnsi="Times New Roman"/>
          </w:rPr>
          <w:t>https://fra.europa.eu/ro/eu-charter</w:t>
        </w:r>
      </w:hyperlink>
      <w:r>
        <w:rPr>
          <w:rFonts w:ascii="Times New Roman" w:hAnsi="Times New Roman"/>
        </w:rPr>
        <w:t>. A se vedea, de asemenea, Raportul FRA privind drepturile fundamentale pentru anul 2020.</w:t>
      </w:r>
    </w:p>
  </w:footnote>
  <w:footnote w:id="8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Între 2009 și 2019, instanțele naționale au adresat Curții 5 038 de cereri de decizie preliminară. Dintre acestea, 576 (peste 11 %) conțineau întrebări referitoare la cartă. A se vedea Raportul FRA privind drepturile fundamentale pentru anul 2020.</w:t>
      </w:r>
    </w:p>
  </w:footnote>
  <w:footnote w:id="8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Analiza consultărilor părților interesate, op. cit.; Raportul din 2019 al Comisiei cu privire la cartă, op. cit.; Raportul FRA privind drepturile fundamentale pentru anul 2020; Opinia FRA - 4/2018 din 24 septembrie 2018. </w:t>
      </w:r>
      <w:hyperlink r:id="rId25" w:history="1">
        <w:r>
          <w:rPr>
            <w:rStyle w:val="Hyperlink"/>
            <w:rFonts w:ascii="Times New Roman" w:hAnsi="Times New Roman"/>
          </w:rPr>
          <w:t>https://fra.europa.eu/sites/default/files/fra_uploads/fra-opinion-04-2018_charter-implementation.pdf</w:t>
        </w:r>
      </w:hyperlink>
      <w:r>
        <w:t>.</w:t>
      </w:r>
    </w:p>
  </w:footnote>
  <w:footnote w:id="8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Rețeaua Europeană de Formare Judiciară, sprijinită de programul „Justiție” al UE, organizează schimburi între instanțele naționale și europene: </w:t>
      </w:r>
      <w:hyperlink r:id="rId26" w:history="1">
        <w:r>
          <w:rPr>
            <w:rStyle w:val="Hyperlink"/>
            <w:rFonts w:ascii="Times New Roman" w:hAnsi="Times New Roman"/>
          </w:rPr>
          <w:t>http://www.ejtn.eu/Exchange-Programme/</w:t>
        </w:r>
      </w:hyperlink>
      <w:r>
        <w:t>.</w:t>
      </w:r>
    </w:p>
  </w:footnote>
  <w:footnote w:id="83">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COM(2020)713.</w:t>
      </w:r>
    </w:p>
  </w:footnote>
  <w:footnote w:id="84">
    <w:p>
      <w:pPr>
        <w:pStyle w:val="FootnoteText"/>
        <w:jc w:val="both"/>
        <w:rPr>
          <w:rFonts w:ascii="Times New Roman" w:hAnsi="Times New Roman" w:cs="Times New Roman"/>
        </w:rPr>
      </w:pPr>
      <w:r>
        <w:rPr>
          <w:rStyle w:val="FootnoteReference"/>
          <w:rFonts w:ascii="Times New Roman" w:hAnsi="Times New Roman" w:cs="Times New Roman"/>
        </w:rPr>
        <w:footnoteRef/>
      </w:r>
      <w:r>
        <w:tab/>
      </w:r>
      <w:hyperlink r:id="rId27" w:history="1">
        <w:r>
          <w:rPr>
            <w:rStyle w:val="Hyperlink"/>
            <w:rFonts w:ascii="Times New Roman" w:hAnsi="Times New Roman"/>
          </w:rPr>
          <w:t>https://fra.europa.eu/ro/publication/2020/aplicarea-cartei-drepturilor-fundamentale-uniunii-europene-domeniul-legiferarii-si-al elaborării de politici la nivel naţional</w:t>
        </w:r>
      </w:hyperlink>
      <w:r>
        <w:rPr>
          <w:rFonts w:ascii="Times New Roman" w:hAnsi="Times New Roman"/>
        </w:rPr>
        <w:t xml:space="preserve">. Toate informațiile referitoare la cartă vor fi puse la dispoziție pe un site web privind carta: </w:t>
      </w:r>
      <w:hyperlink r:id="rId28" w:history="1">
        <w:r>
          <w:rPr>
            <w:rStyle w:val="Hyperlink"/>
            <w:rFonts w:ascii="Times New Roman" w:hAnsi="Times New Roman"/>
          </w:rPr>
          <w:t>https://fra.europa.eu/ro/eu-charter</w:t>
        </w:r>
      </w:hyperlink>
      <w:r>
        <w:t>.</w:t>
      </w:r>
    </w:p>
  </w:footnote>
  <w:footnote w:id="8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Raportul Comisiei din 2020 privind statul de drept, op. cit.</w:t>
      </w:r>
    </w:p>
  </w:footnote>
  <w:footnote w:id="8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A se vedea Comunicarea Comisiei privind digitalizarea justiției în UE, COM(2020)710.</w:t>
      </w:r>
    </w:p>
  </w:footnote>
  <w:footnote w:id="87">
    <w:p>
      <w:pPr>
        <w:pStyle w:val="FootnoteText"/>
        <w:jc w:val="both"/>
        <w:rPr>
          <w:rFonts w:ascii="Times New Roman" w:hAnsi="Times New Roman" w:cs="Times New Roman"/>
        </w:rPr>
      </w:pPr>
      <w:hyperlink r:id="rId29" w:history="1">
        <w:r>
          <w:rPr>
            <w:rStyle w:val="Hyperlink"/>
            <w:rFonts w:ascii="Times New Roman" w:hAnsi="Times New Roman"/>
          </w:rPr>
          <w:t>https://e-justice.europa.eu/content_european_training_platform-37158-ro.do?init=true</w:t>
        </w:r>
      </w:hyperlink>
      <w:r>
        <w:t>.</w:t>
      </w:r>
    </w:p>
  </w:footnote>
  <w:footnote w:id="88">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Hotărârea din 20 septembrie 2016, </w:t>
      </w:r>
      <w:r>
        <w:rPr>
          <w:rFonts w:ascii="Times New Roman" w:hAnsi="Times New Roman"/>
          <w:i/>
        </w:rPr>
        <w:t>Ledra Advertising</w:t>
      </w:r>
      <w:r>
        <w:rPr>
          <w:rFonts w:ascii="Times New Roman" w:hAnsi="Times New Roman"/>
        </w:rPr>
        <w:t>, C-8-10/15 P și C-10/15, EU:C:2016:701.</w:t>
      </w:r>
    </w:p>
  </w:footnote>
  <w:footnote w:id="8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Hotărârea din 18 iulie 2013, </w:t>
      </w:r>
      <w:r>
        <w:rPr>
          <w:rFonts w:ascii="Times New Roman" w:hAnsi="Times New Roman"/>
          <w:i/>
        </w:rPr>
        <w:t>Kadi</w:t>
      </w:r>
      <w:r>
        <w:rPr>
          <w:rFonts w:ascii="Times New Roman" w:hAnsi="Times New Roman"/>
        </w:rPr>
        <w:t>, C-584/10 P și</w:t>
      </w:r>
      <w:r>
        <w:rPr>
          <w:rFonts w:ascii="Times New Roman" w:hAnsi="Times New Roman"/>
          <w:sz w:val="22"/>
          <w:szCs w:val="22"/>
        </w:rPr>
        <w:t xml:space="preserve"> </w:t>
      </w:r>
      <w:r>
        <w:rPr>
          <w:rFonts w:ascii="Times New Roman" w:hAnsi="Times New Roman"/>
        </w:rPr>
        <w:t>C-595/10 P, EU:C:2013:518.</w:t>
      </w:r>
    </w:p>
  </w:footnote>
  <w:footnote w:id="9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Orientările </w:t>
      </w:r>
      <w:r>
        <w:rPr>
          <w:rFonts w:ascii="Times New Roman" w:hAnsi="Times New Roman"/>
          <w:bCs/>
          <w:iCs/>
        </w:rPr>
        <w:t>operaționale ale Comisiei din 2011 privind luarea în considerare a drepturilor fundamentale în cadrul evaluărilor de impact și pachetul privind o mai bună legiferare din 2015, care propune integrarea cartei în evaluarea impactului (instrumentul 28).</w:t>
      </w:r>
    </w:p>
  </w:footnote>
  <w:footnote w:id="91">
    <w:p>
      <w:pPr>
        <w:pStyle w:val="FootnoteText"/>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Adoptată în februarie 2020:</w:t>
      </w:r>
      <w:r>
        <w:t xml:space="preserve"> </w:t>
      </w:r>
      <w:hyperlink r:id="rId30" w:history="1">
        <w:r>
          <w:rPr>
            <w:rStyle w:val="Hyperlink"/>
            <w:rFonts w:ascii="Times New Roman" w:hAnsi="Times New Roman"/>
          </w:rPr>
          <w:t>https://ec.europa.eu/info/publications/communication-shaping-europes-digital-future_ro</w:t>
        </w:r>
      </w:hyperlink>
    </w:p>
  </w:footnote>
  <w:footnote w:id="9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Carte albă privind inteligența artificială - O abordare europeană axată pe excelență și încredere, COM(2020)65.</w:t>
      </w:r>
    </w:p>
  </w:footnote>
  <w:footnote w:id="9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Consultările sunt inițiate pentru a informa cu privire la inițiativele Comisiei în temeiul normelor sale pentru o mai bună legiferare. A se vedea </w:t>
      </w:r>
      <w:hyperlink r:id="rId31" w:history="1">
        <w:r>
          <w:rPr>
            <w:rStyle w:val="Hyperlink"/>
            <w:rFonts w:ascii="Times New Roman" w:hAnsi="Times New Roman"/>
          </w:rPr>
          <w:t>https://ec.europa.eu/info/law/better-regulation/have-your-say_ro</w:t>
        </w:r>
      </w:hyperlink>
      <w:r>
        <w:rPr>
          <w:rFonts w:ascii="Times New Roman" w:hAnsi="Times New Roman"/>
        </w:rPr>
        <w:t xml:space="preserve"> și </w:t>
      </w:r>
      <w:hyperlink r:id="rId32" w:history="1">
        <w:r>
          <w:rPr>
            <w:rStyle w:val="Hyperlink"/>
            <w:rFonts w:ascii="Times New Roman" w:hAnsi="Times New Roman"/>
          </w:rPr>
          <w:t>https://ec.europa.eu/info/consultations_ro</w:t>
        </w:r>
      </w:hyperlink>
      <w:r>
        <w:rPr>
          <w:rFonts w:ascii="Times New Roman" w:hAnsi="Times New Roman"/>
        </w:rPr>
        <w:t>. Comisia se bazează de asemenea pe datele furnizate de Agenția pentru Drepturi Fundamentale a UE, de apărătorii drepturilor omului, precum INDO, și de organismele de promovare a egalității, precum și pe informațiile colectate de organizații internaționale, precum Consiliul Europei, Organizația Națiunilor Unite și Biroul pentru Instituții Democratice și Drepturile Omului din cadrul Organizației pentru Securitate și Cooperare în Europa.</w:t>
      </w:r>
    </w:p>
  </w:footnote>
  <w:footnote w:id="94">
    <w:p>
      <w:pPr>
        <w:pStyle w:val="FootnoteText"/>
        <w:jc w:val="both"/>
        <w:rPr>
          <w:rFonts w:ascii="Times New Roman" w:hAnsi="Times New Roman" w:cs="Times New Roman"/>
        </w:rPr>
      </w:pPr>
      <w:hyperlink r:id="rId33" w:history="1">
        <w:r>
          <w:rPr>
            <w:rStyle w:val="Hyperlink"/>
            <w:rFonts w:ascii="Times New Roman" w:hAnsi="Times New Roman"/>
          </w:rPr>
          <w:t>https://data.consilium.europa.eu/doc/document/ST-12848-2020-INIT/ro/pdf</w:t>
        </w:r>
      </w:hyperlink>
      <w:r>
        <w:t>.</w:t>
      </w:r>
    </w:p>
  </w:footnote>
  <w:footnote w:id="9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Orientările din 2015 privind analiza evaluărilor impactului pe care îl au inițiativele legate de comerț asupra drepturilor omului.</w:t>
      </w:r>
    </w:p>
  </w:footnote>
  <w:footnote w:id="9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Instrumentul de asistență pentru preaderare (IPA) 2021-2027 va sprijini în continuare reformele în vederea conformității cu valorile și drepturile fundamentale ale UE și a alinierii progresive la normele, standardele și politicile UE.</w:t>
      </w:r>
    </w:p>
  </w:footnote>
  <w:footnote w:id="9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Procedura este descrisă la articolul 28 din Regulamentul nr. 168/2007 de instituire a FRA, JO L 53, 27.2.2007, p. 1.</w:t>
      </w:r>
    </w:p>
  </w:footnote>
  <w:footnote w:id="9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Legislația Uniunii care nu este conformă cu carta poate fi contestată în fața Curții.</w:t>
      </w:r>
    </w:p>
  </w:footnote>
  <w:footnote w:id="99">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bCs/>
          <w:iCs/>
        </w:rPr>
        <w:t>Orientările Consiliului privind verificarea conformității cu drepturile fundamentale, Doc. 5377/15 din 20 ianuarie 2015.</w:t>
      </w:r>
    </w:p>
  </w:footnote>
  <w:footnote w:id="10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În concluziile sale cu privire la cartă (op. cit.), Consiliul și-a reafirmat „angajamentul de a ține seama de orientările privind aplicarea cartei, inclusiv de orientările privind măsurile metodologice ce trebuie luate în scopul verificării compatibilității cu drepturile fundamentale la nivelul grupurilor de pregătire ale Consiliului și își exprimă disponibilitatea pentru analizarea unor modalități de utilizare mai eficientă a acestor orientări în cadrul grupurilor de pregătire ale Consiliului, inclusiv prin intermediul formărilor.” (punctul 10). Reprezentanța permanentă a Finlandei a organizat, în cooperare cu Secretariatul General al Consiliului și cu FRA, un curs de formare privind aplicarea cartei disponibil întregului personal și l-a recomandat tuturor președinților grupurilor de lucru ale Președinției viitoare.</w:t>
      </w:r>
    </w:p>
  </w:footnote>
  <w:footnote w:id="10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Regulamentul de procedură al Parlamentului European – articolul 39.</w:t>
      </w:r>
    </w:p>
  </w:footnote>
  <w:footnote w:id="10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JO L 123, 12.5.2016, p. 12-15.</w:t>
      </w:r>
    </w:p>
  </w:footnote>
  <w:footnote w:id="103">
    <w:p>
      <w:pPr>
        <w:pStyle w:val="FootnoteText"/>
        <w:jc w:val="both"/>
        <w:rPr>
          <w:rFonts w:ascii="Times New Roman" w:hAnsi="Times New Roman" w:cs="Times New Roman"/>
        </w:rPr>
      </w:pPr>
      <w:hyperlink r:id="rId34" w:history="1">
        <w:r>
          <w:rPr>
            <w:rStyle w:val="Hyperlink"/>
            <w:rFonts w:ascii="Times New Roman" w:hAnsi="Times New Roman"/>
          </w:rPr>
          <w:t>https://ec.europa.eu/info/aid-development-cooperation-fundamental-rights/your-rights-eu/eu-charter-fundamental-rights/application-charter/annual-reports-application-charter_ro</w:t>
        </w:r>
      </w:hyperlink>
      <w:r>
        <w:t>.</w:t>
      </w:r>
    </w:p>
  </w:footnote>
  <w:footnote w:id="10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Directiva 2019/882.</w:t>
      </w:r>
    </w:p>
  </w:footnote>
  <w:footnote w:id="105">
    <w:p>
      <w:pPr>
        <w:pStyle w:val="FootnoteText"/>
        <w:jc w:val="both"/>
        <w:rPr>
          <w:rFonts w:ascii="Times New Roman" w:hAnsi="Times New Roman" w:cs="Times New Roman"/>
          <w:i/>
        </w:rPr>
      </w:pPr>
      <w:r>
        <w:rPr>
          <w:rStyle w:val="FootnoteReference"/>
          <w:rFonts w:ascii="Times New Roman" w:hAnsi="Times New Roman" w:cs="Times New Roman"/>
        </w:rPr>
        <w:footnoteRef/>
      </w:r>
      <w:r>
        <w:rPr>
          <w:rFonts w:ascii="Times New Roman" w:hAnsi="Times New Roman"/>
        </w:rPr>
        <w:tab/>
        <w:t>Regulamentul 2019/1896,</w:t>
      </w:r>
      <w:r>
        <w:rPr>
          <w:rFonts w:ascii="Times New Roman" w:hAnsi="Times New Roman"/>
          <w:b/>
          <w:i/>
        </w:rPr>
        <w:t xml:space="preserve"> </w:t>
      </w:r>
      <w:r>
        <w:rPr>
          <w:rFonts w:ascii="Times New Roman" w:hAnsi="Times New Roman"/>
        </w:rPr>
        <w:t>JO L 295, 14.11.2019, p. 1.</w:t>
      </w:r>
      <w:r>
        <w:rPr>
          <w:rFonts w:ascii="Times New Roman" w:hAnsi="Times New Roman"/>
          <w:sz w:val="24"/>
          <w:szCs w:val="24"/>
        </w:rPr>
        <w:t xml:space="preserve"> </w:t>
      </w:r>
      <w:r>
        <w:rPr>
          <w:rFonts w:ascii="Times New Roman" w:hAnsi="Times New Roman"/>
        </w:rPr>
        <w:t>Vor fi elaborate o</w:t>
      </w:r>
      <w:r>
        <w:rPr>
          <w:rFonts w:ascii="Times New Roman" w:hAnsi="Times New Roman"/>
          <w:bCs/>
        </w:rPr>
        <w:t xml:space="preserve"> strategie și un plan de acțiune privind drepturile</w:t>
      </w:r>
      <w:r>
        <w:rPr>
          <w:rFonts w:ascii="Times New Roman" w:hAnsi="Times New Roman"/>
        </w:rPr>
        <w:t xml:space="preserve"> fundamentale pentru a reglementa obligația Agenției Europene pentru Poliția de Frontieră și Garda de Coastă (Frontex) de a respecta carta. Un </w:t>
      </w:r>
      <w:r>
        <w:rPr>
          <w:rFonts w:ascii="Times New Roman" w:hAnsi="Times New Roman"/>
          <w:bCs/>
        </w:rPr>
        <w:t xml:space="preserve">ofițer pentru drepturile fundamentale </w:t>
      </w:r>
      <w:r>
        <w:rPr>
          <w:rFonts w:ascii="Times New Roman" w:hAnsi="Times New Roman"/>
        </w:rPr>
        <w:t xml:space="preserve">a fost desemnat pentru a contribui la strategie și pentru a monitoriza punerea în aplicare a acesteia. Vor fi recrutați </w:t>
      </w:r>
      <w:r>
        <w:rPr>
          <w:rFonts w:ascii="Times New Roman" w:hAnsi="Times New Roman"/>
          <w:bCs/>
        </w:rPr>
        <w:t>observatori pentru drepturile fundamentale</w:t>
      </w:r>
      <w:r>
        <w:rPr>
          <w:rFonts w:ascii="Times New Roman" w:hAnsi="Times New Roman"/>
        </w:rPr>
        <w:t xml:space="preserve"> pentru a evalua respectarea drepturilor fundamentale în cadrul activităților operaționale ale Agenției. FRA sprijină Frontex cu privire la formarea observatorilor pentru drepturile fundamentale.</w:t>
      </w:r>
    </w:p>
  </w:footnote>
  <w:footnote w:id="106">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Eurobarometrul special 487b.</w:t>
      </w:r>
    </w:p>
  </w:footnote>
  <w:footnote w:id="10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Analiza consultărilor părților interesate, p. 31.</w:t>
      </w:r>
    </w:p>
  </w:footnote>
  <w:footnote w:id="10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14 din cele 22 de autorități locale care au răspuns la consultările specifice au afirmat că realizează activități de sensibilizare cu privire la drepturi, analiza consultărilor părților interesate, p. 42.</w:t>
      </w:r>
    </w:p>
  </w:footnote>
  <w:footnote w:id="109">
    <w:p>
      <w:pPr>
        <w:pStyle w:val="FootnoteText"/>
        <w:jc w:val="both"/>
        <w:rPr>
          <w:rFonts w:ascii="Times New Roman" w:hAnsi="Times New Roman" w:cs="Times New Roman"/>
          <w:i/>
        </w:rPr>
      </w:pPr>
      <w:r>
        <w:rPr>
          <w:rStyle w:val="FootnoteReference"/>
          <w:rFonts w:ascii="Times New Roman" w:hAnsi="Times New Roman" w:cs="Times New Roman"/>
        </w:rPr>
        <w:footnoteRef/>
      </w:r>
      <w:r>
        <w:rPr>
          <w:rFonts w:ascii="Times New Roman" w:hAnsi="Times New Roman"/>
        </w:rPr>
        <w:tab/>
        <w:t>A se vedea, de asemenea, FRA (2020) „Ce înseamnă drepturile fundamentale pentru cetățenii UE”, pagina 48:</w:t>
      </w:r>
      <w:r>
        <w:rPr>
          <w:rFonts w:ascii="Times New Roman" w:hAnsi="Times New Roman"/>
          <w:i/>
        </w:rPr>
        <w:t xml:space="preserve"> „Pentru a lua decizii informate, cetățenii ar trebui să aibă acces la informații privind drepturile lor, precum și la proceduri accesibile pentru a formula cereri și plângeri”.</w:t>
      </w:r>
    </w:p>
  </w:footnote>
  <w:footnote w:id="110">
    <w:p>
      <w:pPr>
        <w:pStyle w:val="FootnoteText"/>
        <w:jc w:val="both"/>
        <w:rPr>
          <w:rFonts w:ascii="Times New Roman" w:hAnsi="Times New Roman" w:cs="Times New Roman"/>
        </w:rPr>
      </w:pPr>
      <w:r>
        <w:rPr>
          <w:rStyle w:val="FootnoteReference"/>
          <w:rFonts w:ascii="Times New Roman" w:hAnsi="Times New Roman" w:cs="Times New Roman"/>
        </w:rPr>
        <w:footnoteRef/>
      </w:r>
      <w:r>
        <w:tab/>
      </w:r>
      <w:hyperlink r:id="rId35" w:history="1">
        <w:r>
          <w:rPr>
            <w:rStyle w:val="Hyperlink"/>
            <w:rFonts w:ascii="Times New Roman" w:hAnsi="Times New Roman"/>
          </w:rPr>
          <w:t>https://fra.europa.eu/en/event/2020/fundamental-rights-forum-2021</w:t>
        </w:r>
      </w:hyperlink>
      <w:r>
        <w:t>.</w:t>
      </w:r>
    </w:p>
  </w:footnote>
  <w:footnote w:id="111">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COM(2018)5446. </w:t>
      </w:r>
      <w:hyperlink r:id="rId36" w:history="1">
        <w:r>
          <w:rPr>
            <w:rStyle w:val="Hyperlink"/>
            <w:rFonts w:ascii="Times New Roman" w:hAnsi="Times New Roman"/>
          </w:rPr>
          <w:t>www.dearprogramme.eu</w:t>
        </w:r>
      </w:hyperlink>
      <w:r>
        <w:t>.</w:t>
      </w:r>
    </w:p>
  </w:footnote>
  <w:footnote w:id="1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A se vedea Concluziile Consiliului cu privire la cartă, op. cit., punctul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2359"/>
    <w:multiLevelType w:val="hybridMultilevel"/>
    <w:tmpl w:val="EE96AF50"/>
    <w:lvl w:ilvl="0" w:tplc="0352DF5A">
      <w:start w:val="1"/>
      <w:numFmt w:val="bullet"/>
      <w:lvlText w:val=""/>
      <w:lvlJc w:val="left"/>
      <w:pPr>
        <w:ind w:left="360" w:hanging="360"/>
      </w:pPr>
      <w:rPr>
        <w:rFonts w:ascii="Wingdings" w:hAnsi="Wingdings" w:hint="default"/>
        <w:b w:val="0"/>
      </w:rPr>
    </w:lvl>
    <w:lvl w:ilvl="1" w:tplc="080C0003" w:tentative="1">
      <w:start w:val="1"/>
      <w:numFmt w:val="bullet"/>
      <w:lvlText w:val="o"/>
      <w:lvlJc w:val="left"/>
      <w:pPr>
        <w:ind w:left="1320" w:hanging="360"/>
      </w:pPr>
      <w:rPr>
        <w:rFonts w:ascii="Courier New" w:hAnsi="Courier New" w:cs="Courier New" w:hint="default"/>
      </w:rPr>
    </w:lvl>
    <w:lvl w:ilvl="2" w:tplc="080C0005" w:tentative="1">
      <w:start w:val="1"/>
      <w:numFmt w:val="bullet"/>
      <w:lvlText w:val=""/>
      <w:lvlJc w:val="left"/>
      <w:pPr>
        <w:ind w:left="2040" w:hanging="360"/>
      </w:pPr>
      <w:rPr>
        <w:rFonts w:ascii="Wingdings" w:hAnsi="Wingdings" w:hint="default"/>
      </w:rPr>
    </w:lvl>
    <w:lvl w:ilvl="3" w:tplc="080C0001" w:tentative="1">
      <w:start w:val="1"/>
      <w:numFmt w:val="bullet"/>
      <w:lvlText w:val=""/>
      <w:lvlJc w:val="left"/>
      <w:pPr>
        <w:ind w:left="2760" w:hanging="360"/>
      </w:pPr>
      <w:rPr>
        <w:rFonts w:ascii="Symbol" w:hAnsi="Symbol" w:hint="default"/>
      </w:rPr>
    </w:lvl>
    <w:lvl w:ilvl="4" w:tplc="080C0003" w:tentative="1">
      <w:start w:val="1"/>
      <w:numFmt w:val="bullet"/>
      <w:lvlText w:val="o"/>
      <w:lvlJc w:val="left"/>
      <w:pPr>
        <w:ind w:left="3480" w:hanging="360"/>
      </w:pPr>
      <w:rPr>
        <w:rFonts w:ascii="Courier New" w:hAnsi="Courier New" w:cs="Courier New" w:hint="default"/>
      </w:rPr>
    </w:lvl>
    <w:lvl w:ilvl="5" w:tplc="080C0005" w:tentative="1">
      <w:start w:val="1"/>
      <w:numFmt w:val="bullet"/>
      <w:lvlText w:val=""/>
      <w:lvlJc w:val="left"/>
      <w:pPr>
        <w:ind w:left="4200" w:hanging="360"/>
      </w:pPr>
      <w:rPr>
        <w:rFonts w:ascii="Wingdings" w:hAnsi="Wingdings" w:hint="default"/>
      </w:rPr>
    </w:lvl>
    <w:lvl w:ilvl="6" w:tplc="080C0001" w:tentative="1">
      <w:start w:val="1"/>
      <w:numFmt w:val="bullet"/>
      <w:lvlText w:val=""/>
      <w:lvlJc w:val="left"/>
      <w:pPr>
        <w:ind w:left="4920" w:hanging="360"/>
      </w:pPr>
      <w:rPr>
        <w:rFonts w:ascii="Symbol" w:hAnsi="Symbol" w:hint="default"/>
      </w:rPr>
    </w:lvl>
    <w:lvl w:ilvl="7" w:tplc="080C0003" w:tentative="1">
      <w:start w:val="1"/>
      <w:numFmt w:val="bullet"/>
      <w:lvlText w:val="o"/>
      <w:lvlJc w:val="left"/>
      <w:pPr>
        <w:ind w:left="5640" w:hanging="360"/>
      </w:pPr>
      <w:rPr>
        <w:rFonts w:ascii="Courier New" w:hAnsi="Courier New" w:cs="Courier New" w:hint="default"/>
      </w:rPr>
    </w:lvl>
    <w:lvl w:ilvl="8" w:tplc="080C0005" w:tentative="1">
      <w:start w:val="1"/>
      <w:numFmt w:val="bullet"/>
      <w:lvlText w:val=""/>
      <w:lvlJc w:val="left"/>
      <w:pPr>
        <w:ind w:left="6360" w:hanging="360"/>
      </w:pPr>
      <w:rPr>
        <w:rFonts w:ascii="Wingdings" w:hAnsi="Wingdings" w:hint="default"/>
      </w:rPr>
    </w:lvl>
  </w:abstractNum>
  <w:abstractNum w:abstractNumId="1">
    <w:nsid w:val="0BD21735"/>
    <w:multiLevelType w:val="hybridMultilevel"/>
    <w:tmpl w:val="09EADA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C0134EF"/>
    <w:multiLevelType w:val="hybridMultilevel"/>
    <w:tmpl w:val="5F5A6652"/>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DAB7AEA"/>
    <w:multiLevelType w:val="hybridMultilevel"/>
    <w:tmpl w:val="75C4844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nsid w:val="0ED8170C"/>
    <w:multiLevelType w:val="hybridMultilevel"/>
    <w:tmpl w:val="4106D18C"/>
    <w:lvl w:ilvl="0" w:tplc="1632DD5A">
      <w:start w:val="2"/>
      <w:numFmt w:val="bullet"/>
      <w:lvlText w:val="-"/>
      <w:lvlJc w:val="left"/>
      <w:pPr>
        <w:ind w:left="720" w:hanging="360"/>
      </w:pPr>
      <w:rPr>
        <w:rFonts w:ascii="Times New Roman" w:eastAsiaTheme="minorHAnsi" w:hAnsi="Times New Roman" w:cs="Times New Roman" w:hint="default"/>
        <w:i/>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705E6E"/>
    <w:multiLevelType w:val="hybridMultilevel"/>
    <w:tmpl w:val="6C22E12C"/>
    <w:lvl w:ilvl="0" w:tplc="70BA0EBA">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6E03C3"/>
    <w:multiLevelType w:val="hybridMultilevel"/>
    <w:tmpl w:val="E48EC852"/>
    <w:lvl w:ilvl="0" w:tplc="9BA218E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D14193"/>
    <w:multiLevelType w:val="hybridMultilevel"/>
    <w:tmpl w:val="3FF4F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A80673A"/>
    <w:multiLevelType w:val="hybridMultilevel"/>
    <w:tmpl w:val="FF86631C"/>
    <w:lvl w:ilvl="0" w:tplc="CC043AB8">
      <w:start w:val="2"/>
      <w:numFmt w:val="bullet"/>
      <w:lvlText w:val="-"/>
      <w:lvlJc w:val="left"/>
      <w:pPr>
        <w:ind w:left="720" w:hanging="360"/>
      </w:pPr>
      <w:rPr>
        <w:rFonts w:ascii="Times New Roman" w:eastAsiaTheme="minorHAnsi" w:hAnsi="Times New Roman" w:cs="Times New Roman" w:hint="default"/>
        <w:i/>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CC3410"/>
    <w:multiLevelType w:val="hybridMultilevel"/>
    <w:tmpl w:val="FEB6479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1CF925F7"/>
    <w:multiLevelType w:val="hybridMultilevel"/>
    <w:tmpl w:val="B5309E34"/>
    <w:lvl w:ilvl="0" w:tplc="080C000D">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nsid w:val="298055F4"/>
    <w:multiLevelType w:val="hybridMultilevel"/>
    <w:tmpl w:val="CF767F66"/>
    <w:lvl w:ilvl="0" w:tplc="080C000D">
      <w:start w:val="1"/>
      <w:numFmt w:val="bullet"/>
      <w:lvlText w:val=""/>
      <w:lvlJc w:val="left"/>
      <w:pPr>
        <w:ind w:left="1680" w:hanging="360"/>
      </w:pPr>
      <w:rPr>
        <w:rFonts w:ascii="Wingdings" w:hAnsi="Wingdings" w:hint="default"/>
      </w:rPr>
    </w:lvl>
    <w:lvl w:ilvl="1" w:tplc="080C0003" w:tentative="1">
      <w:start w:val="1"/>
      <w:numFmt w:val="bullet"/>
      <w:lvlText w:val="o"/>
      <w:lvlJc w:val="left"/>
      <w:pPr>
        <w:ind w:left="2400" w:hanging="360"/>
      </w:pPr>
      <w:rPr>
        <w:rFonts w:ascii="Courier New" w:hAnsi="Courier New" w:cs="Courier New" w:hint="default"/>
      </w:rPr>
    </w:lvl>
    <w:lvl w:ilvl="2" w:tplc="080C0005" w:tentative="1">
      <w:start w:val="1"/>
      <w:numFmt w:val="bullet"/>
      <w:lvlText w:val=""/>
      <w:lvlJc w:val="left"/>
      <w:pPr>
        <w:ind w:left="3120" w:hanging="360"/>
      </w:pPr>
      <w:rPr>
        <w:rFonts w:ascii="Wingdings" w:hAnsi="Wingdings" w:hint="default"/>
      </w:rPr>
    </w:lvl>
    <w:lvl w:ilvl="3" w:tplc="080C0001" w:tentative="1">
      <w:start w:val="1"/>
      <w:numFmt w:val="bullet"/>
      <w:lvlText w:val=""/>
      <w:lvlJc w:val="left"/>
      <w:pPr>
        <w:ind w:left="3840" w:hanging="360"/>
      </w:pPr>
      <w:rPr>
        <w:rFonts w:ascii="Symbol" w:hAnsi="Symbol" w:hint="default"/>
      </w:rPr>
    </w:lvl>
    <w:lvl w:ilvl="4" w:tplc="080C0003" w:tentative="1">
      <w:start w:val="1"/>
      <w:numFmt w:val="bullet"/>
      <w:lvlText w:val="o"/>
      <w:lvlJc w:val="left"/>
      <w:pPr>
        <w:ind w:left="4560" w:hanging="360"/>
      </w:pPr>
      <w:rPr>
        <w:rFonts w:ascii="Courier New" w:hAnsi="Courier New" w:cs="Courier New" w:hint="default"/>
      </w:rPr>
    </w:lvl>
    <w:lvl w:ilvl="5" w:tplc="080C0005" w:tentative="1">
      <w:start w:val="1"/>
      <w:numFmt w:val="bullet"/>
      <w:lvlText w:val=""/>
      <w:lvlJc w:val="left"/>
      <w:pPr>
        <w:ind w:left="5280" w:hanging="360"/>
      </w:pPr>
      <w:rPr>
        <w:rFonts w:ascii="Wingdings" w:hAnsi="Wingdings" w:hint="default"/>
      </w:rPr>
    </w:lvl>
    <w:lvl w:ilvl="6" w:tplc="080C0001" w:tentative="1">
      <w:start w:val="1"/>
      <w:numFmt w:val="bullet"/>
      <w:lvlText w:val=""/>
      <w:lvlJc w:val="left"/>
      <w:pPr>
        <w:ind w:left="6000" w:hanging="360"/>
      </w:pPr>
      <w:rPr>
        <w:rFonts w:ascii="Symbol" w:hAnsi="Symbol" w:hint="default"/>
      </w:rPr>
    </w:lvl>
    <w:lvl w:ilvl="7" w:tplc="080C0003" w:tentative="1">
      <w:start w:val="1"/>
      <w:numFmt w:val="bullet"/>
      <w:lvlText w:val="o"/>
      <w:lvlJc w:val="left"/>
      <w:pPr>
        <w:ind w:left="6720" w:hanging="360"/>
      </w:pPr>
      <w:rPr>
        <w:rFonts w:ascii="Courier New" w:hAnsi="Courier New" w:cs="Courier New" w:hint="default"/>
      </w:rPr>
    </w:lvl>
    <w:lvl w:ilvl="8" w:tplc="080C0005" w:tentative="1">
      <w:start w:val="1"/>
      <w:numFmt w:val="bullet"/>
      <w:lvlText w:val=""/>
      <w:lvlJc w:val="left"/>
      <w:pPr>
        <w:ind w:left="7440" w:hanging="360"/>
      </w:pPr>
      <w:rPr>
        <w:rFonts w:ascii="Wingdings" w:hAnsi="Wingdings" w:hint="default"/>
      </w:rPr>
    </w:lvl>
  </w:abstractNum>
  <w:abstractNum w:abstractNumId="12">
    <w:nsid w:val="2B504CC3"/>
    <w:multiLevelType w:val="hybridMultilevel"/>
    <w:tmpl w:val="A232F71A"/>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2BD722A1"/>
    <w:multiLevelType w:val="hybridMultilevel"/>
    <w:tmpl w:val="54E8CD9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601C26"/>
    <w:multiLevelType w:val="hybridMultilevel"/>
    <w:tmpl w:val="513024DE"/>
    <w:lvl w:ilvl="0" w:tplc="8F4238EE">
      <w:start w:val="23"/>
      <w:numFmt w:val="bullet"/>
      <w:lvlText w:val="-"/>
      <w:lvlJc w:val="left"/>
      <w:pPr>
        <w:ind w:left="720" w:hanging="360"/>
      </w:pPr>
      <w:rPr>
        <w:rFonts w:ascii="Times New Roman" w:eastAsiaTheme="minorHAns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1121D0"/>
    <w:multiLevelType w:val="hybridMultilevel"/>
    <w:tmpl w:val="45066FF0"/>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1E5F2F"/>
    <w:multiLevelType w:val="hybridMultilevel"/>
    <w:tmpl w:val="2C3659E6"/>
    <w:lvl w:ilvl="0" w:tplc="76C4CD8C">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653DDF"/>
    <w:multiLevelType w:val="hybridMultilevel"/>
    <w:tmpl w:val="AE3EF506"/>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8">
    <w:nsid w:val="41093DA9"/>
    <w:multiLevelType w:val="hybridMultilevel"/>
    <w:tmpl w:val="45C85EC6"/>
    <w:lvl w:ilvl="0" w:tplc="6F7E9DE4">
      <w:start w:val="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3BB0DAA"/>
    <w:multiLevelType w:val="hybridMultilevel"/>
    <w:tmpl w:val="EF0AF9AE"/>
    <w:lvl w:ilvl="0" w:tplc="B274B7BA">
      <w:start w:val="2"/>
      <w:numFmt w:val="bullet"/>
      <w:lvlText w:val="-"/>
      <w:lvlJc w:val="left"/>
      <w:pPr>
        <w:ind w:left="720" w:hanging="360"/>
      </w:pPr>
      <w:rPr>
        <w:rFonts w:ascii="Times New Roman" w:eastAsiaTheme="minorHAnsi" w:hAnsi="Times New Roman" w:cs="Times New Roman" w:hint="default"/>
        <w:b/>
        <w:i/>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95A4D58"/>
    <w:multiLevelType w:val="hybridMultilevel"/>
    <w:tmpl w:val="16E4B0D8"/>
    <w:lvl w:ilvl="0" w:tplc="388E1042">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D8663A9"/>
    <w:multiLevelType w:val="hybridMultilevel"/>
    <w:tmpl w:val="477A9644"/>
    <w:lvl w:ilvl="0" w:tplc="A290E6E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04528B1"/>
    <w:multiLevelType w:val="hybridMultilevel"/>
    <w:tmpl w:val="382A0DA4"/>
    <w:lvl w:ilvl="0" w:tplc="B6FC980A">
      <w:start w:val="2"/>
      <w:numFmt w:val="bullet"/>
      <w:lvlText w:val="-"/>
      <w:lvlJc w:val="left"/>
      <w:pPr>
        <w:ind w:left="720" w:hanging="360"/>
      </w:pPr>
      <w:rPr>
        <w:rFonts w:ascii="Times New Roman" w:eastAsiaTheme="minorHAns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7743CD6"/>
    <w:multiLevelType w:val="hybridMultilevel"/>
    <w:tmpl w:val="CA441A9C"/>
    <w:lvl w:ilvl="0" w:tplc="B36A99E0">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78C65C3"/>
    <w:multiLevelType w:val="hybridMultilevel"/>
    <w:tmpl w:val="8B8E2A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63C953E8"/>
    <w:multiLevelType w:val="hybridMultilevel"/>
    <w:tmpl w:val="B70254EC"/>
    <w:lvl w:ilvl="0" w:tplc="8F4238EE">
      <w:start w:val="23"/>
      <w:numFmt w:val="bullet"/>
      <w:lvlText w:val="-"/>
      <w:lvlJc w:val="left"/>
      <w:pPr>
        <w:ind w:left="720" w:hanging="360"/>
      </w:pPr>
      <w:rPr>
        <w:rFonts w:ascii="Times New Roman" w:eastAsiaTheme="minorHAns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F4B522B"/>
    <w:multiLevelType w:val="hybridMultilevel"/>
    <w:tmpl w:val="952AE25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71B20EA7"/>
    <w:multiLevelType w:val="hybridMultilevel"/>
    <w:tmpl w:val="A5948CD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747041C8"/>
    <w:multiLevelType w:val="hybridMultilevel"/>
    <w:tmpl w:val="AE987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49A0149"/>
    <w:multiLevelType w:val="hybridMultilevel"/>
    <w:tmpl w:val="06982D5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nsid w:val="7727653B"/>
    <w:multiLevelType w:val="hybridMultilevel"/>
    <w:tmpl w:val="6CB830EA"/>
    <w:lvl w:ilvl="0" w:tplc="6F7E9DE4">
      <w:start w:val="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A3E5E0E"/>
    <w:multiLevelType w:val="hybridMultilevel"/>
    <w:tmpl w:val="0E565A18"/>
    <w:lvl w:ilvl="0" w:tplc="6F7E9DE4">
      <w:start w:val="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ED15D6B"/>
    <w:multiLevelType w:val="hybridMultilevel"/>
    <w:tmpl w:val="0FDE30E0"/>
    <w:lvl w:ilvl="0" w:tplc="079C6A30">
      <w:start w:val="2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8"/>
  </w:num>
  <w:num w:numId="3">
    <w:abstractNumId w:val="32"/>
  </w:num>
  <w:num w:numId="4">
    <w:abstractNumId w:val="14"/>
  </w:num>
  <w:num w:numId="5">
    <w:abstractNumId w:val="31"/>
  </w:num>
  <w:num w:numId="6">
    <w:abstractNumId w:val="30"/>
  </w:num>
  <w:num w:numId="7">
    <w:abstractNumId w:val="18"/>
  </w:num>
  <w:num w:numId="8">
    <w:abstractNumId w:val="25"/>
  </w:num>
  <w:num w:numId="9">
    <w:abstractNumId w:val="24"/>
  </w:num>
  <w:num w:numId="10">
    <w:abstractNumId w:val="12"/>
  </w:num>
  <w:num w:numId="11">
    <w:abstractNumId w:val="11"/>
  </w:num>
  <w:num w:numId="12">
    <w:abstractNumId w:val="10"/>
  </w:num>
  <w:num w:numId="13">
    <w:abstractNumId w:val="29"/>
  </w:num>
  <w:num w:numId="14">
    <w:abstractNumId w:val="2"/>
  </w:num>
  <w:num w:numId="15">
    <w:abstractNumId w:val="27"/>
  </w:num>
  <w:num w:numId="16">
    <w:abstractNumId w:val="9"/>
  </w:num>
  <w:num w:numId="17">
    <w:abstractNumId w:val="26"/>
  </w:num>
  <w:num w:numId="18">
    <w:abstractNumId w:val="0"/>
  </w:num>
  <w:num w:numId="19">
    <w:abstractNumId w:val="13"/>
  </w:num>
  <w:num w:numId="20">
    <w:abstractNumId w:val="21"/>
  </w:num>
  <w:num w:numId="21">
    <w:abstractNumId w:val="3"/>
  </w:num>
  <w:num w:numId="22">
    <w:abstractNumId w:val="6"/>
  </w:num>
  <w:num w:numId="23">
    <w:abstractNumId w:val="23"/>
  </w:num>
  <w:num w:numId="24">
    <w:abstractNumId w:val="23"/>
  </w:num>
  <w:num w:numId="25">
    <w:abstractNumId w:val="16"/>
  </w:num>
  <w:num w:numId="26">
    <w:abstractNumId w:val="7"/>
  </w:num>
  <w:num w:numId="27">
    <w:abstractNumId w:val="15"/>
  </w:num>
  <w:num w:numId="28">
    <w:abstractNumId w:val="17"/>
  </w:num>
  <w:num w:numId="29">
    <w:abstractNumId w:val="19"/>
  </w:num>
  <w:num w:numId="30">
    <w:abstractNumId w:val="4"/>
  </w:num>
  <w:num w:numId="31">
    <w:abstractNumId w:val="8"/>
  </w:num>
  <w:num w:numId="32">
    <w:abstractNumId w:val="20"/>
  </w:num>
  <w:num w:numId="33">
    <w:abstractNumId w:val="2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nl-BE" w:vendorID="64" w:dllVersion="131078" w:nlCheck="1" w:checkStyle="0"/>
  <w:activeWritingStyle w:appName="MSWord" w:lang="es-ES" w:vendorID="64" w:dllVersion="131078" w:nlCheck="1" w:checkStyle="0"/>
  <w:activeWritingStyle w:appName="MSWord" w:lang="pt-PT" w:vendorID="64" w:dllVersion="131078" w:nlCheck="1" w:checkStyle="0"/>
  <w:activeWritingStyle w:appName="MSWord" w:lang="it-IT" w:vendorID="64" w:dllVersion="131078" w:nlCheck="1" w:checkStyle="0"/>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EBFA3F0-C798-460F-992F-4B294989F4C9"/>
    <w:docVar w:name="LW_COVERPAGE_TYPE" w:val="1"/>
    <w:docVar w:name="LW_CROSSREFERENCE" w:val="&lt;UNUSED&gt;"/>
    <w:docVar w:name="LW_DocType" w:val="NORMAL"/>
    <w:docVar w:name="LW_EMISSION" w:val="2.12.2020"/>
    <w:docVar w:name="LW_EMISSION_ISODATE" w:val="2020-12-02"/>
    <w:docVar w:name="LW_EMISSION_LOCATION" w:val="BRX"/>
    <w:docVar w:name="LW_EMISSION_PREFIX" w:val="Bruxelles, "/>
    <w:docVar w:name="LW_EMISSION_SUFFIX" w:val=" "/>
    <w:docVar w:name="LW_ID_DOCTYPE_NONLW" w:val="CP-014"/>
    <w:docVar w:name="LW_LANGUE" w:val="RO"/>
    <w:docVar w:name="LW_LEVEL_OF_SENSITIVITY" w:val="Standard treatment"/>
    <w:docVar w:name="LW_NOM.INST" w:val="COMISIA EUROPEAN\u258?"/>
    <w:docVar w:name="LW_NOM.INST_JOINTDOC" w:val="&lt;EMPTY&gt;"/>
    <w:docVar w:name="LW_PART_NBR" w:val="1"/>
    <w:docVar w:name="LW_PART_NBR_TOTAL" w:val="1"/>
    <w:docVar w:name="LW_REF.INST.NEW" w:val="COM"/>
    <w:docVar w:name="LW_REF.INST.NEW_ADOPTED" w:val="final"/>
    <w:docVar w:name="LW_REF.INST.NEW_TEXT" w:val="(2020) 7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trategie pentru consolidarea aplic\u259?rii Cartei drepturilor fundamentale în UE"/>
    <w:docVar w:name="LW_TYPE.DOC.CP" w:val="COMUNICARE A COMISIEI C\u258?TRE PARLAMENTUL EUROPEAN, CONSILIU, COMITETUL ECONOMIC \u536?I SOCIAL EUROPEAN \u536?I COMITETUL REGIUNILOR"/>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FootnoteText">
    <w:name w:val="footnote text"/>
    <w:aliases w:val="footnotes,Footnote Text Char2 Char,Footnote Text Char Char1 Char,Footnote Text Char2 Char Char Char,Footnote Text Char1 Char Char Char Char,Footnote Text Char Char Char Char Char Char,5_G,Char Char Char,Char Char Char Char Char Char,Fußn"/>
    <w:basedOn w:val="Normal"/>
    <w:link w:val="FootnoteTextChar"/>
    <w:unhideWhenUsed/>
    <w:qFormat/>
    <w:pPr>
      <w:spacing w:after="0" w:line="240" w:lineRule="auto"/>
    </w:pPr>
    <w:rPr>
      <w:sz w:val="20"/>
      <w:szCs w:val="20"/>
    </w:rPr>
  </w:style>
  <w:style w:type="character" w:customStyle="1" w:styleId="FootnoteTextChar">
    <w:name w:val="Footnote Text Char"/>
    <w:aliases w:val="footnotes Char,Footnote Text Char2 Char Char,Footnote Text Char Char1 Char Char,Footnote Text Char2 Char Char Char Char,Footnote Text Char1 Char Char Char Char Char,Footnote Text Char Char Char Char Char Char Char,5_G Char,Fußn Char"/>
    <w:basedOn w:val="DefaultParagraphFont"/>
    <w:link w:val="FootnoteText"/>
    <w:rPr>
      <w:sz w:val="20"/>
      <w:szCs w:val="20"/>
    </w:rPr>
  </w:style>
  <w:style w:type="character" w:styleId="FootnoteReference">
    <w:name w:val="footnote reference"/>
    <w:aliases w:val="Footnote Refernece,4_G,4_GA,Footnote symbol,Footnote reference number,note TESI,BVI fnr,Appel note de bas de p,Nota,SUPERS,Footnote number,Footnote Reference Superscript,EN Footnote Reference,-E Fußnotenzeichen,number Char Char,Ref,E"/>
    <w:basedOn w:val="DefaultParagraphFont"/>
    <w:unhideWhenUsed/>
    <w:qFormat/>
    <w:rPr>
      <w:vertAlign w:val="superscript"/>
    </w:rPr>
  </w:style>
  <w:style w:type="paragraph" w:styleId="ListParagraph">
    <w:name w:val="List Paragraph"/>
    <w:aliases w:val="Fiche List Paragraph,OBC Bullet,Dot pt,F5 List Paragraph,List Paragraph1,No Spacing1,List Paragraph Char Char Char,Indicator Text,Numbered Para 1,Bullet 1,Bullet Points,MAIN CONTENT,List Paragraph11,Conclusion de partie,List Paragraph12,L"/>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affairetitle">
    <w:name w:val="affaire_title"/>
    <w:basedOn w:val="DefaultParagraphFont"/>
  </w:style>
  <w:style w:type="character" w:customStyle="1" w:styleId="outputecliaff">
    <w:name w:val="outputecliaff"/>
    <w:basedOn w:val="DefaultParagraphFont"/>
  </w:style>
  <w:style w:type="character" w:customStyle="1" w:styleId="outputecli">
    <w:name w:val="outputecli"/>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FootnoteText">
    <w:name w:val="footnote text"/>
    <w:aliases w:val="footnotes,Footnote Text Char2 Char,Footnote Text Char Char1 Char,Footnote Text Char2 Char Char Char,Footnote Text Char1 Char Char Char Char,Footnote Text Char Char Char Char Char Char,5_G,Char Char Char,Char Char Char Char Char Char,Fußn"/>
    <w:basedOn w:val="Normal"/>
    <w:link w:val="FootnoteTextChar"/>
    <w:unhideWhenUsed/>
    <w:qFormat/>
    <w:pPr>
      <w:spacing w:after="0" w:line="240" w:lineRule="auto"/>
    </w:pPr>
    <w:rPr>
      <w:sz w:val="20"/>
      <w:szCs w:val="20"/>
    </w:rPr>
  </w:style>
  <w:style w:type="character" w:customStyle="1" w:styleId="FootnoteTextChar">
    <w:name w:val="Footnote Text Char"/>
    <w:aliases w:val="footnotes Char,Footnote Text Char2 Char Char,Footnote Text Char Char1 Char Char,Footnote Text Char2 Char Char Char Char,Footnote Text Char1 Char Char Char Char Char,Footnote Text Char Char Char Char Char Char Char,5_G Char,Fußn Char"/>
    <w:basedOn w:val="DefaultParagraphFont"/>
    <w:link w:val="FootnoteText"/>
    <w:rPr>
      <w:sz w:val="20"/>
      <w:szCs w:val="20"/>
    </w:rPr>
  </w:style>
  <w:style w:type="character" w:styleId="FootnoteReference">
    <w:name w:val="footnote reference"/>
    <w:aliases w:val="Footnote Refernece,4_G,4_GA,Footnote symbol,Footnote reference number,note TESI,BVI fnr,Appel note de bas de p,Nota,SUPERS,Footnote number,Footnote Reference Superscript,EN Footnote Reference,-E Fußnotenzeichen,number Char Char,Ref,E"/>
    <w:basedOn w:val="DefaultParagraphFont"/>
    <w:unhideWhenUsed/>
    <w:qFormat/>
    <w:rPr>
      <w:vertAlign w:val="superscript"/>
    </w:rPr>
  </w:style>
  <w:style w:type="paragraph" w:styleId="ListParagraph">
    <w:name w:val="List Paragraph"/>
    <w:aliases w:val="Fiche List Paragraph,OBC Bullet,Dot pt,F5 List Paragraph,List Paragraph1,No Spacing1,List Paragraph Char Char Char,Indicator Text,Numbered Para 1,Bullet 1,Bullet Points,MAIN CONTENT,List Paragraph11,Conclusion de partie,List Paragraph12,L"/>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affairetitle">
    <w:name w:val="affaire_title"/>
    <w:basedOn w:val="DefaultParagraphFont"/>
  </w:style>
  <w:style w:type="character" w:customStyle="1" w:styleId="outputecliaff">
    <w:name w:val="outputecliaff"/>
    <w:basedOn w:val="DefaultParagraphFont"/>
  </w:style>
  <w:style w:type="character" w:customStyle="1" w:styleId="outputecli">
    <w:name w:val="outputecli"/>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818">
      <w:bodyDiv w:val="1"/>
      <w:marLeft w:val="0"/>
      <w:marRight w:val="0"/>
      <w:marTop w:val="0"/>
      <w:marBottom w:val="0"/>
      <w:divBdr>
        <w:top w:val="none" w:sz="0" w:space="0" w:color="auto"/>
        <w:left w:val="none" w:sz="0" w:space="0" w:color="auto"/>
        <w:bottom w:val="none" w:sz="0" w:space="0" w:color="auto"/>
        <w:right w:val="none" w:sz="0" w:space="0" w:color="auto"/>
      </w:divBdr>
    </w:div>
    <w:div w:id="121966609">
      <w:bodyDiv w:val="1"/>
      <w:marLeft w:val="0"/>
      <w:marRight w:val="0"/>
      <w:marTop w:val="0"/>
      <w:marBottom w:val="0"/>
      <w:divBdr>
        <w:top w:val="none" w:sz="0" w:space="0" w:color="auto"/>
        <w:left w:val="none" w:sz="0" w:space="0" w:color="auto"/>
        <w:bottom w:val="none" w:sz="0" w:space="0" w:color="auto"/>
        <w:right w:val="none" w:sz="0" w:space="0" w:color="auto"/>
      </w:divBdr>
    </w:div>
    <w:div w:id="231162252">
      <w:bodyDiv w:val="1"/>
      <w:marLeft w:val="0"/>
      <w:marRight w:val="0"/>
      <w:marTop w:val="0"/>
      <w:marBottom w:val="0"/>
      <w:divBdr>
        <w:top w:val="none" w:sz="0" w:space="0" w:color="auto"/>
        <w:left w:val="none" w:sz="0" w:space="0" w:color="auto"/>
        <w:bottom w:val="none" w:sz="0" w:space="0" w:color="auto"/>
        <w:right w:val="none" w:sz="0" w:space="0" w:color="auto"/>
      </w:divBdr>
      <w:divsChild>
        <w:div w:id="472135691">
          <w:marLeft w:val="0"/>
          <w:marRight w:val="0"/>
          <w:marTop w:val="0"/>
          <w:marBottom w:val="0"/>
          <w:divBdr>
            <w:top w:val="none" w:sz="0" w:space="0" w:color="auto"/>
            <w:left w:val="none" w:sz="0" w:space="0" w:color="auto"/>
            <w:bottom w:val="none" w:sz="0" w:space="0" w:color="auto"/>
            <w:right w:val="none" w:sz="0" w:space="0" w:color="auto"/>
          </w:divBdr>
          <w:divsChild>
            <w:div w:id="164095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4994">
      <w:bodyDiv w:val="1"/>
      <w:marLeft w:val="0"/>
      <w:marRight w:val="0"/>
      <w:marTop w:val="0"/>
      <w:marBottom w:val="0"/>
      <w:divBdr>
        <w:top w:val="none" w:sz="0" w:space="0" w:color="auto"/>
        <w:left w:val="none" w:sz="0" w:space="0" w:color="auto"/>
        <w:bottom w:val="none" w:sz="0" w:space="0" w:color="auto"/>
        <w:right w:val="none" w:sz="0" w:space="0" w:color="auto"/>
      </w:divBdr>
    </w:div>
    <w:div w:id="505940495">
      <w:bodyDiv w:val="1"/>
      <w:marLeft w:val="0"/>
      <w:marRight w:val="0"/>
      <w:marTop w:val="0"/>
      <w:marBottom w:val="0"/>
      <w:divBdr>
        <w:top w:val="none" w:sz="0" w:space="0" w:color="auto"/>
        <w:left w:val="none" w:sz="0" w:space="0" w:color="auto"/>
        <w:bottom w:val="none" w:sz="0" w:space="0" w:color="auto"/>
        <w:right w:val="none" w:sz="0" w:space="0" w:color="auto"/>
      </w:divBdr>
    </w:div>
    <w:div w:id="61310076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42471963">
      <w:bodyDiv w:val="1"/>
      <w:marLeft w:val="0"/>
      <w:marRight w:val="0"/>
      <w:marTop w:val="0"/>
      <w:marBottom w:val="0"/>
      <w:divBdr>
        <w:top w:val="none" w:sz="0" w:space="0" w:color="auto"/>
        <w:left w:val="none" w:sz="0" w:space="0" w:color="auto"/>
        <w:bottom w:val="none" w:sz="0" w:space="0" w:color="auto"/>
        <w:right w:val="none" w:sz="0" w:space="0" w:color="auto"/>
      </w:divBdr>
    </w:div>
    <w:div w:id="651300510">
      <w:bodyDiv w:val="1"/>
      <w:marLeft w:val="0"/>
      <w:marRight w:val="0"/>
      <w:marTop w:val="0"/>
      <w:marBottom w:val="0"/>
      <w:divBdr>
        <w:top w:val="none" w:sz="0" w:space="0" w:color="auto"/>
        <w:left w:val="none" w:sz="0" w:space="0" w:color="auto"/>
        <w:bottom w:val="none" w:sz="0" w:space="0" w:color="auto"/>
        <w:right w:val="none" w:sz="0" w:space="0" w:color="auto"/>
      </w:divBdr>
    </w:div>
    <w:div w:id="735131257">
      <w:bodyDiv w:val="1"/>
      <w:marLeft w:val="0"/>
      <w:marRight w:val="0"/>
      <w:marTop w:val="0"/>
      <w:marBottom w:val="0"/>
      <w:divBdr>
        <w:top w:val="none" w:sz="0" w:space="0" w:color="auto"/>
        <w:left w:val="none" w:sz="0" w:space="0" w:color="auto"/>
        <w:bottom w:val="none" w:sz="0" w:space="0" w:color="auto"/>
        <w:right w:val="none" w:sz="0" w:space="0" w:color="auto"/>
      </w:divBdr>
    </w:div>
    <w:div w:id="755982936">
      <w:bodyDiv w:val="1"/>
      <w:marLeft w:val="0"/>
      <w:marRight w:val="0"/>
      <w:marTop w:val="0"/>
      <w:marBottom w:val="0"/>
      <w:divBdr>
        <w:top w:val="none" w:sz="0" w:space="0" w:color="auto"/>
        <w:left w:val="none" w:sz="0" w:space="0" w:color="auto"/>
        <w:bottom w:val="none" w:sz="0" w:space="0" w:color="auto"/>
        <w:right w:val="none" w:sz="0" w:space="0" w:color="auto"/>
      </w:divBdr>
    </w:div>
    <w:div w:id="758407276">
      <w:bodyDiv w:val="1"/>
      <w:marLeft w:val="0"/>
      <w:marRight w:val="0"/>
      <w:marTop w:val="0"/>
      <w:marBottom w:val="0"/>
      <w:divBdr>
        <w:top w:val="none" w:sz="0" w:space="0" w:color="auto"/>
        <w:left w:val="none" w:sz="0" w:space="0" w:color="auto"/>
        <w:bottom w:val="none" w:sz="0" w:space="0" w:color="auto"/>
        <w:right w:val="none" w:sz="0" w:space="0" w:color="auto"/>
      </w:divBdr>
    </w:div>
    <w:div w:id="788817092">
      <w:bodyDiv w:val="1"/>
      <w:marLeft w:val="0"/>
      <w:marRight w:val="0"/>
      <w:marTop w:val="0"/>
      <w:marBottom w:val="0"/>
      <w:divBdr>
        <w:top w:val="none" w:sz="0" w:space="0" w:color="auto"/>
        <w:left w:val="none" w:sz="0" w:space="0" w:color="auto"/>
        <w:bottom w:val="none" w:sz="0" w:space="0" w:color="auto"/>
        <w:right w:val="none" w:sz="0" w:space="0" w:color="auto"/>
      </w:divBdr>
    </w:div>
    <w:div w:id="822625755">
      <w:bodyDiv w:val="1"/>
      <w:marLeft w:val="0"/>
      <w:marRight w:val="0"/>
      <w:marTop w:val="0"/>
      <w:marBottom w:val="0"/>
      <w:divBdr>
        <w:top w:val="none" w:sz="0" w:space="0" w:color="auto"/>
        <w:left w:val="none" w:sz="0" w:space="0" w:color="auto"/>
        <w:bottom w:val="none" w:sz="0" w:space="0" w:color="auto"/>
        <w:right w:val="none" w:sz="0" w:space="0" w:color="auto"/>
      </w:divBdr>
    </w:div>
    <w:div w:id="830946696">
      <w:bodyDiv w:val="1"/>
      <w:marLeft w:val="0"/>
      <w:marRight w:val="0"/>
      <w:marTop w:val="0"/>
      <w:marBottom w:val="0"/>
      <w:divBdr>
        <w:top w:val="none" w:sz="0" w:space="0" w:color="auto"/>
        <w:left w:val="none" w:sz="0" w:space="0" w:color="auto"/>
        <w:bottom w:val="none" w:sz="0" w:space="0" w:color="auto"/>
        <w:right w:val="none" w:sz="0" w:space="0" w:color="auto"/>
      </w:divBdr>
    </w:div>
    <w:div w:id="840924912">
      <w:bodyDiv w:val="1"/>
      <w:marLeft w:val="0"/>
      <w:marRight w:val="0"/>
      <w:marTop w:val="0"/>
      <w:marBottom w:val="0"/>
      <w:divBdr>
        <w:top w:val="none" w:sz="0" w:space="0" w:color="auto"/>
        <w:left w:val="none" w:sz="0" w:space="0" w:color="auto"/>
        <w:bottom w:val="none" w:sz="0" w:space="0" w:color="auto"/>
        <w:right w:val="none" w:sz="0" w:space="0" w:color="auto"/>
      </w:divBdr>
    </w:div>
    <w:div w:id="912810767">
      <w:bodyDiv w:val="1"/>
      <w:marLeft w:val="0"/>
      <w:marRight w:val="0"/>
      <w:marTop w:val="0"/>
      <w:marBottom w:val="0"/>
      <w:divBdr>
        <w:top w:val="none" w:sz="0" w:space="0" w:color="auto"/>
        <w:left w:val="none" w:sz="0" w:space="0" w:color="auto"/>
        <w:bottom w:val="none" w:sz="0" w:space="0" w:color="auto"/>
        <w:right w:val="none" w:sz="0" w:space="0" w:color="auto"/>
      </w:divBdr>
    </w:div>
    <w:div w:id="938638944">
      <w:bodyDiv w:val="1"/>
      <w:marLeft w:val="0"/>
      <w:marRight w:val="0"/>
      <w:marTop w:val="0"/>
      <w:marBottom w:val="0"/>
      <w:divBdr>
        <w:top w:val="none" w:sz="0" w:space="0" w:color="auto"/>
        <w:left w:val="none" w:sz="0" w:space="0" w:color="auto"/>
        <w:bottom w:val="none" w:sz="0" w:space="0" w:color="auto"/>
        <w:right w:val="none" w:sz="0" w:space="0" w:color="auto"/>
      </w:divBdr>
    </w:div>
    <w:div w:id="971785020">
      <w:bodyDiv w:val="1"/>
      <w:marLeft w:val="0"/>
      <w:marRight w:val="0"/>
      <w:marTop w:val="0"/>
      <w:marBottom w:val="0"/>
      <w:divBdr>
        <w:top w:val="none" w:sz="0" w:space="0" w:color="auto"/>
        <w:left w:val="none" w:sz="0" w:space="0" w:color="auto"/>
        <w:bottom w:val="none" w:sz="0" w:space="0" w:color="auto"/>
        <w:right w:val="none" w:sz="0" w:space="0" w:color="auto"/>
      </w:divBdr>
    </w:div>
    <w:div w:id="999694109">
      <w:bodyDiv w:val="1"/>
      <w:marLeft w:val="0"/>
      <w:marRight w:val="0"/>
      <w:marTop w:val="0"/>
      <w:marBottom w:val="0"/>
      <w:divBdr>
        <w:top w:val="none" w:sz="0" w:space="0" w:color="auto"/>
        <w:left w:val="none" w:sz="0" w:space="0" w:color="auto"/>
        <w:bottom w:val="none" w:sz="0" w:space="0" w:color="auto"/>
        <w:right w:val="none" w:sz="0" w:space="0" w:color="auto"/>
      </w:divBdr>
    </w:div>
    <w:div w:id="1119569606">
      <w:bodyDiv w:val="1"/>
      <w:marLeft w:val="0"/>
      <w:marRight w:val="0"/>
      <w:marTop w:val="0"/>
      <w:marBottom w:val="0"/>
      <w:divBdr>
        <w:top w:val="none" w:sz="0" w:space="0" w:color="auto"/>
        <w:left w:val="none" w:sz="0" w:space="0" w:color="auto"/>
        <w:bottom w:val="none" w:sz="0" w:space="0" w:color="auto"/>
        <w:right w:val="none" w:sz="0" w:space="0" w:color="auto"/>
      </w:divBdr>
    </w:div>
    <w:div w:id="1153136110">
      <w:bodyDiv w:val="1"/>
      <w:marLeft w:val="0"/>
      <w:marRight w:val="0"/>
      <w:marTop w:val="0"/>
      <w:marBottom w:val="0"/>
      <w:divBdr>
        <w:top w:val="none" w:sz="0" w:space="0" w:color="auto"/>
        <w:left w:val="none" w:sz="0" w:space="0" w:color="auto"/>
        <w:bottom w:val="none" w:sz="0" w:space="0" w:color="auto"/>
        <w:right w:val="none" w:sz="0" w:space="0" w:color="auto"/>
      </w:divBdr>
    </w:div>
    <w:div w:id="1277445531">
      <w:bodyDiv w:val="1"/>
      <w:marLeft w:val="0"/>
      <w:marRight w:val="0"/>
      <w:marTop w:val="0"/>
      <w:marBottom w:val="0"/>
      <w:divBdr>
        <w:top w:val="none" w:sz="0" w:space="0" w:color="auto"/>
        <w:left w:val="none" w:sz="0" w:space="0" w:color="auto"/>
        <w:bottom w:val="none" w:sz="0" w:space="0" w:color="auto"/>
        <w:right w:val="none" w:sz="0" w:space="0" w:color="auto"/>
      </w:divBdr>
    </w:div>
    <w:div w:id="1317104350">
      <w:bodyDiv w:val="1"/>
      <w:marLeft w:val="0"/>
      <w:marRight w:val="0"/>
      <w:marTop w:val="0"/>
      <w:marBottom w:val="0"/>
      <w:divBdr>
        <w:top w:val="none" w:sz="0" w:space="0" w:color="auto"/>
        <w:left w:val="none" w:sz="0" w:space="0" w:color="auto"/>
        <w:bottom w:val="none" w:sz="0" w:space="0" w:color="auto"/>
        <w:right w:val="none" w:sz="0" w:space="0" w:color="auto"/>
      </w:divBdr>
    </w:div>
    <w:div w:id="1365401068">
      <w:bodyDiv w:val="1"/>
      <w:marLeft w:val="0"/>
      <w:marRight w:val="0"/>
      <w:marTop w:val="0"/>
      <w:marBottom w:val="0"/>
      <w:divBdr>
        <w:top w:val="none" w:sz="0" w:space="0" w:color="auto"/>
        <w:left w:val="none" w:sz="0" w:space="0" w:color="auto"/>
        <w:bottom w:val="none" w:sz="0" w:space="0" w:color="auto"/>
        <w:right w:val="none" w:sz="0" w:space="0" w:color="auto"/>
      </w:divBdr>
    </w:div>
    <w:div w:id="1502699983">
      <w:bodyDiv w:val="1"/>
      <w:marLeft w:val="0"/>
      <w:marRight w:val="0"/>
      <w:marTop w:val="0"/>
      <w:marBottom w:val="0"/>
      <w:divBdr>
        <w:top w:val="none" w:sz="0" w:space="0" w:color="auto"/>
        <w:left w:val="none" w:sz="0" w:space="0" w:color="auto"/>
        <w:bottom w:val="none" w:sz="0" w:space="0" w:color="auto"/>
        <w:right w:val="none" w:sz="0" w:space="0" w:color="auto"/>
      </w:divBdr>
    </w:div>
    <w:div w:id="1544365979">
      <w:bodyDiv w:val="1"/>
      <w:marLeft w:val="0"/>
      <w:marRight w:val="0"/>
      <w:marTop w:val="0"/>
      <w:marBottom w:val="0"/>
      <w:divBdr>
        <w:top w:val="none" w:sz="0" w:space="0" w:color="auto"/>
        <w:left w:val="none" w:sz="0" w:space="0" w:color="auto"/>
        <w:bottom w:val="none" w:sz="0" w:space="0" w:color="auto"/>
        <w:right w:val="none" w:sz="0" w:space="0" w:color="auto"/>
      </w:divBdr>
    </w:div>
    <w:div w:id="1548449529">
      <w:bodyDiv w:val="1"/>
      <w:marLeft w:val="0"/>
      <w:marRight w:val="0"/>
      <w:marTop w:val="0"/>
      <w:marBottom w:val="0"/>
      <w:divBdr>
        <w:top w:val="none" w:sz="0" w:space="0" w:color="auto"/>
        <w:left w:val="none" w:sz="0" w:space="0" w:color="auto"/>
        <w:bottom w:val="none" w:sz="0" w:space="0" w:color="auto"/>
        <w:right w:val="none" w:sz="0" w:space="0" w:color="auto"/>
      </w:divBdr>
    </w:div>
    <w:div w:id="1898466289">
      <w:bodyDiv w:val="1"/>
      <w:marLeft w:val="0"/>
      <w:marRight w:val="0"/>
      <w:marTop w:val="0"/>
      <w:marBottom w:val="0"/>
      <w:divBdr>
        <w:top w:val="none" w:sz="0" w:space="0" w:color="auto"/>
        <w:left w:val="none" w:sz="0" w:space="0" w:color="auto"/>
        <w:bottom w:val="none" w:sz="0" w:space="0" w:color="auto"/>
        <w:right w:val="none" w:sz="0" w:space="0" w:color="auto"/>
      </w:divBdr>
    </w:div>
    <w:div w:id="1909538240">
      <w:bodyDiv w:val="1"/>
      <w:marLeft w:val="0"/>
      <w:marRight w:val="0"/>
      <w:marTop w:val="0"/>
      <w:marBottom w:val="0"/>
      <w:divBdr>
        <w:top w:val="none" w:sz="0" w:space="0" w:color="auto"/>
        <w:left w:val="none" w:sz="0" w:space="0" w:color="auto"/>
        <w:bottom w:val="none" w:sz="0" w:space="0" w:color="auto"/>
        <w:right w:val="none" w:sz="0" w:space="0" w:color="auto"/>
      </w:divBdr>
    </w:div>
    <w:div w:id="1930502613">
      <w:bodyDiv w:val="1"/>
      <w:marLeft w:val="0"/>
      <w:marRight w:val="0"/>
      <w:marTop w:val="0"/>
      <w:marBottom w:val="0"/>
      <w:divBdr>
        <w:top w:val="none" w:sz="0" w:space="0" w:color="auto"/>
        <w:left w:val="none" w:sz="0" w:space="0" w:color="auto"/>
        <w:bottom w:val="none" w:sz="0" w:space="0" w:color="auto"/>
        <w:right w:val="none" w:sz="0" w:space="0" w:color="auto"/>
      </w:divBdr>
      <w:divsChild>
        <w:div w:id="533927066">
          <w:marLeft w:val="0"/>
          <w:marRight w:val="0"/>
          <w:marTop w:val="0"/>
          <w:marBottom w:val="0"/>
          <w:divBdr>
            <w:top w:val="none" w:sz="0" w:space="0" w:color="auto"/>
            <w:left w:val="none" w:sz="0" w:space="0" w:color="auto"/>
            <w:bottom w:val="none" w:sz="0" w:space="0" w:color="auto"/>
            <w:right w:val="none" w:sz="0" w:space="0" w:color="auto"/>
          </w:divBdr>
          <w:divsChild>
            <w:div w:id="533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55490">
      <w:bodyDiv w:val="1"/>
      <w:marLeft w:val="0"/>
      <w:marRight w:val="0"/>
      <w:marTop w:val="0"/>
      <w:marBottom w:val="0"/>
      <w:divBdr>
        <w:top w:val="none" w:sz="0" w:space="0" w:color="auto"/>
        <w:left w:val="none" w:sz="0" w:space="0" w:color="auto"/>
        <w:bottom w:val="none" w:sz="0" w:space="0" w:color="auto"/>
        <w:right w:val="none" w:sz="0" w:space="0" w:color="auto"/>
      </w:divBdr>
    </w:div>
    <w:div w:id="1967003743">
      <w:bodyDiv w:val="1"/>
      <w:marLeft w:val="0"/>
      <w:marRight w:val="0"/>
      <w:marTop w:val="0"/>
      <w:marBottom w:val="0"/>
      <w:divBdr>
        <w:top w:val="none" w:sz="0" w:space="0" w:color="auto"/>
        <w:left w:val="none" w:sz="0" w:space="0" w:color="auto"/>
        <w:bottom w:val="none" w:sz="0" w:space="0" w:color="auto"/>
        <w:right w:val="none" w:sz="0" w:space="0" w:color="auto"/>
      </w:divBdr>
    </w:div>
    <w:div w:id="1982878258">
      <w:bodyDiv w:val="1"/>
      <w:marLeft w:val="0"/>
      <w:marRight w:val="0"/>
      <w:marTop w:val="0"/>
      <w:marBottom w:val="0"/>
      <w:divBdr>
        <w:top w:val="none" w:sz="0" w:space="0" w:color="auto"/>
        <w:left w:val="none" w:sz="0" w:space="0" w:color="auto"/>
        <w:bottom w:val="none" w:sz="0" w:space="0" w:color="auto"/>
        <w:right w:val="none" w:sz="0" w:space="0" w:color="auto"/>
      </w:divBdr>
    </w:div>
    <w:div w:id="2016686981">
      <w:bodyDiv w:val="1"/>
      <w:marLeft w:val="0"/>
      <w:marRight w:val="0"/>
      <w:marTop w:val="0"/>
      <w:marBottom w:val="0"/>
      <w:divBdr>
        <w:top w:val="none" w:sz="0" w:space="0" w:color="auto"/>
        <w:left w:val="none" w:sz="0" w:space="0" w:color="auto"/>
        <w:bottom w:val="none" w:sz="0" w:space="0" w:color="auto"/>
        <w:right w:val="none" w:sz="0" w:space="0" w:color="auto"/>
      </w:divBdr>
    </w:div>
    <w:div w:id="2043240469">
      <w:bodyDiv w:val="1"/>
      <w:marLeft w:val="0"/>
      <w:marRight w:val="0"/>
      <w:marTop w:val="0"/>
      <w:marBottom w:val="0"/>
      <w:divBdr>
        <w:top w:val="none" w:sz="0" w:space="0" w:color="auto"/>
        <w:left w:val="none" w:sz="0" w:space="0" w:color="auto"/>
        <w:bottom w:val="none" w:sz="0" w:space="0" w:color="auto"/>
        <w:right w:val="none" w:sz="0" w:space="0" w:color="auto"/>
      </w:divBdr>
    </w:div>
    <w:div w:id="2107067826">
      <w:bodyDiv w:val="1"/>
      <w:marLeft w:val="0"/>
      <w:marRight w:val="0"/>
      <w:marTop w:val="0"/>
      <w:marBottom w:val="0"/>
      <w:divBdr>
        <w:top w:val="none" w:sz="0" w:space="0" w:color="auto"/>
        <w:left w:val="none" w:sz="0" w:space="0" w:color="auto"/>
        <w:bottom w:val="none" w:sz="0" w:space="0" w:color="auto"/>
        <w:right w:val="none" w:sz="0" w:space="0" w:color="auto"/>
      </w:divBdr>
    </w:div>
    <w:div w:id="213898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files/analysis-targeted-consultations-commissions-new-charter-strategy_en" TargetMode="External"/><Relationship Id="rId13" Type="http://schemas.openxmlformats.org/officeDocument/2006/relationships/hyperlink" Target="https://fra.europa.eu/sites/default/files/fra_uploads/fra-2018-charter-guidance_ro.pdf" TargetMode="External"/><Relationship Id="rId18" Type="http://schemas.openxmlformats.org/officeDocument/2006/relationships/hyperlink" Target="https://fra.europa.eu/en/publication/2018/challenges-facing-civil-society-organisations-working-human-rights-eu" TargetMode="External"/><Relationship Id="rId26" Type="http://schemas.openxmlformats.org/officeDocument/2006/relationships/hyperlink" Target="http://www.ejtn.eu/Exchange-Programme/" TargetMode="External"/><Relationship Id="rId3" Type="http://schemas.openxmlformats.org/officeDocument/2006/relationships/hyperlink" Target="https://ec.europa.eu/info/events/2019-conference-eu-charter-fundamental-rights-2019-nov-12_en" TargetMode="External"/><Relationship Id="rId21" Type="http://schemas.openxmlformats.org/officeDocument/2006/relationships/hyperlink" Target="https://nhri.ohchr.org/EN/AboutUs/Pages/ParisPrinciples.aspx" TargetMode="External"/><Relationship Id="rId34" Type="http://schemas.openxmlformats.org/officeDocument/2006/relationships/hyperlink" Target="https://ec.europa.eu/info/aid-development-cooperation-fundamental-rights/your-rights-eu/eu-charter-fundamental-rights/application-charter/annual-reports-application-charter_ro" TargetMode="External"/><Relationship Id="rId7" Type="http://schemas.openxmlformats.org/officeDocument/2006/relationships/hyperlink" Target="https://ec.europa.eu/info/events/2019-conference-eu-charter-fundamental-rights-2019-nov-12_en" TargetMode="External"/><Relationship Id="rId12" Type="http://schemas.openxmlformats.org/officeDocument/2006/relationships/hyperlink" Target="https://ec.europa.eu/commission/sites/beta-political/files/rp_sustainable_europe_30-01_en_web.pdf" TargetMode="External"/><Relationship Id="rId17" Type="http://schemas.openxmlformats.org/officeDocument/2006/relationships/hyperlink" Target="https://eur-lex.europa.eu/legal-content/RO/TXT/?uri=CELEX:52016XC0723(01)" TargetMode="External"/><Relationship Id="rId25" Type="http://schemas.openxmlformats.org/officeDocument/2006/relationships/hyperlink" Target="https://fra.europa.eu/sites/default/files/fra_uploads/fra-opinion-04-2018_charter-implementation.pdf" TargetMode="External"/><Relationship Id="rId33" Type="http://schemas.openxmlformats.org/officeDocument/2006/relationships/hyperlink" Target="https://data.consilium.europa.eu/doc/document/ST-12848-2020-INIT/ro/pdf" TargetMode="External"/><Relationship Id="rId2" Type="http://schemas.openxmlformats.org/officeDocument/2006/relationships/hyperlink" Target="https://fra.europa.eu/sites/default/files/fra_uploads/fra-2020-fundamental-rights-report-2020-opinions_ro.pdf" TargetMode="External"/><Relationship Id="rId16" Type="http://schemas.openxmlformats.org/officeDocument/2006/relationships/hyperlink" Target="https://eur-lex.europa.eu/legal-content/RO/TXT/?uri=COM:2018:375:FIN" TargetMode="External"/><Relationship Id="rId20" Type="http://schemas.openxmlformats.org/officeDocument/2006/relationships/hyperlink" Target="https://ganhri.org/nhri/" TargetMode="External"/><Relationship Id="rId29" Type="http://schemas.openxmlformats.org/officeDocument/2006/relationships/hyperlink" Target="https://e-justice.europa.eu/content_european_training_platform-37158-ro.do?init=true" TargetMode="External"/><Relationship Id="rId1" Type="http://schemas.openxmlformats.org/officeDocument/2006/relationships/hyperlink" Target="https://ec.europa.eu/info/aid-development-cooperation-fundamental-rights/your-rights-eu/eu-charter-fundamental-rights/application-charter/annual-reports-application-charter_ro" TargetMode="External"/><Relationship Id="rId6" Type="http://schemas.openxmlformats.org/officeDocument/2006/relationships/hyperlink" Target="https://data.consilium.europa.eu/doc/document/ST-11717-2020-REV-2/ro/pdf" TargetMode="External"/><Relationship Id="rId11" Type="http://schemas.openxmlformats.org/officeDocument/2006/relationships/hyperlink" Target="https://www.un.org/sustainabledevelopment/" TargetMode="External"/><Relationship Id="rId24" Type="http://schemas.openxmlformats.org/officeDocument/2006/relationships/hyperlink" Target="https://fra.europa.eu/ro/eu-charter" TargetMode="External"/><Relationship Id="rId32" Type="http://schemas.openxmlformats.org/officeDocument/2006/relationships/hyperlink" Target="https://ec.europa.eu/info/consultations_ro" TargetMode="External"/><Relationship Id="rId5" Type="http://schemas.openxmlformats.org/officeDocument/2006/relationships/hyperlink" Target="https://ec.europa.eu/jrc/en/publication/eur-scientific-and-technical-research-reports/technology-and-democracy" TargetMode="External"/><Relationship Id="rId15" Type="http://schemas.openxmlformats.org/officeDocument/2006/relationships/hyperlink" Target="https://fra.europa.eu/en/databases/efris/" TargetMode="External"/><Relationship Id="rId23" Type="http://schemas.openxmlformats.org/officeDocument/2006/relationships/hyperlink" Target="http://ennhri.org/wp-content/uploads/2019/11/Implementation-of-the-EU-Charter-of-Fundamental-Rights-Activities-of-NHRIs.pdf" TargetMode="External"/><Relationship Id="rId28" Type="http://schemas.openxmlformats.org/officeDocument/2006/relationships/hyperlink" Target="https://fra.europa.eu/ro/eu-charter" TargetMode="External"/><Relationship Id="rId36" Type="http://schemas.openxmlformats.org/officeDocument/2006/relationships/hyperlink" Target="file:///\\net1.cec.eu.int\JUST\C\2\Fundamental%20Rights%20Policies\Charter%20Strategy%202020-2030\Charter%20Strategy%20Communication\ISC\Post%20ISC%20version\www.dearprogramme.eu" TargetMode="External"/><Relationship Id="rId10" Type="http://schemas.openxmlformats.org/officeDocument/2006/relationships/hyperlink" Target="https://data.consilium.europa.eu/doc/document/ST-12848-2020-INIT/ro/pdf" TargetMode="External"/><Relationship Id="rId19" Type="http://schemas.openxmlformats.org/officeDocument/2006/relationships/hyperlink" Target="https://nhri.ohchr.org/EN/AboutUs/GANHRIAccreditation/General%20Observations%201/EN_GeneralObservations_Revisions_adopted_21.02.2018_vf.pdf" TargetMode="External"/><Relationship Id="rId31" Type="http://schemas.openxmlformats.org/officeDocument/2006/relationships/hyperlink" Target="https://ec.europa.eu/info/law/better-regulation/have-your-say_ro" TargetMode="External"/><Relationship Id="rId4" Type="http://schemas.openxmlformats.org/officeDocument/2006/relationships/hyperlink" Target="https://fra.europa.eu/ro/about-fra" TargetMode="External"/><Relationship Id="rId9" Type="http://schemas.openxmlformats.org/officeDocument/2006/relationships/hyperlink" Target="https://ec.europa.eu/commission/sites/beta-political/files/social-summit-european-pillar-social-rights-booklet_ro.pdf" TargetMode="External"/><Relationship Id="rId14" Type="http://schemas.openxmlformats.org/officeDocument/2006/relationships/hyperlink" Target="https://humanrightscities.net/" TargetMode="External"/><Relationship Id="rId22" Type="http://schemas.openxmlformats.org/officeDocument/2006/relationships/hyperlink" Target="https://ec.europa.eu/info/aid-development-cooperation-fundamental-rights/your-rights-eu/eu-charter-fundamental-rights/application-charter/studies-relating-charter_ro" TargetMode="External"/><Relationship Id="rId27" Type="http://schemas.openxmlformats.org/officeDocument/2006/relationships/hyperlink" Target="https://fra.europa.eu/ro/publication/2020/aplicarea-cartei-drepturilor-fundamentale-uniunii-europene-domeniul-legiferarii-si" TargetMode="External"/><Relationship Id="rId30" Type="http://schemas.openxmlformats.org/officeDocument/2006/relationships/hyperlink" Target="https://ec.europa.eu/info/publications/communication-shaping-europes-digital-future_ro" TargetMode="External"/><Relationship Id="rId35" Type="http://schemas.openxmlformats.org/officeDocument/2006/relationships/hyperlink" Target="https://fra.europa.eu/en/event/2020/fundamental-rights-forum-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076A2E8-70F5-4BAD-BA54-53106153C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6112</Words>
  <Characters>35884</Characters>
  <Application>Microsoft Office Word</Application>
  <DocSecurity>0</DocSecurity>
  <Lines>552</Lines>
  <Paragraphs>164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2020-11-30T11:31:00Z</dcterms:created>
  <dcterms:modified xsi:type="dcterms:W3CDTF">2020-12-04T18:49:00Z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