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A1ADCEC-B6AA-413A-9368-8AAF6A137161"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itle"/>
        <w:jc w:val="center"/>
        <w:rPr>
          <w:rFonts w:ascii="Times New Roman" w:hAnsi="Times New Roman" w:cs="Times New Roman"/>
          <w:noProof/>
          <w:sz w:val="32"/>
          <w:szCs w:val="32"/>
        </w:rPr>
      </w:pPr>
      <w:bookmarkStart w:id="1" w:name="_GoBack"/>
      <w:bookmarkEnd w:id="1"/>
      <w:r>
        <w:rPr>
          <w:rFonts w:ascii="Times New Roman" w:hAnsi="Times New Roman"/>
          <w:noProof/>
          <w:sz w:val="32"/>
          <w:szCs w:val="32"/>
        </w:rPr>
        <w:lastRenderedPageBreak/>
        <w:t>Az Alapjogi Charta EU-n belüli alkalmazásának megerősítésére irányuló stratégia</w:t>
      </w:r>
    </w:p>
    <w:p>
      <w:pPr>
        <w:pStyle w:val="Heading1"/>
        <w:rPr>
          <w:rFonts w:ascii="Times New Roman" w:hAnsi="Times New Roman" w:cs="Times New Roman"/>
          <w:noProof/>
        </w:rPr>
      </w:pPr>
      <w:r>
        <w:rPr>
          <w:rFonts w:ascii="Times New Roman" w:hAnsi="Times New Roman"/>
          <w:noProof/>
        </w:rPr>
        <w:t>Bevezetés</w:t>
      </w:r>
    </w:p>
    <w:p>
      <w:pPr>
        <w:rPr>
          <w:i/>
          <w:noProof/>
        </w:rPr>
      </w:pPr>
    </w:p>
    <w:p>
      <w:pPr>
        <w:jc w:val="both"/>
        <w:rPr>
          <w:rFonts w:ascii="Times New Roman" w:hAnsi="Times New Roman" w:cs="Times New Roman"/>
          <w:b/>
          <w:i/>
          <w:noProof/>
          <w:sz w:val="24"/>
          <w:szCs w:val="24"/>
        </w:rPr>
      </w:pPr>
      <w:r>
        <w:rPr>
          <w:rFonts w:ascii="Times New Roman" w:hAnsi="Times New Roman"/>
          <w:b/>
          <w:i/>
          <w:noProof/>
          <w:sz w:val="24"/>
          <w:szCs w:val="24"/>
        </w:rPr>
        <w:t>Az EU emberi jogi alaptörvényének megerősítése az új kihívások leküzdése érdekében</w:t>
      </w:r>
    </w:p>
    <w:p>
      <w:pPr>
        <w:jc w:val="both"/>
        <w:rPr>
          <w:rFonts w:ascii="Times New Roman" w:hAnsi="Times New Roman" w:cs="Times New Roman"/>
          <w:noProof/>
          <w:sz w:val="24"/>
          <w:szCs w:val="24"/>
        </w:rPr>
      </w:pPr>
      <w:r>
        <w:rPr>
          <w:rFonts w:ascii="Times New Roman" w:hAnsi="Times New Roman"/>
          <w:noProof/>
          <w:sz w:val="24"/>
          <w:szCs w:val="24"/>
        </w:rPr>
        <w:t>A 20 éve kihirdetett és 2009</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óta jogilag kötelező Alapjogi Charta</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(a továbbiakban: Charta) hatalmas lépés volt az európai integráció terén. A Charta érdemben megerősítette, hogy az EU az alapjogokra, a demokráciára és a jogállamiságra épül</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Ezek az értékek szorosan kapcsolódnak egymáshoz. Az alapjogok csak olyan társadalomban érvényesülhetnek az emberek életében, ahol a független bíróságok garantálják azok védelmét, és ahol nyitott és tájékoztatáson alapuló demokratikus vita zajlik, továbbá létezik független média és aktív civil társadalom.</w:t>
      </w:r>
    </w:p>
    <w:p>
      <w:pPr>
        <w:jc w:val="both"/>
        <w:rPr>
          <w:rFonts w:ascii="Times New Roman" w:hAnsi="Times New Roman" w:cs="Times New Roman"/>
          <w:noProof/>
          <w:sz w:val="24"/>
          <w:szCs w:val="24"/>
        </w:rPr>
      </w:pPr>
      <w:r>
        <w:rPr>
          <w:rFonts w:ascii="Times New Roman" w:hAnsi="Times New Roman"/>
          <w:noProof/>
          <w:sz w:val="24"/>
          <w:szCs w:val="24"/>
        </w:rPr>
        <w:t>A Charta valamennyi tevékenységük során alkalmazandó az EU-s intézményekre. Az Európai Unió Alapjogi Chartájának hatékony végrehajtására irányuló, 2010. évi bizottsági stratégia</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hangsúlyozta annak fontosságát, hogy az EU-nak példát kell mutatnia, és meg kell határoznia, hogy a Bizottság hogyan biztosítsa a Chartának való teljes mértékű megfelelést. A Charta ezenkívül a tagállamokra is alkalmazandó, amikor az uniós jogot hajtják végre, és a stratégia kifejezte a Bizottság elkötelezettségét az iránt, hogy a rendelkezésére álló valamennyi eszközt felhasználja a megfelelés biztosítása érdekében.</w:t>
      </w:r>
    </w:p>
    <w:p>
      <w:pPr>
        <w:jc w:val="both"/>
        <w:rPr>
          <w:rFonts w:ascii="Times New Roman" w:hAnsi="Times New Roman" w:cs="Times New Roman"/>
          <w:noProof/>
          <w:sz w:val="24"/>
          <w:szCs w:val="24"/>
        </w:rPr>
      </w:pPr>
      <w:r>
        <w:rPr>
          <w:rFonts w:ascii="Times New Roman" w:hAnsi="Times New Roman"/>
          <w:noProof/>
          <w:sz w:val="24"/>
          <w:szCs w:val="24"/>
        </w:rPr>
        <w:t xml:space="preserve">Az elmúlt évtizedben </w:t>
      </w:r>
      <w:r>
        <w:rPr>
          <w:rFonts w:ascii="Times New Roman" w:hAnsi="Times New Roman"/>
          <w:b/>
          <w:noProof/>
          <w:sz w:val="24"/>
          <w:szCs w:val="24"/>
        </w:rPr>
        <w:t>a Charta következtében az egész EU-ban fokozott mértékben mozdították elő és védték az emberek alapjogait</w:t>
      </w:r>
      <w:r>
        <w:rPr>
          <w:rFonts w:ascii="Times New Roman" w:hAnsi="Times New Roman"/>
          <w:noProof/>
          <w:sz w:val="24"/>
          <w:szCs w:val="24"/>
        </w:rPr>
        <w:t>. A Charta nyomán olyan új uniós jogszabályok születtek, amelyek közvetlenül védenek és előmozdítanak bizonyos jelentős jogokat. Ennek legfontosabb példái az adatvédelemről, a nemek közötti egyenlőségről, a visszaélést bejelentő személyek védelméről, a tisztességes eljáráshoz és védelemhez való jogról, valamint az áldozatokról szóló új szabályok</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Az Európai Unió Bíróságának (a továbbiakban: a Bíróság) a Chartára hivatkozó ítélkezési gyakorlata jelentős mértékben</w:t>
      </w:r>
      <w:r>
        <w:rPr>
          <w:rFonts w:ascii="Times New Roman" w:hAnsi="Times New Roman" w:cs="Times New Roman"/>
          <w:noProof/>
          <w:sz w:val="24"/>
          <w:szCs w:val="24"/>
          <w:vertAlign w:val="superscript"/>
        </w:rPr>
        <w:footnoteReference w:id="6"/>
      </w:r>
      <w:r>
        <w:rPr>
          <w:rFonts w:ascii="Times New Roman" w:hAnsi="Times New Roman"/>
          <w:noProof/>
          <w:sz w:val="24"/>
          <w:szCs w:val="24"/>
        </w:rPr>
        <w:t xml:space="preserve"> fejlődött a szakpolitikai területek széles körében</w:t>
      </w:r>
      <w:r>
        <w:rPr>
          <w:rFonts w:ascii="Times New Roman" w:hAnsi="Times New Roman" w:cs="Times New Roman"/>
          <w:noProof/>
          <w:sz w:val="24"/>
          <w:szCs w:val="24"/>
          <w:vertAlign w:val="superscript"/>
        </w:rPr>
        <w:footnoteReference w:id="7"/>
      </w:r>
      <w:r>
        <w:rPr>
          <w:rFonts w:ascii="Times New Roman" w:hAnsi="Times New Roman"/>
          <w:noProof/>
          <w:sz w:val="24"/>
          <w:szCs w:val="24"/>
        </w:rPr>
        <w:t>. Az EU Alapjogi Ügynöksége (a továbbiakban: FRA) elismert uniós szervvé alakult, amely összehasonlítható adatokat és elemzést biztosít az alapjogokról, hogy támogassa az uniós intézmények és a tagállamok munkáját</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A független nemzeti emberi jogi intézmények és szervezetek száma szintén jelentős mértékben megnövekedett az EU-ban</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ami szilárd alapokat biztosított az emberi jogok gyakorlati érvényesítéséhez.</w:t>
      </w:r>
    </w:p>
    <w:p>
      <w:pPr>
        <w:jc w:val="both"/>
        <w:rPr>
          <w:rFonts w:ascii="Times New Roman" w:hAnsi="Times New Roman" w:cs="Times New Roman"/>
          <w:noProof/>
          <w:sz w:val="24"/>
          <w:szCs w:val="24"/>
        </w:rPr>
      </w:pPr>
      <w:r>
        <w:rPr>
          <w:rFonts w:ascii="Times New Roman" w:hAnsi="Times New Roman"/>
          <w:b/>
          <w:noProof/>
          <w:sz w:val="24"/>
          <w:szCs w:val="24"/>
        </w:rPr>
        <w:t xml:space="preserve">Mindazonáltal az emberi jogok védelme nem vehető magától értetődőnek. </w:t>
      </w:r>
      <w:r>
        <w:rPr>
          <w:rFonts w:ascii="Times New Roman" w:hAnsi="Times New Roman"/>
          <w:noProof/>
          <w:sz w:val="24"/>
          <w:szCs w:val="24"/>
        </w:rPr>
        <w:t>Tíz év alatt új kihívások jelentek meg, például a migráció és a biztonság területén, valamint újabban a Covid19-válsággal összefüggésben, amely az alapjogok és szabadságok széles körével kapcsolatban eredményezett korlátozásokat</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és növelte az egyenlőtlenségeket. A zöld átállás</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és a digitális átalakulás új lehetőségeket kínál az alapjogok hatékonyabbá tétele terén, azonban kihívásokkal is jár. Például a digitális automatizáció az előrehaladás elengedhetetlen ösztönzője, ami lehetővé teszi a hatékonyság növelését és az információk kezelésének új módjait, ugyanakkor előmozdíthatja a jogellenes gyűlöletbeszéd terjedését, akadályozhatja az emberek szabad véleménynyilvánítását, szigoríthatja a felügyeletet súlyos hátrányos megkülönböztetéshez vezethet</w:t>
      </w:r>
      <w:r>
        <w:rPr>
          <w:rStyle w:val="FootnoteReference"/>
          <w:rFonts w:ascii="Times New Roman" w:hAnsi="Times New Roman" w:cs="Times New Roman"/>
          <w:noProof/>
          <w:sz w:val="24"/>
          <w:szCs w:val="24"/>
          <w:lang w:val="en-IE"/>
        </w:rPr>
        <w:footnoteReference w:id="12"/>
      </w:r>
      <w:r>
        <w:rPr>
          <w:rFonts w:ascii="Times New Roman" w:hAnsi="Times New Roman"/>
          <w:noProof/>
          <w:sz w:val="24"/>
          <w:szCs w:val="24"/>
        </w:rPr>
        <w:t>, károsíthatja a gyermekeket, és fokozhatja bizonyos csoportok sebezhetőségét</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Az alapvető jogok érvényesítése az előfeltétele annak, hogy az EU teljesítse arra vonatkozóan vállalt kötelezettségét, hogy senki se maradjon ki.</w:t>
      </w:r>
    </w:p>
    <w:p>
      <w:pPr>
        <w:jc w:val="both"/>
        <w:rPr>
          <w:rFonts w:ascii="Times New Roman" w:hAnsi="Times New Roman" w:cs="Times New Roman"/>
          <w:noProof/>
          <w:sz w:val="24"/>
          <w:szCs w:val="24"/>
        </w:rPr>
      </w:pPr>
      <w:r>
        <w:rPr>
          <w:rFonts w:ascii="Times New Roman" w:hAnsi="Times New Roman"/>
          <w:noProof/>
          <w:sz w:val="24"/>
          <w:szCs w:val="24"/>
        </w:rPr>
        <w:t xml:space="preserve">Ezek az új kihívások és fejlemények </w:t>
      </w:r>
      <w:r>
        <w:rPr>
          <w:rFonts w:ascii="Times New Roman" w:hAnsi="Times New Roman"/>
          <w:b/>
          <w:noProof/>
          <w:sz w:val="24"/>
          <w:szCs w:val="24"/>
        </w:rPr>
        <w:t>megújított kötelezettségvállalást</w:t>
      </w:r>
      <w:r>
        <w:rPr>
          <w:rFonts w:ascii="Times New Roman" w:hAnsi="Times New Roman"/>
          <w:noProof/>
          <w:sz w:val="24"/>
          <w:szCs w:val="24"/>
        </w:rPr>
        <w:t xml:space="preserve"> tesznek szükségessé annak biztosítása érdekében, hogy az uniós intézmények és a tagállamok teljes mértékben alkalmazzák a Chartát. </w:t>
      </w:r>
    </w:p>
    <w:p>
      <w:pPr>
        <w:jc w:val="both"/>
        <w:rPr>
          <w:rFonts w:ascii="Times New Roman" w:hAnsi="Times New Roman" w:cs="Times New Roman"/>
          <w:b/>
          <w:i/>
          <w:noProof/>
          <w:sz w:val="24"/>
          <w:szCs w:val="24"/>
        </w:rPr>
      </w:pPr>
      <w:r>
        <w:rPr>
          <w:rFonts w:ascii="Times New Roman" w:hAnsi="Times New Roman"/>
          <w:b/>
          <w:i/>
          <w:noProof/>
          <w:sz w:val="24"/>
          <w:szCs w:val="24"/>
        </w:rPr>
        <w:t>A Charta valóra váltása mindenki számára</w:t>
      </w:r>
    </w:p>
    <w:p>
      <w:pPr>
        <w:jc w:val="both"/>
        <w:rPr>
          <w:rFonts w:ascii="Times New Roman" w:hAnsi="Times New Roman" w:cs="Times New Roman"/>
          <w:noProof/>
          <w:sz w:val="24"/>
          <w:szCs w:val="24"/>
        </w:rPr>
      </w:pPr>
      <w:r>
        <w:rPr>
          <w:rFonts w:ascii="Times New Roman" w:hAnsi="Times New Roman"/>
          <w:noProof/>
          <w:sz w:val="24"/>
          <w:szCs w:val="24"/>
        </w:rPr>
        <w:t xml:space="preserve">Ez a stratégia konkrét intézkedéseket javasol </w:t>
      </w:r>
      <w:r>
        <w:rPr>
          <w:rFonts w:ascii="Times New Roman" w:hAnsi="Times New Roman"/>
          <w:b/>
          <w:noProof/>
          <w:sz w:val="24"/>
          <w:szCs w:val="24"/>
        </w:rPr>
        <w:t>a Charta alkalmazásának megerősítésére, különösen a tagállamokban</w:t>
      </w:r>
      <w:r>
        <w:rPr>
          <w:rFonts w:ascii="Times New Roman" w:hAnsi="Times New Roman"/>
          <w:noProof/>
          <w:sz w:val="24"/>
          <w:szCs w:val="24"/>
        </w:rPr>
        <w:t xml:space="preserve">. A stratégia a következő négy ágra összpontosít: </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A Charta hatékony tagállami alkalmazásának biztosítása.</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A civil társadalmi szervezetek, jogvédők és igazságügyi tisztviselők szerepének megerősítése.</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A Charta használatának előmozdítása az uniós intézmények iránytűjeként.</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Az emberek ismereteinek bővítése a Charta alapján őket megillető jogokkal kapcsolatban.</w:t>
      </w:r>
    </w:p>
    <w:p>
      <w:pPr>
        <w:jc w:val="both"/>
        <w:rPr>
          <w:rFonts w:ascii="Times New Roman" w:hAnsi="Times New Roman" w:cs="Times New Roman"/>
          <w:noProof/>
          <w:sz w:val="24"/>
          <w:szCs w:val="24"/>
        </w:rPr>
      </w:pPr>
      <w:r>
        <w:rPr>
          <w:rFonts w:ascii="Times New Roman" w:hAnsi="Times New Roman"/>
          <w:noProof/>
          <w:sz w:val="24"/>
          <w:szCs w:val="24"/>
        </w:rPr>
        <w:t>A stratégia nyomon követi a Charta tagállamokon belüli alkalmazásának határozottabb nyomon követésére irányuló, európai parlamenti felszólítást</w:t>
      </w:r>
      <w:r>
        <w:rPr>
          <w:rFonts w:ascii="Times New Roman" w:hAnsi="Times New Roman" w:cs="Times New Roman"/>
          <w:noProof/>
          <w:sz w:val="24"/>
          <w:szCs w:val="24"/>
          <w:vertAlign w:val="superscript"/>
        </w:rPr>
        <w:footnoteReference w:id="14"/>
      </w:r>
      <w:r>
        <w:rPr>
          <w:rFonts w:ascii="Times New Roman" w:hAnsi="Times New Roman"/>
          <w:noProof/>
          <w:sz w:val="24"/>
          <w:szCs w:val="24"/>
        </w:rPr>
        <w:t>, valamint a Charta alkalmazásának fejlesztésére irányuló módokat meghatározó tanácsi következtetéseket</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és a tagállamok észrevételeit</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Az e stratégiában szereplő intézkedések </w:t>
      </w:r>
      <w:r>
        <w:rPr>
          <w:rFonts w:ascii="Times New Roman" w:hAnsi="Times New Roman"/>
          <w:b/>
          <w:noProof/>
          <w:sz w:val="24"/>
          <w:szCs w:val="24"/>
        </w:rPr>
        <w:t>a megelőzésre, az előmozdításra, a végrehajtásra és az érvényesítésre</w:t>
      </w:r>
      <w:r>
        <w:rPr>
          <w:rFonts w:ascii="Times New Roman" w:hAnsi="Times New Roman"/>
          <w:noProof/>
          <w:sz w:val="24"/>
          <w:szCs w:val="24"/>
        </w:rPr>
        <w:t xml:space="preserve"> összpontosítanak.</w:t>
      </w:r>
    </w:p>
    <w:p>
      <w:pPr>
        <w:jc w:val="both"/>
        <w:rPr>
          <w:rFonts w:ascii="Times New Roman" w:hAnsi="Times New Roman" w:cs="Times New Roman"/>
          <w:noProof/>
          <w:sz w:val="24"/>
          <w:szCs w:val="24"/>
        </w:rPr>
      </w:pPr>
      <w:r>
        <w:rPr>
          <w:rFonts w:ascii="Times New Roman" w:hAnsi="Times New Roman"/>
          <w:noProof/>
          <w:sz w:val="24"/>
          <w:szCs w:val="24"/>
        </w:rPr>
        <w:t>Az uniós alapjogok és értékek megőrzése közös felelősség, és együttes erőfeszítést igényel minden érintett alábbi fél részéről: uniós intézmények, szervek és ügynökségek, nemzeti és helyi</w:t>
      </w:r>
      <w:r>
        <w:rPr>
          <w:rFonts w:ascii="Times New Roman" w:hAnsi="Times New Roman" w:cs="Times New Roman"/>
          <w:noProof/>
          <w:vertAlign w:val="superscript"/>
        </w:rPr>
        <w:footnoteReference w:id="17"/>
      </w:r>
      <w:r>
        <w:rPr>
          <w:rFonts w:ascii="Times New Roman" w:hAnsi="Times New Roman"/>
          <w:noProof/>
          <w:sz w:val="24"/>
          <w:szCs w:val="24"/>
        </w:rPr>
        <w:t xml:space="preserve"> hatóságok, beleértve a bűnüldöző hatóságokat, jogvédők</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jogalkotók, bírák és egyéb jogi szakemberek, valamint az alapjogok terén tevékenykedő civil társadalmi szervezetek. A </w:t>
      </w:r>
      <w:r>
        <w:rPr>
          <w:rFonts w:ascii="Times New Roman" w:hAnsi="Times New Roman"/>
          <w:b/>
          <w:noProof/>
          <w:sz w:val="24"/>
          <w:szCs w:val="24"/>
        </w:rPr>
        <w:t>Charta hatékony alkalmazásában érintett kulcsfontosságú</w:t>
      </w:r>
      <w:r>
        <w:rPr>
          <w:rFonts w:ascii="Times New Roman" w:hAnsi="Times New Roman"/>
          <w:noProof/>
          <w:sz w:val="24"/>
          <w:szCs w:val="24"/>
        </w:rPr>
        <w:t xml:space="preserve"> </w:t>
      </w:r>
      <w:r>
        <w:rPr>
          <w:rFonts w:ascii="Times New Roman" w:hAnsi="Times New Roman"/>
          <w:b/>
          <w:noProof/>
          <w:sz w:val="24"/>
          <w:szCs w:val="24"/>
        </w:rPr>
        <w:t>összes félnek</w:t>
      </w:r>
      <w:r>
        <w:rPr>
          <w:rFonts w:ascii="Times New Roman" w:hAnsi="Times New Roman"/>
          <w:noProof/>
          <w:sz w:val="24"/>
          <w:szCs w:val="24"/>
        </w:rPr>
        <w:t xml:space="preserve"> szerepe van abban, hogy a Charta valósággá váljon az emberek életében.</w:t>
      </w:r>
    </w:p>
    <w:p>
      <w:pPr>
        <w:jc w:val="both"/>
        <w:rPr>
          <w:rFonts w:ascii="Times New Roman" w:hAnsi="Times New Roman" w:cs="Times New Roman"/>
          <w:noProof/>
          <w:sz w:val="24"/>
          <w:szCs w:val="24"/>
        </w:rPr>
      </w:pPr>
      <w:r>
        <w:rPr>
          <w:rFonts w:ascii="Times New Roman" w:hAnsi="Times New Roman"/>
          <w:noProof/>
          <w:sz w:val="24"/>
          <w:szCs w:val="24"/>
        </w:rPr>
        <w:t xml:space="preserve">Az új stratégia elkészítése során a Bizottság figyelmesen meghallgatta az </w:t>
      </w:r>
      <w:r>
        <w:rPr>
          <w:rFonts w:ascii="Times New Roman" w:hAnsi="Times New Roman"/>
          <w:b/>
          <w:noProof/>
          <w:sz w:val="24"/>
          <w:szCs w:val="24"/>
        </w:rPr>
        <w:t>érdekelt feleket és a szélesebb nyilvánosságot</w:t>
      </w:r>
      <w:r>
        <w:rPr>
          <w:rFonts w:ascii="Times New Roman" w:hAnsi="Times New Roman"/>
          <w:noProof/>
          <w:sz w:val="24"/>
          <w:szCs w:val="24"/>
        </w:rPr>
        <w:t>. Ennek keretében a Bizottság a Chartával kapcsolatos általános ismeretekről szóló Eurobarométer felmérést</w:t>
      </w:r>
      <w:r>
        <w:rPr>
          <w:rFonts w:ascii="Times New Roman" w:hAnsi="Times New Roman" w:cs="Times New Roman"/>
          <w:noProof/>
          <w:sz w:val="24"/>
          <w:szCs w:val="24"/>
          <w:vertAlign w:val="superscript"/>
        </w:rPr>
        <w:footnoteReference w:id="19"/>
      </w:r>
      <w:r>
        <w:rPr>
          <w:rFonts w:ascii="Times New Roman" w:hAnsi="Times New Roman"/>
          <w:noProof/>
          <w:sz w:val="24"/>
          <w:szCs w:val="24"/>
        </w:rPr>
        <w:t xml:space="preserve"> végzett, amely arra mutatott rá, hogy az emberek nem tudnak eleget a Chartában foglalt jogaikról, azonban szeretnének több információval rendelkezni, többek között arról, hogy hova fordulhatnak jogorvoslatért. A konzultációk</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alapján azonosítani kell a Charta érvényesítésében érintett felek támogatásának lehetőségeit, hogy mindenki számára kedvező, gyakorlott módon tudják alkalmazni a Chartát.</w:t>
      </w:r>
    </w:p>
    <w:p>
      <w:pPr>
        <w:jc w:val="both"/>
        <w:rPr>
          <w:rFonts w:ascii="Times New Roman" w:hAnsi="Times New Roman" w:cs="Times New Roman"/>
          <w:b/>
          <w:i/>
          <w:noProof/>
          <w:sz w:val="24"/>
          <w:szCs w:val="24"/>
        </w:rPr>
      </w:pPr>
      <w:r>
        <w:rPr>
          <w:rFonts w:ascii="Times New Roman" w:hAnsi="Times New Roman"/>
          <w:b/>
          <w:i/>
          <w:noProof/>
          <w:sz w:val="24"/>
          <w:szCs w:val="24"/>
        </w:rPr>
        <w:t>Az EU kötelezettségvállalása az uniós értékek előmozdítása iránt</w:t>
      </w:r>
    </w:p>
    <w:p>
      <w:pPr>
        <w:jc w:val="both"/>
        <w:rPr>
          <w:rFonts w:ascii="Times New Roman" w:hAnsi="Times New Roman" w:cs="Times New Roman"/>
          <w:noProof/>
          <w:sz w:val="24"/>
          <w:szCs w:val="24"/>
        </w:rPr>
      </w:pPr>
      <w:r>
        <w:rPr>
          <w:rFonts w:ascii="Times New Roman" w:hAnsi="Times New Roman"/>
          <w:noProof/>
          <w:sz w:val="24"/>
          <w:szCs w:val="24"/>
        </w:rPr>
        <w:t xml:space="preserve">Ez a stratégia kiegészíti az </w:t>
      </w:r>
      <w:r>
        <w:rPr>
          <w:rFonts w:ascii="Times New Roman" w:hAnsi="Times New Roman"/>
          <w:b/>
          <w:noProof/>
          <w:sz w:val="24"/>
          <w:szCs w:val="24"/>
        </w:rPr>
        <w:t>európai demokráciáról szóló cselekvési tervet</w:t>
      </w:r>
      <w:r>
        <w:rPr>
          <w:rFonts w:ascii="Times New Roman" w:hAnsi="Times New Roman" w:cs="Times New Roman"/>
          <w:b/>
          <w:noProof/>
          <w:sz w:val="24"/>
          <w:szCs w:val="24"/>
          <w:vertAlign w:val="superscript"/>
        </w:rPr>
        <w:footnoteReference w:id="21"/>
      </w:r>
      <w:r>
        <w:rPr>
          <w:rFonts w:ascii="Times New Roman" w:hAnsi="Times New Roman"/>
          <w:b/>
          <w:noProof/>
          <w:sz w:val="24"/>
          <w:szCs w:val="24"/>
        </w:rPr>
        <w:t xml:space="preserve"> és az első jogállamisági jelentést</w:t>
      </w:r>
      <w:r>
        <w:rPr>
          <w:rFonts w:ascii="Times New Roman" w:hAnsi="Times New Roman" w:cs="Times New Roman"/>
          <w:b/>
          <w:noProof/>
          <w:sz w:val="24"/>
          <w:szCs w:val="24"/>
          <w:vertAlign w:val="superscript"/>
        </w:rPr>
        <w:footnoteReference w:id="22"/>
      </w:r>
      <w:r>
        <w:rPr>
          <w:rFonts w:ascii="Times New Roman" w:hAnsi="Times New Roman"/>
          <w:noProof/>
          <w:sz w:val="24"/>
          <w:szCs w:val="24"/>
        </w:rPr>
        <w:t>, amelyek együttesen tanúsítják a Bizottság átfogó megközelítését az EU alapját képező alapvető értékek előmozdítása és védelme iránt.</w:t>
      </w:r>
    </w:p>
    <w:p>
      <w:pPr>
        <w:jc w:val="both"/>
        <w:rPr>
          <w:rFonts w:ascii="Times New Roman" w:hAnsi="Times New Roman" w:cs="Times New Roman"/>
          <w:noProof/>
          <w:sz w:val="24"/>
          <w:szCs w:val="24"/>
        </w:rPr>
      </w:pPr>
      <w:r>
        <w:rPr>
          <w:rFonts w:ascii="Times New Roman" w:hAnsi="Times New Roman"/>
          <w:noProof/>
          <w:sz w:val="24"/>
          <w:szCs w:val="24"/>
        </w:rPr>
        <w:t xml:space="preserve">A stratégia hangsúlyozza a Charta átfogó jellegét, és </w:t>
      </w:r>
      <w:r>
        <w:rPr>
          <w:rFonts w:ascii="Times New Roman" w:hAnsi="Times New Roman"/>
          <w:b/>
          <w:noProof/>
          <w:sz w:val="24"/>
          <w:szCs w:val="24"/>
        </w:rPr>
        <w:t>kiegészíti az uniós jogok és értékek kézzelfoghatóbbá</w:t>
      </w:r>
      <w:r>
        <w:rPr>
          <w:rFonts w:ascii="Times New Roman" w:hAnsi="Times New Roman"/>
          <w:noProof/>
          <w:sz w:val="24"/>
          <w:szCs w:val="24"/>
        </w:rPr>
        <w:t xml:space="preserve"> </w:t>
      </w:r>
      <w:r>
        <w:rPr>
          <w:rFonts w:ascii="Times New Roman" w:hAnsi="Times New Roman"/>
          <w:b/>
          <w:noProof/>
          <w:sz w:val="24"/>
          <w:szCs w:val="24"/>
        </w:rPr>
        <w:t>tételére irányuló célzott erőfeszítéseket</w:t>
      </w:r>
      <w:r>
        <w:rPr>
          <w:rFonts w:ascii="Times New Roman" w:hAnsi="Times New Roman"/>
          <w:noProof/>
          <w:sz w:val="24"/>
          <w:szCs w:val="24"/>
        </w:rPr>
        <w:t xml:space="preserve"> olyan területeken, mint az áldozatok jogai és az igazságszolgáltatáshoz való jog</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az egyenlőség és a befogadás</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a rasszizmus elleni küzdelem és a pluralizmus</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a szociális jogok és az inkluzív oktatás és képzés</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a gazdasági jogok</w:t>
      </w:r>
      <w:r>
        <w:rPr>
          <w:rFonts w:ascii="Times New Roman" w:hAnsi="Times New Roman" w:cs="Times New Roman"/>
          <w:noProof/>
          <w:sz w:val="24"/>
          <w:szCs w:val="24"/>
          <w:vertAlign w:val="superscript"/>
        </w:rPr>
        <w:footnoteReference w:id="27"/>
      </w:r>
      <w:r>
        <w:rPr>
          <w:rFonts w:ascii="Times New Roman" w:hAnsi="Times New Roman"/>
          <w:noProof/>
          <w:sz w:val="24"/>
          <w:szCs w:val="24"/>
        </w:rPr>
        <w:t>, az uniós polgárok jogai</w:t>
      </w:r>
      <w:r>
        <w:rPr>
          <w:rFonts w:ascii="Times New Roman" w:hAnsi="Times New Roman" w:cs="Times New Roman"/>
          <w:noProof/>
          <w:sz w:val="24"/>
          <w:szCs w:val="24"/>
          <w:vertAlign w:val="superscript"/>
        </w:rPr>
        <w:footnoteReference w:id="28"/>
      </w:r>
      <w:r>
        <w:rPr>
          <w:rFonts w:ascii="Times New Roman" w:hAnsi="Times New Roman"/>
          <w:noProof/>
          <w:sz w:val="24"/>
          <w:szCs w:val="24"/>
        </w:rPr>
        <w:t>, valamint a gyermekek jogai</w:t>
      </w:r>
      <w:r>
        <w:rPr>
          <w:rFonts w:ascii="Times New Roman" w:hAnsi="Times New Roman" w:cs="Times New Roman"/>
          <w:noProof/>
          <w:sz w:val="24"/>
          <w:szCs w:val="24"/>
          <w:vertAlign w:val="superscript"/>
        </w:rPr>
        <w:footnoteReference w:id="2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Ezek</w:t>
      </w:r>
      <w:r>
        <w:rPr>
          <w:rFonts w:ascii="Times New Roman" w:hAnsi="Times New Roman"/>
          <w:noProof/>
          <w:sz w:val="24"/>
          <w:szCs w:val="24"/>
        </w:rPr>
        <w:t xml:space="preserve"> </w:t>
      </w:r>
      <w:r>
        <w:rPr>
          <w:rFonts w:ascii="Times New Roman" w:hAnsi="Times New Roman"/>
          <w:b/>
          <w:noProof/>
          <w:sz w:val="24"/>
          <w:szCs w:val="24"/>
        </w:rPr>
        <w:t>a munkaterületek kölcsönösen erősítik egymást az alapjogok EU-n belüli hatékony védelme szempontjából</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A Charta a nemzeti és nemzetközi alapjogvédelmi rendszerekkel közösen alkalmazandó, beleértve a tagállamok körében közös alkotmányos hagyományokat és nemzetközi kötelezettségeket</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E tekintetben </w:t>
      </w:r>
      <w:r>
        <w:rPr>
          <w:rFonts w:ascii="Times New Roman" w:hAnsi="Times New Roman"/>
          <w:b/>
          <w:noProof/>
          <w:sz w:val="24"/>
          <w:szCs w:val="24"/>
        </w:rPr>
        <w:t>az EU-nak az emberi jogok európai egyezményéhez való csatlakozása</w:t>
      </w:r>
      <w:r>
        <w:rPr>
          <w:rFonts w:ascii="Times New Roman" w:hAnsi="Times New Roman"/>
          <w:noProof/>
          <w:sz w:val="24"/>
          <w:szCs w:val="24"/>
        </w:rPr>
        <w:t xml:space="preserve"> továbbra is prioritás a Bizottság számára. Ha az EU valóban meg kívánja erősíteni az alapjogokat, nyitottnak kell lennie a külső ellenőrzésre. A Bizottság összefogott az Európa Tanáccsal, hogy elérje ezt a célkitűzést, amely segíteni fog a két alapjogi keret közötti kapcsolat további elmélyítése és azok hatékony gyakorlati alkalmazása terén.</w:t>
      </w:r>
    </w:p>
    <w:p>
      <w:pPr>
        <w:jc w:val="both"/>
        <w:rPr>
          <w:rFonts w:ascii="Times New Roman" w:hAnsi="Times New Roman" w:cs="Times New Roman"/>
          <w:b/>
          <w:i/>
          <w:noProof/>
          <w:sz w:val="24"/>
          <w:szCs w:val="24"/>
        </w:rPr>
      </w:pPr>
      <w:r>
        <w:rPr>
          <w:rFonts w:ascii="Times New Roman" w:hAnsi="Times New Roman"/>
          <w:b/>
          <w:i/>
          <w:noProof/>
          <w:sz w:val="24"/>
          <w:szCs w:val="24"/>
        </w:rPr>
        <w:t>Az EU mint az emberi jogok terén fellépő globális szereplő</w:t>
      </w:r>
    </w:p>
    <w:p>
      <w:pPr>
        <w:jc w:val="both"/>
        <w:rPr>
          <w:rFonts w:ascii="Times New Roman" w:hAnsi="Times New Roman" w:cs="Times New Roman"/>
          <w:noProof/>
          <w:sz w:val="24"/>
          <w:szCs w:val="24"/>
        </w:rPr>
      </w:pPr>
      <w:r>
        <w:rPr>
          <w:rFonts w:ascii="Times New Roman" w:hAnsi="Times New Roman"/>
          <w:noProof/>
          <w:sz w:val="24"/>
          <w:szCs w:val="24"/>
        </w:rPr>
        <w:t xml:space="preserve">Az uniós értékek és alapjogok előmozdítása az </w:t>
      </w:r>
      <w:r>
        <w:rPr>
          <w:rFonts w:ascii="Times New Roman" w:hAnsi="Times New Roman"/>
          <w:b/>
          <w:noProof/>
          <w:sz w:val="24"/>
          <w:szCs w:val="24"/>
        </w:rPr>
        <w:t>EU nemzetközi téren kifejtett munkájának</w:t>
      </w:r>
      <w:r>
        <w:rPr>
          <w:rFonts w:ascii="Times New Roman" w:hAnsi="Times New Roman"/>
          <w:noProof/>
          <w:sz w:val="24"/>
          <w:szCs w:val="24"/>
        </w:rPr>
        <w:t xml:space="preserve"> is fontos része. Az, ahogyan az EU a területén belül kezeli az alapjogi problémákat, rendkívül fontos a nem uniós országokkal fennálló kapcsolata szempontjából is, mind bilaterális, regionális és multilaterális szinten. Mivel világszerte egyre nagyobb nyomás nehezedik a demokráciára, a jogállamiságra és az emberi jogokra, az EU külső fellépésének legfontosabb prioritásai közé tartozik az emberi jogok védelme és a demokrácia támogatása világszerte</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Az EU szilárd és egységes megközelítést alkalmaz a belső alapjogi szabályai, valamint a külső partnerekkel folytatott munkája során az emberi jogok alkalmazása terén, ahogyan azt </w:t>
      </w:r>
      <w:r>
        <w:rPr>
          <w:rFonts w:ascii="Times New Roman" w:hAnsi="Times New Roman"/>
          <w:b/>
          <w:noProof/>
          <w:sz w:val="24"/>
          <w:szCs w:val="24"/>
        </w:rPr>
        <w:t>az emberi jogokról és demokráciáról szóló új cselekvési terv</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w:t>
      </w:r>
      <w:r>
        <w:rPr>
          <w:rFonts w:ascii="Times New Roman" w:hAnsi="Times New Roman"/>
          <w:b/>
          <w:bCs/>
          <w:noProof/>
          <w:sz w:val="24"/>
          <w:szCs w:val="24"/>
        </w:rPr>
        <w:t>és a nemek közötti egyenlőségre vonatkozó III. cselekvési terv</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bizonyítja, és ez összhangban van a </w:t>
      </w:r>
      <w:r>
        <w:rPr>
          <w:rFonts w:ascii="Times New Roman" w:hAnsi="Times New Roman"/>
          <w:b/>
          <w:noProof/>
          <w:sz w:val="24"/>
          <w:szCs w:val="24"/>
        </w:rPr>
        <w:t>fenntartható fejlődési célokkal</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Az EU ezenkívül a kereskedelmi szakpolitikáján keresztül is előmozdítja az emberi jogokat.</w:t>
      </w:r>
    </w:p>
    <w:p>
      <w:pPr>
        <w:rPr>
          <w:rFonts w:asciiTheme="majorHAnsi" w:eastAsiaTheme="majorEastAsia" w:hAnsiTheme="majorHAnsi" w:cstheme="majorBidi"/>
          <w:noProof/>
          <w:color w:val="2E74B5" w:themeColor="accent1" w:themeShade="BF"/>
          <w:sz w:val="32"/>
          <w:szCs w:val="32"/>
        </w:rPr>
      </w:pPr>
      <w:r>
        <w:rPr>
          <w:noProof/>
        </w:rPr>
        <w:br w:type="page"/>
      </w:r>
    </w:p>
    <w:p>
      <w:pPr>
        <w:pStyle w:val="Heading1"/>
        <w:rPr>
          <w:rFonts w:ascii="Times New Roman" w:hAnsi="Times New Roman" w:cs="Times New Roman"/>
          <w:noProof/>
        </w:rPr>
      </w:pPr>
      <w:r>
        <w:rPr>
          <w:rFonts w:ascii="Times New Roman" w:hAnsi="Times New Roman"/>
          <w:noProof/>
        </w:rPr>
        <w:t>1. – A Charta hatékony tagállami alkalmazásának biztosítása</w:t>
      </w:r>
    </w:p>
    <w:p>
      <w:pPr>
        <w:jc w:val="both"/>
        <w:rPr>
          <w:noProof/>
        </w:rPr>
      </w:pPr>
    </w:p>
    <w:p>
      <w:pPr>
        <w:jc w:val="both"/>
        <w:rPr>
          <w:rFonts w:ascii="Times New Roman" w:hAnsi="Times New Roman" w:cs="Times New Roman"/>
          <w:b/>
          <w:i/>
          <w:noProof/>
          <w:sz w:val="24"/>
          <w:szCs w:val="24"/>
        </w:rPr>
      </w:pPr>
      <w:r>
        <w:rPr>
          <w:rFonts w:ascii="Times New Roman" w:hAnsi="Times New Roman"/>
          <w:b/>
          <w:i/>
          <w:noProof/>
          <w:sz w:val="24"/>
          <w:szCs w:val="24"/>
        </w:rPr>
        <w:t xml:space="preserve">1.1. Összefogás a tagállamokkal a Charta hatékony alkalmazása érdekében </w:t>
      </w:r>
    </w:p>
    <w:p>
      <w:pPr>
        <w:jc w:val="both"/>
        <w:rPr>
          <w:rFonts w:ascii="Times New Roman" w:hAnsi="Times New Roman" w:cs="Times New Roman"/>
          <w:noProof/>
          <w:sz w:val="24"/>
          <w:szCs w:val="24"/>
        </w:rPr>
      </w:pPr>
      <w:r>
        <w:rPr>
          <w:rFonts w:ascii="Times New Roman" w:hAnsi="Times New Roman"/>
          <w:noProof/>
          <w:sz w:val="24"/>
          <w:szCs w:val="24"/>
        </w:rPr>
        <w:t xml:space="preserve">A Charta </w:t>
      </w:r>
      <w:r>
        <w:rPr>
          <w:rFonts w:ascii="Times New Roman" w:hAnsi="Times New Roman"/>
          <w:b/>
          <w:noProof/>
          <w:sz w:val="24"/>
          <w:szCs w:val="24"/>
        </w:rPr>
        <w:t>jogilag kötelező eszköz</w:t>
      </w:r>
      <w:r>
        <w:rPr>
          <w:rFonts w:ascii="Times New Roman" w:hAnsi="Times New Roman"/>
          <w:noProof/>
          <w:sz w:val="24"/>
          <w:szCs w:val="24"/>
        </w:rPr>
        <w:t>, amely „</w:t>
      </w:r>
      <w:r>
        <w:rPr>
          <w:rFonts w:ascii="Times New Roman" w:hAnsi="Times New Roman"/>
          <w:i/>
          <w:noProof/>
          <w:sz w:val="24"/>
          <w:szCs w:val="24"/>
        </w:rPr>
        <w:t>csak az uniós jog alkalmazása esetén</w:t>
      </w:r>
      <w:r>
        <w:rPr>
          <w:rFonts w:ascii="Times New Roman" w:hAnsi="Times New Roman"/>
          <w:noProof/>
          <w:sz w:val="24"/>
          <w:szCs w:val="24"/>
        </w:rPr>
        <w:t>” vonatkozik a tagállamokra</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Nem célja, hogy az uniós jog alkalmazási körét bővítse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A Charta alkalmazási köre valójában magának az uniós jognak az alkalmazási körét tükrözi: „</w:t>
      </w:r>
      <w:r>
        <w:rPr>
          <w:rFonts w:ascii="Times New Roman" w:hAnsi="Times New Roman"/>
          <w:i/>
          <w:noProof/>
          <w:sz w:val="24"/>
          <w:szCs w:val="24"/>
        </w:rPr>
        <w:t>a Charta árnyékként kíséri az uniós jogot</w:t>
      </w:r>
      <w:r>
        <w:rPr>
          <w:noProof/>
        </w:rPr>
        <w:t xml:space="preserve">. </w:t>
      </w:r>
      <w:r>
        <w:rPr>
          <w:rFonts w:ascii="Times New Roman" w:hAnsi="Times New Roman"/>
          <w:i/>
          <w:noProof/>
          <w:sz w:val="24"/>
          <w:szCs w:val="24"/>
        </w:rPr>
        <w:t>Ez lényegében azt jelenti, hogy nem lehet olyan helyzet, amelyben az uniós jog az irányadó, és amelyre a Charta nem alkalmazandó</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Az uniós jog egyre növekvő terjedelme miatt a </w:t>
      </w:r>
      <w:r>
        <w:rPr>
          <w:rFonts w:ascii="Times New Roman" w:hAnsi="Times New Roman"/>
          <w:b/>
          <w:noProof/>
          <w:sz w:val="24"/>
          <w:szCs w:val="24"/>
        </w:rPr>
        <w:t>Charta egyre több esetben és területen alkalmazandó</w:t>
      </w:r>
      <w:r>
        <w:rPr>
          <w:rFonts w:ascii="Times New Roman" w:hAnsi="Times New Roman"/>
          <w:noProof/>
          <w:sz w:val="24"/>
          <w:szCs w:val="24"/>
        </w:rPr>
        <w:t>. Ezt mutatja a Bíróságnak a hatékony jogorvoslathoz való jog végrehajtásával kapcsolatos ítélkezési gyakorlata</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is, amelyet az olyan területeken alakított ki, mint az adózás, a menekültügy és a migráció, az igazságszolgáltatás függetlensége vagy az egyenlő bánásmód a foglalkoztatás terén</w:t>
      </w:r>
      <w:r>
        <w:rPr>
          <w:rFonts w:ascii="Times New Roman" w:hAnsi="Times New Roman" w:cs="Times New Roman"/>
          <w:noProof/>
          <w:sz w:val="24"/>
          <w:szCs w:val="24"/>
          <w:vertAlign w:val="superscript"/>
        </w:rPr>
        <w:footnoteReference w:id="39"/>
      </w:r>
      <w:r>
        <w:rPr>
          <w:rFonts w:ascii="Times New Roman" w:hAnsi="Times New Roman"/>
          <w:noProof/>
          <w:sz w:val="24"/>
          <w:szCs w:val="24"/>
        </w:rPr>
        <w:t>. A Bíróság ezenkívül nemrégiben a tulajdonhoz való jogra</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hivatkozott, hogy megerősítse a külföldi befektetők védelmét a belső piacon</w:t>
      </w:r>
      <w:r>
        <w:rPr>
          <w:rFonts w:ascii="Times New Roman" w:hAnsi="Times New Roman" w:cs="Times New Roman"/>
          <w:noProof/>
          <w:sz w:val="24"/>
          <w:szCs w:val="24"/>
          <w:vertAlign w:val="superscript"/>
        </w:rPr>
        <w:footnoteReference w:id="4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 xml:space="preserve">A nemzeti és helyi közigazgatás, a tagállamok parlamentjei és a bűnüldöző hatóságok központi szerepet játszanak a Chartában foglalt jogok előmozdításában és védelmében. </w:t>
      </w:r>
      <w:r>
        <w:rPr>
          <w:rFonts w:ascii="Times New Roman" w:hAnsi="Times New Roman"/>
          <w:noProof/>
          <w:sz w:val="24"/>
          <w:szCs w:val="24"/>
        </w:rPr>
        <w:t>A Bizottság a tagállamok nemzeti és helyi hatóságaival közösen kíván dolgozni azon, hogy biztosítsa a Charta és azon uniós jogszabályok teljes körű alkalmazását, amelyek a Chartában foglalt jogokat mozdítják elő és védelmezik.</w:t>
      </w:r>
    </w:p>
    <w:p>
      <w:pPr>
        <w:jc w:val="both"/>
        <w:rPr>
          <w:rFonts w:ascii="Times New Roman" w:hAnsi="Times New Roman" w:cs="Times New Roman"/>
          <w:noProof/>
          <w:sz w:val="24"/>
          <w:szCs w:val="24"/>
        </w:rPr>
      </w:pPr>
      <w:r>
        <w:rPr>
          <w:rFonts w:ascii="Times New Roman" w:hAnsi="Times New Roman"/>
          <w:b/>
          <w:i/>
          <w:noProof/>
          <w:sz w:val="24"/>
          <w:szCs w:val="24"/>
        </w:rPr>
        <w:t>Megelőzés</w:t>
      </w:r>
      <w:r>
        <w:rPr>
          <w:rFonts w:ascii="Times New Roman" w:hAnsi="Times New Roman"/>
          <w:noProof/>
          <w:sz w:val="24"/>
          <w:szCs w:val="24"/>
        </w:rPr>
        <w:t xml:space="preserve"> – a Bizottság nagy jelentőséget tulajdonít a tagállamokkal folytatott párbeszédnek, és készen áll arra, hogy támogassa őket az uniós jog hatékony átültetésében és végrehajtásában</w:t>
      </w:r>
      <w:r>
        <w:rPr>
          <w:rFonts w:ascii="Times New Roman" w:hAnsi="Times New Roman" w:cs="Times New Roman"/>
          <w:noProof/>
          <w:sz w:val="24"/>
          <w:szCs w:val="24"/>
          <w:vertAlign w:val="superscript"/>
        </w:rPr>
        <w:footnoteReference w:id="42"/>
      </w:r>
      <w:r>
        <w:rPr>
          <w:rFonts w:ascii="Times New Roman" w:hAnsi="Times New Roman"/>
          <w:noProof/>
          <w:sz w:val="24"/>
          <w:szCs w:val="24"/>
        </w:rPr>
        <w:t>. A tagállamokkal és a bűnüldöző hatóságokkal folytatott rendszeres párbeszéd</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elengedhetetlen a gyakorlatok megosztása, valamint a Charta és a vonatkozó uniós jog végrehajtásával és érvényesítésével kapcsolatos aggodalmak megvitatása szempontjából. Ez lehetővé teszi, hogy korai szakaszban meg lehessen oldani az összeegyeztethetetlenséggel kapcsolatban felmerülő problémákat.</w:t>
      </w:r>
    </w:p>
    <w:p>
      <w:pPr>
        <w:jc w:val="both"/>
        <w:rPr>
          <w:rFonts w:ascii="Times New Roman" w:hAnsi="Times New Roman" w:cs="Times New Roman"/>
          <w:noProof/>
          <w:sz w:val="24"/>
          <w:szCs w:val="24"/>
        </w:rPr>
      </w:pPr>
      <w:r>
        <w:rPr>
          <w:rFonts w:ascii="Times New Roman" w:hAnsi="Times New Roman"/>
          <w:b/>
          <w:i/>
          <w:noProof/>
          <w:sz w:val="24"/>
          <w:szCs w:val="24"/>
        </w:rPr>
        <w:t>Előmozdítás és végrehajtás</w:t>
      </w:r>
      <w:r>
        <w:rPr>
          <w:rFonts w:ascii="Times New Roman" w:hAnsi="Times New Roman"/>
          <w:noProof/>
          <w:sz w:val="24"/>
          <w:szCs w:val="24"/>
        </w:rPr>
        <w:t xml:space="preserve"> – a konzultációk</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rámutatnak arra, hogy a Charta nemzeti és helyi közigazgatásban és parlamentekben való alkalmazása és az azzal kapcsolatos ismeretek aránya alacsony szintű. Az uniós jog szerinti kötelezettségeiknek való megfelelés érdekében fontos, hogy a tagállamok előmozdítsák az eszközök, nyomonkövetési mechanizmusok, képzések és stratégiák kialakítását, hogy biztosítsák az uniós jog hatályán belüli kezdeményezések Chartának való megfelelését</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A tagállamoknak a Bizottság által az </w:t>
      </w:r>
      <w:r>
        <w:rPr>
          <w:rFonts w:ascii="Times New Roman" w:hAnsi="Times New Roman"/>
          <w:b/>
          <w:noProof/>
          <w:sz w:val="24"/>
          <w:szCs w:val="24"/>
        </w:rPr>
        <w:t>európai e-igazságügyi portálon</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elérhetővé tett külön weboldalon ösztönözniük kell a kölcsönös tanulást a Charta alkalmazásával és az arra vonatkozó ismeretekkel kapcsolatos bevált gyakorlatok révén, többek közt helyi szinten</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A Tanács ezenkívül az alapvető és az uniós polgársági jogokkal, valamint a személyek szabad mozgásával foglalkozó munkacsoport (FREMP) keretén belül is előmozdíthatja ezeket a cseréket, ahogyan az a Chartáról szóló, 2019. évi következtetésekben is szerepel</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w:t>
      </w:r>
    </w:p>
    <w:p>
      <w:pPr>
        <w:jc w:val="both"/>
        <w:rPr>
          <w:noProof/>
        </w:rPr>
      </w:pPr>
      <w:r>
        <w:rPr>
          <w:rFonts w:ascii="Times New Roman" w:hAnsi="Times New Roman"/>
          <w:b/>
          <w:i/>
          <w:noProof/>
          <w:sz w:val="24"/>
          <w:szCs w:val="24"/>
        </w:rPr>
        <w:t>Együttműködés</w:t>
      </w:r>
      <w:r>
        <w:rPr>
          <w:rFonts w:ascii="Times New Roman" w:hAnsi="Times New Roman"/>
          <w:noProof/>
          <w:sz w:val="24"/>
          <w:szCs w:val="24"/>
        </w:rPr>
        <w:t xml:space="preserve"> – a konzultációk rámutattak a kormányzatok, az uniós intézmények, a jogvédők és a civil társadalmi szervezetek különböző szintjei közötti együttműködés és kommunikáció fontosságára is. E tekintetben a Bizottság arra ösztönzi a tagállamokat, hogy jelöljenek ki a </w:t>
      </w:r>
      <w:r>
        <w:rPr>
          <w:rFonts w:ascii="Times New Roman" w:hAnsi="Times New Roman"/>
          <w:b/>
          <w:noProof/>
          <w:sz w:val="24"/>
          <w:szCs w:val="24"/>
        </w:rPr>
        <w:t>Chartával foglalkozó kapcsolattartót</w:t>
      </w:r>
      <w:r>
        <w:rPr>
          <w:rFonts w:ascii="Times New Roman" w:hAnsi="Times New Roman"/>
          <w:noProof/>
          <w:sz w:val="24"/>
          <w:szCs w:val="24"/>
        </w:rPr>
        <w:t>, hogy megkönnyítsék az információáramlást és a Chartára vonatkozó bevált gyakorlatok cseréjét, és összehangolják az országon belüli kapacitásépítési erőfeszítéseket</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A kapcsolattartó az uniós intézmények számára is továbbíthat és tőlük is kaphat információt.</w:t>
      </w: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A Bizottság:</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megerősíti a partnerséget a tagállamokkal a Charta hatékony alkalmazása érdekében;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támogatja a bevált gyakorlatok cseréjét a helyi hatóságok között a Charta alkalmazásával és az arra vonatkozó ismeretekkel kapcsolatban, többek közt az új Polgárok, egyenlőség, jogok és értékek program Városhálózatok ágán keresztül.</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A Bizottság felkéri a tagállamokat, hogy:</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a koordináció és együttműködés megkönnyítése érdekében nevezzenek ki egy Chartával foglalkozó kapcsolattartót;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alkalmazzanak hatásvizsgálatokat és jogalkotási ellenőrzési eljárásokat annak biztosítására, hogy az uniós jogot végrehajtó kezdeményezések megfeleljenek a Chartának, és készítsenek iránymutatást és képzést a nemzeti és helyi közigazgatások számára;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
          <w:i/>
          <w:noProof/>
          <w:sz w:val="24"/>
          <w:szCs w:val="24"/>
        </w:rPr>
      </w:pPr>
      <w:r>
        <w:rPr>
          <w:rFonts w:ascii="Times New Roman" w:hAnsi="Times New Roman"/>
          <w:i/>
          <w:noProof/>
          <w:sz w:val="24"/>
          <w:szCs w:val="24"/>
        </w:rPr>
        <w:t>– osszák meg a bevált gyakorlataikat a Charta alkalmazásáról és az arra vonatkozó ismeretekről az európai e-igazságügyi portálon.</w:t>
      </w:r>
    </w:p>
    <w:p>
      <w:pPr>
        <w:jc w:val="both"/>
        <w:rPr>
          <w:rFonts w:ascii="Times New Roman" w:hAnsi="Times New Roman" w:cs="Times New Roman"/>
          <w:iCs/>
          <w:noProof/>
          <w:sz w:val="24"/>
          <w:szCs w:val="24"/>
        </w:rPr>
      </w:pPr>
      <w:r>
        <w:rPr>
          <w:rFonts w:ascii="Times New Roman" w:hAnsi="Times New Roman"/>
          <w:b/>
          <w:i/>
          <w:noProof/>
          <w:sz w:val="24"/>
          <w:szCs w:val="24"/>
        </w:rPr>
        <w:t>Érvényesítés</w:t>
      </w:r>
      <w:r>
        <w:rPr>
          <w:rFonts w:ascii="Times New Roman" w:hAnsi="Times New Roman"/>
          <w:i/>
          <w:noProof/>
          <w:sz w:val="24"/>
          <w:szCs w:val="24"/>
        </w:rPr>
        <w:t xml:space="preserve"> –</w:t>
      </w:r>
      <w:r>
        <w:rPr>
          <w:rFonts w:ascii="Times New Roman" w:hAnsi="Times New Roman"/>
          <w:noProof/>
          <w:sz w:val="24"/>
          <w:szCs w:val="24"/>
        </w:rPr>
        <w:t xml:space="preserve"> a Bizottság mint </w:t>
      </w:r>
      <w:r>
        <w:rPr>
          <w:rFonts w:ascii="Times New Roman" w:hAnsi="Times New Roman"/>
          <w:b/>
          <w:noProof/>
          <w:sz w:val="24"/>
          <w:szCs w:val="24"/>
        </w:rPr>
        <w:t>a Szerződések őre</w:t>
      </w:r>
      <w:r>
        <w:rPr>
          <w:rFonts w:ascii="Times New Roman" w:hAnsi="Times New Roman"/>
          <w:noProof/>
          <w:sz w:val="24"/>
          <w:szCs w:val="24"/>
        </w:rPr>
        <w:t xml:space="preserve"> biztosítja, hogy a nemzeti jogszabályok megfeleljenek az uniós jognak, hogy az emberek élhessenek jogaikkal, beleértve az alapjogaikat, és maradéktalanul részesüljenek az uniós jogból származó előnyökből. A Bizottság újból megerősíti, hogy elkötelezett az iránt, hogy nyomon kövesse a Charta és a vonatkozó uniós jogszabályok alkalmazását, megerősítse a tagállamokkal folytatott párbeszédét, és szükség esetén kötelezettségszegési eljárást indítson, ha az uniós jog megsértésére kerül sor. Továbbra is szorosan nyomon követi azokat az eseteket, amikor egy tagállam rendszerszinten elmulasztja a Charta alkalmazását</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az uniós jog végrehajtása során.</w:t>
      </w:r>
      <w:r>
        <w:rPr>
          <w:rFonts w:ascii="Times New Roman" w:hAnsi="Times New Roman"/>
          <w:iCs/>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2021-től a Bizottság </w:t>
      </w:r>
      <w:r>
        <w:rPr>
          <w:rFonts w:ascii="Times New Roman" w:hAnsi="Times New Roman"/>
          <w:b/>
          <w:noProof/>
          <w:sz w:val="24"/>
          <w:szCs w:val="24"/>
        </w:rPr>
        <w:t>új éves jelentést terjeszt elő a Charta EU-n belüli alkalmazásáról</w:t>
      </w:r>
      <w:r>
        <w:rPr>
          <w:rFonts w:ascii="Times New Roman" w:hAnsi="Times New Roman"/>
          <w:noProof/>
          <w:sz w:val="24"/>
          <w:szCs w:val="24"/>
        </w:rPr>
        <w:t>, amely a Bizottság korábbi, Chartáról szóló jelentéseivel ellentétben szorosabban</w:t>
      </w:r>
      <w:r>
        <w:rPr>
          <w:rFonts w:ascii="Times New Roman" w:hAnsi="Times New Roman"/>
          <w:b/>
          <w:i/>
          <w:noProof/>
          <w:sz w:val="24"/>
          <w:szCs w:val="24"/>
        </w:rPr>
        <w:t xml:space="preserve"> </w:t>
      </w:r>
      <w:r>
        <w:rPr>
          <w:rFonts w:ascii="Times New Roman" w:hAnsi="Times New Roman"/>
          <w:noProof/>
          <w:sz w:val="24"/>
          <w:szCs w:val="24"/>
        </w:rPr>
        <w:t>fogja vizsgálni a Charta tagállamokon belüli alkalmazását, mélyrehatóbb betekintést biztosít a Bizottságnak ahhoz, hogy értékelje a nemzeti jogszabályok uniós jognak való megfelelését. Tematikus megközelítést fog alkalmazni, amely az uniós jog által szabályozott, stratégiai jelentőségű területekre összpontosít. Az éves jogállamisági jelentéssel együtt a Chartáról szóló új éves jelentés hozzá fog járulni az alapjogok EU-n belüli további erősítéséhez.</w:t>
      </w:r>
    </w:p>
    <w:p>
      <w:pPr>
        <w:jc w:val="both"/>
        <w:rPr>
          <w:rFonts w:ascii="Times New Roman" w:hAnsi="Times New Roman" w:cs="Times New Roman"/>
          <w:noProof/>
          <w:sz w:val="24"/>
          <w:szCs w:val="24"/>
        </w:rPr>
      </w:pPr>
      <w:r>
        <w:rPr>
          <w:rFonts w:ascii="Times New Roman" w:hAnsi="Times New Roman"/>
          <w:noProof/>
          <w:sz w:val="24"/>
          <w:szCs w:val="24"/>
        </w:rPr>
        <w:t>A Bizottság más uniós intézményekkel és az uniós ügynökségekkel partnerségben azon fog dolgozni, hogy összegyűjtse a jelentéshez szükséges információkat és adatokat, különös tekintettel az EU Alapjogi Ügynökségére (FRA)</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A tagállamok meglévő szakértői csoportjainak</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munkájára fog alapozni, és az olyan elismert forrásokon elérhetővé tett tényszerű információkra épít majd, mint az Egyesült Nemzetek és az Európa Tanács szervei, az igazságügyi hálózatok, civil társadalmi szervezetek, a jogvédők és a Chartával foglalkozó új kapcsolattartók.</w:t>
      </w:r>
    </w:p>
    <w:p>
      <w:pPr>
        <w:jc w:val="both"/>
        <w:rPr>
          <w:rFonts w:ascii="Times New Roman" w:hAnsi="Times New Roman" w:cs="Times New Roman"/>
          <w:noProof/>
          <w:sz w:val="24"/>
          <w:szCs w:val="24"/>
        </w:rPr>
      </w:pPr>
      <w:r>
        <w:rPr>
          <w:rFonts w:ascii="Times New Roman" w:hAnsi="Times New Roman"/>
          <w:noProof/>
          <w:sz w:val="24"/>
          <w:szCs w:val="24"/>
        </w:rPr>
        <w:t xml:space="preserve">2021-ben a Chartáról szóló új jelentés </w:t>
      </w:r>
      <w:r>
        <w:rPr>
          <w:rFonts w:ascii="Times New Roman" w:hAnsi="Times New Roman"/>
          <w:b/>
          <w:noProof/>
          <w:sz w:val="24"/>
          <w:szCs w:val="24"/>
        </w:rPr>
        <w:t>a digitális korban meglévő alapjogokra</w:t>
      </w:r>
      <w:r>
        <w:rPr>
          <w:rFonts w:ascii="Times New Roman" w:hAnsi="Times New Roman"/>
          <w:noProof/>
          <w:sz w:val="24"/>
          <w:szCs w:val="24"/>
        </w:rPr>
        <w:t xml:space="preserve"> fog összpontosítani. A jelentésnek őszinte és nyitott, intézményközi párbeszédet kell indítania az Európai Parlamenttel és a Tanáccsal, valamint eszmecseréket a tagállamokkal, beleértve a nemzeti parlamenteket.</w:t>
      </w:r>
      <w:r>
        <w:rPr>
          <w:noProof/>
        </w:rPr>
        <w:t xml:space="preserve"> </w:t>
      </w:r>
      <w:r>
        <w:rPr>
          <w:rFonts w:ascii="Times New Roman" w:hAnsi="Times New Roman"/>
          <w:noProof/>
          <w:sz w:val="24"/>
          <w:szCs w:val="24"/>
        </w:rPr>
        <w:t>Ezek az eszmecserék elősegítenék a tagállamok azon erőfeszítéseit, hogy az uniós jog végrehajtásakor megfeleljenek a Chartának.</w:t>
      </w:r>
    </w:p>
    <w:p>
      <w:pPr>
        <w:jc w:val="both"/>
        <w:rPr>
          <w:rFonts w:ascii="Times New Roman" w:hAnsi="Times New Roman" w:cs="Times New Roman"/>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A Bizottság:</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2021-től a Charta alkalmazásáról szóló éves jelentést tesz közzé, amely megvizsgálja, hogy a Charta milyen hatást gyakorol a tagállami helyzetre egyes szakpolitikai területeken;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Cs/>
          <w:i/>
          <w:iCs/>
          <w:noProof/>
          <w:sz w:val="24"/>
          <w:szCs w:val="24"/>
        </w:rPr>
      </w:pPr>
      <w:r>
        <w:rPr>
          <w:rFonts w:ascii="Times New Roman" w:hAnsi="Times New Roman"/>
          <w:i/>
          <w:noProof/>
          <w:sz w:val="24"/>
          <w:szCs w:val="24"/>
        </w:rPr>
        <w:t>– biztosítja, hogy a tagállamok hatékonyan alkalmazzák a Chartát, amikor végrehajtják az uniós jogot,</w:t>
      </w:r>
      <w:r>
        <w:rPr>
          <w:rFonts w:ascii="Times New Roman" w:hAnsi="Times New Roman"/>
          <w:noProof/>
          <w:sz w:val="24"/>
          <w:szCs w:val="24"/>
        </w:rPr>
        <w:t xml:space="preserve"> </w:t>
      </w:r>
      <w:r>
        <w:rPr>
          <w:rFonts w:ascii="Times New Roman" w:hAnsi="Times New Roman"/>
          <w:i/>
          <w:noProof/>
          <w:sz w:val="24"/>
          <w:szCs w:val="24"/>
        </w:rPr>
        <w:t>és szükség szerint az uniós jog megsértése esetén kötelezettségszegési eljárást indít</w:t>
      </w:r>
      <w:r>
        <w:rPr>
          <w:rFonts w:ascii="Times New Roman" w:hAnsi="Times New Roman"/>
          <w:bCs/>
          <w:i/>
          <w:iCs/>
          <w:noProof/>
          <w:sz w:val="24"/>
          <w:szCs w:val="24"/>
        </w:rPr>
        <w: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A Bizottság felkéri</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jc w:val="both"/>
        <w:rPr>
          <w:rFonts w:ascii="Times New Roman" w:hAnsi="Times New Roman" w:cs="Times New Roman"/>
          <w:i/>
          <w:noProof/>
          <w:sz w:val="24"/>
          <w:szCs w:val="24"/>
        </w:rPr>
      </w:pPr>
      <w:r>
        <w:rPr>
          <w:rFonts w:ascii="Times New Roman" w:hAnsi="Times New Roman"/>
          <w:i/>
          <w:noProof/>
          <w:sz w:val="24"/>
          <w:szCs w:val="24"/>
        </w:rPr>
        <w:t>– az Európai Parlamentet és a Tanácsot, hogy szervezzen érdemi eszmecserét a Charta alkalmazásáról, és kövesse nyomon a Bizottság éves jelentését. A Bizottság készen áll arra, hogy segítséget nyújtson;</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hAnsi="Times New Roman" w:cs="Times New Roman"/>
          <w:b/>
          <w:i/>
          <w:noProof/>
          <w:sz w:val="24"/>
          <w:szCs w:val="24"/>
        </w:rPr>
      </w:pPr>
      <w:r>
        <w:rPr>
          <w:rFonts w:ascii="Times New Roman" w:hAnsi="Times New Roman"/>
          <w:i/>
          <w:noProof/>
          <w:sz w:val="24"/>
          <w:szCs w:val="24"/>
        </w:rPr>
        <w:t>– az Európai Parlamentet és a nemzeti parlamenteket, hogy alakítsanak ki parlamentközi együttműködést a Charta alkalmazásával kapcsolatos kérdésekben, amihez a Bizottság kész hozzájárulni.</w:t>
      </w: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 xml:space="preserve">1.2. – A Charta alkalmazásának biztosítása az uniós finanszírozás terén </w:t>
      </w:r>
    </w:p>
    <w:p>
      <w:pPr>
        <w:jc w:val="both"/>
        <w:rPr>
          <w:rFonts w:ascii="Times New Roman" w:hAnsi="Times New Roman" w:cs="Times New Roman"/>
          <w:noProof/>
          <w:sz w:val="24"/>
          <w:szCs w:val="24"/>
        </w:rPr>
      </w:pPr>
      <w:r>
        <w:rPr>
          <w:rFonts w:ascii="Times New Roman" w:hAnsi="Times New Roman"/>
          <w:noProof/>
          <w:sz w:val="24"/>
          <w:szCs w:val="24"/>
        </w:rPr>
        <w:t>Az uniós finanszírozás kulcsfontosságú az uniós szakpolitikák tagállamokon belüli végrehajtásának támogatása szempontjából. A tagállamoknak és a Bizottságnak biztosítaniuk kell, hogy minden uniós finanszírozású projekt megfeleljen az uniós jognak, beleértve adott esetben az Alapjogi Chartát.</w:t>
      </w:r>
    </w:p>
    <w:p>
      <w:pPr>
        <w:jc w:val="both"/>
        <w:rPr>
          <w:rFonts w:ascii="Times New Roman" w:hAnsi="Times New Roman" w:cs="Times New Roman"/>
          <w:noProof/>
          <w:sz w:val="24"/>
          <w:szCs w:val="24"/>
        </w:rPr>
      </w:pPr>
      <w:r>
        <w:rPr>
          <w:rFonts w:ascii="Times New Roman" w:hAnsi="Times New Roman"/>
          <w:noProof/>
          <w:sz w:val="24"/>
          <w:szCs w:val="24"/>
        </w:rPr>
        <w:t>A Bizottság nemrégiben lépéseket tett annak érdekében, hogy segítséget nyújtson a tagállamoknak ahhoz, hogy a Charta vonatkozó rendelkezéseivel összhangban hajtsák végre az uniós finanszírozású programokat. A 2021–2027 közötti időszakra vonatkozó, következő uniós költségvetés szabályait meghatározó, közös rendelkezésekről szóló rendeletre (a továbbiakban: CPR) irányuló javaslata</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xml:space="preserve"> a Chartával kapcsolatos „előfeltételt”</w:t>
      </w:r>
      <w:r>
        <w:rPr>
          <w:rFonts w:ascii="Times New Roman" w:hAnsi="Times New Roman" w:cs="Times New Roman"/>
          <w:noProof/>
          <w:sz w:val="24"/>
          <w:szCs w:val="24"/>
          <w:vertAlign w:val="superscript"/>
        </w:rPr>
        <w:footnoteReference w:id="54"/>
      </w:r>
      <w:r>
        <w:rPr>
          <w:rFonts w:ascii="Times New Roman" w:hAnsi="Times New Roman"/>
          <w:noProof/>
          <w:sz w:val="24"/>
          <w:szCs w:val="24"/>
        </w:rPr>
        <w:t xml:space="preserve"> tartalmaz. Ez konkrétan azt jelenti, hogy minden olyan program esetében, amelyet a CPR hatálya alá tartozó uniós alapok támogatnak</w:t>
      </w:r>
      <w:r>
        <w:rPr>
          <w:rFonts w:ascii="Times New Roman" w:hAnsi="Times New Roman" w:cs="Times New Roman"/>
          <w:noProof/>
          <w:sz w:val="24"/>
          <w:szCs w:val="24"/>
          <w:vertAlign w:val="superscript"/>
        </w:rPr>
        <w:footnoteReference w:id="55"/>
      </w:r>
      <w:r>
        <w:rPr>
          <w:rFonts w:ascii="Times New Roman" w:hAnsi="Times New Roman"/>
          <w:noProof/>
          <w:sz w:val="24"/>
          <w:szCs w:val="24"/>
        </w:rPr>
        <w:t xml:space="preserve"> (a továbbiakban: CPR-alapok), hatékony mechanizmusokat kell bevezetni annak érdekében, hogy a tervezésüktől a végrehajtásukig biztosított legyen a programok Chartának való megfelelése</w:t>
      </w:r>
      <w:r>
        <w:rPr>
          <w:rFonts w:ascii="Times New Roman" w:hAnsi="Times New Roman" w:cs="Times New Roman"/>
          <w:noProof/>
          <w:sz w:val="24"/>
          <w:szCs w:val="24"/>
          <w:vertAlign w:val="superscript"/>
        </w:rPr>
        <w:footnoteReference w:id="5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A CPR</w:t>
      </w:r>
      <w:r>
        <w:rPr>
          <w:rFonts w:ascii="Times New Roman" w:hAnsi="Times New Roman" w:cs="Times New Roman"/>
          <w:noProof/>
          <w:sz w:val="24"/>
          <w:szCs w:val="24"/>
          <w:vertAlign w:val="superscript"/>
        </w:rPr>
        <w:footnoteReference w:id="57"/>
      </w:r>
      <w:r>
        <w:rPr>
          <w:rFonts w:ascii="Times New Roman" w:hAnsi="Times New Roman"/>
          <w:noProof/>
          <w:sz w:val="24"/>
          <w:szCs w:val="24"/>
        </w:rPr>
        <w:t xml:space="preserve"> arra kötelezi a tagállamokat, hogy a következőket hozzák létre:</w:t>
      </w:r>
    </w:p>
    <w:p>
      <w:pPr>
        <w:pStyle w:val="ListParagraph"/>
        <w:ind w:left="0"/>
        <w:jc w:val="both"/>
        <w:rPr>
          <w:rFonts w:ascii="Times New Roman" w:hAnsi="Times New Roman" w:cs="Times New Roman"/>
          <w:noProof/>
          <w:sz w:val="24"/>
          <w:szCs w:val="24"/>
        </w:rPr>
      </w:pPr>
      <w:r>
        <w:rPr>
          <w:rFonts w:ascii="Times New Roman" w:hAnsi="Times New Roman"/>
          <w:b/>
          <w:noProof/>
          <w:sz w:val="24"/>
          <w:szCs w:val="24"/>
        </w:rPr>
        <w:t xml:space="preserve">– Intézkedések annak biztosítása érdekében, hogy a CPR-alapok által támogatott </w:t>
      </w:r>
      <w:r>
        <w:rPr>
          <w:rFonts w:ascii="Times New Roman" w:hAnsi="Times New Roman"/>
          <w:b/>
          <w:bCs/>
          <w:noProof/>
          <w:sz w:val="24"/>
          <w:szCs w:val="24"/>
        </w:rPr>
        <w:t>programok</w:t>
      </w:r>
      <w:r>
        <w:rPr>
          <w:rFonts w:ascii="Times New Roman" w:hAnsi="Times New Roman"/>
          <w:b/>
          <w:noProof/>
          <w:sz w:val="24"/>
          <w:szCs w:val="24"/>
        </w:rPr>
        <w:t xml:space="preserve"> és a </w:t>
      </w:r>
      <w:r>
        <w:rPr>
          <w:rFonts w:ascii="Times New Roman" w:hAnsi="Times New Roman"/>
          <w:b/>
          <w:bCs/>
          <w:noProof/>
          <w:sz w:val="24"/>
          <w:szCs w:val="24"/>
        </w:rPr>
        <w:t>végrehajtásuk megfeleljen</w:t>
      </w:r>
      <w:r>
        <w:rPr>
          <w:rFonts w:ascii="Times New Roman" w:hAnsi="Times New Roman"/>
          <w:b/>
          <w:noProof/>
          <w:sz w:val="24"/>
          <w:szCs w:val="24"/>
        </w:rPr>
        <w:t xml:space="preserve"> </w:t>
      </w:r>
      <w:r>
        <w:rPr>
          <w:rFonts w:ascii="Times New Roman" w:hAnsi="Times New Roman"/>
          <w:b/>
          <w:bCs/>
          <w:noProof/>
          <w:sz w:val="24"/>
          <w:szCs w:val="24"/>
        </w:rPr>
        <w:t xml:space="preserve">a </w:t>
      </w:r>
      <w:r>
        <w:rPr>
          <w:rFonts w:ascii="Times New Roman" w:hAnsi="Times New Roman"/>
          <w:b/>
          <w:noProof/>
          <w:sz w:val="24"/>
          <w:szCs w:val="24"/>
        </w:rPr>
        <w:t>Charta vonatkozó rendelkezéseinek.</w:t>
      </w:r>
      <w:r>
        <w:rPr>
          <w:rFonts w:ascii="Times New Roman" w:hAnsi="Times New Roman"/>
          <w:noProof/>
          <w:sz w:val="24"/>
          <w:szCs w:val="24"/>
        </w:rPr>
        <w:t xml:space="preserve"> Ezen intézkedések során a tagállamoknak például meg kell határozniuk a programok Chartának való megfelelése biztosításában részt vevő, különböző hatóságok és szervek szerepét és feladatait, valamint ki kell fejteniük, hogy a programok végrehajtása során hogyan ellenőrzik majd a Chartának való megfelelést.</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b/>
          <w:noProof/>
          <w:sz w:val="24"/>
          <w:szCs w:val="24"/>
        </w:rPr>
        <w:t>– Intézkedések az olyan esetek nyomonkövetési bizottságok</w:t>
      </w:r>
      <w:r>
        <w:rPr>
          <w:rStyle w:val="FootnoteReference"/>
          <w:rFonts w:ascii="Times New Roman" w:hAnsi="Times New Roman" w:cs="Times New Roman"/>
          <w:noProof/>
          <w:sz w:val="24"/>
          <w:szCs w:val="24"/>
        </w:rPr>
        <w:footnoteReference w:id="58"/>
      </w:r>
      <w:r>
        <w:rPr>
          <w:rFonts w:ascii="Times New Roman" w:hAnsi="Times New Roman"/>
          <w:b/>
          <w:noProof/>
          <w:sz w:val="24"/>
          <w:szCs w:val="24"/>
        </w:rPr>
        <w:t xml:space="preserve"> részére történő bejelentése érdekében, amelyekben a CPR-alapok által támogatott műveletek nem felelnek meg a Chartának, és amelyek a Chartával kapcsolatos panaszokra</w:t>
      </w:r>
      <w:r>
        <w:rPr>
          <w:rFonts w:ascii="Times New Roman" w:hAnsi="Times New Roman"/>
          <w:b/>
          <w:bCs/>
          <w:noProof/>
          <w:sz w:val="24"/>
          <w:szCs w:val="24"/>
        </w:rPr>
        <w:t xml:space="preserve"> vonatkoznak</w:t>
      </w:r>
      <w:r>
        <w:rPr>
          <w:rFonts w:ascii="Times New Roman" w:hAnsi="Times New Roman"/>
          <w:bCs/>
          <w:noProof/>
          <w:sz w:val="24"/>
          <w:szCs w:val="24"/>
        </w:rPr>
        <w:t>.</w:t>
      </w:r>
      <w:r>
        <w:rPr>
          <w:rFonts w:ascii="Times New Roman" w:hAnsi="Times New Roman"/>
          <w:b/>
          <w:bCs/>
          <w:noProof/>
          <w:sz w:val="24"/>
          <w:szCs w:val="24"/>
        </w:rPr>
        <w:t xml:space="preserve"> </w:t>
      </w:r>
      <w:r>
        <w:rPr>
          <w:rFonts w:ascii="Times New Roman" w:hAnsi="Times New Roman"/>
          <w:bCs/>
          <w:noProof/>
          <w:sz w:val="24"/>
          <w:szCs w:val="24"/>
        </w:rPr>
        <w:t xml:space="preserve">A tagállamoknak például ismertetniük kell, milyen módon és milyen gyakran tesznek jelentést erről a két kérdésről a </w:t>
      </w:r>
      <w:r>
        <w:rPr>
          <w:rFonts w:ascii="Times New Roman" w:hAnsi="Times New Roman"/>
          <w:b/>
          <w:bCs/>
          <w:noProof/>
          <w:sz w:val="24"/>
          <w:szCs w:val="24"/>
        </w:rPr>
        <w:t>nyomonkövetési bizottságoknak</w:t>
      </w:r>
      <w:r>
        <w:rPr>
          <w:rFonts w:ascii="Times New Roman" w:hAnsi="Times New Roman"/>
          <w:bCs/>
          <w:noProof/>
          <w:sz w:val="24"/>
          <w:szCs w:val="24"/>
        </w:rPr>
        <w:t>. A jelentésnek tartalmaznia kell, milyen korrekciós intézkedésekre került sor, mi fog történni az ilyen esetek jövőbeli megelőzése érdekében, és milyen jogorvoslati mechanizmusok állnak rendelkezésre vagy kerülnek kialakításra.</w:t>
      </w:r>
    </w:p>
    <w:p>
      <w:pPr>
        <w:rPr>
          <w:noProof/>
        </w:rPr>
      </w:pPr>
      <w:r>
        <w:rPr>
          <w:rFonts w:ascii="Times New Roman" w:hAnsi="Times New Roman"/>
          <w:noProof/>
          <w:sz w:val="24"/>
          <w:szCs w:val="24"/>
        </w:rPr>
        <w:t>A programok előkészítése során a tagállamoknak ismertetniük kell a Bizottsággal ezeket az intézkedéseket a Bizottság pedig értékeli az „előfeltétel” teljesülését.</w:t>
      </w:r>
    </w:p>
    <w:p>
      <w:pPr>
        <w:jc w:val="both"/>
        <w:rPr>
          <w:rFonts w:ascii="Times New Roman" w:hAnsi="Times New Roman" w:cs="Times New Roman"/>
          <w:noProof/>
          <w:sz w:val="24"/>
          <w:szCs w:val="24"/>
        </w:rPr>
      </w:pPr>
      <w:r>
        <w:rPr>
          <w:rFonts w:ascii="Times New Roman" w:hAnsi="Times New Roman"/>
          <w:noProof/>
          <w:sz w:val="24"/>
          <w:szCs w:val="24"/>
        </w:rPr>
        <w:t>Az új programozási időszakra vonatkozó szabályok szerint a nyomonkövetési bizottságokon belül alapjogi szerveket</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is ki kell alakítani, hogy azok segítsenek értékelni a Chartának való megfelelést. A nemzetközi jogállásuk és a hatóságok nyomon követése és segítése terén szerzett tapasztalataik miatt a </w:t>
      </w:r>
      <w:r>
        <w:rPr>
          <w:rFonts w:ascii="Times New Roman" w:hAnsi="Times New Roman"/>
          <w:b/>
          <w:noProof/>
          <w:sz w:val="24"/>
          <w:szCs w:val="24"/>
        </w:rPr>
        <w:t>nemzeti emberi jogi intézmények</w:t>
      </w:r>
      <w:r>
        <w:rPr>
          <w:rFonts w:ascii="Times New Roman" w:hAnsi="Times New Roman"/>
          <w:noProof/>
          <w:sz w:val="24"/>
          <w:szCs w:val="24"/>
        </w:rPr>
        <w:t xml:space="preserve"> is szerepet játszhatnak abban, hogy az uniós finanszírozású programokat a Chartával összhangban tervezzék meg és hajtsák végre</w:t>
      </w:r>
      <w:r>
        <w:rPr>
          <w:rFonts w:ascii="Times New Roman" w:hAnsi="Times New Roman" w:cs="Times New Roman"/>
          <w:noProof/>
          <w:vertAlign w:val="superscript"/>
        </w:rPr>
        <w:footnoteReference w:id="6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A tagállamoknak a Bizottsággal együttműködve technikai segítségnyújtás révén támogatniuk kell a nemzeti és helyi személyzetet abban. hogy a Charta uniós finanszírozás során történő betartásának biztosítása céljából kidolgozott iránymutatás alapján a Chartának megfelelő módon dolgozzák ki és hajtsák végre a programokat</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A Bizottság arra is ösztönzi a tagállamokat, hogy egyeztessenek egymással annak érdekében, hogy az egész EU-ban egységesen hajtsák végre az „előfeltételt”. A nemzeti kapcsolattartó pontok megkönnyítenék ezt az együttműködést és koordinációt</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w:t>
      </w:r>
    </w:p>
    <w:p>
      <w:pPr>
        <w:jc w:val="both"/>
        <w:rPr>
          <w:noProof/>
        </w:rPr>
      </w:pPr>
      <w:r>
        <w:rPr>
          <w:rFonts w:ascii="Times New Roman" w:hAnsi="Times New Roman"/>
          <w:noProof/>
          <w:sz w:val="24"/>
          <w:szCs w:val="24"/>
        </w:rPr>
        <w:t>A Bi</w:t>
      </w:r>
      <w:r>
        <w:rPr>
          <w:rFonts w:ascii="Times New Roman" w:hAnsi="Times New Roman"/>
          <w:bCs/>
          <w:noProof/>
          <w:sz w:val="24"/>
          <w:szCs w:val="24"/>
        </w:rPr>
        <w:t>zottság a tagállamokkal közösen fogja nyomon követni és biztosítani, hogy az uniós finanszírozás végrehajtása során a Chartával kapcsolatos panaszokat megfelelően kezeljék, és sor kerüljön azok szisztematikus nyomon követésére.</w:t>
      </w:r>
    </w:p>
    <w:p>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b/>
          <w:i/>
          <w:noProof/>
          <w:sz w:val="24"/>
          <w:szCs w:val="24"/>
        </w:rPr>
        <w:t>A Bizottság:</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képzési modult alakít ki és technikai segítséget nyújt a közös rendelkezésekről szóló rendelet „előfeltétele” egységes és hatékony végrehajtásának biztosítása érdekében;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értékeli a Chartára vonatkozó „előfeltétel” teljesülését;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r>
        <w:rPr>
          <w:rFonts w:ascii="Times New Roman" w:hAnsi="Times New Roman"/>
          <w:i/>
          <w:noProof/>
          <w:sz w:val="24"/>
          <w:szCs w:val="24"/>
        </w:rPr>
        <w:t>– nyomon követi, hogy a Chartának megfelelően használják-e fel az uniós finanszírozást, és indokolt esetben meghozza a megfelelő intézkedéseket, például az uniós finanszírozás megszakítását vagy felfüggesztését, illetve pénzügyi korrekció alkalmazását, ha tagállamok nem korrigálták a szabálytalan kiadásokat.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b/>
          <w:i/>
          <w:noProof/>
          <w:sz w:val="24"/>
          <w:szCs w:val="24"/>
        </w:rPr>
        <w:t>A Bizottság felkéri a tagállamokat, hogy:</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gondoskodjanak arról, hogy az uniós forrásokat a Chartával összhangban használják fel, és vezessék be a közös rendelkezésekről szóló rendeletben előírt intézkedéseket;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a Bizottsággal együttműködésben támogassák a nemzeti és helyi személyzetet az olyan programok megtervezésében és végrehajtásában, amelyek megfelelnek a Chartának;</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könnyítsék meg az együttműködést és az „előfeltétel” egységes alkalmazását, és a lehető legjobban használják ki az elérhető technikai segítséget.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alakítsanak ki alapjogi szerveket a nyomonkövetési bizottságokon belül.</w:t>
      </w:r>
    </w:p>
    <w:p>
      <w:pPr>
        <w:rPr>
          <w:rFonts w:ascii="Times New Roman" w:hAnsi="Times New Roman" w:cs="Times New Roman"/>
          <w:b/>
          <w:i/>
          <w:noProof/>
          <w:sz w:val="24"/>
          <w:szCs w:val="24"/>
        </w:rPr>
      </w:pPr>
      <w:r>
        <w:rPr>
          <w:noProof/>
        </w:rPr>
        <w:br w:type="page"/>
      </w:r>
    </w:p>
    <w:p>
      <w:pPr>
        <w:pStyle w:val="Heading1"/>
        <w:rPr>
          <w:rFonts w:ascii="Times New Roman" w:hAnsi="Times New Roman" w:cs="Times New Roman"/>
          <w:noProof/>
        </w:rPr>
      </w:pPr>
      <w:r>
        <w:rPr>
          <w:rFonts w:ascii="Times New Roman" w:hAnsi="Times New Roman"/>
          <w:noProof/>
        </w:rPr>
        <w:t>2. – A civil társadalmi szervezetek, jogvédők és igazságügyi tisztviselők szerepének megerősítése</w:t>
      </w:r>
    </w:p>
    <w:p>
      <w:pPr>
        <w:jc w:val="both"/>
        <w:rPr>
          <w:rFonts w:ascii="Times New Roman" w:hAnsi="Times New Roman" w:cs="Times New Roman"/>
          <w:b/>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2.1. A civil társadalmi szervezetek és jogvédők védelme és támogatása</w:t>
      </w:r>
    </w:p>
    <w:p>
      <w:pPr>
        <w:jc w:val="both"/>
        <w:rPr>
          <w:rFonts w:ascii="Times New Roman" w:hAnsi="Times New Roman" w:cs="Times New Roman"/>
          <w:i/>
          <w:noProof/>
          <w:sz w:val="24"/>
          <w:szCs w:val="24"/>
        </w:rPr>
      </w:pPr>
      <w:r>
        <w:rPr>
          <w:rFonts w:ascii="Times New Roman" w:hAnsi="Times New Roman"/>
          <w:i/>
          <w:noProof/>
          <w:sz w:val="24"/>
          <w:szCs w:val="24"/>
        </w:rPr>
        <w:t>Támogató környezet</w:t>
      </w:r>
    </w:p>
    <w:p>
      <w:pPr>
        <w:jc w:val="both"/>
        <w:rPr>
          <w:rFonts w:ascii="Times New Roman" w:hAnsi="Times New Roman" w:cs="Times New Roman"/>
          <w:noProof/>
          <w:sz w:val="24"/>
          <w:szCs w:val="24"/>
        </w:rPr>
      </w:pPr>
      <w:r>
        <w:rPr>
          <w:rFonts w:ascii="Times New Roman" w:hAnsi="Times New Roman"/>
          <w:noProof/>
          <w:sz w:val="24"/>
          <w:szCs w:val="24"/>
        </w:rPr>
        <w:t>A civil társadalmi szervezetekre és jogvédőkre elengedhetetlenül szükség van az egészséges demokráciában és társadalomban, ahol az emberek élhetnek alapjogaikkal. Ők a Charta jogérvényesítési láncának kulcsfontosságú felei. Fontos szerepet játszanak a Charta alkalmazásának és ismeretségének, valamint a jogállamiságon, a demokrácián és az alapjogokon alapuló értékek kultúrájának előmozdításában.</w:t>
      </w:r>
    </w:p>
    <w:p>
      <w:pPr>
        <w:jc w:val="both"/>
        <w:rPr>
          <w:rFonts w:ascii="Times New Roman" w:hAnsi="Times New Roman" w:cs="Times New Roman"/>
          <w:noProof/>
          <w:sz w:val="24"/>
          <w:szCs w:val="24"/>
        </w:rPr>
      </w:pPr>
      <w:r>
        <w:rPr>
          <w:rFonts w:ascii="Times New Roman" w:hAnsi="Times New Roman"/>
          <w:noProof/>
          <w:sz w:val="24"/>
          <w:szCs w:val="24"/>
        </w:rPr>
        <w:t xml:space="preserve">Mindazonáltal egyre több kihívással néznek szembe, többek közt </w:t>
      </w:r>
      <w:r>
        <w:rPr>
          <w:rFonts w:ascii="Times New Roman" w:hAnsi="Times New Roman"/>
          <w:b/>
          <w:noProof/>
          <w:sz w:val="24"/>
          <w:szCs w:val="24"/>
        </w:rPr>
        <w:t>szabályozási korlátozásokkal és finanszírozáshoz jutási nehézségekkel</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A Bíróság</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egy, a civil társadalmi szervezetek külföldi finanszírozását korlátozó törvényre vonatkozó ügyben elismerte, hogy az egyesülés szabadságához fűződő jog a demokratikus és pluralista társadalom egyik alapvető pillérét jelenti, mivel lehetővé teszi a polgárok számára, hogy közérdekű ügyekben közösen lépjenek fel, és ezzel hozzájáruljanak a közélet megfelelő működéséhez. A Bíróság kimondta, hogy a civil társadalmi szervezeteknek képeseknek kell lenniük arra, „</w:t>
      </w:r>
      <w:r>
        <w:rPr>
          <w:rFonts w:ascii="Times New Roman" w:hAnsi="Times New Roman"/>
          <w:i/>
          <w:noProof/>
          <w:sz w:val="24"/>
          <w:szCs w:val="24"/>
        </w:rPr>
        <w:t>hogy indokolatlan állami beavatkozás nélkül létezhessen[ek] és [működjenek]</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Egyes tagállamokban a </w:t>
      </w:r>
      <w:r>
        <w:rPr>
          <w:rFonts w:ascii="Times New Roman" w:hAnsi="Times New Roman"/>
          <w:b/>
          <w:noProof/>
          <w:sz w:val="24"/>
          <w:szCs w:val="24"/>
        </w:rPr>
        <w:t>lejárató kampányok</w:t>
      </w:r>
      <w:r>
        <w:rPr>
          <w:rFonts w:ascii="Times New Roman" w:hAnsi="Times New Roman"/>
          <w:noProof/>
          <w:sz w:val="24"/>
          <w:szCs w:val="24"/>
        </w:rPr>
        <w:t xml:space="preserve"> negatívan befolyásolják a közvéleményt, és kihatnak a civil társadalom hitelességére és legitimitására. A civil társadalmi szervezetek és emberi jogvédő aktivisták egyes uniós országokban fizikai és szóbeli támadásoknak, megfélemlítésnek és zaklatásnak vannak kitéve, beleértve a visszaélésszerű pereket (a közéleti részvételt akadályozó stratégiai perek – SLAPP)</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az erőszakot, valamint az online és offline gyűlöletbeszédet</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A civil társadalmi szervezetek és a jogvédők számára lehetővé kell tenni, hogy félelem nélkül, támogató környezetben végezzék munkájukat.</w:t>
      </w: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i/>
          <w:noProof/>
          <w:sz w:val="24"/>
          <w:szCs w:val="24"/>
        </w:rPr>
      </w:pPr>
      <w:r>
        <w:rPr>
          <w:rFonts w:ascii="Times New Roman" w:hAnsi="Times New Roman"/>
          <w:b/>
          <w:i/>
          <w:noProof/>
          <w:sz w:val="24"/>
          <w:szCs w:val="24"/>
        </w:rPr>
        <w:t xml:space="preserve">A Bizottság: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xml:space="preserve">– fellép azokkal az intézkedésekkel szemben, amelyek megsértik az uniós jogot, beleértve a Chartát, és amelyek a civil társadalmi szervezeteket érintik;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támogatja a civil társadalmi szervezetek számára kedvező környezet megteremtését, különösen a Polgárok, egyenlőség, jogok és értékek program új uniós értékekre irányuló ágának keretében.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b/>
          <w:noProof/>
        </w:rPr>
      </w:pPr>
      <w:r>
        <w:rPr>
          <w:rFonts w:ascii="Times New Roman" w:hAnsi="Times New Roman"/>
          <w:b/>
          <w:i/>
          <w:noProof/>
          <w:sz w:val="24"/>
          <w:szCs w:val="24"/>
        </w:rPr>
        <w:t>A Bizottság felkéri a tagállamokat arra, hogy:</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b/>
          <w:noProof/>
        </w:rPr>
      </w:pPr>
      <w:r>
        <w:rPr>
          <w:rFonts w:ascii="Times New Roman" w:hAnsi="Times New Roman"/>
          <w:i/>
          <w:noProof/>
          <w:sz w:val="24"/>
          <w:szCs w:val="24"/>
        </w:rPr>
        <w:t>– mozdítsák elő a civil társadalmi szervezetek és jogvédők számára támogató és biztonságos környezetet az országukban, többek közt helyi szinten.</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 xml:space="preserve">Erős és független nemzeti emberi jogi intézmények </w:t>
      </w:r>
    </w:p>
    <w:p>
      <w:pPr>
        <w:jc w:val="both"/>
        <w:rPr>
          <w:rFonts w:ascii="Times New Roman" w:hAnsi="Times New Roman" w:cs="Times New Roman"/>
          <w:noProof/>
          <w:sz w:val="24"/>
          <w:szCs w:val="24"/>
        </w:rPr>
      </w:pPr>
      <w:r>
        <w:rPr>
          <w:rFonts w:ascii="Times New Roman" w:hAnsi="Times New Roman"/>
          <w:noProof/>
          <w:sz w:val="24"/>
          <w:szCs w:val="24"/>
        </w:rPr>
        <w:t>Az erős és hatékony nemzeti emberi jogi intézmények</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rendkívül fontos kapcsolódási pontot képeznek a kormány és a civil társadalom között, mivel áthidalják az egyének jogai és az állam feladatköre közötti „védelmi rést”. Átfogó szerepük az, hogy fellépjenek a megkülönböztetés minden formájával szemben, és előmozdítsák az alapjogok teljes körének védelmét</w:t>
      </w:r>
      <w:r>
        <w:rPr>
          <w:rFonts w:ascii="Times New Roman" w:hAnsi="Times New Roman" w:cs="Times New Roman"/>
          <w:noProof/>
          <w:sz w:val="24"/>
          <w:szCs w:val="24"/>
          <w:vertAlign w:val="superscript"/>
        </w:rPr>
        <w:footnoteReference w:id="69"/>
      </w:r>
      <w:r>
        <w:rPr>
          <w:rFonts w:ascii="Times New Roman" w:hAnsi="Times New Roman"/>
          <w:noProof/>
          <w:sz w:val="24"/>
          <w:szCs w:val="24"/>
        </w:rPr>
        <w:t>. A nemzeti emberi jogi intézmények nyomon követik a Charta helyszíni alkalmazását, végrehajtását és előmozdítását, tájékoztatást és támogatást nyújtanak az alapjogi jogsértések áldozatainak, és együttműködnek a nemzeti intézményekkel a Charta alkalmazásának és ismertségének előmozdítása terén.</w:t>
      </w:r>
    </w:p>
    <w:p>
      <w:pPr>
        <w:jc w:val="both"/>
        <w:rPr>
          <w:rFonts w:ascii="Times New Roman" w:hAnsi="Times New Roman" w:cs="Times New Roman"/>
          <w:noProof/>
          <w:sz w:val="24"/>
          <w:szCs w:val="24"/>
        </w:rPr>
      </w:pPr>
      <w:r>
        <w:rPr>
          <w:rFonts w:ascii="Times New Roman" w:hAnsi="Times New Roman"/>
          <w:noProof/>
          <w:sz w:val="24"/>
          <w:szCs w:val="24"/>
        </w:rPr>
        <w:t>Három tagállam</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nem rendelkezik nemzeti emberi jogi intézménnyel, kettőben</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nincs akkreditált nemzeti emberi jogi intézmény, hat tagállam</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pedig nem rendelkezik az ENSZ párizsi alapelveinek</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xml:space="preserve"> megfelelő, A. besorolású nemzeti emberi jogi intézménnyel</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A 2020. évi jogállamisági jelentés a nemzeti fékek és ellensúlyok részeként kiemelte a független nemzeti emberi jogi intézmények jelentőségét</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A Nemzeti Emberi Jogi Intézmények Európai Hálózata (ENNHRI) a Bizottság támogatásával segíthet a tagállamoknak a párizsi alapelveknek megfelelő, A. besorolású nemzeti emberi jogi intézmények létrehozásában és előmozdításában.</w:t>
      </w: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noProof/>
        </w:rPr>
      </w:pPr>
      <w:r>
        <w:rPr>
          <w:rFonts w:ascii="Times New Roman" w:hAnsi="Times New Roman"/>
          <w:b/>
          <w:i/>
          <w:noProof/>
          <w:sz w:val="24"/>
          <w:szCs w:val="24"/>
        </w:rPr>
        <w:t>A Bizottság felkéri</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azokat a tagállamokat, amelyek még nem hoztak létre független nemzeti emberi jogi intézményeket, hogy ezt tegyék meg;</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noProof/>
        </w:rPr>
      </w:pPr>
      <w:r>
        <w:rPr>
          <w:rFonts w:ascii="Times New Roman" w:hAnsi="Times New Roman"/>
          <w:i/>
          <w:noProof/>
          <w:sz w:val="24"/>
          <w:szCs w:val="24"/>
        </w:rPr>
        <w:t>– azokat a tagállamokat, amelyekben létrehoztak nemzeti emberi jogi intézményeket, hogy biztosítsák számukra a párizsi alapelveknek való megfeleléshez szükséges eszközöket, és megbízatásukban hivatkozzanak a Chartára.</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Kapacitásépítés az emberek jogainak védelme céljából</w:t>
      </w:r>
    </w:p>
    <w:p>
      <w:pPr>
        <w:jc w:val="both"/>
        <w:rPr>
          <w:rFonts w:ascii="Times New Roman" w:hAnsi="Times New Roman" w:cs="Times New Roman"/>
          <w:noProof/>
          <w:sz w:val="24"/>
          <w:szCs w:val="24"/>
        </w:rPr>
      </w:pPr>
      <w:r>
        <w:rPr>
          <w:rFonts w:ascii="Times New Roman" w:hAnsi="Times New Roman"/>
          <w:noProof/>
          <w:sz w:val="24"/>
          <w:szCs w:val="24"/>
        </w:rPr>
        <w:t xml:space="preserve">A civil társadalmi szervezetek és jogvédők elengedhetetlenül szükségesek ahhoz, hogy az emberek több ismerettel rendelkezzenek a Chartában foglalt jogaikról, és </w:t>
      </w:r>
      <w:r>
        <w:rPr>
          <w:rFonts w:ascii="Times New Roman" w:hAnsi="Times New Roman"/>
          <w:b/>
          <w:noProof/>
          <w:sz w:val="24"/>
          <w:szCs w:val="24"/>
        </w:rPr>
        <w:t>hatékony jogvédelmet</w:t>
      </w:r>
      <w:r>
        <w:rPr>
          <w:rFonts w:ascii="Times New Roman" w:hAnsi="Times New Roman"/>
          <w:noProof/>
          <w:sz w:val="24"/>
          <w:szCs w:val="24"/>
        </w:rPr>
        <w:t xml:space="preserve"> kapjanak. Amikor más utak, például a megelőzés és a párbeszéd sikertelennek bizonyulnak, a hatékony jogvédelem magában foglalja a stratégiai peres eljárásokat is, ami hozzájárul az uniós jog egységesebb végrehajtásához és alkalmazásához, valamint az emberek jogainak érvényesítéséhez. Az Európai Parlament kezdeményezését követően a Bizottság konzultációkat végzett, és tanulmányt</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xml:space="preserve"> készíttetett, amely rámutatott arra, hogy a kapacitásépítés kulcsfontosságú ahhoz, hogy a „Charta képviselői” jobban tudjanak segíteni az embereknek a Charta szerinti jogaik érvényesítésében. A tanulmány megállapította, hogy az ügyvédek körében növelni kell „</w:t>
      </w:r>
      <w:r>
        <w:rPr>
          <w:rFonts w:ascii="Times New Roman" w:hAnsi="Times New Roman"/>
          <w:i/>
          <w:noProof/>
          <w:sz w:val="24"/>
          <w:szCs w:val="24"/>
        </w:rPr>
        <w:t>a vonatkozó uniós jog gyakorlatával és eljárásaival kapcsolatos ismereteket</w:t>
      </w:r>
      <w:r>
        <w:rPr>
          <w:rFonts w:ascii="Times New Roman" w:hAnsi="Times New Roman"/>
          <w:noProof/>
          <w:sz w:val="24"/>
          <w:szCs w:val="24"/>
        </w:rPr>
        <w:t>”, valamint fokozni kell a kapacitásukat „</w:t>
      </w:r>
      <w:r>
        <w:rPr>
          <w:rFonts w:ascii="Times New Roman" w:hAnsi="Times New Roman"/>
          <w:i/>
          <w:noProof/>
          <w:sz w:val="24"/>
          <w:szCs w:val="24"/>
        </w:rPr>
        <w:t>azzal a várható eredménnyel, hogy az alapjogokkal kapcsolatos perek száma nőni fog Európában, és a Chartában foglalt jogok előmozdítása és védelme rendszerszintűbb lesz</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jogvédők európai hálózatai</w:t>
      </w:r>
      <w:r>
        <w:rPr>
          <w:rFonts w:ascii="Times New Roman" w:hAnsi="Times New Roman"/>
          <w:noProof/>
          <w:sz w:val="24"/>
          <w:szCs w:val="24"/>
        </w:rPr>
        <w:t>, mint a Nemzeti Emberi Jogi Intézmények Európai Hálózata (a továbbiakban: ENNHRI), az egyenlőség előmozdításával foglalkozó nemzeti szervek európai hálózata (a továbbiakban: Equinet), valamint az Ombudsmanok Európai Hálózata (a továbbiakban: ENO) fontos szerepet játszhatnak a kapacitásépítés és a Chartával kapcsolatos gyakorlatok tagok közötti megosztásának koordinálása terén. A nemzetközi képzések keretében képzést nyert személyzetnek multiplikátorként kell fellépnie, és képeznie kell a nemzeti intézményekben dolgozó kollégákat</w:t>
      </w:r>
      <w:r>
        <w:rPr>
          <w:rFonts w:ascii="Times New Roman" w:hAnsi="Times New Roman" w:cs="Times New Roman"/>
          <w:noProof/>
          <w:sz w:val="24"/>
          <w:szCs w:val="24"/>
          <w:vertAlign w:val="superscript"/>
        </w:rPr>
        <w:footnoteReference w:id="77"/>
      </w:r>
      <w:r>
        <w:rPr>
          <w:rFonts w:ascii="Times New Roman" w:hAnsi="Times New Roman"/>
          <w:noProof/>
          <w:sz w:val="24"/>
          <w:szCs w:val="24"/>
        </w:rPr>
        <w:t xml:space="preserve">. A hálózatoknak egymástól kell tanulniuk, hogy elérjék a célkitűzéseiket. Például az </w:t>
      </w:r>
      <w:r>
        <w:rPr>
          <w:rFonts w:ascii="Times New Roman" w:hAnsi="Times New Roman"/>
          <w:b/>
          <w:noProof/>
          <w:sz w:val="24"/>
          <w:szCs w:val="24"/>
        </w:rPr>
        <w:t>ENNHRI</w:t>
      </w:r>
      <w:r>
        <w:rPr>
          <w:rFonts w:ascii="Times New Roman" w:hAnsi="Times New Roman"/>
          <w:noProof/>
          <w:sz w:val="24"/>
          <w:szCs w:val="24"/>
        </w:rPr>
        <w:t xml:space="preserve"> összegyűjtötte a tagjai gyakorlatait, hogy megmutassa, hogy a nemzeti emberi jogi intézmények Európa-szerte hogyan dolgoznak a Charta nemzeti szintű végrehajtásán</w:t>
      </w:r>
      <w:r>
        <w:rPr>
          <w:rFonts w:ascii="Times New Roman" w:hAnsi="Times New Roman" w:cs="Times New Roman"/>
          <w:i/>
          <w:noProof/>
          <w:sz w:val="24"/>
          <w:szCs w:val="24"/>
          <w:vertAlign w:val="superscript"/>
        </w:rPr>
        <w:footnoteReference w:id="78"/>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A FRA olyan eszközöket alakított ki, amelyek támogatják ezt a munkát, és készen áll a kapacitásépítési erőfeszítések további támogatására</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Konkrét csoportok jogait biztosító egyéb hálózatok – például a fogyatékossággal élő személyek jogairól szóló egyezmény keretrendszere vagy a Gyermekjogi Ombudsmanok Európai Hálózata – szintén fontos szerepet játszhatnak a Charta tagjaik körében történő előmozdításában.</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 xml:space="preserve">A Bizottság: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különösen a Jogérvényülés program keretében támogatja a Chartával kapcsolatos kapacitásépítést a jogvédők és civil társadalmi szervezetek körében, hogy megkönnyítse az igazságszolgáltatáshoz való hozzáférést mindenki számára.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A Bizottság felszólítja a civil társadalmi szervezetek és jogvédők hálózatait, hogy:</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xml:space="preserve">– működjenek együtt a Chartával kapcsolatos képzések és gyakorlatok megosztása terén, és alapozzanak a Bizottság és a FRA által biztosított támogatásra és eszközökre. </w:t>
      </w:r>
    </w:p>
    <w:p>
      <w:pPr>
        <w:jc w:val="both"/>
        <w:rPr>
          <w:rFonts w:ascii="Times New Roman" w:hAnsi="Times New Roman" w:cs="Times New Roman"/>
          <w:b/>
          <w:i/>
          <w:noProof/>
          <w:sz w:val="24"/>
          <w:szCs w:val="24"/>
        </w:rPr>
      </w:pPr>
    </w:p>
    <w:p>
      <w:pPr>
        <w:jc w:val="both"/>
        <w:rPr>
          <w:rFonts w:ascii="Times New Roman" w:hAnsi="Times New Roman" w:cs="Times New Roman"/>
          <w:i/>
          <w:noProof/>
          <w:sz w:val="24"/>
          <w:szCs w:val="24"/>
        </w:rPr>
      </w:pPr>
      <w:r>
        <w:rPr>
          <w:rFonts w:ascii="Times New Roman" w:hAnsi="Times New Roman"/>
          <w:b/>
          <w:i/>
          <w:noProof/>
          <w:sz w:val="24"/>
          <w:szCs w:val="24"/>
        </w:rPr>
        <w:t>2.2. A bírák és egyéb igazságügyi tisztviselők támogatása</w:t>
      </w:r>
      <w:r>
        <w:rPr>
          <w:rFonts w:ascii="Times New Roman" w:hAnsi="Times New Roman"/>
          <w:i/>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A független és képzett bírák rendkívül fontosak ahhoz, hogy a Chartát relevánssá tegyék az emberek életében. Bár a nemzeti bíróságok egyre nagyobb mértékben alkalmazzák a Chartát, és az annak értelmezésével kapcsolatos segítségnyújtásért egyre többször fordulnak a Bírósághoz</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xml:space="preserve">, a nemzeti igazságügyi szakértők </w:t>
      </w:r>
      <w:r>
        <w:rPr>
          <w:rFonts w:ascii="Times New Roman" w:hAnsi="Times New Roman"/>
          <w:b/>
          <w:noProof/>
          <w:sz w:val="24"/>
          <w:szCs w:val="24"/>
        </w:rPr>
        <w:t>továbbra is kevés ismerettel rendelkeznek</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Eddig a bíráknak, más igazságügyi szakembereknek és képzőintézményeknek szóló, célzott konzultáció keretében megkérdezett valamennyi szakmai csoport kevesebb, mint harmada vett részt a Chartával kapcsolatos képzésen. A legtöbb bíró és más igazságügyi szakember, aki válaszolt a konzultációra, örömmel venné a Chartáról szóló képzést, beleértve a bíráknak és egyéb igazságügyi szakembereknek szóló közös képzéseket, ahol meg tudják osztani egymással a tapasztalataikat. Ezenkívül örömmel vennék a nemzeti és európai bíróságok közötti megerősített tapasztalatcserét is</w:t>
      </w:r>
      <w:r>
        <w:rPr>
          <w:rStyle w:val="FootnoteReference"/>
          <w:rFonts w:ascii="Times New Roman" w:hAnsi="Times New Roman" w:cs="Times New Roman"/>
          <w:noProof/>
          <w:sz w:val="24"/>
          <w:szCs w:val="24"/>
        </w:rPr>
        <w:footnoteReference w:id="8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A Bizottság </w:t>
      </w:r>
      <w:r>
        <w:rPr>
          <w:rFonts w:ascii="Times New Roman" w:hAnsi="Times New Roman"/>
          <w:b/>
          <w:noProof/>
          <w:sz w:val="24"/>
          <w:szCs w:val="24"/>
        </w:rPr>
        <w:t>új európai igazságügyi képzési stratégiát</w:t>
      </w:r>
      <w:r>
        <w:rPr>
          <w:rFonts w:ascii="Times New Roman" w:hAnsi="Times New Roman"/>
          <w:noProof/>
          <w:sz w:val="24"/>
          <w:szCs w:val="24"/>
        </w:rPr>
        <w:t xml:space="preserve"> fogadott el, amely hangsúlyozza bírák és más igazságügyi szakemberek számára Chartáról nyújtott képzés fontosságát annak hatékony alkalmazásának érdekében</w:t>
      </w:r>
      <w:r>
        <w:rPr>
          <w:rStyle w:val="FootnoteReference"/>
          <w:rFonts w:ascii="Times New Roman" w:hAnsi="Times New Roman" w:cs="Times New Roman"/>
          <w:noProof/>
          <w:sz w:val="24"/>
          <w:szCs w:val="24"/>
        </w:rPr>
        <w:footnoteReference w:id="83"/>
      </w:r>
      <w:r>
        <w:rPr>
          <w:rFonts w:ascii="Times New Roman" w:hAnsi="Times New Roman"/>
          <w:noProof/>
          <w:sz w:val="24"/>
          <w:szCs w:val="24"/>
        </w:rPr>
        <w:t>. A szakmák közötti képzés és a bevált gyakorlatok megosztásának relevanciája szintén kapott hangsúlyt. A FRA frissíteni fogja a Charterpediát és a Charta alkalmazásáról szóló, szakembereknek szánt kézikönyvét</w:t>
      </w:r>
      <w:r>
        <w:rPr>
          <w:rFonts w:ascii="Times New Roman" w:hAnsi="Times New Roman" w:cs="Times New Roman"/>
          <w:noProof/>
          <w:sz w:val="24"/>
          <w:szCs w:val="24"/>
          <w:vertAlign w:val="superscript"/>
        </w:rPr>
        <w:footnoteReference w:id="84"/>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A Covid19-világjárvány további kihívásokat okozott az igazságszolgáltatási rendszerekben, azonban számos tagállamban fokozta az eljárások digitalizációját is</w:t>
      </w:r>
      <w:r>
        <w:rPr>
          <w:rStyle w:val="FootnoteReference"/>
          <w:rFonts w:ascii="Times New Roman" w:hAnsi="Times New Roman" w:cs="Times New Roman"/>
          <w:noProof/>
          <w:sz w:val="24"/>
          <w:szCs w:val="24"/>
        </w:rPr>
        <w:footnoteReference w:id="85"/>
      </w:r>
      <w:r>
        <w:rPr>
          <w:rFonts w:ascii="Times New Roman" w:hAnsi="Times New Roman"/>
          <w:noProof/>
          <w:sz w:val="24"/>
          <w:szCs w:val="24"/>
        </w:rPr>
        <w:t xml:space="preserve">. Ha az </w:t>
      </w:r>
      <w:r>
        <w:rPr>
          <w:rFonts w:ascii="Times New Roman" w:hAnsi="Times New Roman"/>
          <w:b/>
          <w:noProof/>
          <w:sz w:val="24"/>
          <w:szCs w:val="24"/>
        </w:rPr>
        <w:t>igazságszolgáltatás digitalizációját</w:t>
      </w:r>
      <w:r>
        <w:rPr>
          <w:rFonts w:ascii="Times New Roman" w:hAnsi="Times New Roman"/>
          <w:noProof/>
          <w:sz w:val="24"/>
          <w:szCs w:val="24"/>
        </w:rPr>
        <w:t xml:space="preserve"> körültekintően valósítják meg, az pozitív hatással lehet a bíróságok kapacitására is az alapjogi kérdések hatékonyabb kezelése tekintetében, különösen azokban az esetekben, ahol az emberi erőforrások hiányosak</w:t>
      </w:r>
      <w:r>
        <w:rPr>
          <w:rStyle w:val="FootnoteReference"/>
          <w:rFonts w:ascii="Times New Roman" w:hAnsi="Times New Roman" w:cs="Times New Roman"/>
          <w:noProof/>
          <w:sz w:val="24"/>
          <w:szCs w:val="24"/>
        </w:rPr>
        <w:footnoteReference w:id="86"/>
      </w:r>
      <w:r>
        <w:rPr>
          <w:rFonts w:ascii="Times New Roman" w:hAnsi="Times New Roman"/>
          <w:noProof/>
          <w:sz w:val="24"/>
          <w:szCs w:val="24"/>
        </w:rPr>
        <w:t>.</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A Bizottság:</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az EU új Jogérvényesülés programja keretében prioritásként kezeli a Chartával kapcsolatos, bíráknak és egyéb igazságügyi szakembereknek szóló képzési lehetőségeket, és támogatja egy külön e-learning eszköz kialakítását a bírák számára;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az uniós források használatával előmozdítja a Chartával kapcsolatos képzési tevékenységeket és az európai e-igazságügyi portál</w:t>
      </w:r>
      <w:r>
        <w:rPr>
          <w:rStyle w:val="FootnoteReference"/>
          <w:rFonts w:ascii="Times New Roman" w:hAnsi="Times New Roman" w:cs="Times New Roman"/>
          <w:b/>
          <w:i/>
          <w:noProof/>
          <w:sz w:val="24"/>
          <w:szCs w:val="24"/>
        </w:rPr>
        <w:footnoteReference w:id="87"/>
      </w:r>
      <w:r>
        <w:rPr>
          <w:rFonts w:ascii="Times New Roman" w:hAnsi="Times New Roman"/>
          <w:i/>
          <w:noProof/>
          <w:sz w:val="24"/>
          <w:szCs w:val="24"/>
        </w:rPr>
        <w:t xml:space="preserve"> új </w:t>
      </w:r>
      <w:r>
        <w:rPr>
          <w:rFonts w:ascii="Times New Roman" w:hAnsi="Times New Roman"/>
          <w:noProof/>
          <w:sz w:val="24"/>
          <w:szCs w:val="24"/>
        </w:rPr>
        <w:t>„</w:t>
      </w:r>
      <w:r>
        <w:rPr>
          <w:rFonts w:ascii="Times New Roman" w:hAnsi="Times New Roman"/>
          <w:i/>
          <w:noProof/>
          <w:sz w:val="24"/>
          <w:szCs w:val="24"/>
        </w:rPr>
        <w:t>európai képzési platformról</w:t>
      </w:r>
      <w:r>
        <w:rPr>
          <w:rFonts w:ascii="Times New Roman" w:hAnsi="Times New Roman"/>
          <w:noProof/>
          <w:sz w:val="24"/>
          <w:szCs w:val="24"/>
        </w:rPr>
        <w:t>”</w:t>
      </w:r>
      <w:r>
        <w:rPr>
          <w:rFonts w:ascii="Times New Roman" w:hAnsi="Times New Roman"/>
          <w:i/>
          <w:noProof/>
          <w:sz w:val="24"/>
          <w:szCs w:val="24"/>
        </w:rPr>
        <w:t xml:space="preserve"> szóló anyagait.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A Bizottság felszólítja</w:t>
      </w:r>
      <w:r>
        <w:rPr>
          <w:rFonts w:ascii="Times New Roman" w:hAnsi="Times New Roman"/>
          <w:i/>
          <w:noProof/>
          <w:sz w:val="24"/>
          <w:szCs w:val="24"/>
        </w:rPr>
        <w:t xml:space="preserve"> </w:t>
      </w:r>
      <w:r>
        <w:rPr>
          <w:rFonts w:ascii="Times New Roman" w:hAnsi="Times New Roman"/>
          <w:b/>
          <w:i/>
          <w:noProof/>
          <w:sz w:val="24"/>
          <w:szCs w:val="24"/>
        </w:rPr>
        <w:t>a bírák és egyéb igazságügyi szakemberek hálózatát, hogy:</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működjenek együtt a Charta alkalmazásával kapcsolatos gyakorlatokról szóló képzések és azok megosztása terén, és alapozzanak a Bizottság, az Európai Igazságügyi Képzési Hálózat (EJTN) és a FRA által kínált támogatásra és eszközökre.</w:t>
      </w:r>
      <w:r>
        <w:rPr>
          <w:noProof/>
        </w:rPr>
        <w:br w:type="page"/>
      </w:r>
    </w:p>
    <w:p>
      <w:pPr>
        <w:pStyle w:val="Heading1"/>
        <w:rPr>
          <w:rFonts w:ascii="Times New Roman" w:hAnsi="Times New Roman" w:cs="Times New Roman"/>
          <w:noProof/>
        </w:rPr>
      </w:pPr>
      <w:r>
        <w:rPr>
          <w:rFonts w:ascii="Times New Roman" w:hAnsi="Times New Roman"/>
          <w:noProof/>
        </w:rPr>
        <w:t>3. – A Charta használatának előmozdítása az uniós intézmények iránytűjeként</w:t>
      </w:r>
    </w:p>
    <w:p>
      <w:pPr>
        <w:rPr>
          <w:noProof/>
        </w:rPr>
      </w:pPr>
    </w:p>
    <w:p>
      <w:pPr>
        <w:jc w:val="both"/>
        <w:rPr>
          <w:rFonts w:ascii="Times New Roman" w:hAnsi="Times New Roman" w:cs="Times New Roman"/>
          <w:b/>
          <w:noProof/>
          <w:sz w:val="24"/>
          <w:szCs w:val="24"/>
        </w:rPr>
      </w:pPr>
      <w:r>
        <w:rPr>
          <w:rFonts w:ascii="Times New Roman" w:hAnsi="Times New Roman"/>
          <w:b/>
          <w:i/>
          <w:noProof/>
          <w:sz w:val="24"/>
          <w:szCs w:val="24"/>
        </w:rPr>
        <w:t>3.1. Eszközök frissítése és kialakítása a Bizottságon belül</w:t>
      </w:r>
    </w:p>
    <w:p>
      <w:pPr>
        <w:jc w:val="both"/>
        <w:rPr>
          <w:rFonts w:ascii="Times New Roman" w:hAnsi="Times New Roman" w:cs="Times New Roman"/>
          <w:noProof/>
          <w:sz w:val="24"/>
          <w:szCs w:val="24"/>
        </w:rPr>
      </w:pPr>
      <w:r>
        <w:rPr>
          <w:rFonts w:ascii="Times New Roman" w:hAnsi="Times New Roman"/>
          <w:b/>
          <w:noProof/>
          <w:sz w:val="24"/>
          <w:szCs w:val="24"/>
        </w:rPr>
        <w:t>Az uniós intézményeknek minden tevékenységük során meg kell felelniük a Chartának</w:t>
      </w:r>
      <w:r>
        <w:rPr>
          <w:rFonts w:ascii="Times New Roman" w:hAnsi="Times New Roman"/>
          <w:noProof/>
          <w:sz w:val="24"/>
          <w:szCs w:val="24"/>
        </w:rPr>
        <w:t>, így akkor is, amikor az uniós jogi kereten kívül</w:t>
      </w:r>
      <w:r>
        <w:rPr>
          <w:rStyle w:val="FootnoteReference"/>
          <w:rFonts w:ascii="Times New Roman" w:hAnsi="Times New Roman" w:cs="Times New Roman"/>
          <w:noProof/>
          <w:sz w:val="24"/>
          <w:szCs w:val="24"/>
        </w:rPr>
        <w:footnoteReference w:id="88"/>
      </w:r>
      <w:r>
        <w:rPr>
          <w:rFonts w:ascii="Times New Roman" w:hAnsi="Times New Roman"/>
          <w:noProof/>
          <w:sz w:val="24"/>
          <w:szCs w:val="24"/>
        </w:rPr>
        <w:t xml:space="preserve"> és a tagállamok területén kívül</w:t>
      </w:r>
      <w:r>
        <w:rPr>
          <w:rStyle w:val="FootnoteReference"/>
          <w:rFonts w:ascii="Times New Roman" w:hAnsi="Times New Roman" w:cs="Times New Roman"/>
          <w:noProof/>
          <w:sz w:val="24"/>
          <w:szCs w:val="24"/>
        </w:rPr>
        <w:footnoteReference w:id="89"/>
      </w:r>
      <w:r>
        <w:rPr>
          <w:rFonts w:ascii="Times New Roman" w:hAnsi="Times New Roman"/>
          <w:noProof/>
          <w:sz w:val="24"/>
          <w:szCs w:val="24"/>
        </w:rPr>
        <w:t xml:space="preserve"> járnak el.</w:t>
      </w:r>
    </w:p>
    <w:p>
      <w:pPr>
        <w:jc w:val="both"/>
        <w:rPr>
          <w:rFonts w:ascii="Times New Roman" w:hAnsi="Times New Roman" w:cs="Times New Roman"/>
          <w:i/>
          <w:noProof/>
          <w:sz w:val="24"/>
          <w:szCs w:val="24"/>
        </w:rPr>
      </w:pPr>
      <w:r>
        <w:rPr>
          <w:rFonts w:ascii="Times New Roman" w:hAnsi="Times New Roman"/>
          <w:noProof/>
          <w:sz w:val="24"/>
          <w:szCs w:val="24"/>
        </w:rPr>
        <w:t xml:space="preserve">A Charta alkalmazásáról szóló, 2010. évi uniós stratégia alapján </w:t>
      </w:r>
      <w:r>
        <w:rPr>
          <w:rFonts w:ascii="Times New Roman" w:hAnsi="Times New Roman"/>
          <w:b/>
          <w:noProof/>
          <w:sz w:val="24"/>
          <w:szCs w:val="24"/>
        </w:rPr>
        <w:t>a Bizottság</w:t>
      </w:r>
      <w:r>
        <w:rPr>
          <w:rFonts w:ascii="Times New Roman" w:hAnsi="Times New Roman"/>
          <w:noProof/>
          <w:sz w:val="24"/>
          <w:szCs w:val="24"/>
        </w:rPr>
        <w:t xml:space="preserve"> iránymutatást</w:t>
      </w:r>
      <w:r>
        <w:rPr>
          <w:rStyle w:val="FootnoteReference"/>
          <w:rFonts w:ascii="Times New Roman" w:hAnsi="Times New Roman" w:cs="Times New Roman"/>
          <w:noProof/>
          <w:sz w:val="24"/>
          <w:szCs w:val="24"/>
        </w:rPr>
        <w:footnoteReference w:id="90"/>
      </w:r>
      <w:r>
        <w:rPr>
          <w:rFonts w:ascii="Times New Roman" w:hAnsi="Times New Roman"/>
          <w:noProof/>
          <w:sz w:val="24"/>
          <w:szCs w:val="24"/>
        </w:rPr>
        <w:t xml:space="preserve"> készített annak biztosítására, hogy minden egyes új kezdeményezés megfeleljen a Chartának, és ahol egyes jogok érintettek, indokolják meg, hogy az adott intézkedés miért szükséges és arányos, és vezessenek be olyan megoldásokat, amelyek mérsékelik az intézkedésnek az emberek jogaira gyakorolt negatív hatását. A Bizottság új, egyenlőséggel foglalkozó munkacsoportja biztosítani fogja, hogy az egyenlőséggel kapcsolatos megfontolások általánosan érvényesüljenek a Bizottság munkájában.</w:t>
      </w:r>
    </w:p>
    <w:p>
      <w:pPr>
        <w:jc w:val="both"/>
        <w:rPr>
          <w:rFonts w:ascii="Times New Roman" w:hAnsi="Times New Roman" w:cs="Times New Roman"/>
          <w:iCs/>
          <w:noProof/>
          <w:sz w:val="24"/>
          <w:szCs w:val="24"/>
        </w:rPr>
      </w:pPr>
      <w:r>
        <w:rPr>
          <w:rFonts w:ascii="Times New Roman" w:hAnsi="Times New Roman"/>
          <w:noProof/>
          <w:sz w:val="24"/>
          <w:szCs w:val="24"/>
        </w:rPr>
        <w:t>Továbbra is a kezdeményezés előkészítő szakaszától fogva ellenőrzik azokat a kulcsfontosságú bizottsági kezdeményezéseket, amelyeknek jelentős hatása lehet a Chartában foglalt jogokra, és a Chartának való megfelelés továbbra is központi kérdés a Bizottság számára a döntéshozatali folyamat során. Európa digitális stratégiája</w:t>
      </w:r>
      <w:r>
        <w:rPr>
          <w:rStyle w:val="FootnoteReference"/>
          <w:rFonts w:ascii="Times New Roman" w:hAnsi="Times New Roman" w:cs="Times New Roman"/>
          <w:noProof/>
          <w:sz w:val="24"/>
          <w:szCs w:val="24"/>
        </w:rPr>
        <w:footnoteReference w:id="91"/>
      </w:r>
      <w:r>
        <w:rPr>
          <w:rFonts w:ascii="Times New Roman" w:hAnsi="Times New Roman"/>
          <w:noProof/>
          <w:sz w:val="24"/>
          <w:szCs w:val="24"/>
        </w:rPr>
        <w:t xml:space="preserve"> például hangsúlyozza az alapvető jogok tiszteletben tartásának fontosságát a digitális transzformációban. A hamarosan elfogadandó, mesterséges intelligenciáról szóló új szabályozói keretrendszer</w:t>
      </w:r>
      <w:r>
        <w:rPr>
          <w:rFonts w:ascii="Times New Roman" w:hAnsi="Times New Roman" w:cs="Times New Roman"/>
          <w:noProof/>
          <w:sz w:val="24"/>
          <w:szCs w:val="24"/>
          <w:vertAlign w:val="superscript"/>
        </w:rPr>
        <w:footnoteReference w:id="92"/>
      </w:r>
      <w:r>
        <w:rPr>
          <w:rFonts w:ascii="Times New Roman" w:hAnsi="Times New Roman"/>
          <w:noProof/>
          <w:sz w:val="24"/>
          <w:szCs w:val="24"/>
        </w:rPr>
        <w:t xml:space="preserve"> </w:t>
      </w:r>
      <w:r>
        <w:rPr>
          <w:rFonts w:ascii="Times New Roman" w:hAnsi="Times New Roman"/>
          <w:iCs/>
          <w:noProof/>
          <w:sz w:val="24"/>
          <w:szCs w:val="24"/>
        </w:rPr>
        <w:t>elszámoltathatósági, dokumentációs és tesztelési követelményeket fog bevezetni az alapjogok hatékony érvényesítése érdekében.</w:t>
      </w:r>
      <w:r>
        <w:rPr>
          <w:rFonts w:ascii="Calibri" w:hAnsi="Calibri"/>
          <w:noProof/>
        </w:rPr>
        <w:t xml:space="preserve"> </w:t>
      </w:r>
      <w:r>
        <w:rPr>
          <w:rFonts w:ascii="Times New Roman" w:hAnsi="Times New Roman"/>
          <w:noProof/>
          <w:sz w:val="24"/>
          <w:szCs w:val="24"/>
        </w:rPr>
        <w:t>A digitális szolgáltatásokról szóló jogszabályra vonatkozó, hamarosan előterjesztésre kerülő javaslat meghatározza az online közvetítők, különösen az online platformok felelősségét a jogellenes online tartalmak valamennyi formája tekintetében. A cél annak biztosítása, hogy az ilyen tartalmak eltávolítása a jogszerű tartalom védelme mellett történjen, és megóvják az online szolgáltatások igénybe vevőinek alapvető jogait, így a véleménynyilvánítás szabadságát.</w:t>
      </w:r>
    </w:p>
    <w:p>
      <w:pPr>
        <w:jc w:val="both"/>
        <w:rPr>
          <w:rFonts w:ascii="Times New Roman" w:hAnsi="Times New Roman" w:cs="Times New Roman"/>
          <w:noProof/>
          <w:sz w:val="24"/>
          <w:szCs w:val="24"/>
        </w:rPr>
      </w:pPr>
      <w:r>
        <w:rPr>
          <w:rFonts w:ascii="Times New Roman" w:hAnsi="Times New Roman"/>
          <w:noProof/>
          <w:sz w:val="24"/>
          <w:szCs w:val="24"/>
        </w:rPr>
        <w:t>A kezdeményezések előkészítése során a Bizottság figyelembe veszi a legfontosabb érdekelt felek észrevételeit</w:t>
      </w:r>
      <w:r>
        <w:rPr>
          <w:rStyle w:val="FootnoteReference"/>
          <w:rFonts w:ascii="Times New Roman" w:hAnsi="Times New Roman" w:cs="Times New Roman"/>
          <w:noProof/>
          <w:sz w:val="24"/>
          <w:szCs w:val="24"/>
        </w:rPr>
        <w:footnoteReference w:id="93"/>
      </w:r>
      <w:r>
        <w:rPr>
          <w:rFonts w:ascii="Times New Roman" w:hAnsi="Times New Roman"/>
          <w:noProof/>
          <w:sz w:val="24"/>
          <w:szCs w:val="24"/>
        </w:rPr>
        <w:t>. A civil társadalommal folytatott, nyílt és konstruktív párbeszéd elősegíti a Bizottság erőfeszítéseit, amelyek arra irányulnak, hogy a Charta minden szakpolitikában és jogalkotási javaslatban érvényesüljön.</w:t>
      </w:r>
    </w:p>
    <w:p>
      <w:pPr>
        <w:jc w:val="both"/>
        <w:rPr>
          <w:rFonts w:ascii="Times New Roman" w:hAnsi="Times New Roman" w:cs="Times New Roman"/>
          <w:noProof/>
          <w:color w:val="000000" w:themeColor="text1"/>
          <w:sz w:val="23"/>
          <w:szCs w:val="23"/>
        </w:rPr>
      </w:pPr>
      <w:r>
        <w:rPr>
          <w:rFonts w:ascii="Times New Roman" w:hAnsi="Times New Roman"/>
          <w:noProof/>
          <w:sz w:val="24"/>
          <w:szCs w:val="24"/>
        </w:rPr>
        <w:t>Az alapjogok védelme világméretű erőfeszítés, és fontos, hogy az alapjogokat előmozdító és védelmező belső és külső intézkedések egységesek legyenek, és kölcsönösen erősítsék egymást. A 2020–2024-re vonatkozó, emberi jogokról és demokráciáról szóló cselekvési terv</w:t>
      </w:r>
      <w:r>
        <w:rPr>
          <w:rStyle w:val="FootnoteReference"/>
          <w:rFonts w:ascii="Times New Roman" w:hAnsi="Times New Roman" w:cs="Times New Roman"/>
          <w:noProof/>
          <w:sz w:val="24"/>
          <w:szCs w:val="24"/>
        </w:rPr>
        <w:footnoteReference w:id="94"/>
      </w:r>
      <w:r>
        <w:rPr>
          <w:rFonts w:ascii="Times New Roman" w:hAnsi="Times New Roman"/>
          <w:noProof/>
          <w:sz w:val="24"/>
          <w:szCs w:val="24"/>
        </w:rPr>
        <w:t xml:space="preserve"> megerősíti az EU elkötelezettségét az emberi jogok és értékek </w:t>
      </w:r>
      <w:r>
        <w:rPr>
          <w:rFonts w:ascii="Times New Roman" w:hAnsi="Times New Roman"/>
          <w:noProof/>
          <w:color w:val="000000" w:themeColor="text1"/>
          <w:sz w:val="24"/>
          <w:szCs w:val="24"/>
        </w:rPr>
        <w:t>világszintű</w:t>
      </w:r>
      <w:r>
        <w:rPr>
          <w:rFonts w:ascii="Times New Roman" w:hAnsi="Times New Roman"/>
          <w:noProof/>
          <w:sz w:val="24"/>
          <w:szCs w:val="24"/>
        </w:rPr>
        <w:t xml:space="preserve"> előmozdítása és védelme mellett.</w:t>
      </w:r>
      <w:r>
        <w:rPr>
          <w:noProof/>
          <w:color w:val="000000" w:themeColor="text1"/>
          <w:sz w:val="23"/>
          <w:szCs w:val="23"/>
        </w:rPr>
        <w:t xml:space="preserve"> </w:t>
      </w:r>
      <w:r>
        <w:rPr>
          <w:rFonts w:ascii="Times New Roman" w:hAnsi="Times New Roman"/>
          <w:noProof/>
          <w:color w:val="000000" w:themeColor="text1"/>
          <w:sz w:val="24"/>
          <w:szCs w:val="24"/>
        </w:rPr>
        <w:t>Az EU külügyi fellépésének minden területén egységesen és következetesen elő fogják mozdítani az emberi jogokat és a demokráciát, biztosítva ezáltal, hogy a Chartának a belső és külső tevékenységben egységességen mozdítsák elő az alapjogokat.</w:t>
      </w:r>
    </w:p>
    <w:p>
      <w:pPr>
        <w:jc w:val="both"/>
        <w:rPr>
          <w:rFonts w:ascii="Times New Roman" w:hAnsi="Times New Roman" w:cs="Times New Roman"/>
          <w:noProof/>
          <w:sz w:val="24"/>
          <w:szCs w:val="24"/>
        </w:rPr>
      </w:pPr>
      <w:r>
        <w:rPr>
          <w:rFonts w:ascii="Times New Roman" w:hAnsi="Times New Roman"/>
          <w:noProof/>
          <w:sz w:val="24"/>
          <w:szCs w:val="24"/>
        </w:rPr>
        <w:t>A Bizottság uniós intézményként továbbra is figyelembe veszi a Chartát az uniós kereskedelmi és beruházási megállapodások előkészítése és az azokkal kapcsolatos tárgyalás során</w:t>
      </w:r>
      <w:r>
        <w:rPr>
          <w:rFonts w:ascii="Times New Roman" w:hAnsi="Times New Roman" w:cs="Times New Roman"/>
          <w:noProof/>
          <w:sz w:val="24"/>
          <w:szCs w:val="24"/>
          <w:vertAlign w:val="superscript"/>
        </w:rPr>
        <w:footnoteReference w:id="95"/>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A Bizottság továbbra is ragaszkodni fog ahhoz, hogy az EU-hoz csatlakozni kívánó országok (a továbbiakban: bővítési országok) megfeleljenek az uniós alapjogvédelmi standardoknak. A Bizottság támogatást és technikai segítséget fog nyújtani a bővítési országoknak</w:t>
      </w:r>
      <w:r>
        <w:rPr>
          <w:rStyle w:val="FootnoteReference"/>
          <w:rFonts w:ascii="Times New Roman" w:hAnsi="Times New Roman" w:cs="Times New Roman"/>
          <w:noProof/>
          <w:sz w:val="24"/>
          <w:szCs w:val="24"/>
        </w:rPr>
        <w:footnoteReference w:id="96"/>
      </w:r>
      <w:r>
        <w:rPr>
          <w:rFonts w:ascii="Times New Roman" w:hAnsi="Times New Roman"/>
          <w:noProof/>
          <w:sz w:val="24"/>
          <w:szCs w:val="24"/>
        </w:rPr>
        <w:t>, és az országjelentések éves bővítési csomagjain keresztül nyomon fogja követni az előrehaladást. A tagjelölt országok és azok az országok, amelyekkel stabilizációs és társulási megállapodás megkötésére került sor, kérhetik, hogy megfigyelőként részt vegyenek az EU Alapjogi Ügynökségének munkájában annak érdekében, hogy megkönnyítsék az uniós joggal való fokozatos összehangolást</w:t>
      </w:r>
      <w:r>
        <w:rPr>
          <w:rStyle w:val="FootnoteReference"/>
          <w:rFonts w:ascii="Times New Roman" w:hAnsi="Times New Roman" w:cs="Times New Roman"/>
          <w:noProof/>
          <w:sz w:val="24"/>
          <w:szCs w:val="24"/>
        </w:rPr>
        <w:footnoteReference w:id="97"/>
      </w:r>
      <w:r>
        <w:rPr>
          <w:rFonts w:ascii="Times New Roman" w:hAnsi="Times New Roman"/>
          <w:noProof/>
          <w:sz w:val="24"/>
          <w:szCs w:val="24"/>
        </w:rPr>
        <w:t>.</w:t>
      </w:r>
    </w:p>
    <w:p>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A Bizottság:</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támogatja a mindenki számára elérhető, Chartáról szóló e-learning eszköz kialakítását;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frissíti a személyzetének szóló, a Charta hatásvizsgálatok során történő alkalmazására vonatkozó, 2011. évi iránymutatását, és azt információs forrásként megosztja a szakpolitikai döntéshozókkal nemzeti és helyi szinten;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az egyenlőség átfogó érvényesítésére irányuló eszközkészletet és képzési tervet dolgoz ki a teljes személyzet számára annak érdekében, hogy az egyenlőséggel kapcsolatos szempontok az összes bizottsági kedvezményezés részét képezzék.</w:t>
      </w:r>
    </w:p>
    <w:p>
      <w:pPr>
        <w:rPr>
          <w:rFonts w:ascii="Times New Roman" w:hAnsi="Times New Roman" w:cs="Times New Roman"/>
          <w:b/>
          <w:i/>
          <w:noProof/>
          <w:sz w:val="24"/>
          <w:szCs w:val="24"/>
        </w:rPr>
      </w:pPr>
    </w:p>
    <w:p>
      <w:pPr>
        <w:rPr>
          <w:rFonts w:ascii="Times New Roman" w:hAnsi="Times New Roman" w:cs="Times New Roman"/>
          <w:b/>
          <w:i/>
          <w:noProof/>
          <w:sz w:val="24"/>
          <w:szCs w:val="24"/>
        </w:rPr>
      </w:pPr>
      <w:r>
        <w:rPr>
          <w:rFonts w:ascii="Times New Roman" w:hAnsi="Times New Roman"/>
          <w:b/>
          <w:i/>
          <w:noProof/>
          <w:sz w:val="24"/>
          <w:szCs w:val="24"/>
        </w:rPr>
        <w:t xml:space="preserve">3.2. A Charta átfogó érvényesítésének kialakítása az „európai” jogalkotási folyamat során </w:t>
      </w:r>
    </w:p>
    <w:p>
      <w:pPr>
        <w:jc w:val="both"/>
        <w:rPr>
          <w:rFonts w:ascii="Times New Roman" w:hAnsi="Times New Roman" w:cs="Times New Roman"/>
          <w:noProof/>
          <w:sz w:val="24"/>
          <w:szCs w:val="24"/>
        </w:rPr>
      </w:pPr>
      <w:r>
        <w:rPr>
          <w:rFonts w:ascii="Times New Roman" w:hAnsi="Times New Roman"/>
          <w:noProof/>
          <w:sz w:val="24"/>
          <w:szCs w:val="24"/>
        </w:rPr>
        <w:t xml:space="preserve">A Charta EU általi hatékony alkalmazása szempontjából elengedhetetlen, hogy az </w:t>
      </w:r>
      <w:r>
        <w:rPr>
          <w:rFonts w:ascii="Times New Roman" w:hAnsi="Times New Roman"/>
          <w:b/>
          <w:noProof/>
          <w:sz w:val="24"/>
          <w:szCs w:val="24"/>
        </w:rPr>
        <w:t>Európai Parlament</w:t>
      </w:r>
      <w:r>
        <w:rPr>
          <w:rFonts w:ascii="Times New Roman" w:hAnsi="Times New Roman"/>
          <w:noProof/>
          <w:sz w:val="24"/>
          <w:szCs w:val="24"/>
        </w:rPr>
        <w:t xml:space="preserve"> és a </w:t>
      </w:r>
      <w:r>
        <w:rPr>
          <w:rFonts w:ascii="Times New Roman" w:hAnsi="Times New Roman"/>
          <w:b/>
          <w:noProof/>
          <w:sz w:val="24"/>
          <w:szCs w:val="24"/>
        </w:rPr>
        <w:t>Tanács</w:t>
      </w:r>
      <w:r>
        <w:rPr>
          <w:rFonts w:ascii="Times New Roman" w:hAnsi="Times New Roman"/>
          <w:noProof/>
          <w:sz w:val="24"/>
          <w:szCs w:val="24"/>
        </w:rPr>
        <w:t xml:space="preserve"> a jogalkotás során szem előtt tartsa a Chartának való megfelelést. A Bizottság készen áll a támogatásukra. A Chartának való megfelelés az uniós jogszabályok fenntarthatóságának kulcsfontosságú eleme</w:t>
      </w:r>
      <w:r>
        <w:rPr>
          <w:rStyle w:val="FootnoteReference"/>
          <w:rFonts w:ascii="Times New Roman" w:hAnsi="Times New Roman" w:cs="Times New Roman"/>
          <w:noProof/>
          <w:sz w:val="24"/>
          <w:szCs w:val="24"/>
        </w:rPr>
        <w:footnoteReference w:id="98"/>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2015-ben a Tanács az alapvető jogok megfelelőségi ellenőrzéséről szóló iránymutatást</w:t>
      </w:r>
      <w:r>
        <w:rPr>
          <w:rStyle w:val="FootnoteReference"/>
          <w:rFonts w:ascii="Times New Roman" w:hAnsi="Times New Roman" w:cs="Times New Roman"/>
          <w:noProof/>
          <w:sz w:val="24"/>
          <w:szCs w:val="24"/>
        </w:rPr>
        <w:footnoteReference w:id="99"/>
      </w:r>
      <w:r>
        <w:rPr>
          <w:rFonts w:ascii="Times New Roman" w:hAnsi="Times New Roman"/>
          <w:noProof/>
          <w:sz w:val="24"/>
          <w:szCs w:val="24"/>
        </w:rPr>
        <w:t xml:space="preserve"> tett közzé, amelyet rendszeresen meg kell osztani és ismertetni kell</w:t>
      </w:r>
      <w:r>
        <w:rPr>
          <w:rStyle w:val="FootnoteReference"/>
          <w:rFonts w:ascii="Times New Roman" w:hAnsi="Times New Roman" w:cs="Times New Roman"/>
          <w:noProof/>
          <w:sz w:val="24"/>
          <w:szCs w:val="24"/>
        </w:rPr>
        <w:footnoteReference w:id="100"/>
      </w:r>
      <w:r>
        <w:rPr>
          <w:rFonts w:ascii="Times New Roman" w:hAnsi="Times New Roman"/>
          <w:noProof/>
          <w:sz w:val="24"/>
          <w:szCs w:val="24"/>
        </w:rPr>
        <w:t>. A Tanácsnak az alapvető és az uniós polgársági jogokkal, valamint a személyek szabad mozgásával foglalkozó munkacsoportja (FREMP) alapvető szerepet játszik e tekintetben. Az Európai Parlament Állampolgári Jogi, Bel- és Igazságügyi Bizottsága (LIBE) véleményeket fogalmazhat meg az adott jogalkotási aktus alapvető jogoknak való megfeleléséről</w:t>
      </w:r>
      <w:r>
        <w:rPr>
          <w:rStyle w:val="FootnoteReference"/>
          <w:rFonts w:ascii="Times New Roman" w:hAnsi="Times New Roman" w:cs="Times New Roman"/>
          <w:noProof/>
          <w:sz w:val="24"/>
          <w:szCs w:val="24"/>
        </w:rPr>
        <w:footnoteReference w:id="101"/>
      </w:r>
      <w:r>
        <w:rPr>
          <w:rFonts w:ascii="Times New Roman" w:hAnsi="Times New Roman"/>
          <w:noProof/>
          <w:sz w:val="24"/>
          <w:szCs w:val="24"/>
        </w:rPr>
        <w:t>. A minőségi jogalkotásról szóló intézményközi megállapodás keretében az Európai Parlament és a Tanács végezhet hatásvizsgálatokat a bizottsági javaslatok lényeges módosításaival kapcsolatban. A megállapodás szerint a hatásvizsgálatoknak az alapjogi kérdéseket kell célozniuk</w:t>
      </w:r>
      <w:r>
        <w:rPr>
          <w:rStyle w:val="FootnoteReference"/>
          <w:rFonts w:ascii="Times New Roman" w:hAnsi="Times New Roman" w:cs="Times New Roman"/>
          <w:noProof/>
          <w:sz w:val="24"/>
          <w:szCs w:val="24"/>
        </w:rPr>
        <w:footnoteReference w:id="10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Számos friss példa van a Charta uniós jogszabályokban való általános érvényesítésére, és további példák találhatók a Bizottság éves jelentéseiben</w:t>
      </w:r>
      <w:r>
        <w:rPr>
          <w:rStyle w:val="FootnoteReference"/>
          <w:rFonts w:ascii="Times New Roman" w:hAnsi="Times New Roman" w:cs="Times New Roman"/>
          <w:noProof/>
          <w:sz w:val="24"/>
          <w:szCs w:val="24"/>
          <w:lang w:val="en-US"/>
        </w:rPr>
        <w:footnoteReference w:id="103"/>
      </w:r>
      <w:r>
        <w:rPr>
          <w:rFonts w:ascii="Times New Roman" w:hAnsi="Times New Roman"/>
          <w:noProof/>
          <w:sz w:val="24"/>
          <w:szCs w:val="24"/>
        </w:rPr>
        <w:t>. Az európai akadálymentesítési irányelv</w:t>
      </w:r>
      <w:r>
        <w:rPr>
          <w:rFonts w:ascii="Times New Roman" w:hAnsi="Times New Roman" w:cs="Times New Roman"/>
          <w:noProof/>
          <w:sz w:val="24"/>
          <w:szCs w:val="24"/>
          <w:vertAlign w:val="superscript"/>
        </w:rPr>
        <w:footnoteReference w:id="104"/>
      </w:r>
      <w:r>
        <w:rPr>
          <w:rFonts w:ascii="Times New Roman" w:hAnsi="Times New Roman"/>
          <w:noProof/>
          <w:sz w:val="24"/>
          <w:szCs w:val="24"/>
        </w:rPr>
        <w:t xml:space="preserve"> azt hivatott elérni, hogy olyan intézkedések segítsék a fogyatékkal élő személyeket, amelyek biztosítják az önállóságukat, társadalmi és foglalkozási beilleszkedésüket, valamint a közösség életében való részvételüket. Az Európai Határ- és Parti Őrségről szóló rendelet</w:t>
      </w:r>
      <w:r>
        <w:rPr>
          <w:rFonts w:ascii="Times New Roman" w:hAnsi="Times New Roman" w:cs="Times New Roman"/>
          <w:noProof/>
          <w:sz w:val="24"/>
          <w:szCs w:val="24"/>
          <w:vertAlign w:val="superscript"/>
        </w:rPr>
        <w:footnoteReference w:id="105"/>
      </w:r>
      <w:r>
        <w:rPr>
          <w:rFonts w:ascii="Times New Roman" w:hAnsi="Times New Roman"/>
          <w:noProof/>
          <w:sz w:val="24"/>
          <w:szCs w:val="24"/>
        </w:rPr>
        <w:t xml:space="preserve"> az alapjogokat </w:t>
      </w:r>
      <w:r>
        <w:rPr>
          <w:rFonts w:ascii="Times New Roman" w:hAnsi="Times New Roman"/>
          <w:bCs/>
          <w:noProof/>
          <w:sz w:val="24"/>
          <w:szCs w:val="24"/>
        </w:rPr>
        <w:t>az európai integrált határigazgatás végrehajtásának átfogó részévé teszi</w:t>
      </w:r>
      <w:r>
        <w:rPr>
          <w:rFonts w:ascii="Times New Roman" w:hAnsi="Times New Roman"/>
          <w:noProof/>
          <w:sz w:val="24"/>
          <w:szCs w:val="24"/>
        </w:rPr>
        <w:t>.</w:t>
      </w:r>
    </w:p>
    <w:p>
      <w:pPr>
        <w:jc w:val="both"/>
        <w:rPr>
          <w:noProof/>
        </w:rPr>
      </w:pPr>
    </w:p>
    <w:p>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 xml:space="preserve">A Bizottság felkéri az Európai Parlamentet és a Tanácsot, </w:t>
      </w:r>
      <w:r>
        <w:rPr>
          <w:rFonts w:ascii="Times New Roman" w:hAnsi="Times New Roman"/>
          <w:i/>
          <w:noProof/>
          <w:sz w:val="24"/>
          <w:szCs w:val="24"/>
        </w:rPr>
        <w:t>hogy használják fel a rendelkezésükre álló az eszközöket,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noProof/>
        </w:rPr>
      </w:pPr>
      <w:r>
        <w:rPr>
          <w:rFonts w:ascii="Times New Roman" w:hAnsi="Times New Roman"/>
          <w:i/>
          <w:noProof/>
          <w:sz w:val="24"/>
          <w:szCs w:val="24"/>
        </w:rPr>
        <w:t>annak érdekében, hogy a munkájuk során hatékonyan alkalmazzák a Chartát.</w:t>
      </w:r>
      <w:r>
        <w:rPr>
          <w:rFonts w:ascii="Times New Roman" w:hAnsi="Times New Roman"/>
          <w:noProof/>
          <w:sz w:val="24"/>
          <w:szCs w:val="24"/>
        </w:rPr>
        <w:t xml:space="preserve"> </w:t>
      </w:r>
      <w:r>
        <w:rPr>
          <w:rFonts w:ascii="Times New Roman" w:hAnsi="Times New Roman"/>
          <w:i/>
          <w:noProof/>
          <w:sz w:val="24"/>
          <w:szCs w:val="24"/>
        </w:rPr>
        <w:t>A Bizottság készen áll a támogatásukra.</w:t>
      </w:r>
    </w:p>
    <w:p>
      <w:pPr>
        <w:rPr>
          <w:rFonts w:asciiTheme="majorHAnsi" w:eastAsiaTheme="majorEastAsia" w:hAnsiTheme="majorHAnsi" w:cstheme="majorBidi"/>
          <w:noProof/>
          <w:color w:val="2E74B5" w:themeColor="accent1" w:themeShade="BF"/>
          <w:sz w:val="32"/>
          <w:szCs w:val="32"/>
        </w:rPr>
      </w:pPr>
      <w:r>
        <w:rPr>
          <w:noProof/>
        </w:rPr>
        <w:br w:type="page"/>
      </w:r>
    </w:p>
    <w:p>
      <w:pPr>
        <w:pStyle w:val="Heading1"/>
        <w:rPr>
          <w:rFonts w:ascii="Times New Roman" w:hAnsi="Times New Roman" w:cs="Times New Roman"/>
          <w:noProof/>
        </w:rPr>
      </w:pPr>
      <w:r>
        <w:rPr>
          <w:rFonts w:ascii="Times New Roman" w:hAnsi="Times New Roman"/>
          <w:noProof/>
        </w:rPr>
        <w:t>4. – Az emberek ismereteinek bővítése a Charta alapján őket megillető jogokkal kapcsolatban.</w:t>
      </w:r>
    </w:p>
    <w:p>
      <w:pPr>
        <w:rPr>
          <w:rFonts w:ascii="Times New Roman" w:hAnsi="Times New Roman" w:cs="Times New Roman"/>
          <w:b/>
          <w:noProof/>
          <w:sz w:val="24"/>
          <w:szCs w:val="24"/>
        </w:rPr>
      </w:pPr>
    </w:p>
    <w:p>
      <w:pPr>
        <w:jc w:val="both"/>
        <w:rPr>
          <w:rFonts w:ascii="Times New Roman" w:hAnsi="Times New Roman"/>
          <w:noProof/>
          <w:sz w:val="24"/>
          <w:szCs w:val="24"/>
        </w:rPr>
      </w:pPr>
      <w:r>
        <w:rPr>
          <w:rFonts w:ascii="Times New Roman" w:hAnsi="Times New Roman"/>
          <w:noProof/>
          <w:sz w:val="24"/>
          <w:szCs w:val="24"/>
        </w:rPr>
        <w:t xml:space="preserve">A Chartával kapcsolatos tudatosságra vonatkozó, nemrégiben készített Eurobarométer felmérés szerint a válaszadók csupán 42 %-a hallott a Chartáról, és csak 12 %-a tudja valóban, mi az. </w:t>
      </w:r>
    </w:p>
    <w:p>
      <w:pPr>
        <w:jc w:val="both"/>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extent cx="4432383" cy="2907101"/>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ra just.PNG"/>
                    <pic:cNvPicPr/>
                  </pic:nvPicPr>
                  <pic:blipFill>
                    <a:blip r:embed="rId16">
                      <a:extLst>
                        <a:ext uri="{28A0092B-C50C-407E-A947-70E740481C1C}">
                          <a14:useLocalDpi xmlns:a14="http://schemas.microsoft.com/office/drawing/2010/main" val="0"/>
                        </a:ext>
                      </a:extLst>
                    </a:blip>
                    <a:stretch>
                      <a:fillRect/>
                    </a:stretch>
                  </pic:blipFill>
                  <pic:spPr>
                    <a:xfrm>
                      <a:off x="0" y="0"/>
                      <a:ext cx="4490682" cy="2945338"/>
                    </a:xfrm>
                    <a:prstGeom prst="rect">
                      <a:avLst/>
                    </a:prstGeom>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Tízből hat válaszadó többet szeretne tudni a jogairól és arról, hová fordulhat, ha a Chartában foglalt jogai sérülnek</w:t>
      </w:r>
      <w:r>
        <w:rPr>
          <w:rStyle w:val="FootnoteReference"/>
          <w:rFonts w:ascii="Times New Roman" w:hAnsi="Times New Roman" w:cs="Times New Roman"/>
          <w:noProof/>
          <w:sz w:val="24"/>
          <w:szCs w:val="24"/>
        </w:rPr>
        <w:footnoteReference w:id="106"/>
      </w:r>
      <w:r>
        <w:rPr>
          <w:rFonts w:ascii="Times New Roman" w:hAnsi="Times New Roman"/>
          <w:noProof/>
          <w:sz w:val="24"/>
          <w:szCs w:val="24"/>
        </w:rPr>
        <w:t>.</w:t>
      </w:r>
    </w:p>
    <w:p>
      <w:pPr>
        <w:jc w:val="both"/>
        <w:rPr>
          <w:rFonts w:ascii="Times New Roman" w:hAnsi="Times New Roman" w:cs="Times New Roman"/>
          <w:noProof/>
          <w:sz w:val="24"/>
          <w:szCs w:val="24"/>
        </w:rPr>
      </w:pPr>
      <w:r>
        <w:rPr>
          <w:noProof/>
          <w:lang w:val="en-GB" w:eastAsia="en-GB"/>
        </w:rPr>
        <w:drawing>
          <wp:inline distT="0" distB="0" distL="0" distR="0">
            <wp:extent cx="5731510" cy="39477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947798"/>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szCs w:val="24"/>
        </w:rPr>
        <w:t>A civil társadalmi szervezetek többsége (80 %) arról számolt be, hogy az emberek a jogaikkal kapcsolatos tájékoztatásért fordulnak hozzájuk, és még nagyobb részük (85 %) szerint a jogokkal kapcsolatos tájékoztató tevékenységeket végeznek</w:t>
      </w:r>
      <w:r>
        <w:rPr>
          <w:rFonts w:ascii="Times New Roman" w:hAnsi="Times New Roman" w:cs="Times New Roman"/>
          <w:noProof/>
          <w:sz w:val="24"/>
          <w:szCs w:val="24"/>
          <w:vertAlign w:val="superscript"/>
        </w:rPr>
        <w:footnoteReference w:id="107"/>
      </w:r>
      <w:r>
        <w:rPr>
          <w:rFonts w:ascii="Times New Roman" w:hAnsi="Times New Roman"/>
          <w:noProof/>
          <w:sz w:val="24"/>
          <w:szCs w:val="24"/>
        </w:rPr>
        <w:t>. A helyi hatóságok szintén alkalmasak arra, hogy tájékoztatást adjanak az emberek jogairól, és arról, mit tehetnek, ha a jogaik sérülnek</w:t>
      </w:r>
      <w:r>
        <w:rPr>
          <w:rStyle w:val="FootnoteReference"/>
          <w:rFonts w:ascii="Times New Roman" w:hAnsi="Times New Roman" w:cs="Times New Roman"/>
          <w:noProof/>
          <w:sz w:val="24"/>
          <w:szCs w:val="24"/>
        </w:rPr>
        <w:footnoteReference w:id="108"/>
      </w:r>
      <w:r>
        <w:rPr>
          <w:rFonts w:ascii="Times New Roman" w:hAnsi="Times New Roman"/>
          <w:noProof/>
          <w:sz w:val="24"/>
          <w:szCs w:val="24"/>
        </w:rPr>
        <w:t>.Lényeges, hogy a valós életből vett példákkal ismertessük a jogokat és azt, hogy azok mit jelentenek az emberek számára</w:t>
      </w:r>
      <w:r>
        <w:rPr>
          <w:rFonts w:ascii="Times New Roman" w:hAnsi="Times New Roman" w:cs="Times New Roman"/>
          <w:noProof/>
          <w:sz w:val="24"/>
          <w:szCs w:val="24"/>
          <w:vertAlign w:val="superscript"/>
        </w:rPr>
        <w:footnoteReference w:id="109"/>
      </w:r>
      <w:r>
        <w:rPr>
          <w:rFonts w:ascii="Times New Roman" w:hAnsi="Times New Roman"/>
          <w:i/>
          <w:noProof/>
          <w:sz w:val="24"/>
          <w:szCs w:val="24"/>
        </w:rPr>
        <w:t>.</w:t>
      </w:r>
    </w:p>
    <w:p>
      <w:pPr>
        <w:jc w:val="both"/>
        <w:rPr>
          <w:rFonts w:ascii="Times New Roman" w:hAnsi="Times New Roman" w:cs="Times New Roman"/>
          <w:iCs/>
          <w:noProof/>
          <w:sz w:val="24"/>
          <w:szCs w:val="24"/>
        </w:rPr>
      </w:pPr>
      <w:r>
        <w:rPr>
          <w:rFonts w:ascii="Times New Roman" w:hAnsi="Times New Roman"/>
          <w:iCs/>
          <w:noProof/>
          <w:sz w:val="24"/>
          <w:szCs w:val="24"/>
        </w:rPr>
        <w:t>A FRA 2021. évi alapjogi fóruma</w:t>
      </w:r>
      <w:r>
        <w:rPr>
          <w:rStyle w:val="FootnoteReference"/>
          <w:rFonts w:ascii="Times New Roman" w:hAnsi="Times New Roman" w:cs="Times New Roman"/>
          <w:iCs/>
          <w:noProof/>
          <w:sz w:val="24"/>
          <w:szCs w:val="24"/>
        </w:rPr>
        <w:footnoteReference w:id="110"/>
      </w:r>
      <w:r>
        <w:rPr>
          <w:rFonts w:ascii="Times New Roman" w:hAnsi="Times New Roman"/>
          <w:iCs/>
          <w:noProof/>
          <w:sz w:val="24"/>
          <w:szCs w:val="24"/>
        </w:rPr>
        <w:t xml:space="preserve"> lehetőség arra, hogy növelni lehessen az Alapjogi Chartával kapcsolatos tudatosságot, és mérlegelni lehessen, hogyan lehet továbbfejleszteni az értékek kultúráját az EU-ban. Az Európa jövőjéről szóló konferencia lehetőséget kínál az arra, hogy a résztvevők megvitassák az alapjogokat és uniós értékeket, amelyek központi szerepet játszanak az Unió és annak jövője szempontjából.</w:t>
      </w:r>
    </w:p>
    <w:p>
      <w:pPr>
        <w:jc w:val="both"/>
        <w:rPr>
          <w:rFonts w:ascii="Times New Roman" w:hAnsi="Times New Roman" w:cs="Times New Roman"/>
          <w:noProof/>
          <w:sz w:val="24"/>
          <w:szCs w:val="24"/>
        </w:rPr>
      </w:pPr>
      <w:r>
        <w:rPr>
          <w:rFonts w:ascii="Times New Roman" w:hAnsi="Times New Roman"/>
          <w:noProof/>
          <w:sz w:val="24"/>
          <w:szCs w:val="24"/>
        </w:rPr>
        <w:t>A Bizottság egy figyelemfelhívó kampányon fog dolgozni, amelynek célja az emberek hatékonyabb tájékoztatása a Chartában foglalt jogaikkal és azzal kapcsolatban, hová fordulhatnak, ha a jogaik sérülnek. A kampány hozzáférhető lesz a fogyatékossággal élő személyek számára.</w:t>
      </w:r>
    </w:p>
    <w:p>
      <w:pPr>
        <w:jc w:val="both"/>
        <w:rPr>
          <w:rFonts w:ascii="Times New Roman" w:hAnsi="Times New Roman" w:cs="Times New Roman"/>
          <w:noProof/>
          <w:sz w:val="24"/>
          <w:szCs w:val="24"/>
        </w:rPr>
      </w:pPr>
      <w:r>
        <w:rPr>
          <w:rFonts w:ascii="Times New Roman" w:hAnsi="Times New Roman"/>
          <w:noProof/>
          <w:sz w:val="24"/>
          <w:szCs w:val="24"/>
        </w:rPr>
        <w:t>A Bizottság ezenkívül fokozott erőfeszítéseket tesz majd arra, hogy hatékonyabban kommunikálja a fiatalok felé a Chartában foglalt jogokat, és e tekintetben jobban ki fogja használni az Erasmus+ programot. Többek között fel fogja tüntetni a Chartára vonatkozó információkat az Erasmus+ Hallgatói Chartában, amely minden Erasmus+ diákhoz eljut; kulcsfontosságú prioritásként beépíti az „alapjogokat” a felsőoktatásra vonatkozó Jean Monnet akcióba; arra fogja ösztönözni a felsőoktatási intézményeket, hogy kínáljanak képzést vagy online kurzust az európai polgári szerepvállalásról, és mozdítsák elő az Alapjogi Chartát; valamint online erőforrásokat fog kidolgozni az iskolai pedagógusok számára, hogy az alapjogokkal kapcsolatos tájékoztatást adhassanak az osztálytermekben</w:t>
      </w:r>
      <w:r>
        <w:rPr>
          <w:rFonts w:ascii="Times New Roman" w:hAnsi="Times New Roman"/>
          <w:i/>
          <w:noProof/>
          <w:sz w:val="24"/>
          <w:szCs w:val="24"/>
        </w:rPr>
        <w:t>.</w:t>
      </w:r>
      <w:r>
        <w:rPr>
          <w:rFonts w:ascii="Times New Roman" w:hAnsi="Times New Roman"/>
          <w:b/>
          <w:i/>
          <w:noProof/>
          <w:sz w:val="24"/>
          <w:szCs w:val="24"/>
        </w:rPr>
        <w:t xml:space="preserve"> </w:t>
      </w:r>
      <w:r>
        <w:rPr>
          <w:rFonts w:ascii="Times New Roman" w:hAnsi="Times New Roman"/>
          <w:noProof/>
          <w:sz w:val="24"/>
          <w:szCs w:val="24"/>
        </w:rPr>
        <w:t>A fejlesztési nevelési és információs programja (DEAR)</w:t>
      </w:r>
      <w:r>
        <w:rPr>
          <w:rStyle w:val="FootnoteReference"/>
          <w:rFonts w:ascii="Times New Roman" w:hAnsi="Times New Roman" w:cs="Times New Roman"/>
          <w:noProof/>
          <w:sz w:val="24"/>
          <w:szCs w:val="24"/>
        </w:rPr>
        <w:footnoteReference w:id="111"/>
      </w:r>
      <w:r>
        <w:rPr>
          <w:rFonts w:ascii="Times New Roman" w:hAnsi="Times New Roman"/>
          <w:noProof/>
          <w:sz w:val="24"/>
          <w:szCs w:val="24"/>
        </w:rPr>
        <w:t xml:space="preserve"> keretében tájékoztatni fogja a fiatalokat az alapvető értékekről és a globális polgári szerepvállalással kapcsolatos kérdésekről, beleértve a fenntartható fejlődési célokat. A gyermek jogairól szóló leendő stratégiájában a Bizottság ezenkívül fel fogja tárni azokat a lehetőségeket, amelyek révén gyermekbarát módon tud kommunikálni a gyermek jogairól.</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b/>
          <w:i/>
          <w:noProof/>
          <w:sz w:val="24"/>
          <w:szCs w:val="24"/>
        </w:rPr>
      </w:pPr>
      <w:r>
        <w:rPr>
          <w:rFonts w:ascii="Times New Roman" w:hAnsi="Times New Roman"/>
          <w:b/>
          <w:i/>
          <w:noProof/>
          <w:sz w:val="24"/>
          <w:szCs w:val="24"/>
        </w:rPr>
        <w:t>A Bizottság:</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tájékoztató kampányt indít annak érdekében, hogy növelje az emberek ismereteit a Chartában foglalt jogaikkal és azok alkalmazásának módjával kapcsolatban, konkrét példákat ad, és együttműködik a szereplőkkel a helyszínen;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az Erasmus+ program segítségével fokozza a fiatalok tudatosságát a Chartában foglalt jogaikkal kapcsolatban;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a gyermek jogairól szóló jövőbeli stratégia eredményeként felhívja a gyermekek figyelmét a jogaikra.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A Bizottság felkéri a tagállamokat</w:t>
      </w:r>
      <w:r>
        <w:rPr>
          <w:rFonts w:ascii="Times New Roman" w:hAnsi="Times New Roman"/>
          <w:i/>
          <w:noProof/>
          <w:sz w:val="24"/>
          <w:szCs w:val="24"/>
        </w:rPr>
        <w:t>, hogy alakítsanak ki kezdeményezéseket, amelyek növelik a lakosság tudatosságát Chartában foglalt jogaikkal és azzal kapcsolatban, hogy hová fordulhatnak a jogaik megsértése esetén, különös tekintettel a helyi szereplők szerepének megerősítésére</w:t>
      </w:r>
      <w:r>
        <w:rPr>
          <w:rStyle w:val="FootnoteReference"/>
          <w:rFonts w:ascii="Times New Roman" w:hAnsi="Times New Roman" w:cs="Times New Roman"/>
          <w:i/>
          <w:noProof/>
          <w:sz w:val="24"/>
          <w:szCs w:val="24"/>
        </w:rPr>
        <w:footnoteReference w:id="112"/>
      </w:r>
      <w:r>
        <w:rPr>
          <w:rFonts w:ascii="Times New Roman" w:hAnsi="Times New Roman"/>
          <w:i/>
          <w:noProof/>
          <w:sz w:val="24"/>
          <w:szCs w:val="24"/>
        </w:rPr>
        <w:t>.</w:t>
      </w:r>
    </w:p>
    <w:p>
      <w:pPr>
        <w:pStyle w:val="Heading1"/>
        <w:rPr>
          <w:rFonts w:ascii="Times New Roman" w:hAnsi="Times New Roman" w:cs="Times New Roman"/>
          <w:noProof/>
        </w:rPr>
      </w:pPr>
      <w:r>
        <w:rPr>
          <w:rFonts w:ascii="Times New Roman" w:hAnsi="Times New Roman"/>
          <w:noProof/>
        </w:rPr>
        <w:t>Következtetés</w:t>
      </w:r>
    </w:p>
    <w:p>
      <w:pPr>
        <w:rPr>
          <w:noProof/>
        </w:rPr>
      </w:pPr>
    </w:p>
    <w:p>
      <w:pPr>
        <w:jc w:val="both"/>
        <w:rPr>
          <w:rFonts w:ascii="Times New Roman" w:hAnsi="Times New Roman" w:cs="Times New Roman"/>
          <w:noProof/>
          <w:sz w:val="24"/>
          <w:szCs w:val="24"/>
        </w:rPr>
      </w:pPr>
      <w:r>
        <w:rPr>
          <w:rFonts w:ascii="Times New Roman" w:hAnsi="Times New Roman"/>
          <w:noProof/>
          <w:sz w:val="24"/>
          <w:szCs w:val="24"/>
        </w:rPr>
        <w:t>A Charta kötelező jellege lehetővé tette, hogy az uniós jogrend irányadóvá váljon az alapjogok védelme terén. A Charta az uniós jogok és értékek megtestesítője lett – az európai identitás szimbólumává vált. Az alapjogok egységesebb és átfogóbb értelmezését eredményezte az EU egész területén.</w:t>
      </w:r>
    </w:p>
    <w:p>
      <w:pPr>
        <w:jc w:val="both"/>
        <w:rPr>
          <w:rFonts w:ascii="Times New Roman" w:hAnsi="Times New Roman" w:cs="Times New Roman"/>
          <w:noProof/>
          <w:sz w:val="24"/>
          <w:szCs w:val="24"/>
        </w:rPr>
      </w:pPr>
      <w:r>
        <w:rPr>
          <w:rFonts w:ascii="Times New Roman" w:hAnsi="Times New Roman"/>
          <w:noProof/>
          <w:sz w:val="24"/>
          <w:szCs w:val="24"/>
        </w:rPr>
        <w:t>Az uniós intézmények, a tagállamok és a Charta érvényesítési láncában részt vevő különböző szereplők kötelesek biztosítani, hogy a Charta élő eszköz legyen, amely valamennyi uniós polgár érdekét szolgálva megvédi az alapjogokat Európában.</w:t>
      </w:r>
    </w:p>
    <w:p>
      <w:pPr>
        <w:jc w:val="both"/>
        <w:rPr>
          <w:rFonts w:ascii="Times New Roman" w:hAnsi="Times New Roman" w:cs="Times New Roman"/>
          <w:noProof/>
          <w:sz w:val="24"/>
          <w:szCs w:val="24"/>
        </w:rPr>
      </w:pPr>
      <w:r>
        <w:rPr>
          <w:rFonts w:ascii="Times New Roman" w:hAnsi="Times New Roman"/>
          <w:iCs/>
          <w:noProof/>
          <w:sz w:val="24"/>
          <w:szCs w:val="24"/>
        </w:rPr>
        <w:t>A Bizottság éves jelentést fog előterjeszteni a Charta alkalmazásáról,</w:t>
      </w:r>
      <w:r>
        <w:rPr>
          <w:rFonts w:ascii="Times New Roman" w:hAnsi="Times New Roman"/>
          <w:noProof/>
          <w:sz w:val="24"/>
          <w:szCs w:val="24"/>
        </w:rPr>
        <w:t xml:space="preserve"> amelynek az intézményközi párbeszéd alapját kell képeznie</w:t>
      </w:r>
      <w:r>
        <w:rPr>
          <w:rFonts w:ascii="Times New Roman" w:hAnsi="Times New Roman"/>
          <w:iCs/>
          <w:noProof/>
          <w:sz w:val="24"/>
          <w:szCs w:val="24"/>
        </w:rPr>
        <w:t>. A</w:t>
      </w:r>
      <w:r>
        <w:rPr>
          <w:rFonts w:ascii="Times New Roman" w:hAnsi="Times New Roman"/>
          <w:i/>
          <w:iCs/>
          <w:noProof/>
          <w:sz w:val="24"/>
          <w:szCs w:val="24"/>
        </w:rPr>
        <w:t xml:space="preserve"> </w:t>
      </w:r>
      <w:r>
        <w:rPr>
          <w:rFonts w:ascii="Times New Roman" w:hAnsi="Times New Roman"/>
          <w:noProof/>
          <w:sz w:val="24"/>
          <w:szCs w:val="24"/>
        </w:rPr>
        <w:t xml:space="preserve">Bizottság </w:t>
      </w:r>
      <w:r>
        <w:rPr>
          <w:rFonts w:ascii="Times New Roman" w:hAnsi="Times New Roman"/>
          <w:iCs/>
          <w:noProof/>
          <w:sz w:val="24"/>
          <w:szCs w:val="24"/>
        </w:rPr>
        <w:t>2025-ben</w:t>
      </w:r>
      <w:r>
        <w:rPr>
          <w:rFonts w:ascii="Times New Roman" w:hAnsi="Times New Roman"/>
          <w:noProof/>
          <w:sz w:val="24"/>
          <w:szCs w:val="24"/>
        </w:rPr>
        <w:t xml:space="preserve"> ennek a stratégiának a végrehajtásáról is jelentést készít. A Bizottság 2030-ban a Charta érvényesítésében részt vevő kulcsszereplőkkel együttműködve állapotfelmérést készít, amelyben értékeli a Chartával kapcsolatos ismeretek és a Charta alkalmazása terén elért előrehaladást.</w:t>
      </w:r>
    </w:p>
    <w:p>
      <w:pPr>
        <w:jc w:val="both"/>
        <w:rPr>
          <w:rFonts w:ascii="Times New Roman" w:hAnsi="Times New Roman" w:cs="Times New Roman"/>
          <w:noProof/>
          <w:sz w:val="24"/>
          <w:szCs w:val="24"/>
        </w:rPr>
      </w:pPr>
      <w:r>
        <w:rPr>
          <w:rFonts w:ascii="Times New Roman" w:hAnsi="Times New Roman"/>
          <w:noProof/>
          <w:sz w:val="24"/>
          <w:szCs w:val="24"/>
        </w:rPr>
        <w:t>Mivel a tagállamok döntő szerepet játszanak az e stratégia végrehajtásában, a Bizottság felkéri a Tanácsot, hogy készítsen utólagos következtetéseket.</w:t>
      </w:r>
    </w:p>
    <w:p>
      <w:pPr>
        <w:rPr>
          <w:rFonts w:ascii="Times New Roman" w:hAnsi="Times New Roman" w:cs="Times New Roman"/>
          <w:noProof/>
          <w:sz w:val="24"/>
          <w:szCs w:val="24"/>
        </w:rPr>
      </w:pPr>
    </w:p>
    <w:p>
      <w:pPr>
        <w:rPr>
          <w:rFonts w:ascii="Times New Roman" w:hAnsi="Times New Roman" w:cs="Times New Roman"/>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316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Az Európai Unióról szóló szerződés 6. cikkének (1) bekezdése. Ezenkívül a 6. cikk (3) bekezdése megerősíti, hogy az emberi jogok európai egyezménye által biztosított és a tagállamok közös alkotmányos hagyományaiból eredő alapjogok az uniós jog általános elvei.</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HL C 326., 2012.10.26., 391. o. A Charta elsődleges uniós jogi eszköz, amely rögzíti az EU-ban az embereket megillető alapjogokat. Modern és átfogó eszköz, amely védi és előmozdítja az emberi jogokat és szabadságokat a társadalmi változások, a társadalmi haladás, valamint a tudományos és technológiai fejlemények fényében.</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Az Európai Unióról szóló szerződés 2. cikke: </w:t>
      </w:r>
      <w:r>
        <w:rPr>
          <w:rFonts w:ascii="Times New Roman" w:hAnsi="Times New Roman"/>
          <w:i/>
          <w:iCs/>
        </w:rPr>
        <w:t>„Az Unió az emberi méltóság tiszteletben tartása, a szabadság, a demokrácia, az egyenlőség, a jogállamiság, valamint az emberi jogok – köztük a kisebbségekhez tartozó személyeket megillető jogok – tiszteletben tartásán alapul.</w:t>
      </w:r>
      <w:r>
        <w:rPr>
          <w:rFonts w:ascii="Times New Roman" w:hAnsi="Times New Roman"/>
          <w:i/>
        </w:rPr>
        <w:t xml:space="preserve"> </w:t>
      </w:r>
      <w:r>
        <w:rPr>
          <w:rFonts w:ascii="Times New Roman" w:hAnsi="Times New Roman"/>
          <w:i/>
          <w:iCs/>
        </w:rPr>
        <w:t>Ezek az értékek közösek a tagállamokban, a pluralizmus, a megkülönböztetés tilalma, a tolerancia, az igazságosság, a szolidaritás, valamint a nők és a férfiak közötti egyenlőség társadalmában.”</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COM(2010)573.</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Lásd a Bizottság éves jelentéseit a Charta alkalmazásáról: </w:t>
      </w:r>
      <w:hyperlink r:id="rId1" w:history="1">
        <w:r>
          <w:rPr>
            <w:rStyle w:val="Hyperlink"/>
            <w:rFonts w:ascii="Times New Roman" w:hAnsi="Times New Roman"/>
          </w:rPr>
          <w:t>https://ec.europa.eu/info/aid-development-cooperation-fundamental-rights/your-rights-eu/eu-charter-fundamental-rights/application-charter/annual-reports-application-charter_hu</w:t>
        </w:r>
      </w:hyperlink>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Chartára jelenleg az összes előzetes döntéshozatali eljárás körülbelül 10 %-ában hivatkoznak. A 2010. évi 27-ről 2019-ben 371-re nőtt azon ügyek száma, amelyekben a Bíróság a Chartára hivatkozik. Lásd az Európai Unió Alapjogi Ügynökségének 2020. évi jelentését az alapjogokról (a továbbiakban: a FRA 2020. Évi alapjogi jelentése), „Fókuszban”, 4. o.:</w:t>
      </w:r>
      <w:r>
        <w:rPr>
          <w:rFonts w:ascii="Times New Roman" w:hAnsi="Times New Roman"/>
          <w:sz w:val="22"/>
          <w:szCs w:val="22"/>
        </w:rPr>
        <w:t xml:space="preserve"> </w:t>
      </w:r>
      <w:hyperlink r:id="rId2" w:history="1">
        <w:r>
          <w:rPr>
            <w:rStyle w:val="Hyperlink"/>
            <w:rFonts w:ascii="Times New Roman" w:hAnsi="Times New Roman"/>
          </w:rPr>
          <w:t>https://fra.europa.eu/en/publication/2020/fundamental-rights-report-2020</w:t>
        </w:r>
      </w:hyperlink>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Koen Lenaerts, a Bíróság elnöke, nyitóbeszéd a „Az Alapjogi Charta valóra váltása mindenki számára” című konferencián (a továbbiakban: a Chartáról szóló rendezvény): </w:t>
      </w:r>
      <w:hyperlink r:id="rId3" w:history="1">
        <w:r>
          <w:rPr>
            <w:rStyle w:val="Hyperlink"/>
            <w:rFonts w:ascii="Times New Roman" w:hAnsi="Times New Roman"/>
          </w:rPr>
          <w:t>https://ec.europa.eu/info/events/2019-conference-eu-charter-fundamental-rights-2019-nov-12_en</w:t>
        </w:r>
      </w:hyperlink>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4" w:history="1">
        <w:r>
          <w:rPr>
            <w:rStyle w:val="Hyperlink"/>
            <w:rFonts w:ascii="Times New Roman" w:hAnsi="Times New Roman"/>
          </w:rPr>
          <w:t>https://fra.europa.eu/en/about-fra</w:t>
        </w:r>
      </w:hyperlink>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Charta alkalmazásáról szóló 2019. évi bizottsági jelentés, „Fókuszban” című szakasza, COM(2019) 257.</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Például a mozgás szabadsága, a gyülekezés szabadsága és a vallásszabadság, a vállalkozás szabadsága, az adatvédelemhez való jog vagy a véleménynyilvánítás szabadsága. Ezek a kihívások a Covid19-cel összefüggésben kihatottak a szabad és tisztességes választások és a nyílt, demokratikus vita megtartására is. A Bizottság azon dolgozik a tagállamokkal, hogy megosszák egymással a tapasztalatokat és gyakorlatokat ezen a területen.</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Ami magában foglalja az éghajlat-politikát, a környezetvédelmet, (a Charta 37. cikkének előírásai szerint), valamint a méltányos átmenet célkitűzéseit, amint azok európai zöld megállapodásról szóló közleményben (COM(2019)640) is megjelennek.</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 Közös Kutatóközpont (JRC) jelentése az online média polgárok viselkedésére gyakorolt hatásáról: </w:t>
      </w:r>
      <w:hyperlink r:id="rId5" w:history="1">
        <w:r>
          <w:rPr>
            <w:rStyle w:val="Hyperlink"/>
            <w:rFonts w:ascii="Times New Roman" w:hAnsi="Times New Roman"/>
          </w:rPr>
          <w:t>https://ec.europa.eu/jrc/en/publication/eur-scientific-and-technical-research-reports/technology-and-democracy</w:t>
        </w:r>
      </w:hyperlink>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Például az időskorúak (lásd a Tanács 2020. október 9-i következtetéseit: </w:t>
      </w:r>
      <w:hyperlink r:id="rId6" w:history="1">
        <w:r>
          <w:rPr>
            <w:rStyle w:val="Hyperlink"/>
            <w:rFonts w:ascii="Times New Roman" w:hAnsi="Times New Roman"/>
          </w:rPr>
          <w:t>https://data.consilium.europa.eu/doc/document/ST-11717-2020-REV-2/hu/pdf</w:t>
        </w:r>
      </w:hyperlink>
      <w:r>
        <w:rPr>
          <w:rFonts w:ascii="Times New Roman" w:hAnsi="Times New Roman"/>
        </w:rPr>
        <w:t>) és a fogyatékossággal élő személyek.</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Lásd Šimečka előadó jogalkotási jelentését a demokráciával, a jogállamisággal és az alapvető jogokkal foglalkozó uniós mechanizmus létrehozásáról, 2020/2072(INL). Lásd továbbá az Európai Parlament 2020. november 26-i állásfoglalását: Az alapjogok helyzete az Európai Unióban – 2018–2019-re vonatkozó éves jelentés (2019/2199(INI)).</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Tanács következtetései az Alapjogi Chartáról: hol tartunk tíz év elteltével és merre tovább?, 2019. december 7. („a Chartáról szóló tanácsi következtetések”). Ezek a Charta alkalmazásáról szóló, 2019. évi bizottsági jelentést követték, id. mű.</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konzultáció megszervezésére az alapvető és az uniós polgársági jogokkal, valamint a személyek szabad mozgásával foglalkozó tanácsi munkacsoporton (FREMP) keresztül került sor, 2020 áprilisában és májusában.</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helyi hatóságokra való hivatkozást a regionális hatóságokra kiterjedően kell érteni.</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Ebben a stratégiában a jogvédők az olyan, jogokat védelmező független hatóságok, mint a nemzeti emberi jogi intézmények, az egyenlőséggel foglalkozó szervek, az ombudsmani intézmények, az adatvédelmi hatóságok stb. Mivel ez a stratégia nem az egyes jogokra összpontosít, hanem azt vizsgálja, hogyan lehetne a Charta egészének alkalmazását előmozdítani, a hangsúly elsősorban a széles emberi jogi jogkörrel rendelkező hatóságokon, például a nemzeti emberi jogi intézményeken lesz.</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487b. Eurobarométer tematikus felmérés.</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 Bizottság külön a Chartáról szóló rendezvényen: </w:t>
      </w:r>
      <w:hyperlink r:id="rId7" w:history="1">
        <w:r>
          <w:rPr>
            <w:rStyle w:val="Hyperlink"/>
            <w:rFonts w:ascii="Times New Roman" w:hAnsi="Times New Roman"/>
          </w:rPr>
          <w:t>https://ec.europa.eu/info/events/2019-conference-eu-charter-fundamental-rights-2019-nov-12_en</w:t>
        </w:r>
      </w:hyperlink>
      <w:r>
        <w:rPr>
          <w:rFonts w:ascii="Times New Roman" w:hAnsi="Times New Roman"/>
        </w:rPr>
        <w:t xml:space="preserve"> és célzott kérdőíveken keresztül konzultált az érdekelt felekkel, amelyek eredményét a FRA elemezte (a továbbiakban: az érdekelt felekkel folytatott konzultációk elemzése): </w:t>
      </w:r>
      <w:hyperlink r:id="rId8" w:history="1">
        <w:r>
          <w:rPr>
            <w:rStyle w:val="Hyperlink"/>
            <w:rFonts w:ascii="Times New Roman" w:hAnsi="Times New Roman"/>
          </w:rPr>
          <w:t>https://ec.europa.eu/info/files/analysis-targeted-consultations-commissions-new-charter-strategy_en</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COM(2020)790.</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COM(2020)580.</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Az áldozatok jogairól szóló uniós stratégia, COM(2020) 258; Az Aarhusi Egyezményről szóló rendelet módosítására irányuló bizottsági javaslat, COM(2020) 642;</w:t>
      </w:r>
      <w:r>
        <w:rPr>
          <w:rFonts w:ascii="Times New Roman" w:hAnsi="Times New Roman"/>
          <w:sz w:val="24"/>
          <w:szCs w:val="24"/>
        </w:rPr>
        <w:t xml:space="preserve"> </w:t>
      </w:r>
      <w:r>
        <w:rPr>
          <w:rFonts w:ascii="Times New Roman" w:hAnsi="Times New Roman"/>
        </w:rPr>
        <w:t>valamint az igazságszolgáltatáshoz való jog környezeti ügyekben történő biztosításáról szóló közlemény, COM(2020) 643.</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nemek közötti egyenlőségről szóló stratégia, COM(2020) 152;</w:t>
      </w:r>
      <w:r>
        <w:rPr>
          <w:rFonts w:ascii="Times New Roman" w:hAnsi="Times New Roman"/>
          <w:sz w:val="24"/>
          <w:szCs w:val="24"/>
        </w:rPr>
        <w:t xml:space="preserve"> </w:t>
      </w:r>
      <w:r>
        <w:rPr>
          <w:rFonts w:ascii="Times New Roman" w:hAnsi="Times New Roman"/>
        </w:rPr>
        <w:t>az „Új EKT a kutatás és az innováció szolgálatában” című közlemény, COM(2020) 628; a romák egyenlőségének, társadalmi befogadásának és részvételének előmozdítását célzó uniós stratégiai keretrendszer, COM(2020) 620, valamint a romák egyenlőségéről, társadalmi befogadásáról és részvételéről szóló tanácsi ajánlásra irányuló javaslat, COM(2020) 621; az LMBTIQ-személyek egyenlőségéről szóló stratégia, COM(2020) 698;</w:t>
      </w:r>
      <w:r>
        <w:rPr>
          <w:rFonts w:ascii="Times New Roman" w:hAnsi="Times New Roman"/>
          <w:sz w:val="24"/>
          <w:szCs w:val="24"/>
        </w:rPr>
        <w:t xml:space="preserve"> </w:t>
      </w:r>
      <w:r>
        <w:rPr>
          <w:rFonts w:ascii="Times New Roman" w:hAnsi="Times New Roman"/>
        </w:rPr>
        <w:t>valamint a fogyatékossággal élő személyek jogairól szóló, 2021-re tervezett stratégia.</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2020–2025-re vonatkozó, rasszizmus elleni uniós cselekvési terv, COM(2020) 565; valamint a 2021-re tervezett, antiszemitizmus elleni küzdelemről szóló stratégia.</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 szociális jogok európai pillére: </w:t>
      </w:r>
      <w:hyperlink r:id="rId9" w:history="1">
        <w:r>
          <w:rPr>
            <w:rStyle w:val="Hyperlink"/>
            <w:rFonts w:ascii="Times New Roman" w:hAnsi="Times New Roman"/>
          </w:rPr>
          <w:t>https://ec.europa.eu/commission/sites/beta-political/files/social-summit-european-pillar-social-rights-booklet_hu.pdf</w:t>
        </w:r>
      </w:hyperlink>
      <w:r>
        <w:rPr>
          <w:rStyle w:val="Hyperlink"/>
          <w:rFonts w:ascii="Times New Roman" w:hAnsi="Times New Roman"/>
        </w:rPr>
        <w:t xml:space="preserve">. </w:t>
      </w:r>
      <w:r>
        <w:rPr>
          <w:rStyle w:val="Hyperlink"/>
          <w:rFonts w:ascii="Times New Roman" w:hAnsi="Times New Roman"/>
          <w:color w:val="auto"/>
          <w:u w:val="none"/>
        </w:rPr>
        <w:t xml:space="preserve">A pillérről szóló cselekvési terv bemutatására 2021-ben kerül sor; valamint </w:t>
      </w:r>
      <w:r>
        <w:rPr>
          <w:rFonts w:ascii="Times New Roman" w:hAnsi="Times New Roman"/>
        </w:rPr>
        <w:t>az európai oktatási térség 2025-ig történő megvalósításáról szóló bizottsági közlemény és a digitális oktatásról szóló cselekvési terv, COM(2020) 624.</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2021-re tervezett, uniós beruházásvédelmi és -megkönnyítési keret.</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Bizottság „Polgárok szerepének megerősítése és jogaik védelme a kihívásokkal teli időkben” című, 2020. évi uniós polgársági jelentése, amelynek elfogadására várhatóan év végén kerül sor.</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gyermek jogairól szóló stratégia</w:t>
      </w:r>
      <w:r>
        <w:rPr>
          <w:rFonts w:ascii="Times New Roman" w:hAnsi="Times New Roman"/>
          <w:sz w:val="24"/>
          <w:szCs w:val="24"/>
        </w:rPr>
        <w:t xml:space="preserve"> </w:t>
      </w:r>
      <w:r>
        <w:rPr>
          <w:rFonts w:ascii="Times New Roman" w:hAnsi="Times New Roman"/>
        </w:rPr>
        <w:t>és az európai gyermekgarancia, amelyek elkészítésére a tervek szerint 2021-ben kerül sor.</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Például az Európai Szociális Charta és a fogyatékossággal élő személyek jogairól szóló ENSZ-egyezmény (UNCRPD).</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Az Európai Unióról szóló szerződés 21. cikke.</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10" w:history="1">
        <w:r>
          <w:rPr>
            <w:rStyle w:val="Hyperlink"/>
            <w:rFonts w:ascii="Times New Roman" w:hAnsi="Times New Roman"/>
          </w:rPr>
          <w:t>https://data.consilium.europa.eu/doc/document/ST-12848-2020-INIT/en/pdf</w:t>
        </w:r>
      </w:hyperlink>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JOIN(2020)17.</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ENSZ 2030-ig tartó időszakra vonatkozó fenntartható fejlesztési menetrendje és az abban foglalt fenntartható fejlesztési célok: </w:t>
      </w:r>
      <w:hyperlink r:id="rId11" w:history="1">
        <w:r>
          <w:rPr>
            <w:rStyle w:val="Hyperlink"/>
            <w:rFonts w:ascii="Times New Roman" w:hAnsi="Times New Roman"/>
          </w:rPr>
          <w:t>https://www.un.org/sustainabledevelopment/</w:t>
        </w:r>
      </w:hyperlink>
      <w:r>
        <w:rPr>
          <w:rFonts w:ascii="Times New Roman" w:hAnsi="Times New Roman"/>
        </w:rPr>
        <w:t xml:space="preserve">. Lásd továbbá a fenntartható Európáról szóló bizottsági vitaanyagot: </w:t>
      </w:r>
      <w:hyperlink r:id="rId12" w:history="1">
        <w:r>
          <w:rPr>
            <w:rStyle w:val="Hyperlink"/>
            <w:rFonts w:ascii="Times New Roman" w:hAnsi="Times New Roman"/>
          </w:rPr>
          <w:t>https://ec.europa.eu/commission/sites/beta-political/files/rp_sustainable_europe_30-01_en_web.pdf</w:t>
        </w:r>
      </w:hyperlink>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51. cikk (1) bekezdés.</w:t>
      </w:r>
      <w:r>
        <w:rPr>
          <w:rFonts w:ascii="Times New Roman" w:hAnsi="Times New Roman"/>
          <w:sz w:val="22"/>
          <w:szCs w:val="22"/>
        </w:rPr>
        <w:t xml:space="preserve"> </w:t>
      </w:r>
      <w:r>
        <w:rPr>
          <w:rFonts w:ascii="Times New Roman" w:hAnsi="Times New Roman"/>
        </w:rPr>
        <w:t>A Bíróság 2013. február 26-i ítélete, Åkerberg Fransson, C-617/10, EU:C:2013:105.</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Az Európai Unióról szóló szerződés 5. cikkének (2) bekezdése és 6. cikkének (1) bekezdése és a Charta 51. cikkének (2) bekezdése.</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Koen Lenaerts, nyitóbeszéd a Chartáról szóló rendezvényen, id. mű.</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Charta 47. cikke.</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Lásd például a Bíróság 2017. május 16-itélete. Berlioz, C-682/15, EU:C:2017:373; a Bíróság 2017. december 13-i ítélete, El Hassani, C-403/16, EU:C:2017:960; a Bírsóág2019. november 19-i ítélete, A.K., C-585/18, C-624/18 és C-625/18, EU:C:2019:982, valamint a Bíróság 2018. április 17-i ítélete, Egenberger, C-414/16, EU:C:2018:257.</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Charta 17. cikke.</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Bíróság 2019. május 21-i ítélete, Bizottság kontra Magyarország, C-235/17, EU:C:2019:432.</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Bizottság támogatja a nemzeti támogató központok (SOLVIT-központok) hálózatát, amelyek a tagállamoknak segítenek az uniós jognak való megfeleléssel kapcsolatos problémák terén. Lásd a SOLVIT működését meghatározó elvekről szóló bizottsági ajánlást, C(2013) 5869.</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Például az idegengyűlölet és az intolerancia egyéb formái elleni küzdelemmel foglalkozó magas szintű csoport, a megkülönböztetéssel foglalkozó magas szintű csoport, a gyermek jogaival foglalkozó szakértői csoport és a nemzeti roma kapcsolattartó pontok hálózatának keretében. Lásd továbbá a 2020–2025-re vonatkozó, rasszizmus elleni uniós cselekvési terv tisztességes rendfenntartásról szóló kezdeményezéseit, 2.2. szakasz, id. mű.</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Az érdekelt felekkel folytatott konzultáció elemzése, id. mű.</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 Tanács felszólítása a Chartáról szóló következtetéseiben, id. mű 14. és 15. bekezdés. A Bizottság frissíteni fogja és elérhetővé fogja tenni az iránymutatását (lásd a 3.1. pontot). Lásd továbbá a FRA kézikönyvét a Charta nemzeti szinten, a jogalkotásban és a döntéshozatalban történő alkalmazásáról: </w:t>
      </w:r>
      <w:hyperlink r:id="rId13" w:history="1">
        <w:r>
          <w:rPr>
            <w:rStyle w:val="Hyperlink"/>
            <w:rFonts w:ascii="Times New Roman" w:hAnsi="Times New Roman"/>
          </w:rPr>
          <w:t>https://fra.europa.eu/sites/default/files/fra_uploads/fra-2018-charter-guidance_hu.pdf</w:t>
        </w:r>
      </w:hyperlink>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Tanácsnak a Chartáról szóló következtetéseiben szereplő felszólítása alapján, id. mű, 18. bekezdés.</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Az uniós jogot helyi szinten is végrehajtják, többek közt az uniós források elosztása során. Az őket érő kihívásokkal szembeni hatékonyabb fellépés érdekében egyes városok „az emberi jogok városainak”</w:t>
      </w:r>
      <w:r>
        <w:rPr>
          <w:rFonts w:ascii="Times New Roman" w:hAnsi="Times New Roman"/>
          <w:vertAlign w:val="superscript"/>
        </w:rPr>
        <w:t xml:space="preserve"> </w:t>
      </w:r>
      <w:r>
        <w:rPr>
          <w:rFonts w:ascii="Times New Roman" w:hAnsi="Times New Roman"/>
        </w:rPr>
        <w:t xml:space="preserve">nyilvánították magukat, és a helyi szakpolitikai döntéshozatal során az emberi jogi elvekre alapoznak: </w:t>
      </w:r>
      <w:hyperlink r:id="rId14" w:history="1">
        <w:r>
          <w:rPr>
            <w:rStyle w:val="Hyperlink"/>
            <w:rFonts w:ascii="Times New Roman" w:hAnsi="Times New Roman"/>
          </w:rPr>
          <w:t>https://humanrightscities.net/</w:t>
        </w:r>
      </w:hyperlink>
      <w:r>
        <w:rPr>
          <w:rFonts w:ascii="Times New Roman" w:hAnsi="Times New Roman"/>
        </w:rPr>
        <w:t>. Annak érdekében, hogy kialakítsa az emberi jogok uniós városai által tett kötelezettségvállalások keretét, a FRA együttműködik a városokkal, azok hálózataival és az olyan partnerekkel, mint az Európa Tanács és az ENSZ Emberi Jogi Főbiztosának Hivatala. A keret bejelentésére 2021-ben kerül sor.</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Chartáról szóló tanácsi következtetések, id. mű, 12. bekezdés.</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FRA 2020. évi alapjogi jelentése, Fókuszban a Charta, 1.1. vélemény.</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Az „Uniós jog: jobb eredmények elérése a jobb alkalmazás révén” című közleményével összhangban, HL C 18., 2017.1.19., 10. o.</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Az Ügynökség rendszeresen gyűjt információt és adatokat a helyi alapjogi helyzetről, és évente jelentést tesz közzé, amelyben összefoglalja az alapvető ténybeli megállapításokat. Az Ügynökség nemrégiben indította el az európai alapjogi információs rendszert (EFRIS), amely összefogja a meglévő emberi jogi adatbázisokból származó adatokat és információkat: </w:t>
      </w:r>
      <w:hyperlink r:id="rId15" w:history="1">
        <w:r>
          <w:rPr>
            <w:rStyle w:val="Hyperlink"/>
            <w:rFonts w:ascii="Times New Roman" w:hAnsi="Times New Roman"/>
          </w:rPr>
          <w:t>https://fra.europa.eu/hu/databases/efris/</w:t>
        </w:r>
      </w:hyperlink>
      <w:r>
        <w:rPr>
          <w:rFonts w:ascii="Times New Roman" w:hAnsi="Times New Roman"/>
        </w:rPr>
        <w:t xml:space="preserve"> </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Például az idegengyűlölet és az intolerancia egyéb formái elleni küzdelemmel foglalkozó magas szintű csoport, a megkülönböztetéssel foglalkozó magas szintű csoport, a gyermek jogaival foglalkozó szakértői csoport és a nemzeti roma kapcsolattartó pontok hálózata.</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COM(2018)375: </w:t>
      </w:r>
      <w:hyperlink r:id="rId16" w:history="1">
        <w:r>
          <w:rPr>
            <w:rStyle w:val="Hyperlink"/>
            <w:rFonts w:ascii="Times New Roman" w:hAnsi="Times New Roman"/>
          </w:rPr>
          <w:t>https://eur-lex.europa.eu/legal-content/HU/TXT/?uri=COM%3A2018%3A375%3AFIN</w:t>
        </w:r>
      </w:hyperlink>
      <w:r>
        <w:rPr>
          <w:rFonts w:ascii="Times New Roman" w:hAnsi="Times New Roman"/>
        </w:rPr>
        <w:t xml:space="preserve"> </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CPR III. mellékletében előírt, „az EU Alapjogi Chartájának hatékony alkalmazására és végrehajtására” irányuló horizontális előfeltétel.</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Az Európai Regionális Fejlesztési Alap, a Kohéziós Alap, a Méltányos Átállást Támogató Alap, az Európai Szociális Alap Plusz, az Európai Tengerügyi és Halászati Alap, Menekültügyi és Migrációs Alap, a Belső Biztonsági Alap és a Határigazgatási és Vízumeszköz.</w:t>
      </w:r>
      <w:r>
        <w:rPr>
          <w:rFonts w:ascii="Times New Roman" w:hAnsi="Times New Roman"/>
          <w:color w:val="1F497D"/>
          <w:sz w:val="22"/>
          <w:szCs w:val="22"/>
        </w:rPr>
        <w:t xml:space="preserve"> </w:t>
      </w:r>
      <w:r>
        <w:rPr>
          <w:rFonts w:ascii="Times New Roman" w:hAnsi="Times New Roman"/>
        </w:rPr>
        <w:t>Megjegyzendő, hogy a közös agrárpolitika keretében a tagállamok által elkészítendő stratégiai tervről (KAP-stratégiai terv) szóló bizottsági javaslat (COM(2018) 392) emlékeztet arra, hogy a tagállamoknak a Chartával összhangban kell megtervezniük a KAP által támogatott programokat. A tagállamok kötelesek biztosítani, hogy a KAP-stratégiai tervek végrehajtásának nyomon követése céljából létrehozott nyomonkövetési bizottság magában foglalja a társadalmi befogadás, az alapjogok, a nemek közötti egyenlőség és a megkülönböztetésmentesség előmozdításáért felelős szerveket.</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COM(2018) 375, 11. cikk (6) bekezdés.</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Lásd a CPR III. mellékletét.</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rPr>
        <w:t>A nyomonkövetési bizottságokat, amelyekben a Bizottság tanácsadói minőségben részt vesz, a tagállamok hozzák létre, hogy felügyeljék a programok végrehajtását.</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Ahogyan azt a CPR 6. és 34. cikke előírja.</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Lásd alább a 2.1. pontot.</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C/2016/4384, HL C 269., 2016.7.23., 1. o.: </w:t>
      </w:r>
      <w:hyperlink r:id="rId17" w:history="1">
        <w:r>
          <w:rPr>
            <w:rStyle w:val="Hyperlink"/>
            <w:rFonts w:ascii="Times New Roman" w:hAnsi="Times New Roman"/>
          </w:rPr>
          <w:t>https://eur-lex.europa.eu/legal-content/HU/TXT/?uri=CELEX%3A52016XC0723(01)</w:t>
        </w:r>
      </w:hyperlink>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tagállamok maguk döntik el, hogy ezt a szerepet az 1.1. szakaszban említett Chartával foglalkozó kapcsolattartó számára biztosítják-e.</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Bizottság 2020. évi jogállamisági jelentése, id. mű. Lásd továbbá a FRA „</w:t>
      </w:r>
      <w:r>
        <w:rPr>
          <w:rFonts w:ascii="Times New Roman" w:hAnsi="Times New Roman"/>
          <w:i/>
        </w:rPr>
        <w:t>Az emberi jogokkal foglalkozó civil társadalmi szervezeteket érő kihívások az EU-ban</w:t>
      </w:r>
      <w:r>
        <w:rPr>
          <w:rFonts w:ascii="Times New Roman" w:hAnsi="Times New Roman"/>
        </w:rPr>
        <w:t xml:space="preserve">” című jelentését: </w:t>
      </w:r>
      <w:hyperlink r:id="rId18" w:history="1">
        <w:r>
          <w:rPr>
            <w:rStyle w:val="Hyperlink"/>
            <w:rFonts w:ascii="Times New Roman" w:hAnsi="Times New Roman"/>
          </w:rPr>
          <w:t>https://fra.europa.eu/en/publication/2018/challenges-facing-civil-society-organisations-working-human-rights-eu</w:t>
        </w:r>
      </w:hyperlink>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Bíróság 2020. június 18-i ítélete, Bizottság kontra Magyarország, C-78/18, EU:C:2020:476.</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Lásd ugyanott, 133. pont.</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Bizottság az európai demokráciáról szóló cselekvési terv keretében intézkedéseket fog javasolni az újságírók biztonságának növelése, valamint az újságírók és a civil társadalom olyan stratégiai perekkel szembeni védelme érdekében, amelyek a közéletben való részvétel akadályozását célozzák. Ahogyan a jövő évi munkaprogramjában bejelentette, a Bizottság 2021 végén kezdeményezést fog javasolni az e szereplők ellen irányuló, visszaélésszerű perek ellen.</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FRA „</w:t>
      </w:r>
      <w:r>
        <w:rPr>
          <w:rFonts w:ascii="Times New Roman" w:hAnsi="Times New Roman"/>
          <w:i/>
        </w:rPr>
        <w:t>Az emberi jogokkal foglalkozó civil társadalmi szervezeteket érő kihívások</w:t>
      </w:r>
      <w:r>
        <w:rPr>
          <w:rFonts w:ascii="Times New Roman" w:hAnsi="Times New Roman"/>
        </w:rPr>
        <w:t xml:space="preserve">” c. jelentése, id. mű. Lásd továbbá a Nemzeti Emberi Jogi Intézmények Nemzetközi Koordinációs Bizottsága (GANHRI), </w:t>
      </w:r>
      <w:hyperlink r:id="rId19" w:history="1">
        <w:r>
          <w:rPr>
            <w:rStyle w:val="Hyperlink"/>
            <w:rFonts w:ascii="Times New Roman" w:hAnsi="Times New Roman"/>
          </w:rPr>
          <w:t>Az Akkreditációs Albizottság általános észrevételei</w:t>
        </w:r>
      </w:hyperlink>
      <w:r>
        <w:rPr>
          <w:rFonts w:ascii="Times New Roman" w:hAnsi="Times New Roman"/>
        </w:rPr>
        <w:t>, 2018</w:t>
      </w:r>
      <w:r>
        <w:rPr>
          <w:rFonts w:ascii="Times New Roman" w:hAnsi="Times New Roman" w:cs="Times New Roman"/>
        </w:rPr>
        <w:fldChar w:fldCharType="begin"/>
      </w:r>
      <w:r>
        <w:rPr>
          <w:rFonts w:ascii="Times New Roman" w:hAnsi="Times New Roman" w:cs="Times New Roman"/>
        </w:rPr>
        <w:fldChar w:fldCharType="separate"/>
      </w:r>
      <w:r>
        <w:rPr>
          <w:rFonts w:ascii="Times New Roman" w:hAnsi="Times New Roman" w:cs="Times New Roman"/>
          <w:u w:val="single"/>
        </w:rPr>
        <w:t>SCA General Observations</w:t>
      </w:r>
      <w:r>
        <w:rPr>
          <w:rFonts w:ascii="Times New Roman" w:hAnsi="Times New Roman" w:cs="Times New Roman"/>
        </w:rPr>
        <w:fldChar w:fldCharType="end"/>
      </w:r>
      <w:r>
        <w:rPr>
          <w:rFonts w:ascii="Times New Roman" w:hAnsi="Times New Roman"/>
        </w:rPr>
        <w:t>, 1. o.</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nemzeti emberi jogi intézmények az állam által megbízott szervek, amelyek függetlenek a kormánytól, és széles alkotmányos vagy jogi felhatalmazással rendelkeznek az emberi jogok védelme és előmozdítása terén.</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0" w:history="1">
        <w:r>
          <w:rPr>
            <w:rStyle w:val="Hyperlink"/>
            <w:rFonts w:ascii="Times New Roman" w:hAnsi="Times New Roman"/>
          </w:rPr>
          <w:t>https://ganhri.org/nhri/</w:t>
        </w:r>
      </w:hyperlink>
    </w:p>
  </w:footnote>
  <w:footnote w:id="7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Csehország, Olaszország, Málta.</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Észtország – akkreditáció 2020 végéig – és Románia.</w:t>
      </w:r>
    </w:p>
  </w:footnote>
  <w:footnote w:id="7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Ausztria, Belgium, Ciprus, Szlovákia, Szlovénia és Svédország.</w:t>
      </w:r>
    </w:p>
  </w:footnote>
  <w:footnote w:id="73">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1" w:history="1">
        <w:r>
          <w:rPr>
            <w:rStyle w:val="Hyperlink"/>
            <w:rFonts w:ascii="Times New Roman" w:hAnsi="Times New Roman"/>
          </w:rPr>
          <w:t>https://nhri.ohchr.org/EN/AboutUs/Pages/ParisPrinciples.aspx</w:t>
        </w:r>
      </w:hyperlink>
      <w:r>
        <w:rPr>
          <w:rFonts w:ascii="Times New Roman" w:hAnsi="Times New Roman"/>
        </w:rPr>
        <w:t>. Az Európa Tanács szintén készít ajánlásokat a hatékony, pluralista és független nemzeti emberi jogi intézmények kialakításáról és megerősítéséről.</w:t>
      </w:r>
    </w:p>
  </w:footnote>
  <w:footnote w:id="7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Az A. besorolás elnyerése azt jelenti, hogy a nemzeti emberi jogi intézmény teljes mértékben megfelel a párizsi alapelveknek, amelyek az emberi jogi intézményekre vonatkozó nemzetközi standardokat határozzák meg az alapjogok hatékony és független előmozdítása és védelme érdekében.</w:t>
      </w:r>
    </w:p>
  </w:footnote>
  <w:footnote w:id="7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COM(2020)580.</w:t>
      </w:r>
      <w:r>
        <w:rPr>
          <w:rFonts w:ascii="Times New Roman" w:hAnsi="Times New Roman"/>
          <w:sz w:val="24"/>
          <w:szCs w:val="24"/>
        </w:rPr>
        <w:t xml:space="preserve"> </w:t>
      </w:r>
      <w:r>
        <w:rPr>
          <w:rFonts w:ascii="Times New Roman" w:hAnsi="Times New Roman"/>
        </w:rPr>
        <w:t>A Tanács a Chartáról szóló, 2019. évi következtetéseiben emlékeztetett arra, hogy „</w:t>
      </w:r>
      <w:r>
        <w:rPr>
          <w:rFonts w:ascii="Times New Roman" w:hAnsi="Times New Roman"/>
          <w:i/>
        </w:rPr>
        <w:t>a független nemzeti emberi jogi intézmények […] kulcsszerepet játszanak az alapvető jogok védelme és érvényesítése, valamint a Chartának való megfelelés biztosítása terén</w:t>
      </w:r>
      <w:r>
        <w:rPr>
          <w:rFonts w:ascii="Times New Roman" w:hAnsi="Times New Roman"/>
        </w:rPr>
        <w:t>”, id. mű, 22. bekezdés.</w:t>
      </w:r>
    </w:p>
  </w:footnote>
  <w:footnote w:id="7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Megvalósíthatósági tanulmány a demokrácia, a jogállamiság és az alapjogok megsértésével kapcsolatos peres ügyek pénzügyi támogatásával kapcsolatban, 2020. augusztus 28.: </w:t>
      </w:r>
      <w:hyperlink r:id="rId22" w:history="1">
        <w:r>
          <w:rPr>
            <w:rStyle w:val="Hyperlink"/>
            <w:rFonts w:ascii="Times New Roman" w:hAnsi="Times New Roman"/>
          </w:rPr>
          <w:t>https://ec.europa.eu/info/aid-development-cooperation-fundamental-rights/your-rights-eu/eu-charter-fundamental-rights/application-charter/studies-related-charter_en</w:t>
        </w:r>
      </w:hyperlink>
    </w:p>
  </w:footnote>
  <w:footnote w:id="7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
        </w:rPr>
        <w:t>„A célzott csoportos képzésnek prioritásnak kell lennie. Az egyenlőséggel foglalkozó nemzeti szervek munkavállalóinak nemzetközi képzést kell tartani a Charta alkalmazásáról. […] A célzott csoportos képzéseket nemzeti szinten horizontális képzésnek kell követnie, amely összefogja az érintett szereplőket, akik korábban célzott csoportos képzésben vettek részt, hogy azonosítani lehessen a Charta alkalmazásával összefüggő kapcsolódási pontokat és szinergiákat lehessen kialakítani.”</w:t>
      </w:r>
      <w:r>
        <w:rPr>
          <w:rFonts w:ascii="Times New Roman" w:hAnsi="Times New Roman"/>
        </w:rPr>
        <w:t xml:space="preserve"> Az Equinet beadványa a Chartáról szóló bizottsági stratégiára, id. mű.</w:t>
      </w:r>
    </w:p>
  </w:footnote>
  <w:footnote w:id="78">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3" w:history="1">
        <w:r>
          <w:rPr>
            <w:rStyle w:val="Hyperlink"/>
            <w:rFonts w:ascii="Times New Roman" w:hAnsi="Times New Roman"/>
          </w:rPr>
          <w:t>http://ennhri.org/wp-content/uploads/2019/11/Implementation-of-the-EU-Charter-of-Fundamental-Rights-Activities-of-NHRIs.pdf</w:t>
        </w:r>
      </w:hyperlink>
      <w:r>
        <w:rPr>
          <w:rFonts w:ascii="Times New Roman" w:hAnsi="Times New Roman"/>
        </w:rPr>
        <w:t>. Lásd továbbá Lengyelország bevált gyakorlatát, az érdekelt felekkel folytatott konzultációk elemzésében, 15. o.</w:t>
      </w:r>
    </w:p>
  </w:footnote>
  <w:footnote w:id="79">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4" w:history="1">
        <w:r>
          <w:rPr>
            <w:rStyle w:val="Hyperlink"/>
            <w:rFonts w:ascii="Times New Roman" w:hAnsi="Times New Roman"/>
          </w:rPr>
          <w:t>https://fra.europa.eu/en/eu-charter</w:t>
        </w:r>
      </w:hyperlink>
      <w:r>
        <w:rPr>
          <w:rFonts w:ascii="Times New Roman" w:hAnsi="Times New Roman"/>
        </w:rPr>
        <w:t>. Lásd továbbá a FRA 2020. évi alapjogi jelentését.</w:t>
      </w:r>
    </w:p>
  </w:footnote>
  <w:footnote w:id="8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2009 és 2019 között a nemzeti bíróságok 5038 előzetes döntéshozatal iránti kérelmet küldtek a Bíróságnak. Ezek közül 576 (több mint 11 %) tartalmazott a Chartával kapcsolatos kérdéseket. Lásd a FRA 2020. évi alapjogi jelentését.</w:t>
      </w:r>
    </w:p>
  </w:footnote>
  <w:footnote w:id="8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Az érdekelt felekkel folytatott konzultáció elemzése, id. mű; A Chartáról szóló, 2019. évi bizottsági jelentés, id. mű; a FRA 2020. évi alapjogi jelentése; A FRA 2018. szeptember 24-i, 4/2018. számú véleménye: </w:t>
      </w:r>
      <w:hyperlink r:id="rId25" w:history="1">
        <w:r>
          <w:rPr>
            <w:rStyle w:val="Hyperlink"/>
            <w:rFonts w:ascii="Times New Roman" w:hAnsi="Times New Roman"/>
          </w:rPr>
          <w:t>https://fra.europa.eu/sites/default/files/fra_uploads/fra-opinion-04-2018_charter-implementation.pdf</w:t>
        </w:r>
      </w:hyperlink>
    </w:p>
  </w:footnote>
  <w:footnote w:id="8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Az EU Jogérvényesülés programja által támogatott Európai Igazságügyi Képzési Hálózat tapasztalatcseréket szervez a nemzeti és európai bíróságok között: </w:t>
      </w:r>
      <w:hyperlink r:id="rId26" w:history="1">
        <w:r>
          <w:rPr>
            <w:rStyle w:val="Hyperlink"/>
            <w:rFonts w:ascii="Times New Roman" w:hAnsi="Times New Roman"/>
          </w:rPr>
          <w:t>http://www.ejtn.eu/Exchange-Programme/</w:t>
        </w:r>
      </w:hyperlink>
    </w:p>
  </w:footnote>
  <w:footnote w:id="8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COM(2020)713.</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7" w:history="1">
        <w:r>
          <w:rPr>
            <w:rStyle w:val="Hyperlink"/>
            <w:rFonts w:ascii="Times New Roman" w:hAnsi="Times New Roman"/>
          </w:rPr>
          <w:t>https://fra.europa.eu/en/publication/2018/applying-charter-fundamental-rights-european-union-law-and-policymaking-national</w:t>
        </w:r>
      </w:hyperlink>
      <w:r>
        <w:rPr>
          <w:rFonts w:ascii="Times New Roman" w:hAnsi="Times New Roman"/>
        </w:rPr>
        <w:t xml:space="preserve">. A Chartával kapcsolatos valamennyi információ elérhető lesz a Chartáról szóló weboldalon: </w:t>
      </w:r>
      <w:hyperlink r:id="rId28" w:history="1">
        <w:r>
          <w:rPr>
            <w:rStyle w:val="Hyperlink"/>
            <w:rFonts w:ascii="Times New Roman" w:hAnsi="Times New Roman"/>
          </w:rPr>
          <w:t>https://fra.europa.eu/hu/eu-charter</w:t>
        </w:r>
      </w:hyperlink>
    </w:p>
  </w:footnote>
  <w:footnote w:id="8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Bizottság 2020. évi jogállamisági jelentése, id. mű.</w:t>
      </w:r>
    </w:p>
  </w:footnote>
  <w:footnote w:id="8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Lásd az igazságszolgáltatás EU-n belüli digitalizációjáról szóló bizottsági közleményt, COM(2020) 710.</w:t>
      </w:r>
    </w:p>
  </w:footnote>
  <w:footnote w:id="87">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9" w:history="1">
        <w:r>
          <w:rPr>
            <w:rStyle w:val="Hyperlink"/>
            <w:rFonts w:ascii="Times New Roman" w:hAnsi="Times New Roman"/>
          </w:rPr>
          <w:t>https://e-justice.europa.eu/content_european_training_platform-37158-en.do</w:t>
        </w:r>
      </w:hyperlink>
    </w:p>
  </w:footnote>
  <w:footnote w:id="8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Bíróság 2016. szeptember 20-i ítélete, Ledra Advertising kontra Bizottság és EKB, C-8-10/15 P és C-10/15, EU:C:2016:701.</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Bíróság 2013. július 18-i ítélete, Bizottság és társai kontra Kadi, C-584/10 P és C‑595/10 P, EU:C:2013:518.</w:t>
      </w:r>
    </w:p>
  </w:footnote>
  <w:footnote w:id="9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Az alapvető jogok </w:t>
      </w:r>
      <w:r>
        <w:rPr>
          <w:rFonts w:ascii="Times New Roman" w:hAnsi="Times New Roman"/>
          <w:bCs/>
          <w:iCs/>
        </w:rPr>
        <w:t>hatásvizsgálatok során történő figyelembevételére vonatkozó, 2011. évi bizottsági operatív iránymutatás és a jogalkotás minőségének javítására vonatkozó 2015. évi csomag, amely szerint a Charta érvényesítése a hatásvizsgálat szerves része (28. eszköz)</w:t>
      </w:r>
      <w:r>
        <w:rPr>
          <w:rFonts w:ascii="Times New Roman" w:hAnsi="Times New Roman"/>
        </w:rPr>
        <w:t>.</w:t>
      </w:r>
    </w:p>
  </w:footnote>
  <w:footnote w:id="91">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2020 februárjában került elfogadásra:</w:t>
      </w:r>
      <w:r>
        <w:t xml:space="preserve"> </w:t>
      </w:r>
      <w:hyperlink r:id="rId30" w:history="1">
        <w:r>
          <w:rPr>
            <w:rStyle w:val="Hyperlink"/>
            <w:rFonts w:ascii="Times New Roman" w:hAnsi="Times New Roman"/>
          </w:rPr>
          <w:t>https://ec.europa.eu/info/publications/communication-shaping-europes-digital-future_en</w:t>
        </w:r>
      </w:hyperlink>
    </w:p>
  </w:footnote>
  <w:footnote w:id="9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Fehér könyv a mesterséges intelligenciáról: a kiválóság és a bizalom európai megközelítése, COM(2020) 65.</w:t>
      </w:r>
    </w:p>
  </w:footnote>
  <w:footnote w:id="9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 Bizottság a minőségi jogalkotásról szóló szabályokkal összhangban konzultációkat indít kezdeményezéseinek megalapozása céljából. Lásd </w:t>
      </w:r>
      <w:hyperlink r:id="rId31" w:history="1">
        <w:r>
          <w:rPr>
            <w:rStyle w:val="Hyperlink"/>
            <w:rFonts w:ascii="Times New Roman" w:hAnsi="Times New Roman"/>
          </w:rPr>
          <w:t>https://ec.europa.eu/info/law/better-regulation/have-your-say</w:t>
        </w:r>
      </w:hyperlink>
      <w:r>
        <w:rPr>
          <w:rFonts w:ascii="Times New Roman" w:hAnsi="Times New Roman"/>
        </w:rPr>
        <w:t xml:space="preserve"> és </w:t>
      </w:r>
      <w:hyperlink r:id="rId32" w:history="1">
        <w:r>
          <w:rPr>
            <w:rStyle w:val="Hyperlink"/>
            <w:rFonts w:ascii="Times New Roman" w:hAnsi="Times New Roman"/>
          </w:rPr>
          <w:t>https://ec.europa.eu/info/consultations_hu</w:t>
        </w:r>
      </w:hyperlink>
      <w:r>
        <w:rPr>
          <w:rFonts w:ascii="Times New Roman" w:hAnsi="Times New Roman"/>
        </w:rPr>
        <w:t>. A Bizottság szintén figyelembe veszi az EU Alapjogi Ügynöksége, a jogvédők, így a nemzeti emberi jogi intézmények és egyenlőséggel foglalkozó szervek által szolgáltatott adatokat, valamint az olyan nemzetközi szervezetek által gyűjtött információkat, mint az Európa Tanács, az Egyesült Nemzetek, valamint az Európai Biztonsági és Együttműködési Szervezet Demokratikus Intézmények és Emberi Jogok Hivatala.</w:t>
      </w:r>
    </w:p>
  </w:footnote>
  <w:footnote w:id="94">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33" w:history="1">
        <w:r>
          <w:rPr>
            <w:rStyle w:val="Hyperlink"/>
            <w:rFonts w:ascii="Times New Roman" w:hAnsi="Times New Roman"/>
          </w:rPr>
          <w:t>https://data.consilium.europa.eu/doc/document/ST-12848-2020-INIT/en/pdf</w:t>
        </w:r>
      </w:hyperlink>
    </w:p>
  </w:footnote>
  <w:footnote w:id="9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kereskedelemmel kapcsolatos szakpolitikai kezdeményezések hatásvizsgálataiban az emberi jogok hatásainak elemzésére vonatkozó, 2015. évi iránymutatás.</w:t>
      </w:r>
    </w:p>
  </w:footnote>
  <w:footnote w:id="9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2021–2027-re vonatkozó Előcsatlakozási Támogatási Eszköz (IPA) tovább fogja támogatni a reformokat, hogy azok megfeleljenek az uniós értékeknek és alapjogoknak, és fokozatosan hozzáigazodjanak az uniós szabályokhoz, normákhoz és szakpolitikákhoz.</w:t>
      </w:r>
    </w:p>
  </w:footnote>
  <w:footnote w:id="9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Az eljárás a FRA létrehozásáról szóló 168/2007/EK rendelet 28. cikkében szerepel, HL L 53., 2007.2.27., 1. o.</w:t>
      </w:r>
    </w:p>
  </w:footnote>
  <w:footnote w:id="9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Azok az uniós jogszabályok, amelyek nem felelnek meg a Chartának, jogilag megtámadhatók a Bíróság előtt.</w:t>
      </w:r>
    </w:p>
  </w:footnote>
  <w:footnote w:id="9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iCs/>
        </w:rPr>
        <w:t>Tanácsi iránymutatás az alapvető jogok megfelelőségi ellenőrzéséről, 5377/15. számú dokumentum, 2015. január 20.</w:t>
      </w:r>
    </w:p>
  </w:footnote>
  <w:footnote w:id="10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Chartáról szóló következtetéseiben (id. mű) a Tanács megerősítette „</w:t>
      </w:r>
      <w:r>
        <w:rPr>
          <w:rFonts w:ascii="Times New Roman" w:hAnsi="Times New Roman"/>
          <w:i/>
        </w:rPr>
        <w:t>azon vállalását, hogy figyelembe veszi a Charta alkalmazására vonatkozó iránymutatásokat, beleértve a Tanács előkészítő szerveinek az alapvető jogoknak való megfelelés szempontjából történő vizsgálatához szükséges módszertani lépésekről szóló iránymutatásokat, és kijelenti, hogy kész új lehetőségeket feltárni, amelyekkel a tanácsi előkészítő szervek hatékonyabban használhatják fel ezeket az iránymutatásokat, többek között képzés révén</w:t>
      </w:r>
      <w:r>
        <w:rPr>
          <w:rFonts w:ascii="Times New Roman" w:hAnsi="Times New Roman"/>
        </w:rPr>
        <w:t>” (10. bekezdés). Finnország állandó képviselete a Tanács Főtitkárságával és a FRA-val együttműködésben képzést szervezett a Charta alkalmazásáról, amely a személyzet minden tagja számára nyitott volt, és a következő elnökség minden munkacsoportja elnökének javasolta azt.</w:t>
      </w:r>
    </w:p>
  </w:footnote>
  <w:footnote w:id="10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Az Európai Parlament eljárási szabályzata – 39. szabály.</w:t>
      </w:r>
    </w:p>
  </w:footnote>
  <w:footnote w:id="10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HL L 123., 2016.5.12., 12. o.</w:t>
      </w:r>
    </w:p>
  </w:footnote>
  <w:footnote w:id="103">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34" w:history="1">
        <w:r>
          <w:rPr>
            <w:rStyle w:val="Hyperlink"/>
            <w:rFonts w:ascii="Times New Roman" w:hAnsi="Times New Roman"/>
          </w:rPr>
          <w:t>https://ec.europa.eu/info/aid-development-cooperation-fundamental-rights/your-rights-eu/eu-charter-fundamental-rights/application-charter/annual-reports-application-charter_en</w:t>
        </w:r>
      </w:hyperlink>
    </w:p>
  </w:footnote>
  <w:footnote w:id="10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 2019/882 irányelv.</w:t>
      </w:r>
    </w:p>
  </w:footnote>
  <w:footnote w:id="105">
    <w:p>
      <w:pPr>
        <w:pStyle w:val="FootnoteText"/>
        <w:jc w:val="both"/>
        <w:rPr>
          <w:rFonts w:ascii="Times New Roman" w:hAnsi="Times New Roman" w:cs="Times New Roman"/>
          <w:i/>
        </w:rPr>
      </w:pPr>
      <w:r>
        <w:rPr>
          <w:rStyle w:val="FootnoteReference"/>
          <w:rFonts w:ascii="Times New Roman" w:hAnsi="Times New Roman" w:cs="Times New Roman"/>
        </w:rPr>
        <w:footnoteRef/>
      </w:r>
      <w:r>
        <w:tab/>
      </w:r>
      <w:r>
        <w:rPr>
          <w:rFonts w:ascii="Times New Roman" w:hAnsi="Times New Roman"/>
        </w:rPr>
        <w:t>(EU) 2019/1896 rendelet,</w:t>
      </w:r>
      <w:r>
        <w:rPr>
          <w:rFonts w:ascii="Times New Roman" w:hAnsi="Times New Roman"/>
          <w:b/>
          <w:i/>
        </w:rPr>
        <w:t xml:space="preserve"> </w:t>
      </w:r>
      <w:r>
        <w:rPr>
          <w:rFonts w:ascii="Times New Roman" w:hAnsi="Times New Roman"/>
        </w:rPr>
        <w:t>HL L 295., 2019.11.14., 1. o.</w:t>
      </w:r>
      <w:r>
        <w:rPr>
          <w:rFonts w:ascii="Times New Roman" w:hAnsi="Times New Roman"/>
          <w:sz w:val="24"/>
          <w:szCs w:val="24"/>
        </w:rPr>
        <w:t xml:space="preserve"> </w:t>
      </w:r>
      <w:r>
        <w:rPr>
          <w:rFonts w:ascii="Times New Roman" w:hAnsi="Times New Roman"/>
        </w:rPr>
        <w:t xml:space="preserve">Az alapjogi </w:t>
      </w:r>
      <w:r>
        <w:rPr>
          <w:rFonts w:ascii="Times New Roman" w:hAnsi="Times New Roman"/>
          <w:bCs/>
        </w:rPr>
        <w:t>stratégia és cselekvési terv</w:t>
      </w:r>
      <w:r>
        <w:rPr>
          <w:rFonts w:ascii="Times New Roman" w:hAnsi="Times New Roman"/>
        </w:rPr>
        <w:t xml:space="preserve"> kidolgozására annak érdekében kerül sor, hogy keretet biztosítson az Európai Határ- és Partvédelmi Ügynökség (Frontex) Chartának való megfelelésére irányuló kötelezettségének. </w:t>
      </w:r>
      <w:r>
        <w:rPr>
          <w:rFonts w:ascii="Times New Roman" w:hAnsi="Times New Roman"/>
          <w:bCs/>
        </w:rPr>
        <w:t xml:space="preserve">Alapjogi tisztviselő </w:t>
      </w:r>
      <w:r>
        <w:rPr>
          <w:rFonts w:ascii="Times New Roman" w:hAnsi="Times New Roman"/>
        </w:rPr>
        <w:t xml:space="preserve">kinevezésére került sor a stratégiához való hozzájárulás és a végrehajtásának nyomon követése érdekében. Az </w:t>
      </w:r>
      <w:r>
        <w:rPr>
          <w:rFonts w:ascii="Times New Roman" w:hAnsi="Times New Roman"/>
          <w:bCs/>
        </w:rPr>
        <w:t>alapjogok tiszteletben tartását felügyelő személyeket fognak alkalmazni</w:t>
      </w:r>
      <w:r>
        <w:rPr>
          <w:rFonts w:ascii="Times New Roman" w:hAnsi="Times New Roman"/>
        </w:rPr>
        <w:t xml:space="preserve"> annak érdekében, hogy azok értékeljék az alapjogoknak az Ügynökség operatív tevékenységei általi betartását. A FRA támogatja a Frontexet az alapjogok tiszteletben tartását felügyelő személyek képzése során.</w:t>
      </w:r>
    </w:p>
  </w:footnote>
  <w:footnote w:id="10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487b. Eurobarométer tematikus felmérés.</w:t>
      </w:r>
    </w:p>
  </w:footnote>
  <w:footnote w:id="10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Az érdekelt felekkel folytatott konzultáció elemzése, 31. o.</w:t>
      </w:r>
    </w:p>
  </w:footnote>
  <w:footnote w:id="10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célzott konzultációkra válaszoló 22 helyi hatóságból 14 úgy nyilatkozott, hogy tájékoztatást nyújt a jogokról, az érdekelt felekkel folytatott konzultációk elemzése, 42. o.</w:t>
      </w:r>
    </w:p>
  </w:footnote>
  <w:footnote w:id="109">
    <w:p>
      <w:pPr>
        <w:pStyle w:val="FootnoteText"/>
        <w:jc w:val="both"/>
        <w:rPr>
          <w:rFonts w:ascii="Times New Roman" w:hAnsi="Times New Roman" w:cs="Times New Roman"/>
          <w:i/>
        </w:rPr>
      </w:pPr>
      <w:r>
        <w:rPr>
          <w:rStyle w:val="FootnoteReference"/>
          <w:rFonts w:ascii="Times New Roman" w:hAnsi="Times New Roman" w:cs="Times New Roman"/>
        </w:rPr>
        <w:footnoteRef/>
      </w:r>
      <w:r>
        <w:tab/>
      </w:r>
      <w:r>
        <w:rPr>
          <w:rFonts w:ascii="Times New Roman" w:hAnsi="Times New Roman"/>
        </w:rPr>
        <w:t xml:space="preserve">Lásd továbbá a FRA </w:t>
      </w:r>
      <w:r>
        <w:rPr>
          <w:rFonts w:ascii="Times New Roman" w:hAnsi="Times New Roman"/>
          <w:i/>
        </w:rPr>
        <w:t>„Mit jelentenek az alapvető jogok az emberek számára az EU-ban?”</w:t>
      </w:r>
      <w:r>
        <w:rPr>
          <w:rFonts w:ascii="Times New Roman" w:hAnsi="Times New Roman"/>
        </w:rPr>
        <w:t xml:space="preserve"> című dokumentumát (2020), 48. o:</w:t>
      </w:r>
      <w:r>
        <w:rPr>
          <w:rFonts w:ascii="Times New Roman" w:hAnsi="Times New Roman"/>
          <w:i/>
        </w:rPr>
        <w:t xml:space="preserve"> „A tájékoztatáson alapuló döntések meghozatalához az embereknek tájékoztatáshoz kell jutniuk a jogaikkal és a keresetek és panaszok benyújtása céljából elérhető eljárásokkal kapcsolatban”.</w:t>
      </w:r>
    </w:p>
  </w:footnote>
  <w:footnote w:id="110">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35" w:history="1">
        <w:r>
          <w:rPr>
            <w:rStyle w:val="Hyperlink"/>
            <w:rFonts w:ascii="Times New Roman" w:hAnsi="Times New Roman"/>
          </w:rPr>
          <w:t>https://fra.europa.eu/en/event/2020/fundamental-rights-forum-2021</w:t>
        </w:r>
      </w:hyperlink>
    </w:p>
  </w:footnote>
  <w:footnote w:id="11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COM(2018)5446: </w:t>
      </w:r>
      <w:hyperlink r:id="rId36" w:history="1">
        <w:r>
          <w:rPr>
            <w:rStyle w:val="Hyperlink"/>
            <w:rFonts w:ascii="Times New Roman" w:hAnsi="Times New Roman"/>
          </w:rPr>
          <w:t>www.dearprogramme.eu</w:t>
        </w:r>
      </w:hyperlink>
    </w:p>
  </w:footnote>
  <w:footnote w:id="11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Lásd a Chartáról szóló tanácsi következtetéseket, id. mű, 14. bekezdés.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359"/>
    <w:multiLevelType w:val="hybridMultilevel"/>
    <w:tmpl w:val="EE96AF50"/>
    <w:lvl w:ilvl="0" w:tplc="0352DF5A">
      <w:start w:val="1"/>
      <w:numFmt w:val="bullet"/>
      <w:lvlText w:val=""/>
      <w:lvlJc w:val="left"/>
      <w:pPr>
        <w:ind w:left="360" w:hanging="360"/>
      </w:pPr>
      <w:rPr>
        <w:rFonts w:ascii="Wingdings" w:hAnsi="Wingdings" w:hint="default"/>
        <w:b w:val="0"/>
      </w:rPr>
    </w:lvl>
    <w:lvl w:ilvl="1" w:tplc="080C0003" w:tentative="1">
      <w:start w:val="1"/>
      <w:numFmt w:val="bullet"/>
      <w:lvlText w:val="o"/>
      <w:lvlJc w:val="left"/>
      <w:pPr>
        <w:ind w:left="1320" w:hanging="360"/>
      </w:pPr>
      <w:rPr>
        <w:rFonts w:ascii="Courier New" w:hAnsi="Courier New" w:cs="Courier New" w:hint="default"/>
      </w:rPr>
    </w:lvl>
    <w:lvl w:ilvl="2" w:tplc="080C0005" w:tentative="1">
      <w:start w:val="1"/>
      <w:numFmt w:val="bullet"/>
      <w:lvlText w:val=""/>
      <w:lvlJc w:val="left"/>
      <w:pPr>
        <w:ind w:left="2040" w:hanging="360"/>
      </w:pPr>
      <w:rPr>
        <w:rFonts w:ascii="Wingdings" w:hAnsi="Wingdings" w:hint="default"/>
      </w:rPr>
    </w:lvl>
    <w:lvl w:ilvl="3" w:tplc="080C0001" w:tentative="1">
      <w:start w:val="1"/>
      <w:numFmt w:val="bullet"/>
      <w:lvlText w:val=""/>
      <w:lvlJc w:val="left"/>
      <w:pPr>
        <w:ind w:left="2760" w:hanging="360"/>
      </w:pPr>
      <w:rPr>
        <w:rFonts w:ascii="Symbol" w:hAnsi="Symbol" w:hint="default"/>
      </w:rPr>
    </w:lvl>
    <w:lvl w:ilvl="4" w:tplc="080C0003" w:tentative="1">
      <w:start w:val="1"/>
      <w:numFmt w:val="bullet"/>
      <w:lvlText w:val="o"/>
      <w:lvlJc w:val="left"/>
      <w:pPr>
        <w:ind w:left="3480" w:hanging="360"/>
      </w:pPr>
      <w:rPr>
        <w:rFonts w:ascii="Courier New" w:hAnsi="Courier New" w:cs="Courier New" w:hint="default"/>
      </w:rPr>
    </w:lvl>
    <w:lvl w:ilvl="5" w:tplc="080C0005" w:tentative="1">
      <w:start w:val="1"/>
      <w:numFmt w:val="bullet"/>
      <w:lvlText w:val=""/>
      <w:lvlJc w:val="left"/>
      <w:pPr>
        <w:ind w:left="4200" w:hanging="360"/>
      </w:pPr>
      <w:rPr>
        <w:rFonts w:ascii="Wingdings" w:hAnsi="Wingdings" w:hint="default"/>
      </w:rPr>
    </w:lvl>
    <w:lvl w:ilvl="6" w:tplc="080C0001" w:tentative="1">
      <w:start w:val="1"/>
      <w:numFmt w:val="bullet"/>
      <w:lvlText w:val=""/>
      <w:lvlJc w:val="left"/>
      <w:pPr>
        <w:ind w:left="4920" w:hanging="360"/>
      </w:pPr>
      <w:rPr>
        <w:rFonts w:ascii="Symbol" w:hAnsi="Symbol" w:hint="default"/>
      </w:rPr>
    </w:lvl>
    <w:lvl w:ilvl="7" w:tplc="080C0003" w:tentative="1">
      <w:start w:val="1"/>
      <w:numFmt w:val="bullet"/>
      <w:lvlText w:val="o"/>
      <w:lvlJc w:val="left"/>
      <w:pPr>
        <w:ind w:left="5640" w:hanging="360"/>
      </w:pPr>
      <w:rPr>
        <w:rFonts w:ascii="Courier New" w:hAnsi="Courier New" w:cs="Courier New" w:hint="default"/>
      </w:rPr>
    </w:lvl>
    <w:lvl w:ilvl="8" w:tplc="080C0005" w:tentative="1">
      <w:start w:val="1"/>
      <w:numFmt w:val="bullet"/>
      <w:lvlText w:val=""/>
      <w:lvlJc w:val="left"/>
      <w:pPr>
        <w:ind w:left="6360" w:hanging="360"/>
      </w:pPr>
      <w:rPr>
        <w:rFonts w:ascii="Wingdings" w:hAnsi="Wingdings" w:hint="default"/>
      </w:rPr>
    </w:lvl>
  </w:abstractNum>
  <w:abstractNum w:abstractNumId="1">
    <w:nsid w:val="0BD21735"/>
    <w:multiLevelType w:val="hybridMultilevel"/>
    <w:tmpl w:val="09EAD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0134EF"/>
    <w:multiLevelType w:val="hybridMultilevel"/>
    <w:tmpl w:val="5F5A665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DAB7AEA"/>
    <w:multiLevelType w:val="hybridMultilevel"/>
    <w:tmpl w:val="75C4844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0ED8170C"/>
    <w:multiLevelType w:val="hybridMultilevel"/>
    <w:tmpl w:val="4106D18C"/>
    <w:lvl w:ilvl="0" w:tplc="1632DD5A">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05E6E"/>
    <w:multiLevelType w:val="hybridMultilevel"/>
    <w:tmpl w:val="6C22E12C"/>
    <w:lvl w:ilvl="0" w:tplc="70BA0EB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E03C3"/>
    <w:multiLevelType w:val="hybridMultilevel"/>
    <w:tmpl w:val="E48EC852"/>
    <w:lvl w:ilvl="0" w:tplc="9BA218E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14193"/>
    <w:multiLevelType w:val="hybridMultilevel"/>
    <w:tmpl w:val="3FF4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80673A"/>
    <w:multiLevelType w:val="hybridMultilevel"/>
    <w:tmpl w:val="FF86631C"/>
    <w:lvl w:ilvl="0" w:tplc="CC043AB8">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CC3410"/>
    <w:multiLevelType w:val="hybridMultilevel"/>
    <w:tmpl w:val="FEB6479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CF925F7"/>
    <w:multiLevelType w:val="hybridMultilevel"/>
    <w:tmpl w:val="B5309E34"/>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298055F4"/>
    <w:multiLevelType w:val="hybridMultilevel"/>
    <w:tmpl w:val="CF767F66"/>
    <w:lvl w:ilvl="0" w:tplc="080C000D">
      <w:start w:val="1"/>
      <w:numFmt w:val="bullet"/>
      <w:lvlText w:val=""/>
      <w:lvlJc w:val="left"/>
      <w:pPr>
        <w:ind w:left="1680" w:hanging="360"/>
      </w:pPr>
      <w:rPr>
        <w:rFonts w:ascii="Wingdings" w:hAnsi="Wingdings" w:hint="default"/>
      </w:rPr>
    </w:lvl>
    <w:lvl w:ilvl="1" w:tplc="080C0003" w:tentative="1">
      <w:start w:val="1"/>
      <w:numFmt w:val="bullet"/>
      <w:lvlText w:val="o"/>
      <w:lvlJc w:val="left"/>
      <w:pPr>
        <w:ind w:left="2400" w:hanging="360"/>
      </w:pPr>
      <w:rPr>
        <w:rFonts w:ascii="Courier New" w:hAnsi="Courier New" w:cs="Courier New" w:hint="default"/>
      </w:rPr>
    </w:lvl>
    <w:lvl w:ilvl="2" w:tplc="080C0005" w:tentative="1">
      <w:start w:val="1"/>
      <w:numFmt w:val="bullet"/>
      <w:lvlText w:val=""/>
      <w:lvlJc w:val="left"/>
      <w:pPr>
        <w:ind w:left="3120" w:hanging="360"/>
      </w:pPr>
      <w:rPr>
        <w:rFonts w:ascii="Wingdings" w:hAnsi="Wingdings" w:hint="default"/>
      </w:rPr>
    </w:lvl>
    <w:lvl w:ilvl="3" w:tplc="080C0001" w:tentative="1">
      <w:start w:val="1"/>
      <w:numFmt w:val="bullet"/>
      <w:lvlText w:val=""/>
      <w:lvlJc w:val="left"/>
      <w:pPr>
        <w:ind w:left="3840" w:hanging="360"/>
      </w:pPr>
      <w:rPr>
        <w:rFonts w:ascii="Symbol" w:hAnsi="Symbol" w:hint="default"/>
      </w:rPr>
    </w:lvl>
    <w:lvl w:ilvl="4" w:tplc="080C0003" w:tentative="1">
      <w:start w:val="1"/>
      <w:numFmt w:val="bullet"/>
      <w:lvlText w:val="o"/>
      <w:lvlJc w:val="left"/>
      <w:pPr>
        <w:ind w:left="4560" w:hanging="360"/>
      </w:pPr>
      <w:rPr>
        <w:rFonts w:ascii="Courier New" w:hAnsi="Courier New" w:cs="Courier New" w:hint="default"/>
      </w:rPr>
    </w:lvl>
    <w:lvl w:ilvl="5" w:tplc="080C0005" w:tentative="1">
      <w:start w:val="1"/>
      <w:numFmt w:val="bullet"/>
      <w:lvlText w:val=""/>
      <w:lvlJc w:val="left"/>
      <w:pPr>
        <w:ind w:left="5280" w:hanging="360"/>
      </w:pPr>
      <w:rPr>
        <w:rFonts w:ascii="Wingdings" w:hAnsi="Wingdings" w:hint="default"/>
      </w:rPr>
    </w:lvl>
    <w:lvl w:ilvl="6" w:tplc="080C0001" w:tentative="1">
      <w:start w:val="1"/>
      <w:numFmt w:val="bullet"/>
      <w:lvlText w:val=""/>
      <w:lvlJc w:val="left"/>
      <w:pPr>
        <w:ind w:left="6000" w:hanging="360"/>
      </w:pPr>
      <w:rPr>
        <w:rFonts w:ascii="Symbol" w:hAnsi="Symbol" w:hint="default"/>
      </w:rPr>
    </w:lvl>
    <w:lvl w:ilvl="7" w:tplc="080C0003" w:tentative="1">
      <w:start w:val="1"/>
      <w:numFmt w:val="bullet"/>
      <w:lvlText w:val="o"/>
      <w:lvlJc w:val="left"/>
      <w:pPr>
        <w:ind w:left="6720" w:hanging="360"/>
      </w:pPr>
      <w:rPr>
        <w:rFonts w:ascii="Courier New" w:hAnsi="Courier New" w:cs="Courier New" w:hint="default"/>
      </w:rPr>
    </w:lvl>
    <w:lvl w:ilvl="8" w:tplc="080C0005" w:tentative="1">
      <w:start w:val="1"/>
      <w:numFmt w:val="bullet"/>
      <w:lvlText w:val=""/>
      <w:lvlJc w:val="left"/>
      <w:pPr>
        <w:ind w:left="7440" w:hanging="360"/>
      </w:pPr>
      <w:rPr>
        <w:rFonts w:ascii="Wingdings" w:hAnsi="Wingdings" w:hint="default"/>
      </w:rPr>
    </w:lvl>
  </w:abstractNum>
  <w:abstractNum w:abstractNumId="12">
    <w:nsid w:val="2B504CC3"/>
    <w:multiLevelType w:val="hybridMultilevel"/>
    <w:tmpl w:val="A232F71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BD722A1"/>
    <w:multiLevelType w:val="hybridMultilevel"/>
    <w:tmpl w:val="54E8CD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601C26"/>
    <w:multiLevelType w:val="hybridMultilevel"/>
    <w:tmpl w:val="513024DE"/>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1121D0"/>
    <w:multiLevelType w:val="hybridMultilevel"/>
    <w:tmpl w:val="45066FF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1E5F2F"/>
    <w:multiLevelType w:val="hybridMultilevel"/>
    <w:tmpl w:val="2C3659E6"/>
    <w:lvl w:ilvl="0" w:tplc="76C4CD8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653DDF"/>
    <w:multiLevelType w:val="hybridMultilevel"/>
    <w:tmpl w:val="AE3EF5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nsid w:val="41093DA9"/>
    <w:multiLevelType w:val="hybridMultilevel"/>
    <w:tmpl w:val="45C85EC6"/>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BB0DAA"/>
    <w:multiLevelType w:val="hybridMultilevel"/>
    <w:tmpl w:val="EF0AF9AE"/>
    <w:lvl w:ilvl="0" w:tplc="B274B7BA">
      <w:start w:val="2"/>
      <w:numFmt w:val="bullet"/>
      <w:lvlText w:val="-"/>
      <w:lvlJc w:val="left"/>
      <w:pPr>
        <w:ind w:left="720" w:hanging="360"/>
      </w:pPr>
      <w:rPr>
        <w:rFonts w:ascii="Times New Roman" w:eastAsiaTheme="minorHAnsi" w:hAnsi="Times New Roman" w:cs="Times New Roman" w:hint="default"/>
        <w:b/>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5A4D58"/>
    <w:multiLevelType w:val="hybridMultilevel"/>
    <w:tmpl w:val="16E4B0D8"/>
    <w:lvl w:ilvl="0" w:tplc="388E104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8663A9"/>
    <w:multiLevelType w:val="hybridMultilevel"/>
    <w:tmpl w:val="477A9644"/>
    <w:lvl w:ilvl="0" w:tplc="A290E6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4528B1"/>
    <w:multiLevelType w:val="hybridMultilevel"/>
    <w:tmpl w:val="382A0DA4"/>
    <w:lvl w:ilvl="0" w:tplc="B6FC980A">
      <w:start w:val="2"/>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743CD6"/>
    <w:multiLevelType w:val="hybridMultilevel"/>
    <w:tmpl w:val="CA441A9C"/>
    <w:lvl w:ilvl="0" w:tplc="B36A99E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8C65C3"/>
    <w:multiLevelType w:val="hybridMultilevel"/>
    <w:tmpl w:val="8B8E2A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3C953E8"/>
    <w:multiLevelType w:val="hybridMultilevel"/>
    <w:tmpl w:val="B70254EC"/>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4B522B"/>
    <w:multiLevelType w:val="hybridMultilevel"/>
    <w:tmpl w:val="952AE2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1B20EA7"/>
    <w:multiLevelType w:val="hybridMultilevel"/>
    <w:tmpl w:val="A5948CD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47041C8"/>
    <w:multiLevelType w:val="hybridMultilevel"/>
    <w:tmpl w:val="AE9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9A0149"/>
    <w:multiLevelType w:val="hybridMultilevel"/>
    <w:tmpl w:val="06982D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727653B"/>
    <w:multiLevelType w:val="hybridMultilevel"/>
    <w:tmpl w:val="6CB830EA"/>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3E5E0E"/>
    <w:multiLevelType w:val="hybridMultilevel"/>
    <w:tmpl w:val="0E565A18"/>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D15D6B"/>
    <w:multiLevelType w:val="hybridMultilevel"/>
    <w:tmpl w:val="0FDE30E0"/>
    <w:lvl w:ilvl="0" w:tplc="079C6A30">
      <w:start w:val="2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32"/>
  </w:num>
  <w:num w:numId="4">
    <w:abstractNumId w:val="14"/>
  </w:num>
  <w:num w:numId="5">
    <w:abstractNumId w:val="31"/>
  </w:num>
  <w:num w:numId="6">
    <w:abstractNumId w:val="30"/>
  </w:num>
  <w:num w:numId="7">
    <w:abstractNumId w:val="18"/>
  </w:num>
  <w:num w:numId="8">
    <w:abstractNumId w:val="25"/>
  </w:num>
  <w:num w:numId="9">
    <w:abstractNumId w:val="24"/>
  </w:num>
  <w:num w:numId="10">
    <w:abstractNumId w:val="12"/>
  </w:num>
  <w:num w:numId="11">
    <w:abstractNumId w:val="11"/>
  </w:num>
  <w:num w:numId="12">
    <w:abstractNumId w:val="10"/>
  </w:num>
  <w:num w:numId="13">
    <w:abstractNumId w:val="29"/>
  </w:num>
  <w:num w:numId="14">
    <w:abstractNumId w:val="2"/>
  </w:num>
  <w:num w:numId="15">
    <w:abstractNumId w:val="27"/>
  </w:num>
  <w:num w:numId="16">
    <w:abstractNumId w:val="9"/>
  </w:num>
  <w:num w:numId="17">
    <w:abstractNumId w:val="26"/>
  </w:num>
  <w:num w:numId="18">
    <w:abstractNumId w:val="0"/>
  </w:num>
  <w:num w:numId="19">
    <w:abstractNumId w:val="13"/>
  </w:num>
  <w:num w:numId="20">
    <w:abstractNumId w:val="21"/>
  </w:num>
  <w:num w:numId="21">
    <w:abstractNumId w:val="3"/>
  </w:num>
  <w:num w:numId="22">
    <w:abstractNumId w:val="6"/>
  </w:num>
  <w:num w:numId="23">
    <w:abstractNumId w:val="23"/>
  </w:num>
  <w:num w:numId="24">
    <w:abstractNumId w:val="23"/>
  </w:num>
  <w:num w:numId="25">
    <w:abstractNumId w:val="16"/>
  </w:num>
  <w:num w:numId="26">
    <w:abstractNumId w:val="7"/>
  </w:num>
  <w:num w:numId="27">
    <w:abstractNumId w:val="15"/>
  </w:num>
  <w:num w:numId="28">
    <w:abstractNumId w:val="17"/>
  </w:num>
  <w:num w:numId="29">
    <w:abstractNumId w:val="19"/>
  </w:num>
  <w:num w:numId="30">
    <w:abstractNumId w:val="4"/>
  </w:num>
  <w:num w:numId="31">
    <w:abstractNumId w:val="8"/>
  </w:num>
  <w:num w:numId="32">
    <w:abstractNumId w:val="20"/>
  </w:num>
  <w:num w:numId="33">
    <w:abstractNumId w:val="2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nl-BE" w:vendorID="64" w:dllVersion="131078" w:nlCheck="1" w:checkStyle="0"/>
  <w:activeWritingStyle w:appName="MSWord" w:lang="es-ES" w:vendorID="64" w:dllVersion="131078" w:nlCheck="1" w:checkStyle="0"/>
  <w:activeWritingStyle w:appName="MSWord" w:lang="pt-PT" w:vendorID="64" w:dllVersion="131078" w:nlCheck="1" w:checkStyle="0"/>
  <w:activeWritingStyle w:appName="MSWord" w:lang="it-IT"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BA1ADCEC-B6AA-413A-9368-8AAF6A137161"/>
    <w:docVar w:name="LW_COVERPAGE_TYPE" w:val="1"/>
    <w:docVar w:name="LW_CROSSREFERENCE" w:val="&lt;UNUSED&gt;"/>
    <w:docVar w:name="LW_DATE.ADOPT.CP_ISODATE" w:val="&lt;EMPTY&gt;"/>
    <w:docVar w:name="LW_DocType" w:val="NORMAL"/>
    <w:docVar w:name="LW_EMISSION" w:val="2020.12.2."/>
    <w:docVar w:name="LW_EMISSION_ISODATE" w:val="2020-12-02"/>
    <w:docVar w:name="LW_EMISSION_LOCATION" w:val="BRX"/>
    <w:docVar w:name="LW_EMISSION_PREFIX" w:val="Brüsszel, "/>
    <w:docVar w:name="LW_EMISSION_SUFFIX" w:val=" "/>
    <w:docVar w:name="LW_ID_DOCTYPE_NONLW" w:val="CP-014"/>
    <w:docVar w:name="LW_INTERETEEE.CP" w:val="&lt;UNUSED&gt;"/>
    <w:docVar w:name="LW_LANGUE" w:val="HU"/>
    <w:docVar w:name="LW_LANGUESFAISANTFOI.CP" w:val="&lt;UNUSED&gt;"/>
    <w:docVar w:name="LW_LEVEL_OF_SENSITIVITY" w:val="Standard treatment"/>
    <w:docVar w:name="LW_NOM.INST" w:val="EURÓPAI BIZOTTSÁG"/>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z Alapjogi Charta EU-n belüli alkalmazásának meger\u337?sítésére irányuló stratégia"/>
    <w:docVar w:name="LW_TYPE.DOC.CP" w:val="A BIZOTTSÁG KÖZLEMÉNYE AZ EURÓPAI PARLAMENTNEK, A TANÁCSNAK, AZ EURÓPAI GAZDASÁGI ÉS SZOCIÁLIS BIZOTTSÁGNAK ÉS A RÉGIÓK BIZOTTSÁGÁNAK"/>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18">
      <w:bodyDiv w:val="1"/>
      <w:marLeft w:val="0"/>
      <w:marRight w:val="0"/>
      <w:marTop w:val="0"/>
      <w:marBottom w:val="0"/>
      <w:divBdr>
        <w:top w:val="none" w:sz="0" w:space="0" w:color="auto"/>
        <w:left w:val="none" w:sz="0" w:space="0" w:color="auto"/>
        <w:bottom w:val="none" w:sz="0" w:space="0" w:color="auto"/>
        <w:right w:val="none" w:sz="0" w:space="0" w:color="auto"/>
      </w:divBdr>
    </w:div>
    <w:div w:id="121966609">
      <w:bodyDiv w:val="1"/>
      <w:marLeft w:val="0"/>
      <w:marRight w:val="0"/>
      <w:marTop w:val="0"/>
      <w:marBottom w:val="0"/>
      <w:divBdr>
        <w:top w:val="none" w:sz="0" w:space="0" w:color="auto"/>
        <w:left w:val="none" w:sz="0" w:space="0" w:color="auto"/>
        <w:bottom w:val="none" w:sz="0" w:space="0" w:color="auto"/>
        <w:right w:val="none" w:sz="0" w:space="0" w:color="auto"/>
      </w:divBdr>
    </w:div>
    <w:div w:id="231162252">
      <w:bodyDiv w:val="1"/>
      <w:marLeft w:val="0"/>
      <w:marRight w:val="0"/>
      <w:marTop w:val="0"/>
      <w:marBottom w:val="0"/>
      <w:divBdr>
        <w:top w:val="none" w:sz="0" w:space="0" w:color="auto"/>
        <w:left w:val="none" w:sz="0" w:space="0" w:color="auto"/>
        <w:bottom w:val="none" w:sz="0" w:space="0" w:color="auto"/>
        <w:right w:val="none" w:sz="0" w:space="0" w:color="auto"/>
      </w:divBdr>
      <w:divsChild>
        <w:div w:id="472135691">
          <w:marLeft w:val="0"/>
          <w:marRight w:val="0"/>
          <w:marTop w:val="0"/>
          <w:marBottom w:val="0"/>
          <w:divBdr>
            <w:top w:val="none" w:sz="0" w:space="0" w:color="auto"/>
            <w:left w:val="none" w:sz="0" w:space="0" w:color="auto"/>
            <w:bottom w:val="none" w:sz="0" w:space="0" w:color="auto"/>
            <w:right w:val="none" w:sz="0" w:space="0" w:color="auto"/>
          </w:divBdr>
          <w:divsChild>
            <w:div w:id="16409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4994">
      <w:bodyDiv w:val="1"/>
      <w:marLeft w:val="0"/>
      <w:marRight w:val="0"/>
      <w:marTop w:val="0"/>
      <w:marBottom w:val="0"/>
      <w:divBdr>
        <w:top w:val="none" w:sz="0" w:space="0" w:color="auto"/>
        <w:left w:val="none" w:sz="0" w:space="0" w:color="auto"/>
        <w:bottom w:val="none" w:sz="0" w:space="0" w:color="auto"/>
        <w:right w:val="none" w:sz="0" w:space="0" w:color="auto"/>
      </w:divBdr>
    </w:div>
    <w:div w:id="505940495">
      <w:bodyDiv w:val="1"/>
      <w:marLeft w:val="0"/>
      <w:marRight w:val="0"/>
      <w:marTop w:val="0"/>
      <w:marBottom w:val="0"/>
      <w:divBdr>
        <w:top w:val="none" w:sz="0" w:space="0" w:color="auto"/>
        <w:left w:val="none" w:sz="0" w:space="0" w:color="auto"/>
        <w:bottom w:val="none" w:sz="0" w:space="0" w:color="auto"/>
        <w:right w:val="none" w:sz="0" w:space="0" w:color="auto"/>
      </w:divBdr>
    </w:div>
    <w:div w:id="61310076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42471963">
      <w:bodyDiv w:val="1"/>
      <w:marLeft w:val="0"/>
      <w:marRight w:val="0"/>
      <w:marTop w:val="0"/>
      <w:marBottom w:val="0"/>
      <w:divBdr>
        <w:top w:val="none" w:sz="0" w:space="0" w:color="auto"/>
        <w:left w:val="none" w:sz="0" w:space="0" w:color="auto"/>
        <w:bottom w:val="none" w:sz="0" w:space="0" w:color="auto"/>
        <w:right w:val="none" w:sz="0" w:space="0" w:color="auto"/>
      </w:divBdr>
    </w:div>
    <w:div w:id="651300510">
      <w:bodyDiv w:val="1"/>
      <w:marLeft w:val="0"/>
      <w:marRight w:val="0"/>
      <w:marTop w:val="0"/>
      <w:marBottom w:val="0"/>
      <w:divBdr>
        <w:top w:val="none" w:sz="0" w:space="0" w:color="auto"/>
        <w:left w:val="none" w:sz="0" w:space="0" w:color="auto"/>
        <w:bottom w:val="none" w:sz="0" w:space="0" w:color="auto"/>
        <w:right w:val="none" w:sz="0" w:space="0" w:color="auto"/>
      </w:divBdr>
    </w:div>
    <w:div w:id="735131257">
      <w:bodyDiv w:val="1"/>
      <w:marLeft w:val="0"/>
      <w:marRight w:val="0"/>
      <w:marTop w:val="0"/>
      <w:marBottom w:val="0"/>
      <w:divBdr>
        <w:top w:val="none" w:sz="0" w:space="0" w:color="auto"/>
        <w:left w:val="none" w:sz="0" w:space="0" w:color="auto"/>
        <w:bottom w:val="none" w:sz="0" w:space="0" w:color="auto"/>
        <w:right w:val="none" w:sz="0" w:space="0" w:color="auto"/>
      </w:divBdr>
    </w:div>
    <w:div w:id="755982936">
      <w:bodyDiv w:val="1"/>
      <w:marLeft w:val="0"/>
      <w:marRight w:val="0"/>
      <w:marTop w:val="0"/>
      <w:marBottom w:val="0"/>
      <w:divBdr>
        <w:top w:val="none" w:sz="0" w:space="0" w:color="auto"/>
        <w:left w:val="none" w:sz="0" w:space="0" w:color="auto"/>
        <w:bottom w:val="none" w:sz="0" w:space="0" w:color="auto"/>
        <w:right w:val="none" w:sz="0" w:space="0" w:color="auto"/>
      </w:divBdr>
    </w:div>
    <w:div w:id="758407276">
      <w:bodyDiv w:val="1"/>
      <w:marLeft w:val="0"/>
      <w:marRight w:val="0"/>
      <w:marTop w:val="0"/>
      <w:marBottom w:val="0"/>
      <w:divBdr>
        <w:top w:val="none" w:sz="0" w:space="0" w:color="auto"/>
        <w:left w:val="none" w:sz="0" w:space="0" w:color="auto"/>
        <w:bottom w:val="none" w:sz="0" w:space="0" w:color="auto"/>
        <w:right w:val="none" w:sz="0" w:space="0" w:color="auto"/>
      </w:divBdr>
    </w:div>
    <w:div w:id="788817092">
      <w:bodyDiv w:val="1"/>
      <w:marLeft w:val="0"/>
      <w:marRight w:val="0"/>
      <w:marTop w:val="0"/>
      <w:marBottom w:val="0"/>
      <w:divBdr>
        <w:top w:val="none" w:sz="0" w:space="0" w:color="auto"/>
        <w:left w:val="none" w:sz="0" w:space="0" w:color="auto"/>
        <w:bottom w:val="none" w:sz="0" w:space="0" w:color="auto"/>
        <w:right w:val="none" w:sz="0" w:space="0" w:color="auto"/>
      </w:divBdr>
    </w:div>
    <w:div w:id="822625755">
      <w:bodyDiv w:val="1"/>
      <w:marLeft w:val="0"/>
      <w:marRight w:val="0"/>
      <w:marTop w:val="0"/>
      <w:marBottom w:val="0"/>
      <w:divBdr>
        <w:top w:val="none" w:sz="0" w:space="0" w:color="auto"/>
        <w:left w:val="none" w:sz="0" w:space="0" w:color="auto"/>
        <w:bottom w:val="none" w:sz="0" w:space="0" w:color="auto"/>
        <w:right w:val="none" w:sz="0" w:space="0" w:color="auto"/>
      </w:divBdr>
    </w:div>
    <w:div w:id="830946696">
      <w:bodyDiv w:val="1"/>
      <w:marLeft w:val="0"/>
      <w:marRight w:val="0"/>
      <w:marTop w:val="0"/>
      <w:marBottom w:val="0"/>
      <w:divBdr>
        <w:top w:val="none" w:sz="0" w:space="0" w:color="auto"/>
        <w:left w:val="none" w:sz="0" w:space="0" w:color="auto"/>
        <w:bottom w:val="none" w:sz="0" w:space="0" w:color="auto"/>
        <w:right w:val="none" w:sz="0" w:space="0" w:color="auto"/>
      </w:divBdr>
    </w:div>
    <w:div w:id="840924912">
      <w:bodyDiv w:val="1"/>
      <w:marLeft w:val="0"/>
      <w:marRight w:val="0"/>
      <w:marTop w:val="0"/>
      <w:marBottom w:val="0"/>
      <w:divBdr>
        <w:top w:val="none" w:sz="0" w:space="0" w:color="auto"/>
        <w:left w:val="none" w:sz="0" w:space="0" w:color="auto"/>
        <w:bottom w:val="none" w:sz="0" w:space="0" w:color="auto"/>
        <w:right w:val="none" w:sz="0" w:space="0" w:color="auto"/>
      </w:divBdr>
    </w:div>
    <w:div w:id="912810767">
      <w:bodyDiv w:val="1"/>
      <w:marLeft w:val="0"/>
      <w:marRight w:val="0"/>
      <w:marTop w:val="0"/>
      <w:marBottom w:val="0"/>
      <w:divBdr>
        <w:top w:val="none" w:sz="0" w:space="0" w:color="auto"/>
        <w:left w:val="none" w:sz="0" w:space="0" w:color="auto"/>
        <w:bottom w:val="none" w:sz="0" w:space="0" w:color="auto"/>
        <w:right w:val="none" w:sz="0" w:space="0" w:color="auto"/>
      </w:divBdr>
    </w:div>
    <w:div w:id="938638944">
      <w:bodyDiv w:val="1"/>
      <w:marLeft w:val="0"/>
      <w:marRight w:val="0"/>
      <w:marTop w:val="0"/>
      <w:marBottom w:val="0"/>
      <w:divBdr>
        <w:top w:val="none" w:sz="0" w:space="0" w:color="auto"/>
        <w:left w:val="none" w:sz="0" w:space="0" w:color="auto"/>
        <w:bottom w:val="none" w:sz="0" w:space="0" w:color="auto"/>
        <w:right w:val="none" w:sz="0" w:space="0" w:color="auto"/>
      </w:divBdr>
    </w:div>
    <w:div w:id="971785020">
      <w:bodyDiv w:val="1"/>
      <w:marLeft w:val="0"/>
      <w:marRight w:val="0"/>
      <w:marTop w:val="0"/>
      <w:marBottom w:val="0"/>
      <w:divBdr>
        <w:top w:val="none" w:sz="0" w:space="0" w:color="auto"/>
        <w:left w:val="none" w:sz="0" w:space="0" w:color="auto"/>
        <w:bottom w:val="none" w:sz="0" w:space="0" w:color="auto"/>
        <w:right w:val="none" w:sz="0" w:space="0" w:color="auto"/>
      </w:divBdr>
    </w:div>
    <w:div w:id="999694109">
      <w:bodyDiv w:val="1"/>
      <w:marLeft w:val="0"/>
      <w:marRight w:val="0"/>
      <w:marTop w:val="0"/>
      <w:marBottom w:val="0"/>
      <w:divBdr>
        <w:top w:val="none" w:sz="0" w:space="0" w:color="auto"/>
        <w:left w:val="none" w:sz="0" w:space="0" w:color="auto"/>
        <w:bottom w:val="none" w:sz="0" w:space="0" w:color="auto"/>
        <w:right w:val="none" w:sz="0" w:space="0" w:color="auto"/>
      </w:divBdr>
    </w:div>
    <w:div w:id="1119569606">
      <w:bodyDiv w:val="1"/>
      <w:marLeft w:val="0"/>
      <w:marRight w:val="0"/>
      <w:marTop w:val="0"/>
      <w:marBottom w:val="0"/>
      <w:divBdr>
        <w:top w:val="none" w:sz="0" w:space="0" w:color="auto"/>
        <w:left w:val="none" w:sz="0" w:space="0" w:color="auto"/>
        <w:bottom w:val="none" w:sz="0" w:space="0" w:color="auto"/>
        <w:right w:val="none" w:sz="0" w:space="0" w:color="auto"/>
      </w:divBdr>
    </w:div>
    <w:div w:id="1153136110">
      <w:bodyDiv w:val="1"/>
      <w:marLeft w:val="0"/>
      <w:marRight w:val="0"/>
      <w:marTop w:val="0"/>
      <w:marBottom w:val="0"/>
      <w:divBdr>
        <w:top w:val="none" w:sz="0" w:space="0" w:color="auto"/>
        <w:left w:val="none" w:sz="0" w:space="0" w:color="auto"/>
        <w:bottom w:val="none" w:sz="0" w:space="0" w:color="auto"/>
        <w:right w:val="none" w:sz="0" w:space="0" w:color="auto"/>
      </w:divBdr>
    </w:div>
    <w:div w:id="1277445531">
      <w:bodyDiv w:val="1"/>
      <w:marLeft w:val="0"/>
      <w:marRight w:val="0"/>
      <w:marTop w:val="0"/>
      <w:marBottom w:val="0"/>
      <w:divBdr>
        <w:top w:val="none" w:sz="0" w:space="0" w:color="auto"/>
        <w:left w:val="none" w:sz="0" w:space="0" w:color="auto"/>
        <w:bottom w:val="none" w:sz="0" w:space="0" w:color="auto"/>
        <w:right w:val="none" w:sz="0" w:space="0" w:color="auto"/>
      </w:divBdr>
    </w:div>
    <w:div w:id="1317104350">
      <w:bodyDiv w:val="1"/>
      <w:marLeft w:val="0"/>
      <w:marRight w:val="0"/>
      <w:marTop w:val="0"/>
      <w:marBottom w:val="0"/>
      <w:divBdr>
        <w:top w:val="none" w:sz="0" w:space="0" w:color="auto"/>
        <w:left w:val="none" w:sz="0" w:space="0" w:color="auto"/>
        <w:bottom w:val="none" w:sz="0" w:space="0" w:color="auto"/>
        <w:right w:val="none" w:sz="0" w:space="0" w:color="auto"/>
      </w:divBdr>
    </w:div>
    <w:div w:id="1365401068">
      <w:bodyDiv w:val="1"/>
      <w:marLeft w:val="0"/>
      <w:marRight w:val="0"/>
      <w:marTop w:val="0"/>
      <w:marBottom w:val="0"/>
      <w:divBdr>
        <w:top w:val="none" w:sz="0" w:space="0" w:color="auto"/>
        <w:left w:val="none" w:sz="0" w:space="0" w:color="auto"/>
        <w:bottom w:val="none" w:sz="0" w:space="0" w:color="auto"/>
        <w:right w:val="none" w:sz="0" w:space="0" w:color="auto"/>
      </w:divBdr>
    </w:div>
    <w:div w:id="1502699983">
      <w:bodyDiv w:val="1"/>
      <w:marLeft w:val="0"/>
      <w:marRight w:val="0"/>
      <w:marTop w:val="0"/>
      <w:marBottom w:val="0"/>
      <w:divBdr>
        <w:top w:val="none" w:sz="0" w:space="0" w:color="auto"/>
        <w:left w:val="none" w:sz="0" w:space="0" w:color="auto"/>
        <w:bottom w:val="none" w:sz="0" w:space="0" w:color="auto"/>
        <w:right w:val="none" w:sz="0" w:space="0" w:color="auto"/>
      </w:divBdr>
    </w:div>
    <w:div w:id="1544365979">
      <w:bodyDiv w:val="1"/>
      <w:marLeft w:val="0"/>
      <w:marRight w:val="0"/>
      <w:marTop w:val="0"/>
      <w:marBottom w:val="0"/>
      <w:divBdr>
        <w:top w:val="none" w:sz="0" w:space="0" w:color="auto"/>
        <w:left w:val="none" w:sz="0" w:space="0" w:color="auto"/>
        <w:bottom w:val="none" w:sz="0" w:space="0" w:color="auto"/>
        <w:right w:val="none" w:sz="0" w:space="0" w:color="auto"/>
      </w:divBdr>
    </w:div>
    <w:div w:id="1548449529">
      <w:bodyDiv w:val="1"/>
      <w:marLeft w:val="0"/>
      <w:marRight w:val="0"/>
      <w:marTop w:val="0"/>
      <w:marBottom w:val="0"/>
      <w:divBdr>
        <w:top w:val="none" w:sz="0" w:space="0" w:color="auto"/>
        <w:left w:val="none" w:sz="0" w:space="0" w:color="auto"/>
        <w:bottom w:val="none" w:sz="0" w:space="0" w:color="auto"/>
        <w:right w:val="none" w:sz="0" w:space="0" w:color="auto"/>
      </w:divBdr>
    </w:div>
    <w:div w:id="1898466289">
      <w:bodyDiv w:val="1"/>
      <w:marLeft w:val="0"/>
      <w:marRight w:val="0"/>
      <w:marTop w:val="0"/>
      <w:marBottom w:val="0"/>
      <w:divBdr>
        <w:top w:val="none" w:sz="0" w:space="0" w:color="auto"/>
        <w:left w:val="none" w:sz="0" w:space="0" w:color="auto"/>
        <w:bottom w:val="none" w:sz="0" w:space="0" w:color="auto"/>
        <w:right w:val="none" w:sz="0" w:space="0" w:color="auto"/>
      </w:divBdr>
    </w:div>
    <w:div w:id="1909538240">
      <w:bodyDiv w:val="1"/>
      <w:marLeft w:val="0"/>
      <w:marRight w:val="0"/>
      <w:marTop w:val="0"/>
      <w:marBottom w:val="0"/>
      <w:divBdr>
        <w:top w:val="none" w:sz="0" w:space="0" w:color="auto"/>
        <w:left w:val="none" w:sz="0" w:space="0" w:color="auto"/>
        <w:bottom w:val="none" w:sz="0" w:space="0" w:color="auto"/>
        <w:right w:val="none" w:sz="0" w:space="0" w:color="auto"/>
      </w:divBdr>
    </w:div>
    <w:div w:id="1930502613">
      <w:bodyDiv w:val="1"/>
      <w:marLeft w:val="0"/>
      <w:marRight w:val="0"/>
      <w:marTop w:val="0"/>
      <w:marBottom w:val="0"/>
      <w:divBdr>
        <w:top w:val="none" w:sz="0" w:space="0" w:color="auto"/>
        <w:left w:val="none" w:sz="0" w:space="0" w:color="auto"/>
        <w:bottom w:val="none" w:sz="0" w:space="0" w:color="auto"/>
        <w:right w:val="none" w:sz="0" w:space="0" w:color="auto"/>
      </w:divBdr>
      <w:divsChild>
        <w:div w:id="533927066">
          <w:marLeft w:val="0"/>
          <w:marRight w:val="0"/>
          <w:marTop w:val="0"/>
          <w:marBottom w:val="0"/>
          <w:divBdr>
            <w:top w:val="none" w:sz="0" w:space="0" w:color="auto"/>
            <w:left w:val="none" w:sz="0" w:space="0" w:color="auto"/>
            <w:bottom w:val="none" w:sz="0" w:space="0" w:color="auto"/>
            <w:right w:val="none" w:sz="0" w:space="0" w:color="auto"/>
          </w:divBdr>
          <w:divsChild>
            <w:div w:id="533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5490">
      <w:bodyDiv w:val="1"/>
      <w:marLeft w:val="0"/>
      <w:marRight w:val="0"/>
      <w:marTop w:val="0"/>
      <w:marBottom w:val="0"/>
      <w:divBdr>
        <w:top w:val="none" w:sz="0" w:space="0" w:color="auto"/>
        <w:left w:val="none" w:sz="0" w:space="0" w:color="auto"/>
        <w:bottom w:val="none" w:sz="0" w:space="0" w:color="auto"/>
        <w:right w:val="none" w:sz="0" w:space="0" w:color="auto"/>
      </w:divBdr>
    </w:div>
    <w:div w:id="1967003743">
      <w:bodyDiv w:val="1"/>
      <w:marLeft w:val="0"/>
      <w:marRight w:val="0"/>
      <w:marTop w:val="0"/>
      <w:marBottom w:val="0"/>
      <w:divBdr>
        <w:top w:val="none" w:sz="0" w:space="0" w:color="auto"/>
        <w:left w:val="none" w:sz="0" w:space="0" w:color="auto"/>
        <w:bottom w:val="none" w:sz="0" w:space="0" w:color="auto"/>
        <w:right w:val="none" w:sz="0" w:space="0" w:color="auto"/>
      </w:divBdr>
    </w:div>
    <w:div w:id="1982878258">
      <w:bodyDiv w:val="1"/>
      <w:marLeft w:val="0"/>
      <w:marRight w:val="0"/>
      <w:marTop w:val="0"/>
      <w:marBottom w:val="0"/>
      <w:divBdr>
        <w:top w:val="none" w:sz="0" w:space="0" w:color="auto"/>
        <w:left w:val="none" w:sz="0" w:space="0" w:color="auto"/>
        <w:bottom w:val="none" w:sz="0" w:space="0" w:color="auto"/>
        <w:right w:val="none" w:sz="0" w:space="0" w:color="auto"/>
      </w:divBdr>
    </w:div>
    <w:div w:id="2016686981">
      <w:bodyDiv w:val="1"/>
      <w:marLeft w:val="0"/>
      <w:marRight w:val="0"/>
      <w:marTop w:val="0"/>
      <w:marBottom w:val="0"/>
      <w:divBdr>
        <w:top w:val="none" w:sz="0" w:space="0" w:color="auto"/>
        <w:left w:val="none" w:sz="0" w:space="0" w:color="auto"/>
        <w:bottom w:val="none" w:sz="0" w:space="0" w:color="auto"/>
        <w:right w:val="none" w:sz="0" w:space="0" w:color="auto"/>
      </w:divBdr>
    </w:div>
    <w:div w:id="2043240469">
      <w:bodyDiv w:val="1"/>
      <w:marLeft w:val="0"/>
      <w:marRight w:val="0"/>
      <w:marTop w:val="0"/>
      <w:marBottom w:val="0"/>
      <w:divBdr>
        <w:top w:val="none" w:sz="0" w:space="0" w:color="auto"/>
        <w:left w:val="none" w:sz="0" w:space="0" w:color="auto"/>
        <w:bottom w:val="none" w:sz="0" w:space="0" w:color="auto"/>
        <w:right w:val="none" w:sz="0" w:space="0" w:color="auto"/>
      </w:divBdr>
    </w:div>
    <w:div w:id="2107067826">
      <w:bodyDiv w:val="1"/>
      <w:marLeft w:val="0"/>
      <w:marRight w:val="0"/>
      <w:marTop w:val="0"/>
      <w:marBottom w:val="0"/>
      <w:divBdr>
        <w:top w:val="none" w:sz="0" w:space="0" w:color="auto"/>
        <w:left w:val="none" w:sz="0" w:space="0" w:color="auto"/>
        <w:bottom w:val="none" w:sz="0" w:space="0" w:color="auto"/>
        <w:right w:val="none" w:sz="0" w:space="0" w:color="auto"/>
      </w:divBdr>
    </w:div>
    <w:div w:id="21389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analysis-targeted-consultations-commissions-new-charter-strategy_en" TargetMode="External"/><Relationship Id="rId13" Type="http://schemas.openxmlformats.org/officeDocument/2006/relationships/hyperlink" Target="https://fra.europa.eu/sites/default/files/fra_uploads/fra-2018-charter-guidance_hu.pdf" TargetMode="External"/><Relationship Id="rId18" Type="http://schemas.openxmlformats.org/officeDocument/2006/relationships/hyperlink" Target="https://fra.europa.eu/en/publication/2018/challenges-facing-civil-society-organisations-working-human-rights-eu" TargetMode="External"/><Relationship Id="rId26" Type="http://schemas.openxmlformats.org/officeDocument/2006/relationships/hyperlink" Target="http://www.ejtn.eu/Exchange-Programme/" TargetMode="External"/><Relationship Id="rId3" Type="http://schemas.openxmlformats.org/officeDocument/2006/relationships/hyperlink" Target="https://ec.europa.eu/info/events/2019-conference-eu-charter-fundamental-rights-2019-nov-12_en" TargetMode="External"/><Relationship Id="rId21" Type="http://schemas.openxmlformats.org/officeDocument/2006/relationships/hyperlink" Target="https://nhri.ohchr.org/EN/AboutUs/Pages/ParisPrinciples.aspx" TargetMode="External"/><Relationship Id="rId34" Type="http://schemas.openxmlformats.org/officeDocument/2006/relationships/hyperlink" Target="https://ec.europa.eu/info/aid-development-cooperation-fundamental-rights/your-rights-eu/eu-charter-fundamental-rights/application-charter/annual-reports-application-charter_hu" TargetMode="External"/><Relationship Id="rId7" Type="http://schemas.openxmlformats.org/officeDocument/2006/relationships/hyperlink" Target="https://ec.europa.eu/info/events/2019-conference-eu-charter-fundamental-rights-2019-nov-12_en" TargetMode="External"/><Relationship Id="rId12" Type="http://schemas.openxmlformats.org/officeDocument/2006/relationships/hyperlink" Target="https://ec.europa.eu/commission/sites/beta-political/files/rp_sustainable_europe_30-01_en_web.pdf" TargetMode="External"/><Relationship Id="rId17" Type="http://schemas.openxmlformats.org/officeDocument/2006/relationships/hyperlink" Target="https://eur-lex.europa.eu/legal-content/HU/TXT/?uri=CELEX:52016XC0723(01)" TargetMode="External"/><Relationship Id="rId25" Type="http://schemas.openxmlformats.org/officeDocument/2006/relationships/hyperlink" Target="https://fra.europa.eu/sites/default/files/fra_uploads/fra-opinion-04-2018_charter-implementation.pdf" TargetMode="External"/><Relationship Id="rId33" Type="http://schemas.openxmlformats.org/officeDocument/2006/relationships/hyperlink" Target="https://data.consilium.europa.eu/doc/document/ST-12848-2020-INIT/en/pdf" TargetMode="External"/><Relationship Id="rId2" Type="http://schemas.openxmlformats.org/officeDocument/2006/relationships/hyperlink" Target="https://fra.europa.eu/en/publication/2020/fundamental-rights-report-2020" TargetMode="External"/><Relationship Id="rId16" Type="http://schemas.openxmlformats.org/officeDocument/2006/relationships/hyperlink" Target="https://eur-lex.europa.eu/legal-content/HU/TXT/?uri=COM:2018:375:FIN" TargetMode="External"/><Relationship Id="rId20" Type="http://schemas.openxmlformats.org/officeDocument/2006/relationships/hyperlink" Target="https://ganhri.org/nhri/" TargetMode="External"/><Relationship Id="rId29" Type="http://schemas.openxmlformats.org/officeDocument/2006/relationships/hyperlink" Target="https://e-justice.europa.eu/content_european_training_platform-37158-hu.do" TargetMode="External"/><Relationship Id="rId1" Type="http://schemas.openxmlformats.org/officeDocument/2006/relationships/hyperlink" Target="https://ec.europa.eu/info/aid-development-cooperation-fundamental-rights/your-rights-eu/eu-charter-fundamental-rights/application-charter/annual-reports-application-charter_hu" TargetMode="External"/><Relationship Id="rId6" Type="http://schemas.openxmlformats.org/officeDocument/2006/relationships/hyperlink" Target="https://data.consilium.europa.eu/doc/document/ST-11717-2020-REV-2/hu/pdf" TargetMode="External"/><Relationship Id="rId11" Type="http://schemas.openxmlformats.org/officeDocument/2006/relationships/hyperlink" Target="https://www.un.org/sustainabledevelopment/" TargetMode="External"/><Relationship Id="rId24" Type="http://schemas.openxmlformats.org/officeDocument/2006/relationships/hyperlink" Target="https://fra.europa.eu/hu/eu-charter" TargetMode="External"/><Relationship Id="rId32" Type="http://schemas.openxmlformats.org/officeDocument/2006/relationships/hyperlink" Target="https://ec.europa.eu/info/consultations_hu" TargetMode="External"/><Relationship Id="rId5" Type="http://schemas.openxmlformats.org/officeDocument/2006/relationships/hyperlink" Target="https://ec.europa.eu/jrc/en/publication/eur-scientific-and-technical-research-reports/technology-and-democracy" TargetMode="External"/><Relationship Id="rId15" Type="http://schemas.openxmlformats.org/officeDocument/2006/relationships/hyperlink" Target="https://fra.europa.eu/hu/databases/efris/" TargetMode="External"/><Relationship Id="rId23" Type="http://schemas.openxmlformats.org/officeDocument/2006/relationships/hyperlink" Target="http://ennhri.org/wp-content/uploads/2019/11/Implementation-of-the-EU-Charter-of-Fundamental-Rights-Activities-of-NHRIs.pdf" TargetMode="External"/><Relationship Id="rId28" Type="http://schemas.openxmlformats.org/officeDocument/2006/relationships/hyperlink" Target="https://fra.europa.eu/hu/eu-charter" TargetMode="External"/><Relationship Id="rId36" Type="http://schemas.openxmlformats.org/officeDocument/2006/relationships/hyperlink" Target="file:///\\net1.cec.eu.int\JUST\C\2\Fundamental%20Rights%20Policies\Charter%20Strategy%202020-2030\Charter%20Strategy%20Communication\ISC\Post%20ISC%20version\www.dearprogramme.eu" TargetMode="External"/><Relationship Id="rId10" Type="http://schemas.openxmlformats.org/officeDocument/2006/relationships/hyperlink" Target="https://data.consilium.europa.eu/doc/document/ST-12848-2020-INIT/en/pdf" TargetMode="External"/><Relationship Id="rId19" Type="http://schemas.openxmlformats.org/officeDocument/2006/relationships/hyperlink" Target="https://nhri.ohchr.org/EN/AboutUs/GANHRIAccreditation/General%20Observations%201/EN_GeneralObservations_Revisions_adopted_21.02.2018_vf.pdf" TargetMode="External"/><Relationship Id="rId31" Type="http://schemas.openxmlformats.org/officeDocument/2006/relationships/hyperlink" Target="https://ec.europa.eu/info/law/better-regulation/have-your-say" TargetMode="External"/><Relationship Id="rId4" Type="http://schemas.openxmlformats.org/officeDocument/2006/relationships/hyperlink" Target="https://fra.europa.eu/hu/about-fra" TargetMode="External"/><Relationship Id="rId9" Type="http://schemas.openxmlformats.org/officeDocument/2006/relationships/hyperlink" Target="https://ec.europa.eu/commission/sites/beta-political/files/social-summit-european-pillar-social-rights-booklet_hu.pdf" TargetMode="External"/><Relationship Id="rId14" Type="http://schemas.openxmlformats.org/officeDocument/2006/relationships/hyperlink" Target="https://humanrightscities.net/" TargetMode="External"/><Relationship Id="rId22" Type="http://schemas.openxmlformats.org/officeDocument/2006/relationships/hyperlink" Target="https://ec.europa.eu/info/aid-development-cooperation-fundamental-rights/your-rights-eu/eu-charter-fundamental-rights/application-charter/studies-related-charter_en" TargetMode="External"/><Relationship Id="rId27" Type="http://schemas.openxmlformats.org/officeDocument/2006/relationships/hyperlink" Target="https://fra.europa.eu/en/publication/2018/applying-charter-fundamental-rights-european-union-law-and-policymaking-national" TargetMode="External"/><Relationship Id="rId30" Type="http://schemas.openxmlformats.org/officeDocument/2006/relationships/hyperlink" Target="https://ec.europa.eu/info/publications/communication-shaping-europes-digital-future_en" TargetMode="External"/><Relationship Id="rId35" Type="http://schemas.openxmlformats.org/officeDocument/2006/relationships/hyperlink" Target="https://fra.europa.eu/en/event/2020/fundamental-rights-forum-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0E2E48B-3A8B-4C16-89F4-C225850A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5247</Words>
  <Characters>35893</Characters>
  <Application>Microsoft Office Word</Application>
  <DocSecurity>0</DocSecurity>
  <Lines>569</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2020-11-30T11:31:00Z</dcterms:created>
  <dcterms:modified xsi:type="dcterms:W3CDTF">2020-12-04T18:50:00Z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