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6A862FF2-095D-4FEA-9920-D0AE37B38DB8" style="width:450.25pt;height:380.0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MEMORANDUM TA’ SPJEGAZZJONI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KUNTEST TAL-PROPOSTA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Raġunijiet u għanijiet tal-proposta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30" w:after="0" w:line="269" w:lineRule="exact"/>
        <w:ind w:right="86"/>
        <w:rPr>
          <w:noProof/>
          <w:sz w:val="23"/>
          <w:szCs w:val="23"/>
        </w:rPr>
      </w:pPr>
      <w:r>
        <w:rPr>
          <w:noProof/>
          <w:sz w:val="23"/>
          <w:szCs w:val="23"/>
        </w:rPr>
        <w:t>Cabo Verde u l-UE ibbenefikaw minn relazzjoni mill-qrib u kostruttiva ħafna għal aktar minn 35 sena, primarjament ibbażata fuq kooperazzjoni għall-iżvilupp sinifikanti u kontinwa. Minn Novembru 2007, ir-relazzjonijiet bejn l-UE u Cabo Verde huma rregolati mis-Sħubija Speċjali bejn l-UE u Cabo Verde, li tirrappreżenta strument ambizzjuż għat-tisħiħ tar-relazzjonijiet bilaterali, u tikkostitwixxi każ uniku fost il-Grupp ta’ Stati Afrikan, tal-Karibew u tal-Paċifiku (AKP). Wieħed mill-objettivi tas-Sħubija Speċjali huwa li jissaħħu l-mobbiltà u l-kuntatti bejn il-persuni bejn iċ-ċittadini tal-UE u ta’ Cabo Verde, kif ukoll li tiżdied il-kooperazzjoni fil-ġlieda kontra l-immigrazzjoni irregolari. Fil-qafas ta’ din is-sħubija, fl-2008 Cabo Verde, bħala l-ewwel pajjiż Afrikan, ikkonkluda Sħubija għall-Mobbiltà mal-UE u, sussegwentement, Ftehim dwar l-iffaċilitar tal-ħruġ ta’ viżi għal żjarat qosra lil ċittadini tar-Repubblika ta’ Cabo Verde u tal-Unjoni Ewropea</w:t>
      </w:r>
      <w:r>
        <w:rPr>
          <w:rStyle w:val="FootnoteReference"/>
          <w:noProof/>
          <w:sz w:val="23"/>
          <w:szCs w:val="23"/>
        </w:rPr>
        <w:footnoteReference w:id="1"/>
      </w:r>
      <w:r>
        <w:rPr>
          <w:noProof/>
          <w:sz w:val="23"/>
          <w:szCs w:val="23"/>
        </w:rPr>
        <w:t>, adottat b’mod parallel ma’ Ftehim dwar ir-riammissjoni ta’ persuni li jirrisjedu mingħajr awtorizzazzjoni</w:t>
      </w:r>
      <w:r>
        <w:rPr>
          <w:rStyle w:val="FootnoteReference"/>
          <w:noProof/>
          <w:sz w:val="23"/>
          <w:szCs w:val="23"/>
        </w:rPr>
        <w:footnoteReference w:id="2"/>
      </w:r>
      <w:r>
        <w:rPr>
          <w:noProof/>
          <w:sz w:val="23"/>
          <w:szCs w:val="23"/>
        </w:rPr>
        <w:t>. Iż-żewġ Ftehimiet daħlu fis-seħħ fl-1 ta’ Diċembru 2014.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30" w:after="0" w:line="269" w:lineRule="exact"/>
        <w:ind w:right="86"/>
        <w:rPr>
          <w:noProof/>
          <w:sz w:val="23"/>
          <w:szCs w:val="23"/>
        </w:rPr>
      </w:pPr>
      <w:r>
        <w:rPr>
          <w:noProof/>
          <w:sz w:val="23"/>
          <w:szCs w:val="23"/>
        </w:rPr>
        <w:t>Wara kważi 5 snin ta’ implimentazzjoni ta’ dawn il-Ftehimiet u fid-dawl tal-bidliet li saru kemm fil-leġiżlazzjoni domestika tal-UE kif ukoll f’dik ta’ Cabo Verde relatati mal-viżi, jiġifieri r-reviżjoni tal-Kodiċi tal-UE dwar il-Viżi</w:t>
      </w:r>
      <w:r>
        <w:rPr>
          <w:rStyle w:val="FootnoteReference"/>
          <w:noProof/>
          <w:sz w:val="23"/>
          <w:szCs w:val="23"/>
        </w:rPr>
        <w:footnoteReference w:id="3"/>
      </w:r>
      <w:r>
        <w:rPr>
          <w:noProof/>
          <w:sz w:val="23"/>
          <w:szCs w:val="23"/>
        </w:rPr>
        <w:t xml:space="preserve"> u d-deċiżjoni ta’ Cabo Verde li ċ-ċittadini tal-UE jiġu eżentati mill-ħtieġa tal-viża għal soġġorni sa 30 jum</w:t>
      </w:r>
      <w:r>
        <w:rPr>
          <w:rStyle w:val="FootnoteReference"/>
          <w:noProof/>
          <w:sz w:val="23"/>
          <w:szCs w:val="23"/>
        </w:rPr>
        <w:footnoteReference w:id="4"/>
      </w:r>
      <w:r>
        <w:rPr>
          <w:noProof/>
          <w:sz w:val="23"/>
          <w:szCs w:val="23"/>
        </w:rPr>
        <w:t>, il-Kumitat Konġunt stabbilit mill-ftehim eżistenti esplora l-ħtieġa li jiġu emendati ċerti regoli stabbiliti b’dan il-mod, bil-ħsieb li jiġi adattat għaċ-ċirkostanzi li nbidlu.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30" w:after="0" w:line="269" w:lineRule="exact"/>
        <w:ind w:right="86"/>
        <w:rPr>
          <w:noProof/>
        </w:rPr>
      </w:pPr>
      <w:r>
        <w:rPr>
          <w:noProof/>
        </w:rPr>
        <w:t>Abbażi ta’ dan, fit-13 ta’ Settembru 2019, il-Kummissjoni ppreżentat Rakkomandazzjoni</w:t>
      </w:r>
      <w:r>
        <w:rPr>
          <w:rStyle w:val="FootnoteReference"/>
          <w:noProof/>
          <w:szCs w:val="23"/>
        </w:rPr>
        <w:footnoteReference w:id="5"/>
      </w:r>
      <w:r>
        <w:rPr>
          <w:rStyle w:val="FootnoteReference"/>
          <w:noProof/>
          <w:sz w:val="23"/>
          <w:szCs w:val="23"/>
        </w:rPr>
        <w:t xml:space="preserve"> </w:t>
      </w:r>
      <w:r>
        <w:rPr>
          <w:noProof/>
        </w:rPr>
        <w:t xml:space="preserve"> lill-Kunsill bil-ħsieb li jinkisbu direttivi biex jiġi nnegozjat Ftehim li jemenda l-Ftehim eżistenti dwar il-Faċilitazzjoni tal-Viża mar-Repubblika ta’ Cabo Verde.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30" w:after="0" w:line="269" w:lineRule="exact"/>
        <w:ind w:right="86"/>
        <w:rPr>
          <w:noProof/>
        </w:rPr>
      </w:pPr>
      <w:r>
        <w:rPr>
          <w:noProof/>
        </w:rPr>
        <w:t>Wara l-awtorizzazzjoni mogħtija mill-Kunsill</w:t>
      </w:r>
      <w:r>
        <w:rPr>
          <w:rStyle w:val="FootnoteReference"/>
          <w:noProof/>
          <w:szCs w:val="23"/>
        </w:rPr>
        <w:footnoteReference w:id="6"/>
      </w:r>
      <w:r>
        <w:rPr>
          <w:rStyle w:val="FootnoteReference"/>
          <w:noProof/>
          <w:sz w:val="23"/>
          <w:szCs w:val="23"/>
        </w:rPr>
        <w:t xml:space="preserve"> </w:t>
      </w:r>
      <w:r>
        <w:rPr>
          <w:noProof/>
        </w:rPr>
        <w:t xml:space="preserve"> fid-29 t’Ottubru 2019, in-negozjati mar-Repubblika ta’ Cabo Verde nfetħu formalment fi Brussell fit-28 ta’ Novembru 2019. Sar ċiklu ieħor ta’ taħditiet fit-30 ta’ Jannar 2020 fi Praia, fejn in-negozjaturi ewlenin laħqu qbil ta’ prinċipju dwar l-abbozz tat-test. In-negozjaturi ewlenin inizjalaw it-test tal-ftehim fl-24 ta’ Lulju 2020  permezz ta’ skambju ta’ posta elettronika. </w:t>
      </w:r>
    </w:p>
    <w:p>
      <w:pPr>
        <w:rPr>
          <w:noProof/>
          <w:color w:val="000000"/>
        </w:rPr>
      </w:pPr>
      <w:r>
        <w:rPr>
          <w:noProof/>
          <w:color w:val="000000"/>
        </w:rPr>
        <w:t>L-Istati Membri ġew mgħarrfa u kkonsultati b’mod regolari fl-istadji kollha tan-negozjati waqt il-Gruppi ta’ Ħidma tal-Kunsill rilevanti. L-abbozz finali tat-test tal-Ftehim kien kondiviż mal-Grupp ta’ Ħidma dwar il-Viża u ġie approvat b’mod ġenerali, permezz ta’ proċedura ta’ silenzju, fis-27 ta’ Marzu 2020.</w:t>
      </w:r>
    </w:p>
    <w:p>
      <w:pPr>
        <w:rPr>
          <w:noProof/>
          <w:color w:val="000000"/>
        </w:rPr>
      </w:pPr>
      <w:r>
        <w:rPr>
          <w:noProof/>
          <w:color w:val="000000"/>
        </w:rPr>
        <w:t>Il-proposti mehmużin jikkostitwixxu l-istrumenti legali għall-iffirmar tal-Ftehim. Il-Kunsill se jiddeċiedi b’maġġoranza kwalifikata.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 xml:space="preserve">L-GĦAN U L-KONTENUT TAL-FTEHIM </w:t>
      </w:r>
    </w:p>
    <w:p>
      <w:pPr>
        <w:pStyle w:val="Text1"/>
        <w:ind w:left="0"/>
        <w:rPr>
          <w:noProof/>
        </w:rPr>
      </w:pPr>
      <w:r>
        <w:rPr>
          <w:noProof/>
        </w:rPr>
        <w:t>Il-Ftehim bejn l-Unjoni Ewropea u r-Repubblika ta’ Cabo Verde li jemenda l-Ftehim bejn l-Unjoni Ewropea u r-Repubblika tal-Cabo Verde dwar l-iffaċilitar tal-ħruġ ta’ viżi għal żjarat qosra għal ċittadini tar-Repubblika tal-Cabo Verde u tal-Unjoni Ewropea (minn hawn ‘il quddiem: “il-Ftehim”) għandu l-għan li jiffaċilita, fuq il-bażi ta' reċiproċità, il-ħruġ ta' viżi għal soġġorn intiż ta’ mhux aktar minn 90 jum f’kull perjodu ta' 180 jum.</w:t>
      </w:r>
    </w:p>
    <w:p>
      <w:pPr>
        <w:pStyle w:val="Text1"/>
        <w:ind w:left="0"/>
        <w:rPr>
          <w:noProof/>
        </w:rPr>
      </w:pPr>
      <w:r>
        <w:rPr>
          <w:noProof/>
        </w:rPr>
        <w:t>Il-Kummissjoni tikkunsidra li ntlaħqu l-objettivi stabbiliti mill-Kunsill fid-direttivi ta’ negozjati tiegħu u li l-abbozz tal-Ftehim hu aċċettabbli għall-Unjoni.</w:t>
      </w:r>
    </w:p>
    <w:p>
      <w:pPr>
        <w:pStyle w:val="Text1"/>
        <w:ind w:left="0"/>
        <w:rPr>
          <w:noProof/>
        </w:rPr>
      </w:pPr>
      <w:r>
        <w:rPr>
          <w:noProof/>
        </w:rPr>
        <w:t>Il-kontenut finali tiegħu jista’ jitqassar kif ġej:</w:t>
      </w:r>
    </w:p>
    <w:p>
      <w:pPr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it-tariffa tal-viża għall-ipproċessar tal-applikazzjonijiet titnaqqas għal 75 % tal-ammont li għandu jiġi impost skont il-leġiżlazzjoni domestika applikabbli (jiġifieri EUR 60 għaċ-ċittadini ta’ Cabo Verde). Din it-tariffa tiġi applikata għall-applikanti kollha għal viża. Barra minn hekk, il-konjuġi, it-tfal (inklużi t-tfal adottati) taħt l-età ta’ 21-il sena jew dipendenti, u l-ġenituri ta’ ċittadini ta’ Cabo Verde li jirrisjedu legalment fit-territorju ta’ Stat Membru, jew ċittadini tal-Unjoni li jirrisjedu fl-Istat Membru taċ-ċittadinanza tagħhom huma kompletament eżentati minn dan ir-rekwiżit. Barra minn hekk, għal tfal li għandhom mill-inqas 12-il sena (iżda taħt it-18-il sena) il-ħlas ikompli jitnaqqas b’ 50 % tat-tariffa ġeneralment applikabbli (jiġifieri EUR 30 għaċ-ċittadini ta’ Cabo Verde); </w:t>
      </w:r>
    </w:p>
    <w:p>
      <w:pPr>
        <w:rPr>
          <w:noProof/>
        </w:rPr>
      </w:pPr>
      <w:r>
        <w:rPr>
          <w:noProof/>
        </w:rPr>
        <w:t>–</w:t>
      </w:r>
      <w:r>
        <w:rPr>
          <w:noProof/>
        </w:rPr>
        <w:tab/>
        <w:t>id-dokumenti dwar l-iskop tal-vjaġġ li għandhom jiġu ppreżentati ġew simplifikati għall-kategoriji li ġejjin ta' applikanti: membri ta' delegazzjonijiet uffiċjali; negozjanti; konjuġi, tfal u ġenituri ta’ ċittadini tal-Unjoni jew ċittadini ta’ Cabo Verde li jirrisjedu legalment fl-UE; tfal tal-iskola, studenti u studenti postuniversitarji; parteċipanti f’avvenimenti xjentifiċi, kulturali, sportivi u reliġjużi; ġurnalisti u ekwipaġġ li jakkumpanjahom; persuni li jivvjaġġaw għal raġunijiet mediċi. Għal dawn il-kategoriji ta’ persuni, jistgħu jintalbu biss id-dokumenti elenkati fil-ftehim biex jiġi ġġustifikat l-għan tal-vjaġġ. l-applikanti li legalment użaw viża preċedenti għal dħul multiplu valida għal mill-inqas sena huma eżentati milli jagħtu prova tal-prova tal-akkomodazzjoni.</w:t>
      </w:r>
    </w:p>
    <w:p>
      <w:pPr>
        <w:rPr>
          <w:noProof/>
        </w:rPr>
      </w:pPr>
      <w:r>
        <w:rPr>
          <w:noProof/>
        </w:rPr>
        <w:t>–</w:t>
      </w:r>
      <w:r>
        <w:rPr>
          <w:noProof/>
        </w:rPr>
        <w:tab/>
        <w:t>ir-regoli għall-ħruġ ta’ viżi għal dħul multiplu ġew emendati billi saret enfasi fuq l-użu legali preċedenti tal-viżi matul perjodi ta’ referenza partikolari minflok fuq l-iskopijiet tal-ivvjaġġar tal-applikanti: bħala regola, tinħareġ viża għal dħul multiplu ta’ 1 snin lil dawk l-applikanti li jkunu użaw legalment viża waħda fit-18-il xahar preċedenti; tinħareġ viża ta’ sentejn għal dħul multiplu lil dawk l-applikanti li jkunu użaw legalment viża għal dħul multiplu ta’ sena fit-30 xahar preċedenti; viża għal dħul multiplu ta’ bejn 3 u 5 snin tinħareġ lil dawk l-applikanti li jkunu użaw legalment viża għal dħul multiplu ta’ sentejn fit-42 xahar preċedenti.</w:t>
      </w:r>
    </w:p>
    <w:p>
      <w:pPr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id-detenturi ta’ laissez-passer validu tal-UE huma eżentati mir-rekwiżit tal-viża għal soġġorni qosra. </w:t>
      </w:r>
    </w:p>
    <w:p>
      <w:pPr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il-klawżoli finali jipprovdu l-possibbiltà għall-Partijiet li jissospendu l-ftehim, kollu jew parti minnu, għal kwalunkwe raġuni meqjusa xierqa. Dikjarazzjoni Konġunta dwar l-Artikolu 12(5) tal-Ftehim dwar ir-raġunijiet għas-sospensjoni tal-Ftehim tipprovdi lista mhux eżawrjenti ta’ raġunijiet ta’ sospensjoni, bħall-ordni pubbliku, il-protezzjoni tas-sigurtà nazzjonali jew is-saħħa pubblika, għal kunsiderazzjonijiet tad-drittijiet tal-bniedem u tad-demokrazija jew għan-nuqqas ta’ kooperazzjoni fil-qasam tar-riammissjoni;  </w:t>
      </w:r>
    </w:p>
    <w:p>
      <w:pPr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il-klawżola ġenerali tal-Ftehim hija emendata bil-ħsieb li jiġi żgurat li: il-faċilitazzjoni mogħtija liċ-ċittadini ta’ Cabo Verde tingħata liċ-ċittadini tal-Unjoni jekk ir-rekwiżit tal-viża għal soġġorni sa 30 jum jiġi impost mill-ġdid għaż-żjara tagħhom f’Cabo Verde; tal-inqas l-istess faċilitazzjoni tingħata liċ-ċittadini tal-Unjoni f’każ li japplikaw għal viża ta’ Cabo </w:t>
      </w:r>
      <w:r>
        <w:rPr>
          <w:noProof/>
        </w:rPr>
        <w:lastRenderedPageBreak/>
        <w:t>Verde għal soġġorni ta’ aktar minn 30 jum iżda mhux aktar minn 90 jum. Dikjarazzjoni Konġunta dwar ir-regoli għall-għoti ta’ viżi lil Cabo Verde liċ-ċittadini tal-Unjoni għal soġġorni ta’ aktar minn 30 jum u li ma jaqbżux id-90 jum hija mehmuża mal-Ftehim u tispeċifika li ċ-ċittadini tal-Unjoni jistgħu japplikaw lill-awtoritajiet kompetenti fit-territorju ta’ Cabo Verde għal estensjoni tas-soġġorn tagħhom;</w:t>
      </w:r>
    </w:p>
    <w:p>
      <w:pPr>
        <w:rPr>
          <w:noProof/>
        </w:rPr>
      </w:pPr>
      <w:r>
        <w:rPr>
          <w:noProof/>
        </w:rPr>
        <w:t>–</w:t>
      </w:r>
      <w:r>
        <w:rPr>
          <w:noProof/>
        </w:rPr>
        <w:tab/>
        <w:t>id-dikjarazzjoni Konġunta dwar il-kooperazzjoni dwar id-dokumenti tal-ivvjaġġar u l-iskambju regolari ta’ informazzjoni dwar is-sigurtà tad-dokumenti tal-ivvjaġġar hija emendata bil-ħsieb li tinkludi referenza għal-leġiżlazzjoni interna ta’ Cabo Verde li tintroduċi dokumenti tal-ivvjaġġar bijometriċi;</w:t>
      </w:r>
    </w:p>
    <w:p>
      <w:pPr>
        <w:pStyle w:val="Text1"/>
        <w:ind w:left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is-sitwazzjonijiet speċifiċi tad-Danimarka u l-Irlanda huma riflessi fil-preambolu u f’Dikjarazzjonijiet Konġunti mehmuża mal-Ftehim.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BAŻI ĠURIDIKA, SUSSIDJARJETÀ U PROPORZJONALITÀ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Bażi ġuridika</w:t>
      </w:r>
    </w:p>
    <w:p>
      <w:pPr>
        <w:rPr>
          <w:noProof/>
        </w:rPr>
      </w:pPr>
      <w:r>
        <w:rPr>
          <w:noProof/>
        </w:rPr>
        <w:t xml:space="preserve">Din il-proposta hija ppreżentata lill-Kunsill sabiex jawtorizza l-iffirmar tal-Ftehim. 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Il-bażi ġuridika għal din il-proposta hija l-punt (a) tal-Artikolu 77(2) tat-Trattat dwar il-Funzjonament tal-Unjoni Ewropea (it-TFUE), flimkien mal-Artikolu 218 tiegħu.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Sussidjarjetà (għall-kompetenza mhux esklussiva) </w:t>
      </w:r>
    </w:p>
    <w:p>
      <w:pPr>
        <w:rPr>
          <w:noProof/>
        </w:rPr>
      </w:pPr>
      <w:r>
        <w:rPr>
          <w:noProof/>
        </w:rPr>
        <w:t xml:space="preserve">Skont l-Artikolu 77(2)(a) TFUE, in-negozjar u l-konklużjoni ta’ ftehimiet li d-dispożizzjonijiet tagħhom jaffettwaw ir-regoli għall-ħruġ ta’ viżi ta’ Schengen għal soġġorn qasir jaqgħu taħt il-kompetenza esklużiva tal-Unjoni.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Proporzjonalità</w:t>
      </w:r>
    </w:p>
    <w:p>
      <w:pPr>
        <w:pStyle w:val="Text1"/>
        <w:ind w:left="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Il-proposta attwali ma tmurx lil hinn minn dak li hu meħtieġ biex jintlaħaq l-objettiv segwit, jiġifieri l-iffirmar ta’ ftehim internazzjonali li jiffaċilita l-ħruġ ta’ viżi liċ-ċittadini ta’ Cabo Verde u tfuq bażi ta’ reċiproċità liċ-ċittadini tal-Unjoni.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IMPLIKAZZJONIJIET BAĠITARJI</w:t>
      </w:r>
    </w:p>
    <w:p>
      <w:pPr>
        <w:pStyle w:val="Text1"/>
        <w:ind w:left="0"/>
        <w:rPr>
          <w:noProof/>
        </w:rPr>
      </w:pPr>
      <w:r>
        <w:rPr>
          <w:noProof/>
        </w:rPr>
        <w:t>Din il-proposta ma tinvolvix spejjeż addizzjonali għall-baġit tal-UE.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KONKLUŻJONI</w:t>
      </w:r>
    </w:p>
    <w:p>
      <w:pPr>
        <w:pStyle w:val="Text1"/>
        <w:ind w:left="0"/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Fid-dawl tal-kunsiderazzjonijiet ta' hawn fuq, il-Kummissjoni tipproponi li l-Kunsill jiddeċiedi li l-Ftehim jiġi ffirmat f’isem l-Unjoni u jawtorizza lill-President tal-Kunsill biex jaħtar lill-persuna/i bis-setgħa li tiffirma/jiffirmaw f’isem l-Unjoni.</w:t>
      </w: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2020/0348 (NLE)</w:t>
      </w:r>
    </w:p>
    <w:p>
      <w:pPr>
        <w:pStyle w:val="Statut"/>
        <w:rPr>
          <w:noProof/>
        </w:rPr>
      </w:pPr>
      <w:r>
        <w:rPr>
          <w:noProof/>
        </w:rPr>
        <w:t>Proposta għal</w:t>
      </w:r>
    </w:p>
    <w:p>
      <w:pPr>
        <w:pStyle w:val="Typedudocument"/>
        <w:rPr>
          <w:noProof/>
        </w:rPr>
      </w:pPr>
      <w:r>
        <w:rPr>
          <w:noProof/>
        </w:rPr>
        <w:t>DEĊIŻJONI TAL-KUNSILL</w:t>
      </w:r>
    </w:p>
    <w:p>
      <w:pPr>
        <w:pStyle w:val="Titreobjet"/>
        <w:rPr>
          <w:noProof/>
        </w:rPr>
      </w:pPr>
      <w:r>
        <w:rPr>
          <w:noProof/>
        </w:rPr>
        <w:t>dwar l-iffirmar, f’isem l-Unjoni Ewropea, tal-Ftehim bejn l-Unjoni Ewropea u r-Repubblika ta’ Cabo Verde li jemenda l-Ftehim bejn l-Unjoni Ewropea u r-Repubblika ta’ Cabo Verde dwar l-iffaċilitar tal-ħruġ ta’ viżi għal żjarat qosra għal ċittadini tar-Repubblika ta’ Cabo Verde u tal-Unjoni Ewropea</w:t>
      </w:r>
    </w:p>
    <w:p>
      <w:pPr>
        <w:pStyle w:val="Institutionquiagit"/>
        <w:rPr>
          <w:noProof/>
        </w:rPr>
      </w:pPr>
      <w:r>
        <w:rPr>
          <w:noProof/>
        </w:rPr>
        <w:t>IL-KUNSILL TAL-UNJONI EWROPEA,</w:t>
      </w:r>
    </w:p>
    <w:p>
      <w:pPr>
        <w:rPr>
          <w:noProof/>
        </w:rPr>
      </w:pPr>
      <w:r>
        <w:rPr>
          <w:noProof/>
        </w:rPr>
        <w:t>Wara li kkunsidra t-Trattat dwar il-Funzjonament tal-Unjoni Ewropea, u b’mod partikolari l-Artikolu 77(2)(a), flimkien mal-Artikolu 218(5) tiegħu,</w:t>
      </w:r>
    </w:p>
    <w:p>
      <w:pPr>
        <w:rPr>
          <w:noProof/>
        </w:rPr>
      </w:pPr>
      <w:r>
        <w:rPr>
          <w:noProof/>
        </w:rPr>
        <w:t>Wara li [kkunsidra l-proposta/kkunsidraw il-proposta] tal-Kummissjoni Ewropea,</w:t>
      </w:r>
    </w:p>
    <w:p>
      <w:pPr>
        <w:rPr>
          <w:noProof/>
        </w:rPr>
      </w:pPr>
      <w:r>
        <w:rPr>
          <w:noProof/>
        </w:rPr>
        <w:t>Billi: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 xml:space="preserve">Fid-29 ta’ Ottubru 2019, il-Kunsill awtorizza lill-Kummissjoni biex tiftaħ negozjati ma’ Cabo Verde għal Ftehim bejn l-Unjoni Ewropea u r-Repubblika ta’ Cabo Verde li jemenda l-Ftehim bejn l-Unjoni Ewropea u r-Repubblika ta’ Cabo Verde dwar l-iffaċilitar tal-ħruġ ta’ viżi għal żjarat qosra għal ċittadini tar-Repubblika tal-Cabo Verde u tal-Unjoni Ewropea (‘il-Ftehim’). In-negozjati ġew konklużi b’suċċess mill-Partijiet fit-30 ta’ Jannar 2020 u t-test ġie inizjalat permezz ta’ skambju ta’ emails fl-24 ta’ Lulju 2020. 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>Is-sħubija Speċjali bejn l-Unjoni u Cabo Verde ġiet approvata mill-Kunsill tal-Unjoni Ewropea fid-19 ta’ Novembru 2007</w:t>
      </w:r>
      <w:r>
        <w:rPr>
          <w:rStyle w:val="FootnoteReference"/>
          <w:noProof/>
          <w:szCs w:val="23"/>
        </w:rPr>
        <w:footnoteReference w:id="7"/>
      </w:r>
      <w:r>
        <w:rPr>
          <w:noProof/>
        </w:rPr>
        <w:t xml:space="preserve">. Wieħed mill-objettivi tas-Sħubija Speċjali huwa li jissaħħu l-mobbiltà u l-kuntatti bejn il-persuni bejn iċ-ċittadini tal-UE u ta’ Cabo Verde, kif ukoll li tiżdied il-kooperazzjoni fil-ġlieda kontra l-immigrazzjoni irregolari. </w:t>
      </w:r>
    </w:p>
    <w:p>
      <w:pPr>
        <w:pStyle w:val="Point0"/>
        <w:rPr>
          <w:noProof/>
        </w:rPr>
      </w:pPr>
      <w:r>
        <w:t>(3)</w:t>
      </w:r>
      <w:r>
        <w:tab/>
      </w:r>
      <w:r>
        <w:rPr>
          <w:noProof/>
        </w:rPr>
        <w:t>Fl-1 ta’ Diċembru 2014, daħal fis-seħħ il-Ftehim bejn l-Unjoni Ewropea u r-Repubblika tal-Cabo Verde dwar l-iffaċilitar tal-ħruġ ta’ viżi għal żjarat qosra għal ċittadini tar-Repubblika tal-Cabo Verde u tal-Unjoni Ewropea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Point0"/>
        <w:rPr>
          <w:noProof/>
        </w:rPr>
      </w:pPr>
      <w:r>
        <w:t>(4)</w:t>
      </w:r>
      <w:r>
        <w:tab/>
      </w:r>
      <w:r>
        <w:rPr>
          <w:noProof/>
        </w:rPr>
        <w:t>Fid-dawl tal-bidliet li nbidlu fil-leġiżlazzjoni domestika tal-Partijiet u abbażi tar-reazzjoni ipprovduta mill-Kumitat Konġunt inkarigat bil-monitoraġġ tal-implimentazzjoni tal-Ftehim imsemmi fil-paragrafu preċedenti, l-għan tal-Ftehim huwa li jaġġusta u jikkomplementa wħud mid-dispożizzjonijiet li jiffaċilitaw il-ħruġ ta’ viżi liċ-ċittadini ta’ Cabo Verde u, fuq il-bażi ta’ reċiproċità, tal-Unjoni għal soġġorn intenzjonat ta’ mhux aktar minn 90 jum għal kull perjodu ta’ 180 jum.</w:t>
      </w:r>
    </w:p>
    <w:p>
      <w:pPr>
        <w:pStyle w:val="Point0"/>
        <w:rPr>
          <w:noProof/>
        </w:rPr>
      </w:pPr>
      <w:r>
        <w:t>(5)</w:t>
      </w:r>
      <w:r>
        <w:tab/>
      </w:r>
      <w:r>
        <w:rPr>
          <w:noProof/>
        </w:rPr>
        <w:t>Din id-Deċiżjoni tikkostitwixxi żvilupp tad-dispożizzjonijiet tal-</w:t>
      </w:r>
      <w:r>
        <w:rPr>
          <w:i/>
          <w:noProof/>
        </w:rPr>
        <w:t>acquis</w:t>
      </w:r>
      <w:r>
        <w:rPr>
          <w:noProof/>
        </w:rPr>
        <w:t xml:space="preserve"> ta' Schengen li fihom l-Irlanda mhix qed tieħu sehem, f'konformità mad-Deċiżjoni tal-</w:t>
      </w:r>
      <w:r>
        <w:rPr>
          <w:noProof/>
        </w:rPr>
        <w:lastRenderedPageBreak/>
        <w:t>Kunsill 2002/192/KE</w:t>
      </w:r>
      <w:r>
        <w:rPr>
          <w:rStyle w:val="FootnoteReference"/>
          <w:noProof/>
        </w:rPr>
        <w:footnoteReference w:id="9"/>
      </w:r>
      <w:r>
        <w:rPr>
          <w:noProof/>
        </w:rPr>
        <w:t>. Għalhekk l-Irlanda mhix qed tieħu sehem fl-adozzjoni ta' din id-Deċiżjoni u mhix marbuta biha jew suġġetta għall-applikazzjoni tagħha.</w:t>
      </w:r>
    </w:p>
    <w:p>
      <w:pPr>
        <w:pStyle w:val="Point0"/>
        <w:rPr>
          <w:noProof/>
        </w:rPr>
      </w:pPr>
      <w:r>
        <w:t>(6)</w:t>
      </w:r>
      <w:r>
        <w:tab/>
      </w:r>
      <w:r>
        <w:rPr>
          <w:noProof/>
        </w:rPr>
        <w:t>F'konformità mal-Artikoli 1 u 2 tal-Protokoll Nru 22 dwar il-pożizzjoni tad-Danimarka, anness mat-Trattat dwar l-Unjoni Ewropea u mat-Trattat dwar il-Funzjonament tal-Unjoni Ewropea, id-Danimarka mhijiex qed tieħu sehem fl-adozzjoni ta' din id-Deċiżjoni u mhijiex marbuta biha jew suġġetta għall-applikazzjoni tagħha.</w:t>
      </w:r>
    </w:p>
    <w:p>
      <w:pPr>
        <w:pStyle w:val="Point0"/>
        <w:rPr>
          <w:noProof/>
        </w:rPr>
      </w:pPr>
      <w:r>
        <w:t>(7)</w:t>
      </w:r>
      <w:r>
        <w:tab/>
      </w:r>
      <w:r>
        <w:rPr>
          <w:noProof/>
        </w:rPr>
        <w:t>Għaldaqstant, il-Ftehim jenħtieġ li jiġi ffirmat f’isem l-Unjoni, sakemm jiġi konkluż f’data aktar tard filwaqt li jiġu approvati d-Dikjarazzjonijiet Konġunti mehmuża mal-Ftehim,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 xml:space="preserve">ADOTTA DIN ID-DEĊIŻJONI: </w:t>
      </w:r>
    </w:p>
    <w:p>
      <w:pPr>
        <w:pStyle w:val="Titrearticle"/>
        <w:rPr>
          <w:noProof/>
        </w:rPr>
      </w:pPr>
      <w:r>
        <w:rPr>
          <w:noProof/>
        </w:rPr>
        <w:t>Artikolu 1</w:t>
      </w:r>
    </w:p>
    <w:p>
      <w:pPr>
        <w:rPr>
          <w:noProof/>
        </w:rPr>
      </w:pPr>
      <w:r>
        <w:rPr>
          <w:noProof/>
        </w:rPr>
        <w:t>L-iffirmar tal-Ftehim bejn l-Unjoni Ewropea u r-Repubblika ta’ Cabo Verde li jemenda l-Ftehim bejn l-Unjoni Ewropea u r-Repubblika ta’ Cabo Verde dwar l-iffaċilitar tal-ħruġ ta’ viżi għal żjarat qosra għal ċittadini tar-Repubblika ta’ Cabo Verde u tal-Unjoni Ewropea (‘il-Ftehim’) għalhekk huwa approvat f’isem l-Unjoni, soġġett għall-konklużjoni tal-Ftehim imsemmi.</w:t>
      </w:r>
    </w:p>
    <w:p>
      <w:pPr>
        <w:rPr>
          <w:noProof/>
        </w:rPr>
      </w:pPr>
      <w:r>
        <w:rPr>
          <w:noProof/>
        </w:rPr>
        <w:t>It-test tal-Ftehim li għandu jiġi ffirmat huwa mehmuż ma’ din id-Deċiżjoni.</w:t>
      </w:r>
    </w:p>
    <w:p>
      <w:pPr>
        <w:rPr>
          <w:noProof/>
        </w:rPr>
      </w:pPr>
    </w:p>
    <w:p>
      <w:pPr>
        <w:pStyle w:val="Titrearticle"/>
        <w:keepNext w:val="0"/>
        <w:rPr>
          <w:noProof/>
        </w:rPr>
      </w:pPr>
      <w:r>
        <w:rPr>
          <w:noProof/>
        </w:rPr>
        <w:t>Artikolu 2</w:t>
      </w:r>
    </w:p>
    <w:p>
      <w:pPr>
        <w:rPr>
          <w:noProof/>
        </w:rPr>
      </w:pPr>
      <w:r>
        <w:rPr>
          <w:noProof/>
        </w:rPr>
        <w:t xml:space="preserve">Id-Dikjarazzjonijiet Konġunti annessi ma' dan il-Ftehim għandhom jiġu approvati f'isem l-Unjoni. </w:t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i/>
          <w:noProof/>
        </w:rPr>
        <w:t>Artikolu 3</w:t>
      </w:r>
    </w:p>
    <w:p>
      <w:pPr>
        <w:rPr>
          <w:i/>
          <w:noProof/>
        </w:rPr>
      </w:pPr>
      <w:r>
        <w:rPr>
          <w:noProof/>
        </w:rPr>
        <w:t>Is-Segretarjat Ġenerali tal-Kunsill għandu jistabbilixxi l-istrument tas-setgħat sħaħ għall-iffirmar tal-Ftehim, suġġett għall-konklużjoni tal-Ftehim, għall-persuna(i) indikata(i) min-negozjatur tal-Ftehim.</w:t>
      </w:r>
    </w:p>
    <w:p>
      <w:pPr>
        <w:pStyle w:val="Titrearticle"/>
        <w:rPr>
          <w:noProof/>
        </w:rPr>
      </w:pPr>
      <w:r>
        <w:rPr>
          <w:noProof/>
        </w:rPr>
        <w:t>Artikolu 4</w:t>
      </w:r>
    </w:p>
    <w:p>
      <w:pPr>
        <w:keepLines/>
        <w:rPr>
          <w:noProof/>
        </w:rPr>
      </w:pPr>
      <w:r>
        <w:rPr>
          <w:noProof/>
        </w:rPr>
        <w:t>Din id-Deċiżjoni għandha tidħol fis-seħħ fil-jum wara dak tal-adozzjoni tagħha.</w:t>
      </w:r>
    </w:p>
    <w:p>
      <w:pPr>
        <w:pStyle w:val="Fait"/>
        <w:rPr>
          <w:noProof/>
        </w:rPr>
      </w:pPr>
      <w:r>
        <w:t>Magħmul fi Brussell,</w:t>
      </w:r>
    </w:p>
    <w:p>
      <w:pPr>
        <w:pStyle w:val="Institutionquisigne"/>
        <w:rPr>
          <w:noProof/>
        </w:rPr>
      </w:pPr>
      <w:r>
        <w:rPr>
          <w:noProof/>
        </w:rPr>
        <w:tab/>
        <w:t>Għall-Kunsill</w:t>
      </w:r>
    </w:p>
    <w:p>
      <w:pPr>
        <w:pStyle w:val="Personnequisigne"/>
        <w:rPr>
          <w:noProof/>
        </w:rPr>
      </w:pPr>
      <w:r>
        <w:rPr>
          <w:noProof/>
        </w:rPr>
        <w:tab/>
        <w:t>Il-President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ĠU L 282, 24.10.2013, p. 3-12.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ĠU L 282, 24.10.2013, p. 15.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Ir-Regolament (UE) 2019/1155 tal-Parlament Ewropew u tal-Kunsill tal-20 ta’ Ġunju 2019 li jemenda r-Regolament (KE) Nru 810/2009 li jistabbilixxi Kodiċi Komunitarju dwar il-Viżi (Kodiċi dwar il-Viżi). ĠU L 188, 12.7.2019, p. 25–54.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Bullettin Uffiċjali tar-Repubblika ta’ Cabo Verde I.54, 13.8.2018, p. 1350.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COM(2019) 417 final.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Ares(2019)6870996.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Konklużjonijiet tal-Kunsill u tar-rappreżentanti tal-Gvernijiet tal-Istati Membri mlaqqgħin fil-Kunsill dwar il-Futur tar-relazzjonijiet bejn l-Unjoni Ewropea u r-Repubblika ta’ Cabo Verde (19 ta’ Novembru 2007); Ref. Dok. 15113/07.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ĠU L 282, 24.10.2013, p. 3.</w:t>
      </w:r>
    </w:p>
  </w:footnote>
  <w:footnote w:id="9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  <w:t>Deċiżjoni tal-Kunsill 2002/192/KE tat-28 ta' Frar 2002 rigward it-talba tal-Irlanda biex tieħu sehem f'xi dispożizzjonijiet tal-acquis ta' Schengen (ĠU L 64, 7.3.2002, p. 20).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B5C3C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F7EFB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9E49F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C87A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C5EAA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61E3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BC66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5580F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0315490"/>
    <w:multiLevelType w:val="singleLevel"/>
    <w:tmpl w:val="1F86C700"/>
    <w:name w:val="0,3338543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2-02 09:59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A862FF2-095D-4FEA-9920-D0AE37B38DB8"/>
    <w:docVar w:name="LW_COVERPAGE_TYPE" w:val="1"/>
    <w:docVar w:name="LW_CROSSREFERENCE" w:val="&lt;UNUSED&gt;"/>
    <w:docVar w:name="LW_DocType" w:val="COM"/>
    <w:docVar w:name="LW_EMISSION" w:val="9.12.2020"/>
    <w:docVar w:name="LW_EMISSION_ISODATE" w:val="2020-12-09"/>
    <w:docVar w:name="LW_EMISSION_LOCATION" w:val="BRX"/>
    <w:docVar w:name="LW_EMISSION_PREFIX" w:val="Brussell, "/>
    <w:docVar w:name="LW_EMISSION_SUFFIX" w:val=" 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48"/>
    <w:docVar w:name="LW_REF.II.NEW.CP_YEAR" w:val="2020"/>
    <w:docVar w:name="LW_REF.INST.NEW" w:val="COM"/>
    <w:docVar w:name="LW_REF.INST.NEW_ADOPTED" w:val="final"/>
    <w:docVar w:name="LW_REF.INST.NEW_TEXT" w:val="(2020) 7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g\u295?al"/>
    <w:docVar w:name="LW_SUPERTITRE" w:val="&lt;UNUSED&gt;"/>
    <w:docVar w:name="LW_TITRE.OBJ.CP" w:val="dwar l-iffirmar, f\u8217?isem l-Unjoni Ewropea, tal-Ftehim bejn l-Unjoni Ewropea u r-Repubblika ta\u8217? Cabo Verde li jemenda l-Ftehim bejn l-Unjoni Ewropea u r-Repubblika ta\u8217? Cabo Verde dwar l-iffa\u267?ilitar tal-\u295?ru\u289? ta\u8217? vi\u380?i g\u295?al \u380?jarat qosra g\u295?al \u267?ittadini tar-Repubblika ta\u8217? Cabo Verde u tal-Unjoni Ewropea"/>
    <w:docVar w:name="LW_TYPE.DOC.CP" w:val="DE\u266?I\u379?JONI TAL-KUNSIL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ListDash">
    <w:name w:val="List Dash"/>
    <w:basedOn w:val="Normal"/>
    <w:pPr>
      <w:numPr>
        <w:numId w:val="2"/>
      </w:numPr>
    </w:pPr>
    <w:rPr>
      <w:rFonts w:eastAsia="Times New Roman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ListDash">
    <w:name w:val="List Dash"/>
    <w:basedOn w:val="Normal"/>
    <w:pPr>
      <w:numPr>
        <w:numId w:val="2"/>
      </w:numPr>
    </w:pPr>
    <w:rPr>
      <w:rFonts w:eastAsia="Times New Roman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143052-D30A-486B-BAFC-63ADD639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1637</Words>
  <Characters>11313</Characters>
  <Application>Microsoft Office Word</Application>
  <DocSecurity>0</DocSecurity>
  <Lines>185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cp:lastPrinted>2019-06-14T10:20:00Z</cp:lastPrinted>
  <dcterms:created xsi:type="dcterms:W3CDTF">2020-11-26T15:47:00Z</dcterms:created>
  <dcterms:modified xsi:type="dcterms:W3CDTF">2020-12-02T08:59:00Z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