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D90F1DF-7C1C-4AF9-B838-4A838EE99C2D" style="width:451.05pt;height:38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b w:val="0"/>
          <w:noProof/>
        </w:rPr>
      </w:pPr>
      <w:bookmarkStart w:id="0" w:name="_GoBack"/>
      <w:bookmarkEnd w:id="0"/>
      <w:r>
        <w:rPr>
          <w:b w:val="0"/>
          <w:noProof/>
        </w:rPr>
        <w:lastRenderedPageBreak/>
        <w:t xml:space="preserve">ANNEX </w:t>
      </w:r>
    </w:p>
    <w:p>
      <w:pPr>
        <w:jc w:val="center"/>
        <w:rPr>
          <w:noProof/>
          <w:u w:val="single"/>
        </w:rPr>
      </w:pPr>
      <w:r>
        <w:rPr>
          <w:noProof/>
          <w:u w:val="single"/>
        </w:rPr>
        <w:t xml:space="preserve">Sectors, subsectors and types of entities </w:t>
      </w:r>
    </w:p>
    <w:p>
      <w:pPr>
        <w:rPr>
          <w:noProof/>
        </w:rPr>
      </w:pPr>
    </w:p>
    <w:tbl>
      <w:tblPr>
        <w:tblStyle w:val="TableGrid"/>
        <w:tblW w:w="0" w:type="auto"/>
        <w:tblLook w:val="04A0" w:firstRow="1" w:lastRow="0" w:firstColumn="1" w:lastColumn="0" w:noHBand="0" w:noVBand="1"/>
      </w:tblPr>
      <w:tblGrid>
        <w:gridCol w:w="2518"/>
        <w:gridCol w:w="2693"/>
        <w:gridCol w:w="4078"/>
      </w:tblGrid>
      <w:tr>
        <w:tc>
          <w:tcPr>
            <w:tcW w:w="2518" w:type="dxa"/>
          </w:tcPr>
          <w:p>
            <w:pPr>
              <w:rPr>
                <w:noProof/>
                <w:lang w:val="fr-FR" w:eastAsia="en-GB"/>
              </w:rPr>
            </w:pPr>
            <w:r>
              <w:rPr>
                <w:noProof/>
                <w:lang w:val="fr-FR" w:eastAsia="en-GB"/>
              </w:rPr>
              <w:t>Sector</w:t>
            </w:r>
          </w:p>
        </w:tc>
        <w:tc>
          <w:tcPr>
            <w:tcW w:w="2693" w:type="dxa"/>
          </w:tcPr>
          <w:p>
            <w:pPr>
              <w:rPr>
                <w:noProof/>
                <w:lang w:val="fr-FR" w:eastAsia="en-GB"/>
              </w:rPr>
            </w:pPr>
            <w:r>
              <w:rPr>
                <w:noProof/>
                <w:lang w:val="fr-FR" w:eastAsia="en-GB"/>
              </w:rPr>
              <w:t>Subsector</w:t>
            </w:r>
          </w:p>
        </w:tc>
        <w:tc>
          <w:tcPr>
            <w:tcW w:w="4078" w:type="dxa"/>
          </w:tcPr>
          <w:p>
            <w:pPr>
              <w:rPr>
                <w:noProof/>
                <w:lang w:val="fr-FR" w:eastAsia="en-GB"/>
              </w:rPr>
            </w:pPr>
            <w:r>
              <w:rPr>
                <w:noProof/>
                <w:lang w:val="fr-FR" w:eastAsia="en-GB"/>
              </w:rPr>
              <w:t>Type of entity</w:t>
            </w:r>
          </w:p>
        </w:tc>
      </w:tr>
      <w:tr>
        <w:trPr>
          <w:trHeight w:val="69"/>
        </w:trPr>
        <w:tc>
          <w:tcPr>
            <w:tcW w:w="2518" w:type="dxa"/>
            <w:vMerge w:val="restart"/>
          </w:tcPr>
          <w:p>
            <w:pPr>
              <w:rPr>
                <w:noProof/>
                <w:lang w:val="fr-FR" w:eastAsia="en-GB"/>
              </w:rPr>
            </w:pPr>
            <w:r>
              <w:rPr>
                <w:rFonts w:eastAsiaTheme="minorEastAsia"/>
                <w:noProof/>
                <w:color w:val="000000" w:themeColor="text1"/>
                <w:kern w:val="24"/>
                <w:szCs w:val="24"/>
                <w:lang w:val="fr-FR" w:eastAsia="en-GB"/>
              </w:rPr>
              <w:t>1. Energy</w:t>
            </w:r>
          </w:p>
        </w:tc>
        <w:tc>
          <w:tcPr>
            <w:tcW w:w="2693" w:type="dxa"/>
            <w:vMerge w:val="restart"/>
          </w:tcPr>
          <w:p>
            <w:pPr>
              <w:rPr>
                <w:rFonts w:eastAsiaTheme="minorEastAsia"/>
                <w:noProof/>
                <w:color w:val="000000" w:themeColor="text1"/>
                <w:kern w:val="24"/>
                <w:szCs w:val="24"/>
                <w:lang w:eastAsia="en-GB"/>
              </w:rPr>
            </w:pPr>
            <w:r>
              <w:rPr>
                <w:rFonts w:eastAsiaTheme="minorEastAsia"/>
                <w:noProof/>
                <w:color w:val="000000" w:themeColor="text1"/>
                <w:kern w:val="24"/>
                <w:szCs w:val="24"/>
                <w:lang w:eastAsia="en-GB"/>
              </w:rPr>
              <w:t>(a) Electricity</w:t>
            </w: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p>
            <w:pPr>
              <w:rPr>
                <w:rFonts w:eastAsiaTheme="minorEastAsia"/>
                <w:noProof/>
                <w:color w:val="000000" w:themeColor="text1"/>
                <w:kern w:val="24"/>
                <w:szCs w:val="24"/>
                <w:lang w:val="en-IE" w:eastAsia="en-GB"/>
              </w:rPr>
            </w:pPr>
          </w:p>
          <w:p>
            <w:pPr>
              <w:rPr>
                <w:rFonts w:eastAsiaTheme="minorEastAsia"/>
                <w:noProof/>
                <w:color w:val="000000" w:themeColor="text1"/>
                <w:kern w:val="24"/>
                <w:szCs w:val="24"/>
                <w:lang w:val="en-IE" w:eastAsia="en-GB"/>
              </w:rPr>
            </w:pPr>
          </w:p>
          <w:p>
            <w:pPr>
              <w:rPr>
                <w:rFonts w:eastAsiaTheme="minorEastAsia"/>
                <w:noProof/>
                <w:color w:val="000000" w:themeColor="text1"/>
                <w:kern w:val="24"/>
                <w:szCs w:val="24"/>
                <w:lang w:val="en-IE" w:eastAsia="en-GB"/>
              </w:rPr>
            </w:pPr>
          </w:p>
          <w:p>
            <w:pPr>
              <w:rPr>
                <w:noProof/>
                <w:lang w:eastAsia="en-GB"/>
              </w:rPr>
            </w:pPr>
          </w:p>
        </w:tc>
        <w:tc>
          <w:tcPr>
            <w:tcW w:w="4078" w:type="dxa"/>
          </w:tcPr>
          <w:p>
            <w:pPr>
              <w:rPr>
                <w:noProof/>
                <w:lang w:eastAsia="en-GB"/>
              </w:rPr>
            </w:pPr>
            <w:r>
              <w:rPr>
                <w:noProof/>
                <w:lang w:val="en-IE" w:eastAsia="en-GB"/>
              </w:rPr>
              <w:t>—</w:t>
            </w:r>
            <w:r>
              <w:rPr>
                <w:noProof/>
                <w:lang w:val="en-IE" w:eastAsia="en-GB"/>
              </w:rPr>
              <w:tab/>
              <w:t>Electricity undertakings referred to in point (57) of Article 2 of Directive (EU) 2019/944</w:t>
            </w:r>
            <w:r>
              <w:rPr>
                <w:rStyle w:val="FootnoteReference"/>
                <w:noProof/>
                <w:lang w:val="en-IE" w:eastAsia="en-GB"/>
              </w:rPr>
              <w:footnoteReference w:id="2"/>
            </w:r>
            <w:r>
              <w:rPr>
                <w:noProof/>
                <w:lang w:val="en-IE" w:eastAsia="en-GB"/>
              </w:rPr>
              <w:t xml:space="preserve">, which carry out the function of ‘supply’ referred to in point (12) of Article 2 of that Directive </w:t>
            </w:r>
          </w:p>
        </w:tc>
      </w:tr>
      <w:tr>
        <w:trPr>
          <w:trHeight w:val="67"/>
        </w:trPr>
        <w:tc>
          <w:tcPr>
            <w:tcW w:w="2518" w:type="dxa"/>
            <w:vMerge/>
          </w:tcPr>
          <w:p>
            <w:pPr>
              <w:rPr>
                <w:rFonts w:eastAsiaTheme="minorEastAsia"/>
                <w:noProof/>
                <w:color w:val="000000" w:themeColor="text1"/>
                <w:kern w:val="24"/>
                <w:szCs w:val="24"/>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Distribution system operators referred to in point (29) of Article 2 of Directive (EU) 2019/944</w:t>
            </w:r>
          </w:p>
        </w:tc>
      </w:tr>
      <w:tr>
        <w:trPr>
          <w:trHeight w:val="67"/>
        </w:trPr>
        <w:tc>
          <w:tcPr>
            <w:tcW w:w="2518" w:type="dxa"/>
            <w:vMerge/>
          </w:tcPr>
          <w:p>
            <w:pPr>
              <w:rPr>
                <w:rFonts w:eastAsiaTheme="minorEastAsia"/>
                <w:noProof/>
                <w:color w:val="000000" w:themeColor="text1"/>
                <w:kern w:val="24"/>
                <w:szCs w:val="24"/>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Transmission system operators referred to in point (35) of Article 2 of Directive (EU) 2019/944</w:t>
            </w:r>
          </w:p>
        </w:tc>
      </w:tr>
      <w:tr>
        <w:trPr>
          <w:trHeight w:val="67"/>
        </w:trPr>
        <w:tc>
          <w:tcPr>
            <w:tcW w:w="2518" w:type="dxa"/>
            <w:vMerge/>
          </w:tcPr>
          <w:p>
            <w:pPr>
              <w:rPr>
                <w:rFonts w:eastAsiaTheme="minorEastAsia"/>
                <w:noProof/>
                <w:color w:val="000000" w:themeColor="text1"/>
                <w:kern w:val="24"/>
                <w:szCs w:val="24"/>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Producers referred to in point (38) of Article 2 of Directive (EU) 2019/944</w:t>
            </w:r>
          </w:p>
        </w:tc>
      </w:tr>
      <w:tr>
        <w:trPr>
          <w:trHeight w:val="67"/>
        </w:trPr>
        <w:tc>
          <w:tcPr>
            <w:tcW w:w="2518" w:type="dxa"/>
            <w:vMerge/>
          </w:tcPr>
          <w:p>
            <w:pPr>
              <w:rPr>
                <w:rFonts w:eastAsiaTheme="minorEastAsia"/>
                <w:noProof/>
                <w:color w:val="000000" w:themeColor="text1"/>
                <w:kern w:val="24"/>
                <w:szCs w:val="24"/>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eastAsia="en-GB"/>
              </w:rPr>
            </w:pPr>
            <w:r>
              <w:rPr>
                <w:noProof/>
                <w:lang w:val="en-IE" w:eastAsia="en-GB"/>
              </w:rPr>
              <w:t xml:space="preserve">— </w:t>
            </w:r>
            <w:r>
              <w:rPr>
                <w:noProof/>
                <w:lang w:val="en-IE"/>
              </w:rPr>
              <w:t xml:space="preserve"> N</w:t>
            </w:r>
            <w:r>
              <w:rPr>
                <w:noProof/>
                <w:lang w:val="en-US"/>
              </w:rPr>
              <w:t>ominated electricity market operators referred to in point 8 of Article 2 of Regulation (EU) 2019/943</w:t>
            </w:r>
            <w:r>
              <w:rPr>
                <w:rStyle w:val="FootnoteReference"/>
                <w:noProof/>
                <w:lang w:val="en-US"/>
              </w:rPr>
              <w:footnoteReference w:id="3"/>
            </w:r>
          </w:p>
        </w:tc>
      </w:tr>
      <w:tr>
        <w:trPr>
          <w:trHeight w:val="67"/>
        </w:trPr>
        <w:tc>
          <w:tcPr>
            <w:tcW w:w="2518" w:type="dxa"/>
            <w:vMerge/>
          </w:tcPr>
          <w:p>
            <w:pPr>
              <w:rPr>
                <w:rFonts w:eastAsiaTheme="minorEastAsia"/>
                <w:noProof/>
                <w:color w:val="000000" w:themeColor="text1"/>
                <w:kern w:val="24"/>
                <w:szCs w:val="24"/>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 xml:space="preserve">— </w:t>
            </w:r>
            <w:r>
              <w:rPr>
                <w:noProof/>
                <w:lang w:val="en-IE"/>
              </w:rPr>
              <w:t xml:space="preserve"> </w:t>
            </w:r>
            <w:r>
              <w:rPr>
                <w:noProof/>
                <w:szCs w:val="24"/>
              </w:rPr>
              <w:t>Electricity market participants referred to in point (25) of Article 2 of Regulation (EU) 2019/943 providing aggregation, demand response or energy storage services referred to in points (18), (20) and (59) of Article 2 of Directive (EU) 2019/944</w:t>
            </w:r>
          </w:p>
        </w:tc>
      </w:tr>
      <w:tr>
        <w:trPr>
          <w:trHeight w:val="67"/>
        </w:trPr>
        <w:tc>
          <w:tcPr>
            <w:tcW w:w="2518" w:type="dxa"/>
            <w:vMerge/>
          </w:tcPr>
          <w:p>
            <w:pPr>
              <w:rPr>
                <w:rFonts w:eastAsiaTheme="minorEastAsia"/>
                <w:noProof/>
                <w:color w:val="000000" w:themeColor="text1"/>
                <w:kern w:val="24"/>
                <w:szCs w:val="24"/>
                <w:lang w:val="en-IE" w:eastAsia="en-GB"/>
              </w:rPr>
            </w:pPr>
          </w:p>
        </w:tc>
        <w:tc>
          <w:tcPr>
            <w:tcW w:w="2693" w:type="dxa"/>
          </w:tcPr>
          <w:p>
            <w:pPr>
              <w:rPr>
                <w:rFonts w:eastAsiaTheme="minorEastAsia"/>
                <w:noProof/>
                <w:color w:val="000000" w:themeColor="text1"/>
                <w:kern w:val="24"/>
                <w:szCs w:val="24"/>
                <w:lang w:val="en-IE" w:eastAsia="en-GB"/>
              </w:rPr>
            </w:pPr>
            <w:r>
              <w:rPr>
                <w:rFonts w:eastAsiaTheme="minorEastAsia"/>
                <w:noProof/>
                <w:color w:val="000000" w:themeColor="text1"/>
                <w:kern w:val="24"/>
                <w:szCs w:val="24"/>
                <w:lang w:val="en-IE" w:eastAsia="en-GB"/>
              </w:rPr>
              <w:t>(b) District heating and cooling</w:t>
            </w:r>
          </w:p>
        </w:tc>
        <w:tc>
          <w:tcPr>
            <w:tcW w:w="4078" w:type="dxa"/>
          </w:tcPr>
          <w:p>
            <w:pPr>
              <w:rPr>
                <w:noProof/>
                <w:lang w:val="en-IE" w:eastAsia="en-GB"/>
              </w:rPr>
            </w:pPr>
            <w:r>
              <w:rPr>
                <w:noProof/>
                <w:lang w:val="en-IE" w:eastAsia="en-GB"/>
              </w:rPr>
              <w:t>—</w:t>
            </w:r>
            <w:r>
              <w:rPr>
                <w:noProof/>
                <w:lang w:val="en-IE" w:eastAsia="en-GB"/>
              </w:rPr>
              <w:tab/>
            </w:r>
            <w:r>
              <w:rPr>
                <w:noProof/>
                <w:lang w:val="en-US" w:eastAsia="en-GB"/>
              </w:rPr>
              <w:t>District heating and cooling referred to in point (19) of Article 2 of the Directive (EU) 2018/2001</w:t>
            </w:r>
            <w:r>
              <w:rPr>
                <w:rStyle w:val="FootnoteReference"/>
                <w:noProof/>
                <w:lang w:val="en-US" w:eastAsia="en-GB"/>
              </w:rPr>
              <w:footnoteReference w:id="4"/>
            </w:r>
            <w:r>
              <w:rPr>
                <w:noProof/>
                <w:lang w:val="en-US" w:eastAsia="en-GB"/>
              </w:rPr>
              <w:t xml:space="preserve"> on the promotion of the use of energy from renewable sources</w:t>
            </w:r>
          </w:p>
        </w:tc>
      </w:tr>
      <w:tr>
        <w:trPr>
          <w:trHeight w:val="169"/>
        </w:trPr>
        <w:tc>
          <w:tcPr>
            <w:tcW w:w="2518" w:type="dxa"/>
            <w:vMerge/>
          </w:tcPr>
          <w:p>
            <w:pPr>
              <w:rPr>
                <w:noProof/>
                <w:lang w:val="en-IE" w:eastAsia="en-GB"/>
              </w:rPr>
            </w:pPr>
          </w:p>
        </w:tc>
        <w:tc>
          <w:tcPr>
            <w:tcW w:w="2693" w:type="dxa"/>
            <w:vMerge w:val="restart"/>
          </w:tcPr>
          <w:p>
            <w:pPr>
              <w:rPr>
                <w:noProof/>
                <w:lang w:val="fr-FR" w:eastAsia="en-GB"/>
              </w:rPr>
            </w:pPr>
            <w:r>
              <w:rPr>
                <w:rFonts w:eastAsiaTheme="minorEastAsia"/>
                <w:noProof/>
                <w:color w:val="000000" w:themeColor="text1"/>
                <w:kern w:val="24"/>
                <w:szCs w:val="24"/>
                <w:lang w:val="fr-FR" w:eastAsia="en-GB"/>
              </w:rPr>
              <w:t>(c) Oil</w:t>
            </w:r>
          </w:p>
        </w:tc>
        <w:tc>
          <w:tcPr>
            <w:tcW w:w="4078" w:type="dxa"/>
          </w:tcPr>
          <w:p>
            <w:pPr>
              <w:rPr>
                <w:noProof/>
                <w:lang w:val="en-IE" w:eastAsia="en-GB"/>
              </w:rPr>
            </w:pPr>
            <w:r>
              <w:rPr>
                <w:noProof/>
                <w:lang w:val="en-IE" w:eastAsia="en-GB"/>
              </w:rPr>
              <w:t>—</w:t>
            </w:r>
            <w:r>
              <w:rPr>
                <w:noProof/>
                <w:lang w:val="en-IE" w:eastAsia="en-GB"/>
              </w:rPr>
              <w:tab/>
              <w:t>Operators of oil transmission pipelines</w:t>
            </w:r>
          </w:p>
        </w:tc>
      </w:tr>
      <w:tr>
        <w:trPr>
          <w:trHeight w:val="16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Operators of oil production, refining and treatment facilities, storage and transmission</w:t>
            </w:r>
          </w:p>
        </w:tc>
      </w:tr>
      <w:tr>
        <w:trPr>
          <w:trHeight w:val="168"/>
        </w:trPr>
        <w:tc>
          <w:tcPr>
            <w:tcW w:w="2518" w:type="dxa"/>
            <w:vMerge/>
          </w:tcPr>
          <w:p>
            <w:pPr>
              <w:rPr>
                <w:noProof/>
                <w:lang w:val="en-IE" w:eastAsia="en-GB"/>
              </w:rPr>
            </w:pPr>
          </w:p>
        </w:tc>
        <w:tc>
          <w:tcPr>
            <w:tcW w:w="2693" w:type="dxa"/>
          </w:tcPr>
          <w:p>
            <w:pPr>
              <w:rPr>
                <w:rFonts w:eastAsiaTheme="minorEastAsia"/>
                <w:noProof/>
                <w:color w:val="000000" w:themeColor="text1"/>
                <w:kern w:val="24"/>
                <w:szCs w:val="24"/>
                <w:lang w:val="en-IE" w:eastAsia="en-GB"/>
              </w:rPr>
            </w:pPr>
          </w:p>
        </w:tc>
        <w:tc>
          <w:tcPr>
            <w:tcW w:w="4078" w:type="dxa"/>
          </w:tcPr>
          <w:p>
            <w:pPr>
              <w:rPr>
                <w:noProof/>
                <w:lang w:eastAsia="en-GB"/>
              </w:rPr>
            </w:pPr>
            <w:r>
              <w:rPr>
                <w:noProof/>
                <w:lang w:val="en-IE" w:eastAsia="en-GB"/>
              </w:rPr>
              <w:t>—</w:t>
            </w:r>
            <w:r>
              <w:rPr>
                <w:noProof/>
                <w:lang w:val="en-IE" w:eastAsia="en-GB"/>
              </w:rPr>
              <w:tab/>
            </w:r>
            <w:r>
              <w:rPr>
                <w:noProof/>
              </w:rPr>
              <w:t>Central oil stockholding entities referred to in  point (f) of Article 2 of Council Directive 2009/119/EC</w:t>
            </w:r>
            <w:r>
              <w:rPr>
                <w:rStyle w:val="FootnoteReference"/>
                <w:noProof/>
              </w:rPr>
              <w:footnoteReference w:id="5"/>
            </w:r>
          </w:p>
        </w:tc>
      </w:tr>
      <w:tr>
        <w:trPr>
          <w:trHeight w:val="42"/>
        </w:trPr>
        <w:tc>
          <w:tcPr>
            <w:tcW w:w="2518" w:type="dxa"/>
            <w:vMerge/>
          </w:tcPr>
          <w:p>
            <w:pPr>
              <w:rPr>
                <w:noProof/>
                <w:lang w:eastAsia="en-GB"/>
              </w:rPr>
            </w:pPr>
          </w:p>
        </w:tc>
        <w:tc>
          <w:tcPr>
            <w:tcW w:w="2693" w:type="dxa"/>
            <w:vMerge w:val="restart"/>
          </w:tcPr>
          <w:p>
            <w:pPr>
              <w:rPr>
                <w:noProof/>
                <w:lang w:val="fr-FR" w:eastAsia="en-GB"/>
              </w:rPr>
            </w:pPr>
            <w:r>
              <w:rPr>
                <w:rFonts w:eastAsiaTheme="minorEastAsia"/>
                <w:noProof/>
                <w:color w:val="000000" w:themeColor="text1"/>
                <w:kern w:val="24"/>
                <w:szCs w:val="24"/>
                <w:lang w:val="fr-FR" w:eastAsia="en-GB"/>
              </w:rPr>
              <w:t>(d) Gas</w:t>
            </w:r>
          </w:p>
        </w:tc>
        <w:tc>
          <w:tcPr>
            <w:tcW w:w="4078" w:type="dxa"/>
          </w:tcPr>
          <w:p>
            <w:pPr>
              <w:rPr>
                <w:noProof/>
                <w:lang w:val="en-IE" w:eastAsia="en-GB"/>
              </w:rPr>
            </w:pPr>
            <w:r>
              <w:rPr>
                <w:noProof/>
                <w:lang w:val="en-IE" w:eastAsia="en-GB"/>
              </w:rPr>
              <w:t>—</w:t>
            </w:r>
            <w:r>
              <w:rPr>
                <w:noProof/>
                <w:lang w:val="en-IE" w:eastAsia="en-GB"/>
              </w:rPr>
              <w:tab/>
              <w:t>Supply undertakings referred to in point (8) of Article 2 of Directive (EU) 2009/73/EC</w:t>
            </w:r>
            <w:r>
              <w:rPr>
                <w:rStyle w:val="FootnoteReference"/>
                <w:noProof/>
                <w:lang w:val="en-IE" w:eastAsia="en-GB"/>
              </w:rPr>
              <w:footnoteReference w:id="6"/>
            </w:r>
            <w:r>
              <w:rPr>
                <w:noProof/>
                <w:lang w:val="en-IE" w:eastAsia="en-GB"/>
              </w:rPr>
              <w:t xml:space="preserve"> </w:t>
            </w:r>
          </w:p>
        </w:tc>
      </w:tr>
      <w:tr>
        <w:trPr>
          <w:trHeight w:val="3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Distribution system operators referred to in point (6) of Article 2 of Directive (EU) 2009/73/EC</w:t>
            </w:r>
          </w:p>
        </w:tc>
      </w:tr>
      <w:tr>
        <w:trPr>
          <w:trHeight w:val="3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Transmission system operators referred to in point (4) of Article 2 of Directive (EU) 2009/73/EC</w:t>
            </w:r>
          </w:p>
        </w:tc>
      </w:tr>
      <w:tr>
        <w:trPr>
          <w:trHeight w:val="3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Storage system operators referred to in point (10) of Article 2 of Directive (EU) 2009/73/EC</w:t>
            </w:r>
          </w:p>
        </w:tc>
      </w:tr>
      <w:tr>
        <w:trPr>
          <w:trHeight w:val="3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LNG system operators referred to in point (12) of Article 2 of Directive (EU) 2009/73/EC</w:t>
            </w:r>
          </w:p>
        </w:tc>
      </w:tr>
      <w:tr>
        <w:trPr>
          <w:trHeight w:val="3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Natural gas undertakings referred to in point (1) of Article 2 of Directive (EU) 2009/73/EC</w:t>
            </w:r>
          </w:p>
        </w:tc>
      </w:tr>
      <w:tr>
        <w:trPr>
          <w:trHeight w:val="3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Operators of natural gas refining and treatment facilities</w:t>
            </w:r>
          </w:p>
        </w:tc>
      </w:tr>
      <w:tr>
        <w:trPr>
          <w:trHeight w:val="38"/>
        </w:trPr>
        <w:tc>
          <w:tcPr>
            <w:tcW w:w="2518" w:type="dxa"/>
            <w:vMerge/>
          </w:tcPr>
          <w:p>
            <w:pPr>
              <w:rPr>
                <w:noProof/>
                <w:lang w:val="en-IE" w:eastAsia="en-GB"/>
              </w:rPr>
            </w:pPr>
          </w:p>
        </w:tc>
        <w:tc>
          <w:tcPr>
            <w:tcW w:w="2693" w:type="dxa"/>
          </w:tcPr>
          <w:p>
            <w:pPr>
              <w:rPr>
                <w:rFonts w:eastAsiaTheme="minorEastAsia"/>
                <w:noProof/>
                <w:color w:val="000000" w:themeColor="text1"/>
                <w:kern w:val="24"/>
                <w:szCs w:val="24"/>
                <w:lang w:val="en-IE" w:eastAsia="en-GB"/>
              </w:rPr>
            </w:pPr>
            <w:r>
              <w:rPr>
                <w:rFonts w:eastAsiaTheme="minorEastAsia"/>
                <w:noProof/>
                <w:color w:val="000000" w:themeColor="text1"/>
                <w:kern w:val="24"/>
                <w:szCs w:val="24"/>
                <w:lang w:val="en-IE" w:eastAsia="en-GB"/>
              </w:rPr>
              <w:t>(e) Hydrogen</w:t>
            </w:r>
          </w:p>
        </w:tc>
        <w:tc>
          <w:tcPr>
            <w:tcW w:w="4078" w:type="dxa"/>
          </w:tcPr>
          <w:p>
            <w:pPr>
              <w:rPr>
                <w:noProof/>
                <w:lang w:val="en-IE" w:eastAsia="en-GB"/>
              </w:rPr>
            </w:pPr>
            <w:r>
              <w:rPr>
                <w:noProof/>
                <w:lang w:val="en-IE" w:eastAsia="en-GB"/>
              </w:rPr>
              <w:t>— Operators of hydrogen production, storage and transmission</w:t>
            </w:r>
          </w:p>
        </w:tc>
      </w:tr>
      <w:tr>
        <w:trPr>
          <w:trHeight w:val="113"/>
        </w:trPr>
        <w:tc>
          <w:tcPr>
            <w:tcW w:w="2518" w:type="dxa"/>
            <w:vMerge w:val="restart"/>
          </w:tcPr>
          <w:p>
            <w:pPr>
              <w:rPr>
                <w:noProof/>
                <w:lang w:val="fr-FR" w:eastAsia="en-GB"/>
              </w:rPr>
            </w:pPr>
            <w:r>
              <w:rPr>
                <w:rFonts w:eastAsiaTheme="minorEastAsia"/>
                <w:noProof/>
                <w:color w:val="000000" w:themeColor="text1"/>
                <w:kern w:val="24"/>
                <w:szCs w:val="24"/>
                <w:lang w:val="fr-FR" w:eastAsia="en-GB"/>
              </w:rPr>
              <w:t>2. Transport</w:t>
            </w:r>
          </w:p>
        </w:tc>
        <w:tc>
          <w:tcPr>
            <w:tcW w:w="2693" w:type="dxa"/>
            <w:vMerge w:val="restart"/>
          </w:tcPr>
          <w:p>
            <w:pPr>
              <w:rPr>
                <w:noProof/>
                <w:lang w:val="fr-FR" w:eastAsia="en-GB"/>
              </w:rPr>
            </w:pPr>
            <w:r>
              <w:rPr>
                <w:rFonts w:eastAsiaTheme="minorEastAsia"/>
                <w:noProof/>
                <w:color w:val="000000" w:themeColor="text1"/>
                <w:kern w:val="24"/>
                <w:szCs w:val="24"/>
                <w:lang w:val="fr-FR" w:eastAsia="en-GB"/>
              </w:rPr>
              <w:t>(a) Air</w:t>
            </w:r>
          </w:p>
        </w:tc>
        <w:tc>
          <w:tcPr>
            <w:tcW w:w="4078" w:type="dxa"/>
          </w:tcPr>
          <w:p>
            <w:pPr>
              <w:rPr>
                <w:noProof/>
                <w:lang w:val="en-IE" w:eastAsia="en-GB"/>
              </w:rPr>
            </w:pPr>
            <w:r>
              <w:rPr>
                <w:noProof/>
                <w:lang w:val="en-IE" w:eastAsia="en-GB"/>
              </w:rPr>
              <w:t>—</w:t>
            </w:r>
            <w:r>
              <w:rPr>
                <w:noProof/>
                <w:lang w:val="en-IE" w:eastAsia="en-GB"/>
              </w:rPr>
              <w:tab/>
              <w:t>Air carriers referred to in point (4) of Article 3 of Regulation (EC) No 300/2008</w:t>
            </w:r>
            <w:r>
              <w:rPr>
                <w:rStyle w:val="FootnoteReference"/>
                <w:noProof/>
                <w:lang w:val="en-IE" w:eastAsia="en-GB"/>
              </w:rPr>
              <w:footnoteReference w:id="7"/>
            </w:r>
            <w:r>
              <w:rPr>
                <w:noProof/>
                <w:lang w:val="en-IE" w:eastAsia="en-GB"/>
              </w:rPr>
              <w:t xml:space="preserve"> </w:t>
            </w:r>
          </w:p>
        </w:tc>
      </w:tr>
      <w:tr>
        <w:trPr>
          <w:trHeight w:val="112"/>
        </w:trPr>
        <w:tc>
          <w:tcPr>
            <w:tcW w:w="2518" w:type="dxa"/>
            <w:vMerge/>
          </w:tcPr>
          <w:p>
            <w:pPr>
              <w:rPr>
                <w:rFonts w:eastAsiaTheme="minorEastAsia"/>
                <w:noProof/>
                <w:color w:val="000000" w:themeColor="text1"/>
                <w:kern w:val="24"/>
                <w:szCs w:val="24"/>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Airport managing bodies referred to in point (2) of Article 2 of Directive 2009/12/EC</w:t>
            </w:r>
            <w:r>
              <w:rPr>
                <w:rStyle w:val="FootnoteReference"/>
                <w:noProof/>
                <w:lang w:val="en-IE" w:eastAsia="en-GB"/>
              </w:rPr>
              <w:footnoteReference w:id="8"/>
            </w:r>
            <w:r>
              <w:rPr>
                <w:noProof/>
                <w:lang w:val="en-IE" w:eastAsia="en-GB"/>
              </w:rPr>
              <w:t xml:space="preserve"> , airports referred to in point (1) of Article 2 of that Directive, including the core airports listed in Section 2 of Annex II to Regulation (EU) No 1315/2013</w:t>
            </w:r>
            <w:r>
              <w:rPr>
                <w:rStyle w:val="FootnoteReference"/>
                <w:noProof/>
                <w:lang w:val="en-IE" w:eastAsia="en-GB"/>
              </w:rPr>
              <w:footnoteReference w:id="9"/>
            </w:r>
            <w:r>
              <w:rPr>
                <w:noProof/>
                <w:lang w:val="en-IE" w:eastAsia="en-GB"/>
              </w:rPr>
              <w:t>, and entities operating ancillary installations contained within airports</w:t>
            </w:r>
          </w:p>
        </w:tc>
      </w:tr>
      <w:tr>
        <w:trPr>
          <w:trHeight w:val="112"/>
        </w:trPr>
        <w:tc>
          <w:tcPr>
            <w:tcW w:w="2518" w:type="dxa"/>
            <w:vMerge/>
          </w:tcPr>
          <w:p>
            <w:pPr>
              <w:rPr>
                <w:rFonts w:eastAsiaTheme="minorEastAsia"/>
                <w:noProof/>
                <w:color w:val="000000" w:themeColor="text1"/>
                <w:kern w:val="24"/>
                <w:szCs w:val="24"/>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Traffic management control operators providing air traffic control (ATC) services referred to in point (1) of Article 2 of Regulation (EC) No 549/2004</w:t>
            </w:r>
            <w:r>
              <w:rPr>
                <w:rStyle w:val="FootnoteReference"/>
                <w:noProof/>
                <w:lang w:val="en-IE" w:eastAsia="en-GB"/>
              </w:rPr>
              <w:footnoteReference w:id="10"/>
            </w:r>
            <w:r>
              <w:rPr>
                <w:noProof/>
                <w:lang w:val="en-IE" w:eastAsia="en-GB"/>
              </w:rPr>
              <w:t xml:space="preserve"> </w:t>
            </w:r>
          </w:p>
        </w:tc>
      </w:tr>
      <w:tr>
        <w:trPr>
          <w:trHeight w:val="169"/>
        </w:trPr>
        <w:tc>
          <w:tcPr>
            <w:tcW w:w="2518" w:type="dxa"/>
            <w:vMerge w:val="restart"/>
          </w:tcPr>
          <w:p>
            <w:pPr>
              <w:rPr>
                <w:noProof/>
                <w:lang w:val="en-IE" w:eastAsia="en-GB"/>
              </w:rPr>
            </w:pPr>
          </w:p>
        </w:tc>
        <w:tc>
          <w:tcPr>
            <w:tcW w:w="2693" w:type="dxa"/>
            <w:vMerge w:val="restart"/>
          </w:tcPr>
          <w:p>
            <w:pPr>
              <w:rPr>
                <w:noProof/>
                <w:lang w:val="fr-FR" w:eastAsia="en-GB"/>
              </w:rPr>
            </w:pPr>
            <w:r>
              <w:rPr>
                <w:rFonts w:eastAsiaTheme="minorEastAsia"/>
                <w:noProof/>
                <w:color w:val="000000" w:themeColor="text1"/>
                <w:kern w:val="24"/>
                <w:szCs w:val="24"/>
                <w:lang w:val="fr-FR" w:eastAsia="en-GB"/>
              </w:rPr>
              <w:t>(b) Rail</w:t>
            </w:r>
          </w:p>
        </w:tc>
        <w:tc>
          <w:tcPr>
            <w:tcW w:w="4078" w:type="dxa"/>
          </w:tcPr>
          <w:p>
            <w:pPr>
              <w:rPr>
                <w:noProof/>
                <w:lang w:eastAsia="en-GB"/>
              </w:rPr>
            </w:pPr>
            <w:r>
              <w:rPr>
                <w:noProof/>
                <w:lang w:val="en-IE" w:eastAsia="en-GB"/>
              </w:rPr>
              <w:t>—</w:t>
            </w:r>
            <w:r>
              <w:rPr>
                <w:noProof/>
                <w:lang w:val="en-IE" w:eastAsia="en-GB"/>
              </w:rPr>
              <w:tab/>
              <w:t>Infrastructure managers referred to in point (2) of Article 3 of Directive 2012/34/EU</w:t>
            </w:r>
            <w:r>
              <w:rPr>
                <w:rStyle w:val="FootnoteReference"/>
                <w:noProof/>
                <w:lang w:val="en-IE" w:eastAsia="en-GB"/>
              </w:rPr>
              <w:footnoteReference w:id="11"/>
            </w:r>
          </w:p>
        </w:tc>
      </w:tr>
      <w:tr>
        <w:trPr>
          <w:trHeight w:val="16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eastAsia="en-GB"/>
              </w:rPr>
            </w:pPr>
            <w:r>
              <w:rPr>
                <w:noProof/>
                <w:lang w:val="en-IE" w:eastAsia="en-GB"/>
              </w:rPr>
              <w:t>—</w:t>
            </w:r>
            <w:r>
              <w:rPr>
                <w:noProof/>
                <w:lang w:val="en-IE" w:eastAsia="en-GB"/>
              </w:rPr>
              <w:tab/>
              <w:t>Railway undertakings referred to in point (1) of Article 3 of Directive 2012/34/EU, including operators of service facilities referred to in point (12) of Article 3 of Directive 2012/34/EU</w:t>
            </w:r>
          </w:p>
        </w:tc>
      </w:tr>
      <w:tr>
        <w:trPr>
          <w:trHeight w:val="113"/>
        </w:trPr>
        <w:tc>
          <w:tcPr>
            <w:tcW w:w="2518" w:type="dxa"/>
            <w:vMerge w:val="restart"/>
          </w:tcPr>
          <w:p>
            <w:pPr>
              <w:rPr>
                <w:noProof/>
                <w:lang w:val="en-IE" w:eastAsia="en-GB"/>
              </w:rPr>
            </w:pPr>
          </w:p>
        </w:tc>
        <w:tc>
          <w:tcPr>
            <w:tcW w:w="2693" w:type="dxa"/>
            <w:vMerge w:val="restart"/>
          </w:tcPr>
          <w:p>
            <w:pPr>
              <w:rPr>
                <w:noProof/>
                <w:lang w:val="fr-FR" w:eastAsia="en-GB"/>
              </w:rPr>
            </w:pPr>
            <w:r>
              <w:rPr>
                <w:rFonts w:eastAsiaTheme="minorEastAsia"/>
                <w:noProof/>
                <w:color w:val="000000" w:themeColor="text1"/>
                <w:kern w:val="24"/>
                <w:szCs w:val="24"/>
                <w:lang w:val="fr-FR" w:eastAsia="en-GB"/>
              </w:rPr>
              <w:t>(c) Water</w:t>
            </w:r>
          </w:p>
        </w:tc>
        <w:tc>
          <w:tcPr>
            <w:tcW w:w="4078" w:type="dxa"/>
          </w:tcPr>
          <w:p>
            <w:pPr>
              <w:rPr>
                <w:noProof/>
                <w:lang w:val="en-IE" w:eastAsia="en-GB"/>
              </w:rPr>
            </w:pPr>
            <w:r>
              <w:rPr>
                <w:noProof/>
                <w:lang w:val="en-IE" w:eastAsia="en-GB"/>
              </w:rPr>
              <w:t>—</w:t>
            </w:r>
            <w:r>
              <w:rPr>
                <w:noProof/>
                <w:lang w:val="en-IE" w:eastAsia="en-GB"/>
              </w:rPr>
              <w:tab/>
              <w:t>Inland, sea and coastal passenger and freight water transport companies, referred to  for maritime transport in Annex I to Regulation (EC) No 725/2004</w:t>
            </w:r>
            <w:r>
              <w:rPr>
                <w:rStyle w:val="FootnoteReference"/>
                <w:noProof/>
                <w:lang w:val="en-IE" w:eastAsia="en-GB"/>
              </w:rPr>
              <w:footnoteReference w:id="12"/>
            </w:r>
            <w:r>
              <w:rPr>
                <w:noProof/>
                <w:lang w:val="en-IE" w:eastAsia="en-GB"/>
              </w:rPr>
              <w:t>, not including the individual vessels operated by those companies</w:t>
            </w:r>
          </w:p>
        </w:tc>
      </w:tr>
      <w:tr>
        <w:trPr>
          <w:trHeight w:val="112"/>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Managing bodies of ports referred to in point (1) of Article 3 of Directive 2005/65/EC</w:t>
            </w:r>
            <w:r>
              <w:rPr>
                <w:rStyle w:val="FootnoteReference"/>
                <w:noProof/>
                <w:lang w:val="en-IE" w:eastAsia="en-GB"/>
              </w:rPr>
              <w:footnoteReference w:id="13"/>
            </w:r>
            <w:r>
              <w:rPr>
                <w:noProof/>
                <w:lang w:val="en-IE" w:eastAsia="en-GB"/>
              </w:rPr>
              <w:t>, including their port facilities referred to  in point (11) of Article 2 of Regulation (EC) No 725/2004, and entities operating works and equipment contained within ports</w:t>
            </w:r>
          </w:p>
        </w:tc>
      </w:tr>
      <w:tr>
        <w:trPr>
          <w:trHeight w:val="112"/>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Operators of vessel traffic services referred to in point (o) of Article 3 of Directive 2002/59/EC</w:t>
            </w:r>
            <w:r>
              <w:rPr>
                <w:rStyle w:val="FootnoteReference"/>
                <w:noProof/>
                <w:lang w:val="en-IE" w:eastAsia="en-GB"/>
              </w:rPr>
              <w:footnoteReference w:id="14"/>
            </w:r>
            <w:r>
              <w:rPr>
                <w:noProof/>
                <w:lang w:val="en-IE" w:eastAsia="en-GB"/>
              </w:rPr>
              <w:t xml:space="preserve"> of the European Parliament and of the Council</w:t>
            </w:r>
          </w:p>
        </w:tc>
      </w:tr>
      <w:tr>
        <w:trPr>
          <w:trHeight w:val="169"/>
        </w:trPr>
        <w:tc>
          <w:tcPr>
            <w:tcW w:w="2518" w:type="dxa"/>
            <w:vMerge w:val="restart"/>
          </w:tcPr>
          <w:p>
            <w:pPr>
              <w:rPr>
                <w:noProof/>
                <w:lang w:val="en-IE" w:eastAsia="en-GB"/>
              </w:rPr>
            </w:pPr>
          </w:p>
        </w:tc>
        <w:tc>
          <w:tcPr>
            <w:tcW w:w="2693" w:type="dxa"/>
            <w:vMerge w:val="restart"/>
          </w:tcPr>
          <w:p>
            <w:pPr>
              <w:rPr>
                <w:noProof/>
                <w:lang w:val="fr-FR" w:eastAsia="en-GB"/>
              </w:rPr>
            </w:pPr>
            <w:r>
              <w:rPr>
                <w:rFonts w:eastAsiaTheme="minorEastAsia"/>
                <w:noProof/>
                <w:color w:val="000000" w:themeColor="text1"/>
                <w:kern w:val="24"/>
                <w:szCs w:val="24"/>
                <w:lang w:val="fr-FR" w:eastAsia="en-GB"/>
              </w:rPr>
              <w:t>(d) Road</w:t>
            </w:r>
          </w:p>
        </w:tc>
        <w:tc>
          <w:tcPr>
            <w:tcW w:w="4078" w:type="dxa"/>
          </w:tcPr>
          <w:p>
            <w:pPr>
              <w:rPr>
                <w:noProof/>
                <w:lang w:val="en-IE" w:eastAsia="en-GB"/>
              </w:rPr>
            </w:pPr>
            <w:r>
              <w:rPr>
                <w:noProof/>
                <w:lang w:val="en-IE" w:eastAsia="en-GB"/>
              </w:rPr>
              <w:t>—</w:t>
            </w:r>
            <w:r>
              <w:rPr>
                <w:noProof/>
                <w:lang w:val="en-IE" w:eastAsia="en-GB"/>
              </w:rPr>
              <w:tab/>
              <w:t>Road authorities referred to in point (12) of Article 2 of Commission Delegated Regulation (EU) 2015/962</w:t>
            </w:r>
            <w:r>
              <w:rPr>
                <w:rStyle w:val="FootnoteReference"/>
                <w:noProof/>
                <w:lang w:val="en-IE" w:eastAsia="en-GB"/>
              </w:rPr>
              <w:footnoteReference w:id="15"/>
            </w:r>
            <w:r>
              <w:rPr>
                <w:noProof/>
                <w:lang w:val="en-IE" w:eastAsia="en-GB"/>
              </w:rPr>
              <w:t xml:space="preserve"> responsible for traffic management control</w:t>
            </w:r>
          </w:p>
        </w:tc>
      </w:tr>
      <w:tr>
        <w:trPr>
          <w:trHeight w:val="16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Operators of Intelligent Transport Systems referred to  in point (1) of Article 4 of Directive 2010/40/EU</w:t>
            </w:r>
            <w:r>
              <w:rPr>
                <w:rStyle w:val="FootnoteReference"/>
                <w:noProof/>
                <w:lang w:val="en-IE" w:eastAsia="en-GB"/>
              </w:rPr>
              <w:footnoteReference w:id="16"/>
            </w:r>
            <w:r>
              <w:rPr>
                <w:noProof/>
                <w:lang w:val="en-IE" w:eastAsia="en-GB"/>
              </w:rPr>
              <w:t xml:space="preserve"> </w:t>
            </w:r>
          </w:p>
        </w:tc>
      </w:tr>
      <w:tr>
        <w:trPr>
          <w:trHeight w:val="168"/>
        </w:trPr>
        <w:tc>
          <w:tcPr>
            <w:tcW w:w="2518" w:type="dxa"/>
          </w:tcPr>
          <w:p>
            <w:pPr>
              <w:rPr>
                <w:noProof/>
                <w:lang w:val="en-IE" w:eastAsia="en-GB"/>
              </w:rPr>
            </w:pPr>
            <w:r>
              <w:rPr>
                <w:noProof/>
                <w:lang w:val="en-IE" w:eastAsia="en-GB"/>
              </w:rPr>
              <w:t>3. Banking</w:t>
            </w:r>
          </w:p>
        </w:tc>
        <w:tc>
          <w:tcPr>
            <w:tcW w:w="2693" w:type="dxa"/>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szCs w:val="24"/>
              </w:rPr>
              <w:t>Credit institutions referred to  in point (1) of Article 4 of Regulation (EU) No 575/2013</w:t>
            </w:r>
            <w:r>
              <w:rPr>
                <w:rStyle w:val="FootnoteReference"/>
                <w:noProof/>
                <w:szCs w:val="24"/>
              </w:rPr>
              <w:footnoteReference w:id="17"/>
            </w:r>
            <w:r>
              <w:rPr>
                <w:noProof/>
                <w:szCs w:val="24"/>
              </w:rPr>
              <w:t xml:space="preserve"> </w:t>
            </w:r>
          </w:p>
        </w:tc>
      </w:tr>
      <w:tr>
        <w:trPr>
          <w:trHeight w:val="168"/>
        </w:trPr>
        <w:tc>
          <w:tcPr>
            <w:tcW w:w="2518" w:type="dxa"/>
            <w:vMerge w:val="restart"/>
          </w:tcPr>
          <w:p>
            <w:pPr>
              <w:rPr>
                <w:noProof/>
                <w:lang w:val="en-IE" w:eastAsia="en-GB"/>
              </w:rPr>
            </w:pPr>
            <w:r>
              <w:rPr>
                <w:rFonts w:eastAsiaTheme="minorEastAsia"/>
                <w:noProof/>
                <w:color w:val="000000" w:themeColor="text1"/>
                <w:kern w:val="24"/>
                <w:szCs w:val="24"/>
              </w:rPr>
              <w:t>4. Financial market infrastructures</w:t>
            </w:r>
          </w:p>
          <w:p>
            <w:pPr>
              <w:rPr>
                <w:noProof/>
                <w:lang w:val="en-IE" w:eastAsia="en-GB"/>
              </w:rPr>
            </w:pPr>
          </w:p>
        </w:tc>
        <w:tc>
          <w:tcPr>
            <w:tcW w:w="2693" w:type="dxa"/>
            <w:vMerge w:val="restart"/>
          </w:tcPr>
          <w:p>
            <w:pPr>
              <w:rPr>
                <w:rFonts w:eastAsiaTheme="minorEastAsia"/>
                <w:noProof/>
                <w:color w:val="000000" w:themeColor="text1"/>
                <w:kern w:val="24"/>
                <w:szCs w:val="24"/>
                <w:lang w:val="en-IE" w:eastAsia="en-GB"/>
              </w:rPr>
            </w:pPr>
          </w:p>
        </w:tc>
        <w:tc>
          <w:tcPr>
            <w:tcW w:w="4078" w:type="dxa"/>
          </w:tcPr>
          <w:p>
            <w:pPr>
              <w:rPr>
                <w:noProof/>
                <w:szCs w:val="24"/>
              </w:rPr>
            </w:pPr>
            <w:r>
              <w:rPr>
                <w:noProof/>
                <w:szCs w:val="24"/>
              </w:rPr>
              <w:t>—</w:t>
            </w:r>
            <w:r>
              <w:rPr>
                <w:noProof/>
                <w:szCs w:val="24"/>
              </w:rPr>
              <w:tab/>
              <w:t>Operators of trading venues referred to  in point (24) of Article 4 of Directive 2014/65/EU</w:t>
            </w:r>
            <w:r>
              <w:rPr>
                <w:rStyle w:val="FootnoteReference"/>
                <w:noProof/>
                <w:szCs w:val="24"/>
              </w:rPr>
              <w:footnoteReference w:id="18"/>
            </w:r>
            <w:r>
              <w:rPr>
                <w:noProof/>
                <w:szCs w:val="24"/>
              </w:rPr>
              <w:t xml:space="preserve"> </w:t>
            </w:r>
          </w:p>
        </w:tc>
      </w:tr>
      <w:tr>
        <w:trPr>
          <w:trHeight w:val="168"/>
        </w:trPr>
        <w:tc>
          <w:tcPr>
            <w:tcW w:w="2518" w:type="dxa"/>
            <w:vMerge/>
          </w:tcPr>
          <w:p>
            <w:pPr>
              <w:rPr>
                <w:noProof/>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szCs w:val="24"/>
              </w:rPr>
            </w:pPr>
            <w:r>
              <w:rPr>
                <w:noProof/>
                <w:szCs w:val="24"/>
              </w:rPr>
              <w:t>—</w:t>
            </w:r>
            <w:r>
              <w:rPr>
                <w:noProof/>
                <w:szCs w:val="24"/>
              </w:rPr>
              <w:tab/>
              <w:t>Central counterparties (CCPs) referred to  in point (1) of Article 2 of Regulation (EU) No 648/2012</w:t>
            </w:r>
            <w:r>
              <w:rPr>
                <w:rStyle w:val="FootnoteReference"/>
                <w:noProof/>
                <w:szCs w:val="24"/>
              </w:rPr>
              <w:footnoteReference w:id="19"/>
            </w:r>
            <w:r>
              <w:rPr>
                <w:noProof/>
                <w:szCs w:val="24"/>
              </w:rPr>
              <w:t xml:space="preserve"> </w:t>
            </w:r>
          </w:p>
        </w:tc>
      </w:tr>
      <w:tr>
        <w:tc>
          <w:tcPr>
            <w:tcW w:w="2518" w:type="dxa"/>
            <w:vMerge w:val="restart"/>
          </w:tcPr>
          <w:p>
            <w:pPr>
              <w:rPr>
                <w:noProof/>
                <w:lang w:val="fr-FR" w:eastAsia="en-GB"/>
              </w:rPr>
            </w:pPr>
            <w:r>
              <w:rPr>
                <w:rFonts w:eastAsiaTheme="minorEastAsia"/>
                <w:noProof/>
                <w:color w:val="000000" w:themeColor="text1"/>
                <w:kern w:val="24"/>
                <w:szCs w:val="24"/>
                <w:lang w:val="fr-FR" w:eastAsia="en-GB"/>
              </w:rPr>
              <w:t>5. Health</w:t>
            </w:r>
          </w:p>
          <w:p>
            <w:pPr>
              <w:rPr>
                <w:rFonts w:eastAsiaTheme="minorEastAsia"/>
                <w:noProof/>
                <w:color w:val="000000" w:themeColor="text1"/>
                <w:kern w:val="24"/>
                <w:szCs w:val="24"/>
                <w:lang w:eastAsia="en-GB"/>
              </w:rPr>
            </w:pPr>
          </w:p>
          <w:p>
            <w:pPr>
              <w:rPr>
                <w:noProof/>
                <w:lang w:val="fr-FR" w:eastAsia="en-GB"/>
              </w:rPr>
            </w:pPr>
          </w:p>
        </w:tc>
        <w:tc>
          <w:tcPr>
            <w:tcW w:w="2693" w:type="dxa"/>
            <w:vMerge w:val="restart"/>
          </w:tcPr>
          <w:p>
            <w:pPr>
              <w:rPr>
                <w:noProof/>
                <w:lang w:val="en-IE" w:eastAsia="en-GB"/>
              </w:rPr>
            </w:pPr>
          </w:p>
          <w:p>
            <w:pPr>
              <w:rPr>
                <w:noProof/>
                <w:lang w:eastAsia="en-GB"/>
              </w:rPr>
            </w:pPr>
          </w:p>
          <w:p>
            <w:pPr>
              <w:rPr>
                <w:noProof/>
                <w:lang w:eastAsia="en-GB"/>
              </w:rPr>
            </w:pPr>
          </w:p>
          <w:p>
            <w:pPr>
              <w:rPr>
                <w:noProof/>
                <w:lang w:val="en-IE" w:eastAsia="en-GB"/>
              </w:rPr>
            </w:pPr>
          </w:p>
        </w:tc>
        <w:tc>
          <w:tcPr>
            <w:tcW w:w="4078" w:type="dxa"/>
          </w:tcPr>
          <w:p>
            <w:pPr>
              <w:rPr>
                <w:noProof/>
                <w:lang w:val="en-IE" w:eastAsia="en-GB"/>
              </w:rPr>
            </w:pPr>
            <w:r>
              <w:rPr>
                <w:noProof/>
                <w:lang w:val="en-IE" w:eastAsia="en-GB"/>
              </w:rPr>
              <w:t>—</w:t>
            </w:r>
            <w:r>
              <w:rPr>
                <w:noProof/>
                <w:lang w:val="en-IE" w:eastAsia="en-GB"/>
              </w:rPr>
              <w:tab/>
              <w:t>Healthcare providers referred to in point (g) of Article 3 of Directive 2011/24/EU</w:t>
            </w:r>
            <w:r>
              <w:rPr>
                <w:rStyle w:val="FootnoteReference"/>
                <w:noProof/>
                <w:lang w:val="en-IE" w:eastAsia="en-GB"/>
              </w:rPr>
              <w:footnoteReference w:id="20"/>
            </w:r>
            <w:r>
              <w:rPr>
                <w:noProof/>
                <w:lang w:val="en-IE" w:eastAsia="en-GB"/>
              </w:rPr>
              <w:t xml:space="preserve"> </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noProof/>
                <w:lang w:eastAsia="en-GB"/>
              </w:rPr>
            </w:pPr>
          </w:p>
        </w:tc>
        <w:tc>
          <w:tcPr>
            <w:tcW w:w="4078" w:type="dxa"/>
          </w:tcPr>
          <w:p>
            <w:pPr>
              <w:rPr>
                <w:noProof/>
                <w:sz w:val="20"/>
                <w:lang w:val="en-IE"/>
              </w:rPr>
            </w:pPr>
            <w:r>
              <w:rPr>
                <w:noProof/>
                <w:lang w:val="en-IE" w:eastAsia="en-GB"/>
              </w:rPr>
              <w:t>—</w:t>
            </w:r>
            <w:r>
              <w:rPr>
                <w:noProof/>
                <w:lang w:val="en-IE" w:eastAsia="en-GB"/>
              </w:rPr>
              <w:tab/>
              <w:t>EU reference laboratories referred to in Article 15 of Regulation [XX] on serious cross borders threats to health</w:t>
            </w:r>
            <w:r>
              <w:rPr>
                <w:rStyle w:val="FootnoteReference"/>
                <w:noProof/>
                <w:lang w:val="en-IE" w:eastAsia="en-GB"/>
              </w:rPr>
              <w:footnoteReference w:id="21"/>
            </w:r>
            <w:r>
              <w:rPr>
                <w:noProof/>
                <w:lang w:val="en-IE" w:eastAsia="en-GB"/>
              </w:rPr>
              <w:t xml:space="preserve"> </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noProof/>
                <w:lang w:eastAsia="en-GB"/>
              </w:rPr>
            </w:pPr>
          </w:p>
        </w:tc>
        <w:tc>
          <w:tcPr>
            <w:tcW w:w="4078" w:type="dxa"/>
          </w:tcPr>
          <w:p>
            <w:pPr>
              <w:rPr>
                <w:noProof/>
                <w:lang w:val="en-IE" w:eastAsia="en-GB"/>
              </w:rPr>
            </w:pPr>
            <w:r>
              <w:rPr>
                <w:noProof/>
                <w:lang w:val="en-IE" w:eastAsia="en-GB"/>
              </w:rPr>
              <w:t>—</w:t>
            </w:r>
            <w:r>
              <w:rPr>
                <w:noProof/>
                <w:lang w:val="en-IE" w:eastAsia="en-GB"/>
              </w:rPr>
              <w:tab/>
            </w:r>
            <w:r>
              <w:rPr>
                <w:noProof/>
              </w:rPr>
              <w:t>Entities carrying out research and development activities of medicinal products referred to in Article 1 point 2 of Directive 2001/83/EC</w:t>
            </w:r>
            <w:r>
              <w:rPr>
                <w:rStyle w:val="FootnoteReference"/>
                <w:noProof/>
              </w:rPr>
              <w:footnoteReference w:id="22"/>
            </w:r>
          </w:p>
        </w:tc>
      </w:tr>
      <w:tr>
        <w:tc>
          <w:tcPr>
            <w:tcW w:w="2518" w:type="dxa"/>
            <w:vMerge/>
          </w:tcPr>
          <w:p>
            <w:pPr>
              <w:rPr>
                <w:rFonts w:eastAsiaTheme="minorEastAsia"/>
                <w:noProof/>
                <w:color w:val="000000" w:themeColor="text1"/>
                <w:kern w:val="24"/>
                <w:szCs w:val="24"/>
                <w:lang w:eastAsia="en-GB"/>
              </w:rPr>
            </w:pPr>
          </w:p>
        </w:tc>
        <w:tc>
          <w:tcPr>
            <w:tcW w:w="2693" w:type="dxa"/>
            <w:vMerge/>
          </w:tcPr>
          <w:p>
            <w:pPr>
              <w:rPr>
                <w:noProof/>
                <w:lang w:eastAsia="en-GB"/>
              </w:rPr>
            </w:pPr>
          </w:p>
        </w:tc>
        <w:tc>
          <w:tcPr>
            <w:tcW w:w="4078" w:type="dxa"/>
          </w:tcPr>
          <w:p>
            <w:pPr>
              <w:rPr>
                <w:noProof/>
                <w:lang w:val="en-IE" w:eastAsia="en-GB"/>
              </w:rPr>
            </w:pPr>
            <w:r>
              <w:rPr>
                <w:noProof/>
                <w:lang w:val="en-IE" w:eastAsia="en-GB"/>
              </w:rPr>
              <w:t>—</w:t>
            </w:r>
            <w:r>
              <w:rPr>
                <w:noProof/>
                <w:lang w:val="en-IE" w:eastAsia="en-GB"/>
              </w:rPr>
              <w:tab/>
              <w:t xml:space="preserve">Entities </w:t>
            </w:r>
            <w:r>
              <w:rPr>
                <w:noProof/>
              </w:rPr>
              <w:t xml:space="preserve">manufacturing  basic pharmaceutical products and pharmaceutical preparations </w:t>
            </w:r>
            <w:r>
              <w:rPr>
                <w:noProof/>
                <w:lang w:val="en-IE" w:eastAsia="en-GB"/>
              </w:rPr>
              <w:t>referred to in section C division 21 of NACE Rev. 2</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noProof/>
                <w:lang w:val="en-IE" w:eastAsia="en-GB"/>
              </w:rPr>
            </w:pPr>
          </w:p>
        </w:tc>
        <w:tc>
          <w:tcPr>
            <w:tcW w:w="4078" w:type="dxa"/>
          </w:tcPr>
          <w:p>
            <w:pPr>
              <w:rPr>
                <w:noProof/>
                <w:lang w:val="en-IE" w:eastAsia="en-GB"/>
              </w:rPr>
            </w:pPr>
            <w:r>
              <w:rPr>
                <w:noProof/>
                <w:lang w:val="en-IE" w:eastAsia="en-GB"/>
              </w:rPr>
              <w:t>—</w:t>
            </w:r>
            <w:r>
              <w:rPr>
                <w:noProof/>
                <w:lang w:val="en-IE" w:eastAsia="en-GB"/>
              </w:rPr>
              <w:tab/>
            </w:r>
            <w:r>
              <w:rPr>
                <w:noProof/>
              </w:rPr>
              <w:t>Entities manufacturing medical devices considered as critical during a public health emergency (‘the public health emergency critical devices list’) referred to in Article 20 of Regulation XXXX</w:t>
            </w:r>
            <w:r>
              <w:rPr>
                <w:rStyle w:val="FootnoteReference"/>
                <w:noProof/>
              </w:rPr>
              <w:footnoteReference w:id="23"/>
            </w:r>
            <w:r>
              <w:rPr>
                <w:b/>
                <w:noProof/>
              </w:rPr>
              <w:t xml:space="preserve">  </w:t>
            </w:r>
          </w:p>
        </w:tc>
      </w:tr>
      <w:tr>
        <w:trPr>
          <w:trHeight w:val="1515"/>
        </w:trPr>
        <w:tc>
          <w:tcPr>
            <w:tcW w:w="2518" w:type="dxa"/>
          </w:tcPr>
          <w:p>
            <w:pPr>
              <w:rPr>
                <w:noProof/>
                <w:lang w:val="fr-FR" w:eastAsia="en-GB"/>
              </w:rPr>
            </w:pPr>
            <w:r>
              <w:rPr>
                <w:rFonts w:eastAsiaTheme="minorEastAsia"/>
                <w:noProof/>
                <w:color w:val="000000" w:themeColor="text1"/>
                <w:kern w:val="24"/>
                <w:szCs w:val="24"/>
                <w:lang w:val="fr-FR" w:eastAsia="en-GB"/>
              </w:rPr>
              <w:t xml:space="preserve">6. Drinking water </w:t>
            </w:r>
          </w:p>
        </w:tc>
        <w:tc>
          <w:tcPr>
            <w:tcW w:w="2693" w:type="dxa"/>
          </w:tcPr>
          <w:p>
            <w:pPr>
              <w:rPr>
                <w:noProof/>
                <w:lang w:val="fr-FR" w:eastAsia="en-GB"/>
              </w:rPr>
            </w:pPr>
          </w:p>
        </w:tc>
        <w:tc>
          <w:tcPr>
            <w:tcW w:w="4078" w:type="dxa"/>
          </w:tcPr>
          <w:p>
            <w:pPr>
              <w:rPr>
                <w:noProof/>
                <w:lang w:val="en-IE" w:eastAsia="en-GB"/>
              </w:rPr>
            </w:pPr>
            <w:r>
              <w:rPr>
                <w:noProof/>
                <w:lang w:val="en-IE" w:eastAsia="en-GB"/>
              </w:rPr>
              <w:t>Suppliers and distributors of water intended for human consumption referred to  in point (1)(a) of Article 2 of Council Directive 98/83/EC</w:t>
            </w:r>
            <w:r>
              <w:rPr>
                <w:rStyle w:val="FootnoteReference"/>
                <w:noProof/>
                <w:lang w:val="en-IE" w:eastAsia="en-GB"/>
              </w:rPr>
              <w:footnoteReference w:id="24"/>
            </w:r>
            <w:r>
              <w:rPr>
                <w:noProof/>
                <w:lang w:val="en-IE" w:eastAsia="en-GB"/>
              </w:rPr>
              <w:t xml:space="preserve"> but excluding distributors for whom distribution of water for human consumption is only part of their general activity of distributing other commodities and goods which are not considered essential or important services</w:t>
            </w:r>
          </w:p>
        </w:tc>
      </w:tr>
      <w:tr>
        <w:tc>
          <w:tcPr>
            <w:tcW w:w="2518" w:type="dxa"/>
          </w:tcPr>
          <w:p>
            <w:pPr>
              <w:rPr>
                <w:rFonts w:eastAsiaTheme="minorEastAsia"/>
                <w:noProof/>
                <w:color w:val="000000" w:themeColor="text1"/>
                <w:kern w:val="24"/>
                <w:szCs w:val="24"/>
                <w:lang w:val="fr-FR" w:eastAsia="en-GB"/>
              </w:rPr>
            </w:pPr>
            <w:r>
              <w:rPr>
                <w:rFonts w:eastAsiaTheme="minorEastAsia"/>
                <w:noProof/>
                <w:color w:val="000000" w:themeColor="text1"/>
                <w:kern w:val="24"/>
                <w:szCs w:val="24"/>
                <w:lang w:val="fr-FR" w:eastAsia="en-GB"/>
              </w:rPr>
              <w:t>7. Waste water</w:t>
            </w:r>
          </w:p>
        </w:tc>
        <w:tc>
          <w:tcPr>
            <w:tcW w:w="2693" w:type="dxa"/>
          </w:tcPr>
          <w:p>
            <w:pPr>
              <w:rPr>
                <w:noProof/>
                <w:lang w:val="fr-FR" w:eastAsia="en-GB"/>
              </w:rPr>
            </w:pPr>
          </w:p>
        </w:tc>
        <w:tc>
          <w:tcPr>
            <w:tcW w:w="4078" w:type="dxa"/>
          </w:tcPr>
          <w:p>
            <w:pPr>
              <w:rPr>
                <w:noProof/>
                <w:lang w:eastAsia="en-GB"/>
              </w:rPr>
            </w:pPr>
            <w:r>
              <w:rPr>
                <w:noProof/>
                <w:lang w:val="en-IE" w:eastAsia="en-GB"/>
              </w:rPr>
              <w:t>Undertakings collecting, disposing or treating urban, domestic and industrial waste water referred to  in points (1) to (3) of Article 2 of Council Directive 91/271/EEC</w:t>
            </w:r>
            <w:r>
              <w:rPr>
                <w:rStyle w:val="FootnoteReference"/>
                <w:noProof/>
                <w:lang w:val="en-IE" w:eastAsia="en-GB"/>
              </w:rPr>
              <w:footnoteReference w:id="25"/>
            </w:r>
          </w:p>
        </w:tc>
      </w:tr>
      <w:tr>
        <w:tc>
          <w:tcPr>
            <w:tcW w:w="2518" w:type="dxa"/>
            <w:vMerge w:val="restart"/>
          </w:tcPr>
          <w:p>
            <w:pPr>
              <w:rPr>
                <w:noProof/>
                <w:lang w:val="fr-FR" w:eastAsia="en-GB"/>
              </w:rPr>
            </w:pPr>
            <w:r>
              <w:rPr>
                <w:rFonts w:eastAsiaTheme="minorEastAsia"/>
                <w:noProof/>
                <w:color w:val="000000" w:themeColor="text1"/>
                <w:kern w:val="24"/>
                <w:szCs w:val="24"/>
                <w:lang w:val="fr-FR" w:eastAsia="en-GB"/>
              </w:rPr>
              <w:t>8. Digital infrastructure</w:t>
            </w:r>
          </w:p>
        </w:tc>
        <w:tc>
          <w:tcPr>
            <w:tcW w:w="2693" w:type="dxa"/>
            <w:vMerge w:val="restart"/>
          </w:tcPr>
          <w:p>
            <w:pPr>
              <w:rPr>
                <w:noProof/>
                <w:lang w:val="fr-FR" w:eastAsia="en-GB"/>
              </w:rPr>
            </w:pPr>
          </w:p>
        </w:tc>
        <w:tc>
          <w:tcPr>
            <w:tcW w:w="4078" w:type="dxa"/>
          </w:tcPr>
          <w:p>
            <w:pPr>
              <w:rPr>
                <w:noProof/>
                <w:lang w:eastAsia="en-GB"/>
              </w:rPr>
            </w:pPr>
            <w:r>
              <w:rPr>
                <w:noProof/>
                <w:lang w:eastAsia="en-GB"/>
              </w:rPr>
              <w:t>—</w:t>
            </w:r>
            <w:r>
              <w:rPr>
                <w:noProof/>
                <w:lang w:eastAsia="en-GB"/>
              </w:rPr>
              <w:tab/>
              <w:t xml:space="preserve">Providers of </w:t>
            </w:r>
            <w:r>
              <w:rPr>
                <w:rFonts w:eastAsiaTheme="minorEastAsia"/>
                <w:noProof/>
                <w:color w:val="000000" w:themeColor="text1"/>
                <w:kern w:val="24"/>
                <w:szCs w:val="24"/>
                <w:lang w:eastAsia="en-GB"/>
              </w:rPr>
              <w:t>Internet Exchange Point [referred to  in point (X) of Article 4 of NIS 2 Directive]</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rFonts w:eastAsiaTheme="minorEastAsia"/>
                <w:noProof/>
                <w:color w:val="000000" w:themeColor="text1"/>
                <w:kern w:val="24"/>
                <w:szCs w:val="24"/>
                <w:lang w:eastAsia="en-GB"/>
              </w:rPr>
            </w:pPr>
          </w:p>
        </w:tc>
        <w:tc>
          <w:tcPr>
            <w:tcW w:w="4078" w:type="dxa"/>
          </w:tcPr>
          <w:p>
            <w:pPr>
              <w:rPr>
                <w:noProof/>
                <w:lang w:eastAsia="en-GB"/>
              </w:rPr>
            </w:pPr>
            <w:r>
              <w:rPr>
                <w:noProof/>
                <w:lang w:eastAsia="en-GB"/>
              </w:rPr>
              <w:t>—</w:t>
            </w:r>
            <w:r>
              <w:rPr>
                <w:noProof/>
                <w:lang w:eastAsia="en-GB"/>
              </w:rPr>
              <w:tab/>
            </w:r>
            <w:r>
              <w:rPr>
                <w:rFonts w:eastAsiaTheme="minorEastAsia"/>
                <w:noProof/>
                <w:color w:val="000000" w:themeColor="text1"/>
                <w:kern w:val="24"/>
                <w:szCs w:val="24"/>
                <w:lang w:eastAsia="en-GB"/>
              </w:rPr>
              <w:t>DNS service providers [referred to  in point (X) of Article 4 of NIS 2 Directive]</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rFonts w:eastAsiaTheme="minorEastAsia"/>
                <w:noProof/>
                <w:color w:val="000000" w:themeColor="text1"/>
                <w:kern w:val="24"/>
                <w:szCs w:val="24"/>
                <w:lang w:eastAsia="en-GB"/>
              </w:rPr>
            </w:pPr>
          </w:p>
        </w:tc>
        <w:tc>
          <w:tcPr>
            <w:tcW w:w="4078" w:type="dxa"/>
          </w:tcPr>
          <w:p>
            <w:pPr>
              <w:rPr>
                <w:noProof/>
                <w:lang w:eastAsia="en-GB"/>
              </w:rPr>
            </w:pPr>
            <w:r>
              <w:rPr>
                <w:noProof/>
                <w:lang w:eastAsia="en-GB"/>
              </w:rPr>
              <w:t>—</w:t>
            </w:r>
            <w:r>
              <w:rPr>
                <w:noProof/>
                <w:lang w:eastAsia="en-GB"/>
              </w:rPr>
              <w:tab/>
            </w:r>
            <w:r>
              <w:rPr>
                <w:rFonts w:eastAsiaTheme="minorEastAsia"/>
                <w:noProof/>
                <w:color w:val="000000" w:themeColor="text1"/>
                <w:kern w:val="24"/>
                <w:szCs w:val="24"/>
                <w:lang w:eastAsia="en-GB"/>
              </w:rPr>
              <w:t xml:space="preserve">TLD name registries [referred to  in point (X) of Article 4 of NIS 2 Directive] </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rFonts w:eastAsiaTheme="minorEastAsia"/>
                <w:noProof/>
                <w:color w:val="000000" w:themeColor="text1"/>
                <w:kern w:val="24"/>
                <w:szCs w:val="24"/>
                <w:lang w:eastAsia="en-GB"/>
              </w:rPr>
            </w:pPr>
          </w:p>
        </w:tc>
        <w:tc>
          <w:tcPr>
            <w:tcW w:w="4078" w:type="dxa"/>
          </w:tcPr>
          <w:p>
            <w:pPr>
              <w:rPr>
                <w:noProof/>
                <w:lang w:eastAsia="en-GB"/>
              </w:rPr>
            </w:pPr>
            <w:r>
              <w:rPr>
                <w:noProof/>
                <w:lang w:eastAsia="en-GB"/>
              </w:rPr>
              <w:t>—</w:t>
            </w:r>
            <w:r>
              <w:rPr>
                <w:noProof/>
                <w:lang w:eastAsia="en-GB"/>
              </w:rPr>
              <w:tab/>
              <w:t xml:space="preserve">Providers of </w:t>
            </w:r>
            <w:r>
              <w:rPr>
                <w:rFonts w:eastAsiaTheme="minorEastAsia"/>
                <w:noProof/>
                <w:color w:val="000000" w:themeColor="text1"/>
                <w:kern w:val="24"/>
                <w:szCs w:val="24"/>
                <w:lang w:eastAsia="en-GB"/>
              </w:rPr>
              <w:t>Cloud computing service [referred to  in point (X) of Article 4 of NIS 2 Directive]</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rFonts w:eastAsiaTheme="minorEastAsia"/>
                <w:noProof/>
                <w:color w:val="000000" w:themeColor="text1"/>
                <w:kern w:val="24"/>
                <w:szCs w:val="24"/>
                <w:lang w:eastAsia="en-GB"/>
              </w:rPr>
            </w:pPr>
          </w:p>
        </w:tc>
        <w:tc>
          <w:tcPr>
            <w:tcW w:w="4078" w:type="dxa"/>
            <w:shd w:val="clear" w:color="auto" w:fill="auto"/>
          </w:tcPr>
          <w:p>
            <w:pPr>
              <w:rPr>
                <w:noProof/>
                <w:lang w:eastAsia="en-GB"/>
              </w:rPr>
            </w:pPr>
            <w:r>
              <w:rPr>
                <w:noProof/>
                <w:lang w:eastAsia="en-GB"/>
              </w:rPr>
              <w:t>—</w:t>
            </w:r>
            <w:r>
              <w:rPr>
                <w:rFonts w:eastAsiaTheme="minorEastAsia"/>
                <w:noProof/>
                <w:kern w:val="24"/>
                <w:szCs w:val="24"/>
                <w:lang w:eastAsia="en-GB"/>
              </w:rPr>
              <w:t xml:space="preserve"> Providers of Data centre service </w:t>
            </w:r>
            <w:r>
              <w:rPr>
                <w:rFonts w:eastAsiaTheme="minorEastAsia"/>
                <w:noProof/>
                <w:color w:val="000000" w:themeColor="text1"/>
                <w:kern w:val="24"/>
                <w:szCs w:val="24"/>
                <w:lang w:eastAsia="en-GB"/>
              </w:rPr>
              <w:t>[referred to  in point (X) of Article 4 of NIS 2 Directive]</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rFonts w:eastAsiaTheme="minorEastAsia"/>
                <w:noProof/>
                <w:color w:val="000000" w:themeColor="text1"/>
                <w:kern w:val="24"/>
                <w:szCs w:val="24"/>
                <w:lang w:eastAsia="en-GB"/>
              </w:rPr>
            </w:pPr>
          </w:p>
        </w:tc>
        <w:tc>
          <w:tcPr>
            <w:tcW w:w="4078" w:type="dxa"/>
            <w:shd w:val="clear" w:color="auto" w:fill="auto"/>
          </w:tcPr>
          <w:p>
            <w:pPr>
              <w:rPr>
                <w:noProof/>
                <w:lang w:eastAsia="en-GB"/>
              </w:rPr>
            </w:pPr>
            <w:r>
              <w:rPr>
                <w:noProof/>
                <w:lang w:eastAsia="en-GB"/>
              </w:rPr>
              <w:t>—</w:t>
            </w:r>
            <w:r>
              <w:rPr>
                <w:noProof/>
                <w:lang w:eastAsia="en-GB"/>
              </w:rPr>
              <w:tab/>
              <w:t xml:space="preserve">Providers of </w:t>
            </w:r>
            <w:r>
              <w:rPr>
                <w:rFonts w:eastAsiaTheme="minorEastAsia"/>
                <w:noProof/>
                <w:kern w:val="24"/>
                <w:szCs w:val="24"/>
                <w:lang w:eastAsia="en-GB"/>
              </w:rPr>
              <w:t xml:space="preserve">Content delivery network </w:t>
            </w:r>
            <w:r>
              <w:rPr>
                <w:rFonts w:eastAsiaTheme="minorEastAsia"/>
                <w:noProof/>
                <w:color w:val="000000" w:themeColor="text1"/>
                <w:kern w:val="24"/>
                <w:szCs w:val="24"/>
                <w:lang w:eastAsia="en-GB"/>
              </w:rPr>
              <w:t>[referred to  in point (X) of Article 4 of NIS 2 Directive]</w:t>
            </w:r>
          </w:p>
        </w:tc>
      </w:tr>
      <w:tr>
        <w:tc>
          <w:tcPr>
            <w:tcW w:w="2518" w:type="dxa"/>
            <w:vMerge/>
          </w:tcPr>
          <w:p>
            <w:pPr>
              <w:rPr>
                <w:rFonts w:eastAsiaTheme="minorEastAsia"/>
                <w:noProof/>
                <w:color w:val="000000" w:themeColor="text1"/>
                <w:kern w:val="24"/>
                <w:szCs w:val="24"/>
                <w:lang w:eastAsia="en-GB"/>
              </w:rPr>
            </w:pPr>
          </w:p>
        </w:tc>
        <w:tc>
          <w:tcPr>
            <w:tcW w:w="2693" w:type="dxa"/>
            <w:vMerge/>
          </w:tcPr>
          <w:p>
            <w:pPr>
              <w:rPr>
                <w:rFonts w:eastAsiaTheme="minorEastAsia"/>
                <w:noProof/>
                <w:color w:val="000000" w:themeColor="text1"/>
                <w:kern w:val="24"/>
                <w:szCs w:val="24"/>
                <w:lang w:eastAsia="en-GB"/>
              </w:rPr>
            </w:pPr>
          </w:p>
        </w:tc>
        <w:tc>
          <w:tcPr>
            <w:tcW w:w="4078" w:type="dxa"/>
          </w:tcPr>
          <w:p>
            <w:pPr>
              <w:rPr>
                <w:noProof/>
                <w:lang w:eastAsia="en-GB"/>
              </w:rPr>
            </w:pPr>
            <w:r>
              <w:rPr>
                <w:noProof/>
                <w:lang w:val="en-IE" w:eastAsia="en-GB"/>
              </w:rPr>
              <w:t>—</w:t>
            </w:r>
            <w:r>
              <w:rPr>
                <w:noProof/>
                <w:lang w:val="en-IE" w:eastAsia="en-GB"/>
              </w:rPr>
              <w:tab/>
            </w:r>
            <w:r>
              <w:rPr>
                <w:rFonts w:eastAsiaTheme="minorEastAsia"/>
                <w:noProof/>
                <w:color w:val="000000" w:themeColor="text1"/>
                <w:kern w:val="24"/>
                <w:szCs w:val="24"/>
                <w:lang w:val="en-IE" w:eastAsia="en-GB"/>
              </w:rPr>
              <w:t>Trust service providers referred to in point (19) of Article 3 of Regulation (EU) No 910/2014</w:t>
            </w:r>
            <w:r>
              <w:rPr>
                <w:rStyle w:val="FootnoteReference"/>
                <w:rFonts w:eastAsiaTheme="minorEastAsia"/>
                <w:noProof/>
                <w:color w:val="000000" w:themeColor="text1"/>
                <w:kern w:val="24"/>
                <w:szCs w:val="24"/>
                <w:lang w:val="en-IE" w:eastAsia="en-GB"/>
              </w:rPr>
              <w:footnoteReference w:id="26"/>
            </w:r>
          </w:p>
        </w:tc>
      </w:tr>
      <w:tr>
        <w:trPr>
          <w:trHeight w:val="733"/>
        </w:trPr>
        <w:tc>
          <w:tcPr>
            <w:tcW w:w="2518" w:type="dxa"/>
            <w:vMerge/>
          </w:tcPr>
          <w:p>
            <w:pPr>
              <w:rPr>
                <w:rFonts w:eastAsiaTheme="minorEastAsia"/>
                <w:noProof/>
                <w:color w:val="000000" w:themeColor="text1"/>
                <w:kern w:val="24"/>
                <w:szCs w:val="24"/>
                <w:lang w:val="en-IE" w:eastAsia="en-GB"/>
              </w:rPr>
            </w:pPr>
          </w:p>
        </w:tc>
        <w:tc>
          <w:tcPr>
            <w:tcW w:w="2693" w:type="dxa"/>
            <w:vMerge/>
          </w:tcPr>
          <w:p>
            <w:pPr>
              <w:rPr>
                <w:rFonts w:eastAsiaTheme="minorEastAsia"/>
                <w:noProof/>
                <w:color w:val="000000" w:themeColor="text1"/>
                <w:kern w:val="24"/>
                <w:szCs w:val="24"/>
                <w:lang w:val="en-IE" w:eastAsia="en-GB"/>
              </w:rPr>
            </w:pPr>
          </w:p>
        </w:tc>
        <w:tc>
          <w:tcPr>
            <w:tcW w:w="4078" w:type="dxa"/>
          </w:tcPr>
          <w:p>
            <w:pPr>
              <w:rPr>
                <w:noProof/>
                <w:lang w:val="en-IE" w:eastAsia="en-GB"/>
              </w:rPr>
            </w:pPr>
            <w:r>
              <w:rPr>
                <w:noProof/>
                <w:lang w:val="en-IE" w:eastAsia="en-GB"/>
              </w:rPr>
              <w:t>—</w:t>
            </w:r>
            <w:r>
              <w:rPr>
                <w:noProof/>
                <w:lang w:val="en-IE" w:eastAsia="en-GB"/>
              </w:rPr>
              <w:tab/>
              <w:t>Providers of public electronic communications networks referred to in point (8) of Article 2 of Directive (EU) 2018/1972</w:t>
            </w:r>
            <w:r>
              <w:rPr>
                <w:rStyle w:val="FootnoteReference"/>
                <w:noProof/>
                <w:lang w:val="en-IE" w:eastAsia="en-GB"/>
              </w:rPr>
              <w:footnoteReference w:id="27"/>
            </w:r>
            <w:r>
              <w:rPr>
                <w:noProof/>
                <w:lang w:val="en-IE" w:eastAsia="en-GB"/>
              </w:rPr>
              <w:t xml:space="preserve"> or providers of electronic communications services within the meaning of point (4) of Article 2 of Directive (EU) 2018/1972 insofar as their services are publicly available</w:t>
            </w:r>
          </w:p>
        </w:tc>
      </w:tr>
      <w:tr>
        <w:tc>
          <w:tcPr>
            <w:tcW w:w="2518" w:type="dxa"/>
            <w:vMerge w:val="restart"/>
          </w:tcPr>
          <w:p>
            <w:pPr>
              <w:rPr>
                <w:rFonts w:eastAsiaTheme="minorEastAsia"/>
                <w:noProof/>
                <w:color w:val="000000" w:themeColor="text1"/>
                <w:kern w:val="24"/>
                <w:szCs w:val="24"/>
                <w:lang w:val="en-US" w:eastAsia="en-GB"/>
              </w:rPr>
            </w:pPr>
            <w:r>
              <w:rPr>
                <w:rFonts w:eastAsiaTheme="minorEastAsia"/>
                <w:noProof/>
                <w:color w:val="000000" w:themeColor="text1"/>
                <w:kern w:val="24"/>
                <w:szCs w:val="24"/>
                <w:lang w:val="en-US" w:eastAsia="en-GB"/>
              </w:rPr>
              <w:t xml:space="preserve">9. Public administration  </w:t>
            </w:r>
          </w:p>
          <w:p>
            <w:pPr>
              <w:rPr>
                <w:rFonts w:eastAsiaTheme="minorEastAsia"/>
                <w:noProof/>
                <w:color w:val="000000" w:themeColor="text1"/>
                <w:kern w:val="24"/>
                <w:szCs w:val="24"/>
                <w:lang w:val="en-US" w:eastAsia="en-GB"/>
              </w:rPr>
            </w:pPr>
          </w:p>
          <w:p>
            <w:pPr>
              <w:rPr>
                <w:rFonts w:eastAsiaTheme="minorEastAsia"/>
                <w:noProof/>
                <w:color w:val="000000" w:themeColor="text1"/>
                <w:kern w:val="24"/>
                <w:szCs w:val="24"/>
                <w:lang w:val="en-US" w:eastAsia="en-GB"/>
              </w:rPr>
            </w:pPr>
          </w:p>
        </w:tc>
        <w:tc>
          <w:tcPr>
            <w:tcW w:w="2693" w:type="dxa"/>
            <w:vMerge w:val="restart"/>
          </w:tcPr>
          <w:p>
            <w:pPr>
              <w:rPr>
                <w:rFonts w:eastAsiaTheme="minorEastAsia"/>
                <w:noProof/>
                <w:color w:val="000000" w:themeColor="text1"/>
                <w:kern w:val="24"/>
                <w:szCs w:val="24"/>
                <w:lang w:eastAsia="en-GB"/>
              </w:rPr>
            </w:pPr>
          </w:p>
          <w:p>
            <w:pPr>
              <w:rPr>
                <w:rFonts w:eastAsiaTheme="minorEastAsia"/>
                <w:noProof/>
                <w:color w:val="000000" w:themeColor="text1"/>
                <w:kern w:val="24"/>
                <w:szCs w:val="24"/>
                <w:lang w:eastAsia="en-GB"/>
              </w:rPr>
            </w:pPr>
          </w:p>
        </w:tc>
        <w:tc>
          <w:tcPr>
            <w:tcW w:w="4078" w:type="dxa"/>
          </w:tcPr>
          <w:p>
            <w:pPr>
              <w:tabs>
                <w:tab w:val="num" w:pos="850"/>
              </w:tabs>
              <w:rPr>
                <w:noProof/>
              </w:rPr>
            </w:pPr>
            <w:r>
              <w:rPr>
                <w:noProof/>
                <w:lang w:val="en-IE" w:eastAsia="en-GB"/>
              </w:rPr>
              <w:t>—</w:t>
            </w:r>
            <w:r>
              <w:rPr>
                <w:noProof/>
                <w:lang w:val="en-IE" w:eastAsia="en-GB"/>
              </w:rPr>
              <w:tab/>
            </w:r>
            <w:r>
              <w:rPr>
                <w:noProof/>
              </w:rPr>
              <w:t xml:space="preserve">Public administration entities, </w:t>
            </w:r>
            <w:r>
              <w:rPr>
                <w:rFonts w:eastAsiaTheme="minorEastAsia"/>
                <w:noProof/>
                <w:color w:val="000000" w:themeColor="text1"/>
                <w:kern w:val="24"/>
                <w:szCs w:val="24"/>
                <w:lang w:eastAsia="en-GB"/>
              </w:rPr>
              <w:t>[referred to in point (X) of Article 4 of NIS 2 Directive],</w:t>
            </w:r>
            <w:r>
              <w:rPr>
                <w:noProof/>
              </w:rPr>
              <w:t xml:space="preserve"> of central governments </w:t>
            </w:r>
          </w:p>
        </w:tc>
      </w:tr>
      <w:tr>
        <w:tc>
          <w:tcPr>
            <w:tcW w:w="2518" w:type="dxa"/>
            <w:vMerge/>
          </w:tcPr>
          <w:p>
            <w:pPr>
              <w:rPr>
                <w:rFonts w:eastAsiaTheme="minorEastAsia"/>
                <w:noProof/>
                <w:color w:val="000000" w:themeColor="text1"/>
                <w:kern w:val="24"/>
                <w:szCs w:val="24"/>
                <w:lang w:val="en-US" w:eastAsia="en-GB"/>
              </w:rPr>
            </w:pPr>
          </w:p>
        </w:tc>
        <w:tc>
          <w:tcPr>
            <w:tcW w:w="2693" w:type="dxa"/>
            <w:vMerge/>
          </w:tcPr>
          <w:p>
            <w:pPr>
              <w:rPr>
                <w:rFonts w:eastAsiaTheme="minorEastAsia"/>
                <w:noProof/>
                <w:color w:val="000000" w:themeColor="text1"/>
                <w:kern w:val="24"/>
                <w:szCs w:val="24"/>
                <w:lang w:eastAsia="en-GB"/>
              </w:rPr>
            </w:pPr>
          </w:p>
        </w:tc>
        <w:tc>
          <w:tcPr>
            <w:tcW w:w="4078" w:type="dxa"/>
          </w:tcPr>
          <w:p>
            <w:pPr>
              <w:rPr>
                <w:noProof/>
                <w:lang w:val="en-IE" w:eastAsia="en-GB"/>
              </w:rPr>
            </w:pPr>
            <w:r>
              <w:rPr>
                <w:noProof/>
                <w:lang w:val="en-IE" w:eastAsia="en-GB"/>
              </w:rPr>
              <w:t>—</w:t>
            </w:r>
            <w:r>
              <w:rPr>
                <w:noProof/>
                <w:lang w:val="en-IE" w:eastAsia="en-GB"/>
              </w:rPr>
              <w:tab/>
            </w:r>
            <w:r>
              <w:rPr>
                <w:noProof/>
              </w:rPr>
              <w:t xml:space="preserve">Public administration entities, </w:t>
            </w:r>
            <w:r>
              <w:rPr>
                <w:rFonts w:eastAsiaTheme="minorEastAsia"/>
                <w:noProof/>
                <w:color w:val="000000" w:themeColor="text1"/>
                <w:kern w:val="24"/>
                <w:szCs w:val="24"/>
                <w:lang w:eastAsia="en-GB"/>
              </w:rPr>
              <w:t xml:space="preserve">[referred to in point (X) of Article 4 of NIS 2 Directive], </w:t>
            </w:r>
            <w:r>
              <w:rPr>
                <w:noProof/>
              </w:rPr>
              <w:t>of NUTS level 1 regions listed in Annex I to Regulation (EC) No 1059/2003</w:t>
            </w:r>
            <w:r>
              <w:rPr>
                <w:rStyle w:val="FootnoteReference"/>
                <w:noProof/>
              </w:rPr>
              <w:footnoteReference w:id="28"/>
            </w:r>
          </w:p>
        </w:tc>
      </w:tr>
      <w:tr>
        <w:tc>
          <w:tcPr>
            <w:tcW w:w="2518" w:type="dxa"/>
            <w:vMerge/>
          </w:tcPr>
          <w:p>
            <w:pPr>
              <w:rPr>
                <w:rFonts w:eastAsiaTheme="minorEastAsia"/>
                <w:noProof/>
                <w:color w:val="000000" w:themeColor="text1"/>
                <w:kern w:val="24"/>
                <w:szCs w:val="24"/>
                <w:lang w:val="en-US" w:eastAsia="en-GB"/>
              </w:rPr>
            </w:pPr>
          </w:p>
        </w:tc>
        <w:tc>
          <w:tcPr>
            <w:tcW w:w="2693" w:type="dxa"/>
            <w:vMerge/>
          </w:tcPr>
          <w:p>
            <w:pPr>
              <w:rPr>
                <w:rFonts w:eastAsiaTheme="minorEastAsia"/>
                <w:noProof/>
                <w:color w:val="000000" w:themeColor="text1"/>
                <w:kern w:val="24"/>
                <w:szCs w:val="24"/>
                <w:lang w:eastAsia="en-GB"/>
              </w:rPr>
            </w:pPr>
          </w:p>
        </w:tc>
        <w:tc>
          <w:tcPr>
            <w:tcW w:w="4078" w:type="dxa"/>
          </w:tcPr>
          <w:p>
            <w:pPr>
              <w:rPr>
                <w:noProof/>
                <w:lang w:val="en-IE" w:eastAsia="en-GB"/>
              </w:rPr>
            </w:pPr>
            <w:r>
              <w:rPr>
                <w:noProof/>
                <w:lang w:val="en-IE" w:eastAsia="en-GB"/>
              </w:rPr>
              <w:t>—</w:t>
            </w:r>
            <w:r>
              <w:rPr>
                <w:noProof/>
                <w:lang w:val="en-IE" w:eastAsia="en-GB"/>
              </w:rPr>
              <w:tab/>
              <w:t xml:space="preserve">Public administration entities, </w:t>
            </w:r>
            <w:r>
              <w:rPr>
                <w:rFonts w:eastAsiaTheme="minorEastAsia"/>
                <w:noProof/>
                <w:color w:val="000000" w:themeColor="text1"/>
                <w:kern w:val="24"/>
                <w:szCs w:val="24"/>
                <w:lang w:eastAsia="en-GB"/>
              </w:rPr>
              <w:t xml:space="preserve">[referred to in point (X) of Article 4 of NIS 2 Directive], </w:t>
            </w:r>
            <w:r>
              <w:rPr>
                <w:noProof/>
                <w:lang w:val="en-IE" w:eastAsia="en-GB"/>
              </w:rPr>
              <w:t>of NUTS level 2 regions listed in Annex I to Regulation (EC) No 1059/2003</w:t>
            </w:r>
          </w:p>
        </w:tc>
      </w:tr>
      <w:tr>
        <w:tc>
          <w:tcPr>
            <w:tcW w:w="2518" w:type="dxa"/>
          </w:tcPr>
          <w:p>
            <w:pPr>
              <w:rPr>
                <w:rFonts w:eastAsiaTheme="minorEastAsia"/>
                <w:noProof/>
                <w:color w:val="000000" w:themeColor="text1"/>
                <w:kern w:val="24"/>
                <w:szCs w:val="24"/>
                <w:lang w:val="fr-FR" w:eastAsia="en-GB"/>
              </w:rPr>
            </w:pPr>
            <w:r>
              <w:rPr>
                <w:rFonts w:eastAsiaTheme="minorEastAsia"/>
                <w:noProof/>
                <w:color w:val="000000" w:themeColor="text1"/>
                <w:kern w:val="24"/>
                <w:szCs w:val="24"/>
                <w:lang w:val="fr-FR" w:eastAsia="en-GB"/>
              </w:rPr>
              <w:t>10. Space</w:t>
            </w:r>
          </w:p>
        </w:tc>
        <w:tc>
          <w:tcPr>
            <w:tcW w:w="2693" w:type="dxa"/>
          </w:tcPr>
          <w:p>
            <w:pPr>
              <w:rPr>
                <w:rFonts w:eastAsiaTheme="minorEastAsia"/>
                <w:noProof/>
                <w:color w:val="000000" w:themeColor="text1"/>
                <w:kern w:val="24"/>
                <w:szCs w:val="24"/>
                <w:lang w:val="fr-FR" w:eastAsia="en-GB"/>
              </w:rPr>
            </w:pPr>
          </w:p>
        </w:tc>
        <w:tc>
          <w:tcPr>
            <w:tcW w:w="4078" w:type="dxa"/>
          </w:tcPr>
          <w:p>
            <w:pPr>
              <w:rPr>
                <w:noProof/>
                <w:lang w:val="en-IE" w:eastAsia="en-GB"/>
              </w:rPr>
            </w:pPr>
            <w:r>
              <w:rPr>
                <w:noProof/>
                <w:lang w:val="en-IE" w:eastAsia="en-GB"/>
              </w:rPr>
              <w:t>—</w:t>
            </w:r>
            <w:r>
              <w:rPr>
                <w:noProof/>
                <w:lang w:val="en-IE" w:eastAsia="en-GB"/>
              </w:rPr>
              <w:tab/>
            </w:r>
            <w:r>
              <w:rPr>
                <w:bCs/>
                <w:noProof/>
                <w:lang w:val="en-IE"/>
              </w:rPr>
              <w:t>Operators of ground-based infrastructure, owned, managed and operated by Member States or by private parties, that support the provision of space-based services, excluding providers of public electronic communications networks within the meaning of point (8) of Article 2 of Directive (EU) 2018/1972</w:t>
            </w:r>
          </w:p>
        </w:tc>
      </w:tr>
    </w:tbl>
    <w:p>
      <w:pPr>
        <w:rPr>
          <w:noProof/>
        </w:rPr>
      </w:pPr>
    </w:p>
    <w:p>
      <w:pPr>
        <w:rPr>
          <w:noProof/>
        </w:rPr>
      </w:pP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w:t>
      </w:r>
      <w:r>
        <w:rPr>
          <w:rStyle w:val="Marker"/>
          <w:noProof/>
        </w:rPr>
        <w:t>[…]</w:t>
      </w: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 xml:space="preserve">ANNEX </w:t>
      </w:r>
      <w:r>
        <w:rPr>
          <w:rStyle w:val="Marker"/>
          <w:noProof/>
        </w:rPr>
        <w: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lang w:val="en-US"/>
        </w:rPr>
        <w:t>Directive (EU) 2019/944 of the European Parliament and of the Council of 5 June 2019 on common rules for the internal market for electricity and amending Directive 2012/27/EU (OJ L 158, 14.6.2019, p.125</w:t>
      </w:r>
    </w:p>
  </w:footnote>
  <w:footnote w:id="3">
    <w:p>
      <w:pPr>
        <w:pStyle w:val="FootnoteText"/>
      </w:pPr>
      <w:r>
        <w:rPr>
          <w:rStyle w:val="FootnoteReference"/>
        </w:rPr>
        <w:footnoteRef/>
      </w:r>
      <w:r>
        <w:tab/>
      </w:r>
      <w:r>
        <w:rPr>
          <w:lang w:val="en-US"/>
        </w:rPr>
        <w:t>Regulation (EU) 2019/943 of the European Parliament and of the Council on the internal market for electricity (OJ L 158, 14.6.2019, p. 54).</w:t>
      </w:r>
    </w:p>
  </w:footnote>
  <w:footnote w:id="4">
    <w:p>
      <w:pPr>
        <w:pStyle w:val="FootnoteText"/>
      </w:pPr>
      <w:r>
        <w:rPr>
          <w:rStyle w:val="FootnoteReference"/>
        </w:rPr>
        <w:footnoteRef/>
      </w:r>
      <w:r>
        <w:tab/>
      </w:r>
      <w:r>
        <w:rPr>
          <w:lang w:val="en-US"/>
        </w:rPr>
        <w:t>Directive (EU) 2018/2001 of the European Parliament and of the Council of 11 December 2018 on the promotion of the use of energy from renewable sources (OJ L 328, 21.12.2018, p. 82).</w:t>
      </w:r>
    </w:p>
  </w:footnote>
  <w:footnote w:id="5">
    <w:p>
      <w:pPr>
        <w:pStyle w:val="FootnoteText"/>
      </w:pPr>
      <w:r>
        <w:rPr>
          <w:rStyle w:val="FootnoteReference"/>
        </w:rPr>
        <w:footnoteRef/>
      </w:r>
      <w:r>
        <w:tab/>
      </w:r>
      <w:r>
        <w:rPr>
          <w:lang w:val="en-US"/>
        </w:rPr>
        <w:t>Council Directive 2009/119/EC of 14 September 2009 imposing an obligation on Member States to maintain minimum stocks of crude oil and/or petroleum products (OJ L 265, 9.10.2009, p.9).</w:t>
      </w:r>
    </w:p>
  </w:footnote>
  <w:footnote w:id="6">
    <w:p>
      <w:pPr>
        <w:pStyle w:val="FootnoteText"/>
      </w:pPr>
      <w:r>
        <w:rPr>
          <w:rStyle w:val="FootnoteReference"/>
        </w:rPr>
        <w:footnoteRef/>
      </w:r>
      <w:r>
        <w:tab/>
      </w:r>
      <w:r>
        <w:rPr>
          <w:lang w:val="en-US"/>
        </w:rPr>
        <w:t>Directive 2009/73/EC of the European Parliament and of the Council of 13 July 2009 concerning common rules for the internal market in natural gas and repealing Directive 2003/55/EC (OJ L 211, 14.8.2009, p. 94).</w:t>
      </w:r>
    </w:p>
  </w:footnote>
  <w:footnote w:id="7">
    <w:p>
      <w:pPr>
        <w:pStyle w:val="FootnoteText"/>
      </w:pPr>
      <w:r>
        <w:rPr>
          <w:rStyle w:val="FootnoteReference"/>
        </w:rPr>
        <w:footnoteRef/>
      </w:r>
      <w:r>
        <w:tab/>
      </w:r>
      <w:r>
        <w:rPr>
          <w:lang w:val="en-US"/>
        </w:rPr>
        <w:t>Regulation (EC) No 300/2008 of the European Parliament and of the Council of 11 March 2008 on common rules in the field of civil aviation security and repealing Regulation (EC) No 2320/2002 (OJ L 97, 9.4.2008, p.72).</w:t>
      </w:r>
    </w:p>
  </w:footnote>
  <w:footnote w:id="8">
    <w:p>
      <w:pPr>
        <w:pStyle w:val="FootnoteText"/>
      </w:pPr>
      <w:r>
        <w:rPr>
          <w:rStyle w:val="FootnoteReference"/>
        </w:rPr>
        <w:footnoteRef/>
      </w:r>
      <w:r>
        <w:tab/>
      </w:r>
      <w:r>
        <w:rPr>
          <w:lang w:val="en-US"/>
        </w:rPr>
        <w:t>Directive 2009/12/EC of the European Parliament and of the Council of 11 March 2009 on airport charges (OJ L 70, 14.3.2009, p.11).</w:t>
      </w:r>
    </w:p>
  </w:footnote>
  <w:footnote w:id="9">
    <w:p>
      <w:pPr>
        <w:pStyle w:val="FootnoteText"/>
      </w:pPr>
      <w:r>
        <w:rPr>
          <w:rStyle w:val="FootnoteReference"/>
        </w:rPr>
        <w:footnoteRef/>
      </w:r>
      <w:r>
        <w:tab/>
      </w:r>
      <w:r>
        <w:rPr>
          <w:lang w:val="en-US"/>
        </w:rPr>
        <w:t>Regulation (EC) No 1315/2013 of the European Parliament and of the Council of 11 December 2013 on Union guidelines for the development of the trans-European transport network and repealing Decision No 661/2010/EU (OJ L 348, 20.12.2013, p.1).</w:t>
      </w:r>
    </w:p>
  </w:footnote>
  <w:footnote w:id="10">
    <w:p>
      <w:pPr>
        <w:pStyle w:val="FootnoteText"/>
      </w:pPr>
      <w:r>
        <w:rPr>
          <w:rStyle w:val="FootnoteReference"/>
        </w:rPr>
        <w:footnoteRef/>
      </w:r>
      <w:r>
        <w:tab/>
      </w:r>
      <w:r>
        <w:rPr>
          <w:lang w:val="en-US"/>
        </w:rPr>
        <w:t>Regulation (EC) No 549/2004 of the European Parliament and of the Council of 10 March 2004 laying down the framework for the creation of the single European sky (the framework Regulation) (OJ L 96, 31.3.2004, p.1).</w:t>
      </w:r>
    </w:p>
  </w:footnote>
  <w:footnote w:id="11">
    <w:p>
      <w:pPr>
        <w:pStyle w:val="FootnoteText"/>
      </w:pPr>
      <w:r>
        <w:rPr>
          <w:rStyle w:val="FootnoteReference"/>
        </w:rPr>
        <w:footnoteRef/>
      </w:r>
      <w:r>
        <w:tab/>
      </w:r>
      <w:r>
        <w:rPr>
          <w:lang w:val="en-US"/>
        </w:rPr>
        <w:t>Directive 2012/34/EU of the European Parliament and of the Council of 21 November 2012 establishing a single European railway area (OJ L 343, 14.12.2012, p.32).</w:t>
      </w:r>
    </w:p>
  </w:footnote>
  <w:footnote w:id="12">
    <w:p>
      <w:pPr>
        <w:pStyle w:val="FootnoteText"/>
      </w:pPr>
      <w:r>
        <w:rPr>
          <w:rStyle w:val="FootnoteReference"/>
        </w:rPr>
        <w:footnoteRef/>
      </w:r>
      <w:r>
        <w:tab/>
      </w:r>
      <w:r>
        <w:rPr>
          <w:lang w:val="en-US"/>
        </w:rPr>
        <w:t>Regulation (EC) No 725/2004 of the European Parliament and of the Council of 31 March 2004 on enhancing ship and port facility security (OJ L 129, 29.4.2004, p.6).</w:t>
      </w:r>
    </w:p>
  </w:footnote>
  <w:footnote w:id="13">
    <w:p>
      <w:pPr>
        <w:pStyle w:val="FootnoteText"/>
      </w:pPr>
      <w:r>
        <w:rPr>
          <w:rStyle w:val="FootnoteReference"/>
        </w:rPr>
        <w:footnoteRef/>
      </w:r>
      <w:r>
        <w:tab/>
      </w:r>
      <w:r>
        <w:rPr>
          <w:lang w:val="en-US"/>
        </w:rPr>
        <w:t>Directive 2005/65/EC of the European Parliament and of the Council of 26 October 2005 on enhancing port security (OJ L 310, 25.11.2005, p. 28).</w:t>
      </w:r>
    </w:p>
  </w:footnote>
  <w:footnote w:id="14">
    <w:p>
      <w:pPr>
        <w:pStyle w:val="FootnoteText"/>
        <w:ind w:left="709" w:hanging="709"/>
        <w:rPr>
          <w:lang w:val="en-US"/>
        </w:rPr>
      </w:pPr>
      <w:r>
        <w:rPr>
          <w:rStyle w:val="FootnoteReference"/>
        </w:rPr>
        <w:footnoteRef/>
      </w:r>
      <w:r>
        <w:tab/>
      </w:r>
      <w:r>
        <w:rPr>
          <w:lang w:val="en-US"/>
        </w:rPr>
        <w:t>Directive 2002/59/EC of the European Parliament and of the Council of 27 June 2002 establishing a Community vessel traffic monitoring and information system and repealing Council Directive 93/75/EEC (OJ L 208, 5.8.2002, p.10).</w:t>
      </w:r>
    </w:p>
  </w:footnote>
  <w:footnote w:id="15">
    <w:p>
      <w:pPr>
        <w:pStyle w:val="FootnoteText"/>
      </w:pPr>
      <w:r>
        <w:rPr>
          <w:rStyle w:val="FootnoteReference"/>
        </w:rPr>
        <w:footnoteRef/>
      </w:r>
      <w:r>
        <w:tab/>
      </w:r>
      <w:r>
        <w:rPr>
          <w:lang w:val="en-US"/>
        </w:rPr>
        <w:t>Commission Delegated Regulation (EU) 2015/962 of 18 December 2014 supplementing Directive 2010/40/EU of the European Parliament and of the Council with regard to the provision of EU–wide real–time traffic information services (OJ L 157, 23.6.2015, p. 21).</w:t>
      </w:r>
    </w:p>
  </w:footnote>
  <w:footnote w:id="16">
    <w:p>
      <w:pPr>
        <w:pStyle w:val="FootnoteText"/>
      </w:pPr>
      <w:r>
        <w:rPr>
          <w:rStyle w:val="FootnoteReference"/>
        </w:rPr>
        <w:footnoteRef/>
      </w:r>
      <w:r>
        <w:tab/>
      </w:r>
      <w:r>
        <w:rPr>
          <w:lang w:val="en-US"/>
        </w:rPr>
        <w:t>Directive 2010/40/EU of the European Parliament and of the Council of 7 July 2010 on the framework for the deployment of Intelligent Transport Systems in the field of road transport and for interfaces with other modes of transport (OJ L 207, 6.8.2010, p. 1).</w:t>
      </w:r>
    </w:p>
  </w:footnote>
  <w:footnote w:id="17">
    <w:p>
      <w:pPr>
        <w:pStyle w:val="FootnoteText"/>
      </w:pPr>
      <w:r>
        <w:rPr>
          <w:rStyle w:val="FootnoteReference"/>
        </w:rPr>
        <w:footnoteRef/>
      </w:r>
      <w:r>
        <w:tab/>
      </w:r>
      <w:r>
        <w:rPr>
          <w:lang w:val="en-US"/>
        </w:rPr>
        <w:t>Regulation (EU) No 575/2013 of the European Parliament and of the Council of 26 June 2013 on prudential requirements for credit institutions and investment firms and amending Regulation (EU) No 648/2012 (OJ L 176, 27.6.2013, p. 1).</w:t>
      </w:r>
    </w:p>
  </w:footnote>
  <w:footnote w:id="18">
    <w:p>
      <w:pPr>
        <w:pStyle w:val="FootnoteText"/>
        <w:ind w:left="709" w:hanging="709"/>
        <w:rPr>
          <w:lang w:val="en-US"/>
        </w:rPr>
      </w:pPr>
      <w:r>
        <w:rPr>
          <w:rStyle w:val="FootnoteReference"/>
        </w:rPr>
        <w:footnoteRef/>
      </w:r>
      <w:r>
        <w:tab/>
      </w:r>
      <w:r>
        <w:rPr>
          <w:lang w:val="en-US"/>
        </w:rPr>
        <w:t>Directive 2014/65/EU of the European Parliament and of the Council of 15 May 2014 on markets in financial instruments and amending Directive 2002/92/EC and Directive 2011/61/EU (OJ L 173, 12.6.2014, p. 349).</w:t>
      </w:r>
    </w:p>
  </w:footnote>
  <w:footnote w:id="19">
    <w:p>
      <w:pPr>
        <w:pStyle w:val="FootnoteText"/>
        <w:ind w:left="709" w:hanging="709"/>
        <w:rPr>
          <w:lang w:val="en-US"/>
        </w:rPr>
      </w:pPr>
      <w:r>
        <w:rPr>
          <w:rStyle w:val="FootnoteReference"/>
        </w:rPr>
        <w:footnoteRef/>
      </w:r>
      <w:r>
        <w:tab/>
      </w:r>
      <w:r>
        <w:rPr>
          <w:lang w:val="en-US"/>
        </w:rPr>
        <w:t>Regulation (EU) No 648/2012 of the European Parliament and of the Council of 4 July 2012 on OTC derivatives, central counterparties and trade repositories (OJ L 201, 27.7.2012, p. 1).</w:t>
      </w:r>
    </w:p>
  </w:footnote>
  <w:footnote w:id="20">
    <w:p>
      <w:pPr>
        <w:pStyle w:val="FootnoteText"/>
      </w:pPr>
      <w:r>
        <w:rPr>
          <w:rStyle w:val="FootnoteReference"/>
        </w:rPr>
        <w:footnoteRef/>
      </w:r>
      <w:r>
        <w:tab/>
      </w:r>
      <w:r>
        <w:rPr>
          <w:lang w:val="en-US"/>
        </w:rPr>
        <w:t xml:space="preserve">Directive 2011/24/EU of the European Parliament and of the Council of 9 March 2011 on the application of patients' rights in cross–border healthcare (OJ L 88, 4.4.2011, p. 45).  </w:t>
      </w:r>
    </w:p>
  </w:footnote>
  <w:footnote w:id="21">
    <w:p>
      <w:pPr>
        <w:pStyle w:val="FootnoteText"/>
      </w:pPr>
      <w:r>
        <w:rPr>
          <w:rStyle w:val="FootnoteReference"/>
        </w:rPr>
        <w:footnoteRef/>
      </w:r>
      <w:r>
        <w:tab/>
        <w:t xml:space="preserve">[Regulation of the European Parliament and of the Council </w:t>
      </w:r>
      <w:r>
        <w:rPr>
          <w:lang w:val="en-US"/>
        </w:rPr>
        <w:t>on serious cross-border threats to health and repealing Decision No 1082/2013/EU,  reference to be updated once the proposal COM(2020) 727 final is adopted].</w:t>
      </w:r>
    </w:p>
  </w:footnote>
  <w:footnote w:id="22">
    <w:p>
      <w:pPr>
        <w:pStyle w:val="FootnoteText"/>
      </w:pPr>
      <w:r>
        <w:rPr>
          <w:rStyle w:val="FootnoteReference"/>
        </w:rPr>
        <w:footnoteRef/>
      </w:r>
      <w:r>
        <w:tab/>
      </w:r>
      <w:r>
        <w:rPr>
          <w:lang w:val="en-US"/>
        </w:rPr>
        <w:t>Directive 2001/83/EC of the European Parliament and of the Council of 6 November 2001 on the community code relating to medicinal products for human use (OJ L 311, 28.11.2001, p.67).</w:t>
      </w:r>
    </w:p>
  </w:footnote>
  <w:footnote w:id="23">
    <w:p>
      <w:pPr>
        <w:pStyle w:val="FootnoteText"/>
      </w:pPr>
      <w:r>
        <w:rPr>
          <w:rStyle w:val="FootnoteReference"/>
        </w:rPr>
        <w:footnoteRef/>
      </w:r>
      <w:r>
        <w:tab/>
      </w:r>
      <w:r>
        <w:rPr>
          <w:lang w:val="en-US"/>
        </w:rPr>
        <w:t>[Regulation on a reinforced role for the European Medicines Agency in crisis preparedness and management for medicinal produces and medical devices COM(2020) 725 final] reference once the proposal is updated].</w:t>
      </w:r>
    </w:p>
  </w:footnote>
  <w:footnote w:id="24">
    <w:p>
      <w:pPr>
        <w:pStyle w:val="FootnoteText"/>
      </w:pPr>
      <w:r>
        <w:rPr>
          <w:rStyle w:val="FootnoteReference"/>
        </w:rPr>
        <w:footnoteRef/>
      </w:r>
      <w:r>
        <w:tab/>
      </w:r>
      <w:r>
        <w:rPr>
          <w:lang w:val="en-US"/>
        </w:rPr>
        <w:t>Council Directive 98/83/EC of 3 November 1998 on the quality of water intended for human consumption (OJ L 330, 5.12.1998, p. 32).</w:t>
      </w:r>
    </w:p>
  </w:footnote>
  <w:footnote w:id="25">
    <w:p>
      <w:pPr>
        <w:pStyle w:val="FootnoteText"/>
      </w:pPr>
      <w:r>
        <w:rPr>
          <w:rStyle w:val="FootnoteReference"/>
        </w:rPr>
        <w:footnoteRef/>
      </w:r>
      <w:r>
        <w:tab/>
      </w:r>
      <w:r>
        <w:rPr>
          <w:lang w:val="en-US"/>
        </w:rPr>
        <w:t>Council Directive 91/271/EEC of 21 May 1991 concerning urban waste water treatment (OJ L 135, 30.5.1991, p.40).</w:t>
      </w:r>
    </w:p>
  </w:footnote>
  <w:footnote w:id="26">
    <w:p>
      <w:pPr>
        <w:pStyle w:val="FootnoteText"/>
      </w:pPr>
      <w:r>
        <w:rPr>
          <w:rStyle w:val="FootnoteReference"/>
        </w:rPr>
        <w:footnoteRef/>
      </w:r>
      <w:r>
        <w:tab/>
      </w:r>
      <w:r>
        <w:rPr>
          <w:lang w:val="en-US"/>
        </w:rPr>
        <w:t>Regulation (EU) No 910/2014 of the European Parliament and of the Council of 23 July 2014 on electronic identification and trust services for electronic transactions in the internal market and repealing Directive 1999/93/EC (OJ L 257, 28.8.2014, p.73).</w:t>
      </w:r>
    </w:p>
  </w:footnote>
  <w:footnote w:id="27">
    <w:p>
      <w:pPr>
        <w:pStyle w:val="FootnoteText"/>
      </w:pPr>
      <w:r>
        <w:rPr>
          <w:rStyle w:val="FootnoteReference"/>
        </w:rPr>
        <w:footnoteRef/>
      </w:r>
      <w:r>
        <w:tab/>
      </w:r>
      <w:r>
        <w:rPr>
          <w:lang w:val="en-US"/>
        </w:rPr>
        <w:t>Directive (EU) 2018/1972 of the European Parliament and of the Council of 11 December 2018 establishing the European Electronic Communication Code (OJ L 321, 17.12.2018, p. 36).</w:t>
      </w:r>
    </w:p>
  </w:footnote>
  <w:footnote w:id="28">
    <w:p>
      <w:pPr>
        <w:pStyle w:val="FootnoteText"/>
      </w:pPr>
      <w:r>
        <w:rPr>
          <w:rStyle w:val="FootnoteReference"/>
        </w:rPr>
        <w:footnoteRef/>
      </w:r>
      <w:r>
        <w:tab/>
      </w:r>
      <w:r>
        <w:rPr>
          <w:lang w:val="en-US"/>
        </w:rPr>
        <w:t>Regulation (EC) No 1059/2003 of the European Parliament and of the Council of 26 May 2003 on the establishment of a common classification of territorial units for statistics (NUTS) (OJ L 154, 21.6.2003,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1AD6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4457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7C18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E47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2CF8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E42E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F61300"/>
    <w:lvl w:ilvl="0">
      <w:start w:val="1"/>
      <w:numFmt w:val="decimal"/>
      <w:pStyle w:val="ListNumber"/>
      <w:lvlText w:val="%1."/>
      <w:lvlJc w:val="left"/>
      <w:pPr>
        <w:tabs>
          <w:tab w:val="num" w:pos="360"/>
        </w:tabs>
        <w:ind w:left="360" w:hanging="360"/>
      </w:pPr>
    </w:lvl>
  </w:abstractNum>
  <w:abstractNum w:abstractNumId="7">
    <w:nsid w:val="FFFFFF89"/>
    <w:multiLevelType w:val="singleLevel"/>
    <w:tmpl w:val="91DAE9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1"/>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9 18:14: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ACCOMPAGNANT" w:val="to the proposal for a "/>
    <w:docVar w:name="LW_ACCOMPAGNANT.CP" w:val="to the proposal for a "/>
    <w:docVar w:name="LW_ANNEX_NBR_FIRST" w:val="1"/>
    <w:docVar w:name="LW_ANNEX_NBR_LAST" w:val="1"/>
    <w:docVar w:name="LW_ANNEX_UNIQUE" w:val="1"/>
    <w:docVar w:name="LW_CORRIGENDUM" w:val="&lt;UNUSED&gt;"/>
    <w:docVar w:name="LW_COVERPAGE_EXISTS" w:val="True"/>
    <w:docVar w:name="LW_COVERPAGE_GUID" w:val="FD90F1DF-7C1C-4AF9-B838-4A838EE99C2D"/>
    <w:docVar w:name="LW_COVERPAGE_TYPE" w:val="1"/>
    <w:docVar w:name="LW_CROSSREFERENCE" w:val="{SEC(2020) 433 final} - {SWD(2020) 358 final} - {SWD(2020) 359 final}"/>
    <w:docVar w:name="LW_DocType" w:val="ANNEX"/>
    <w:docVar w:name="LW_EMISSION" w:val="16.12.2020"/>
    <w:docVar w:name="LW_EMISSION_ISODATE" w:val="2020-12-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resilience of critical entities"/>
    <w:docVar w:name="LW_OBJETACTEPRINCIPAL.CP" w:val="on the resilience of critical entities"/>
    <w:docVar w:name="LW_PART_NBR" w:val="1"/>
    <w:docVar w:name="LW_PART_NBR_TOTAL" w:val="1"/>
    <w:docVar w:name="LW_REF.INST.NEW" w:val="COM"/>
    <w:docVar w:name="LW_REF.INST.NEW_ADOPTED" w:val="final"/>
    <w:docVar w:name="LW_REF.INST.NEW_TEXT" w:val="(2020) 8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DIRECTIVE OF THE EUROPEAN PARLIAMENT AND OF THE COUNCIL"/>
    <w:docVar w:name="LW_TYPEACTEPRINCIPAL.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customStyle="1" w:styleId="ListDash1">
    <w:name w:val="List Dash 1"/>
    <w:basedOn w:val="Normal"/>
    <w:pPr>
      <w:numPr>
        <w:numId w:val="1"/>
      </w:numPr>
    </w:pPr>
    <w:rPr>
      <w:rFonts w:eastAsia="Times New Roman"/>
      <w:lang w:eastAsia="de-DE"/>
    </w:rPr>
  </w:style>
  <w:style w:type="table" w:styleId="TableGrid">
    <w:name w:val="Table Grid"/>
    <w:aliases w:val="Document Table,CV1,Table Format 1,HTG"/>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customStyle="1" w:styleId="ListDash1">
    <w:name w:val="List Dash 1"/>
    <w:basedOn w:val="Normal"/>
    <w:pPr>
      <w:numPr>
        <w:numId w:val="1"/>
      </w:numPr>
    </w:pPr>
    <w:rPr>
      <w:rFonts w:eastAsia="Times New Roman"/>
      <w:lang w:eastAsia="de-DE"/>
    </w:rPr>
  </w:style>
  <w:style w:type="table" w:styleId="TableGrid">
    <w:name w:val="Table Grid"/>
    <w:aliases w:val="Document Table,CV1,Table Format 1,HTG"/>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7678">
      <w:bodyDiv w:val="1"/>
      <w:marLeft w:val="0"/>
      <w:marRight w:val="0"/>
      <w:marTop w:val="0"/>
      <w:marBottom w:val="0"/>
      <w:divBdr>
        <w:top w:val="none" w:sz="0" w:space="0" w:color="auto"/>
        <w:left w:val="none" w:sz="0" w:space="0" w:color="auto"/>
        <w:bottom w:val="none" w:sz="0" w:space="0" w:color="auto"/>
        <w:right w:val="none" w:sz="0" w:space="0" w:color="auto"/>
      </w:divBdr>
    </w:div>
    <w:div w:id="946809160">
      <w:bodyDiv w:val="1"/>
      <w:marLeft w:val="0"/>
      <w:marRight w:val="0"/>
      <w:marTop w:val="0"/>
      <w:marBottom w:val="0"/>
      <w:divBdr>
        <w:top w:val="none" w:sz="0" w:space="0" w:color="auto"/>
        <w:left w:val="none" w:sz="0" w:space="0" w:color="auto"/>
        <w:bottom w:val="none" w:sz="0" w:space="0" w:color="auto"/>
        <w:right w:val="none" w:sz="0" w:space="0" w:color="auto"/>
      </w:divBdr>
    </w:div>
    <w:div w:id="975331935">
      <w:bodyDiv w:val="1"/>
      <w:marLeft w:val="0"/>
      <w:marRight w:val="0"/>
      <w:marTop w:val="0"/>
      <w:marBottom w:val="0"/>
      <w:divBdr>
        <w:top w:val="none" w:sz="0" w:space="0" w:color="auto"/>
        <w:left w:val="none" w:sz="0" w:space="0" w:color="auto"/>
        <w:bottom w:val="none" w:sz="0" w:space="0" w:color="auto"/>
        <w:right w:val="none" w:sz="0" w:space="0" w:color="auto"/>
      </w:divBdr>
    </w:div>
    <w:div w:id="977882248">
      <w:bodyDiv w:val="1"/>
      <w:marLeft w:val="0"/>
      <w:marRight w:val="0"/>
      <w:marTop w:val="0"/>
      <w:marBottom w:val="0"/>
      <w:divBdr>
        <w:top w:val="none" w:sz="0" w:space="0" w:color="auto"/>
        <w:left w:val="none" w:sz="0" w:space="0" w:color="auto"/>
        <w:bottom w:val="none" w:sz="0" w:space="0" w:color="auto"/>
        <w:right w:val="none" w:sz="0" w:space="0" w:color="auto"/>
      </w:divBdr>
    </w:div>
    <w:div w:id="1083719868">
      <w:bodyDiv w:val="1"/>
      <w:marLeft w:val="0"/>
      <w:marRight w:val="0"/>
      <w:marTop w:val="0"/>
      <w:marBottom w:val="0"/>
      <w:divBdr>
        <w:top w:val="none" w:sz="0" w:space="0" w:color="auto"/>
        <w:left w:val="none" w:sz="0" w:space="0" w:color="auto"/>
        <w:bottom w:val="none" w:sz="0" w:space="0" w:color="auto"/>
        <w:right w:val="none" w:sz="0" w:space="0" w:color="auto"/>
      </w:divBdr>
    </w:div>
    <w:div w:id="1356348204">
      <w:bodyDiv w:val="1"/>
      <w:marLeft w:val="0"/>
      <w:marRight w:val="0"/>
      <w:marTop w:val="0"/>
      <w:marBottom w:val="0"/>
      <w:divBdr>
        <w:top w:val="none" w:sz="0" w:space="0" w:color="auto"/>
        <w:left w:val="none" w:sz="0" w:space="0" w:color="auto"/>
        <w:bottom w:val="none" w:sz="0" w:space="0" w:color="auto"/>
        <w:right w:val="none" w:sz="0" w:space="0" w:color="auto"/>
      </w:divBdr>
    </w:div>
    <w:div w:id="1392777303">
      <w:bodyDiv w:val="1"/>
      <w:marLeft w:val="0"/>
      <w:marRight w:val="0"/>
      <w:marTop w:val="0"/>
      <w:marBottom w:val="0"/>
      <w:divBdr>
        <w:top w:val="none" w:sz="0" w:space="0" w:color="auto"/>
        <w:left w:val="none" w:sz="0" w:space="0" w:color="auto"/>
        <w:bottom w:val="none" w:sz="0" w:space="0" w:color="auto"/>
        <w:right w:val="none" w:sz="0" w:space="0" w:color="auto"/>
      </w:divBdr>
    </w:div>
    <w:div w:id="1549490597">
      <w:bodyDiv w:val="1"/>
      <w:marLeft w:val="0"/>
      <w:marRight w:val="0"/>
      <w:marTop w:val="0"/>
      <w:marBottom w:val="0"/>
      <w:divBdr>
        <w:top w:val="none" w:sz="0" w:space="0" w:color="auto"/>
        <w:left w:val="none" w:sz="0" w:space="0" w:color="auto"/>
        <w:bottom w:val="none" w:sz="0" w:space="0" w:color="auto"/>
        <w:right w:val="none" w:sz="0" w:space="0" w:color="auto"/>
      </w:divBdr>
    </w:div>
    <w:div w:id="1702242891">
      <w:bodyDiv w:val="1"/>
      <w:marLeft w:val="0"/>
      <w:marRight w:val="0"/>
      <w:marTop w:val="0"/>
      <w:marBottom w:val="0"/>
      <w:divBdr>
        <w:top w:val="none" w:sz="0" w:space="0" w:color="auto"/>
        <w:left w:val="none" w:sz="0" w:space="0" w:color="auto"/>
        <w:bottom w:val="none" w:sz="0" w:space="0" w:color="auto"/>
        <w:right w:val="none" w:sz="0" w:space="0" w:color="auto"/>
      </w:divBdr>
    </w:div>
    <w:div w:id="20463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4710D7-D1B2-44DA-A396-C9858A36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1162</Words>
  <Characters>6275</Characters>
  <Application>Microsoft Office Word</Application>
  <DocSecurity>0</DocSecurity>
  <Lines>392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2020-12-15T06:52:00Z</dcterms:created>
  <dcterms:modified xsi:type="dcterms:W3CDTF">2020-12-15T17:34:00Z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QCStatus">
    <vt:lpwstr>Yellow (DQC version 03)</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Category">
    <vt:lpwstr>COM/ANNEX</vt:lpwstr>
  </property>
</Properties>
</file>