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744997FA-AF78-4F69-AFBB-3AA7146B8620" style="width:450.75pt;height:321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ManualHeading1"/>
        <w:spacing w:after="360"/>
        <w:ind w:left="851" w:hanging="851"/>
        <w:rPr>
          <w:noProof/>
          <w:szCs w:val="24"/>
        </w:rPr>
      </w:pPr>
      <w:bookmarkStart w:id="1" w:name="_GoBack"/>
      <w:bookmarkEnd w:id="1"/>
      <w:r>
        <w:rPr>
          <w:noProof/>
        </w:rPr>
        <w:lastRenderedPageBreak/>
        <w:t>I.</w:t>
      </w:r>
      <w:r>
        <w:rPr>
          <w:noProof/>
        </w:rPr>
        <w:tab/>
        <w:t>JOHDANTO</w:t>
      </w:r>
    </w:p>
    <w:p>
      <w:pPr>
        <w:pStyle w:val="Text1"/>
        <w:spacing w:before="0" w:after="200" w:line="276" w:lineRule="auto"/>
        <w:ind w:left="0"/>
        <w:rPr>
          <w:noProof/>
        </w:rPr>
      </w:pPr>
      <w:r>
        <w:rPr>
          <w:noProof/>
        </w:rPr>
        <w:t>Työvoimakustannusindeksistä 27. helmikuuta 2003 annetussa Euroopan parlamentin ja neuvoston asetuksessa (EY) N:o 450/2003</w:t>
      </w:r>
      <w:r>
        <w:rPr>
          <w:rStyle w:val="FootnoteReference"/>
          <w:noProof/>
        </w:rPr>
        <w:footnoteReference w:id="2"/>
      </w:r>
      <w:r>
        <w:rPr>
          <w:noProof/>
        </w:rPr>
        <w:t xml:space="preserve"> asetetaan yhteiset puitteet jäsenvaltioille vertailukelpoisten indeksien tuottamiseen ja toimittamiseen komissiolle. </w:t>
      </w:r>
    </w:p>
    <w:p>
      <w:pPr>
        <w:pStyle w:val="Text1"/>
        <w:spacing w:before="0" w:after="200" w:line="276" w:lineRule="auto"/>
        <w:ind w:left="0"/>
        <w:rPr>
          <w:noProof/>
        </w:rPr>
      </w:pPr>
      <w:r>
        <w:rPr>
          <w:noProof/>
        </w:rPr>
        <w:t>Työvoimakustannusindeksillä mitataan työnantajien maksamien työvoimasta aiheutuvien työtuntikohtaisten kokonaiskustannusten neljännesvuosittaisia muutoksia, mikä mahdollistaa yhdestä tuotannontekijästä, työvoimasta, johtuvien kustannuspaineiden seuraamisen. Se on yksi euroindikaattoreista, jotka sisältävät tietoa euroalueen talouden kehityksestä. Eurostat julkaisee verkkosivustollaan</w:t>
      </w:r>
      <w:r>
        <w:rPr>
          <w:rStyle w:val="FootnoteReference"/>
          <w:noProof/>
        </w:rPr>
        <w:footnoteReference w:id="3"/>
      </w:r>
      <w:r>
        <w:rPr>
          <w:noProof/>
        </w:rPr>
        <w:t xml:space="preserve"> neljännesvuositiedotteen työtuntikohtaisesta työvoimakustannusindeksistä. Tiedote sisältää täydelliset tietokokonaisuudet jaoteltuina toimialojen ja työvoimakustannuserien (palkka- ja muut kustannukset) mukaan. Sivusto sisältää myös sekä neljännesvuosittaiset että vuosittaiset kasvuluvut.</w:t>
      </w:r>
    </w:p>
    <w:p>
      <w:pPr>
        <w:pStyle w:val="Text1"/>
        <w:spacing w:before="0" w:after="200" w:line="276" w:lineRule="auto"/>
        <w:ind w:left="0"/>
        <w:rPr>
          <w:noProof/>
          <w:szCs w:val="24"/>
        </w:rPr>
      </w:pPr>
      <w:r>
        <w:rPr>
          <w:noProof/>
        </w:rPr>
        <w:t xml:space="preserve">Komissio antaa joka toinen vuosi Euroopan parlamentille ja neuvostolle kertomuksen asetuksen (EY) N:o 450/2003 13 artiklan mukaisesti. Koska aiemmissa kertomuksissa on analysoitu takautuvat sarjat, tässä kertomuksessa tarkastellaan työvoimakustannusindeksiin liittyvien myöhempien tietojen laatua, eli tietoja ajanjaksolta vuoden 2018 toisesta vuosineljänneksestä (2018Q2) vuoden 2020 ensimmäiseen vuosineljännekseen (2020Q1). Yhdistynyt kuningaskunta oli Euroopan unionin jäsenvaltio 31. tammikuuta 2020 saakka, minkä vuoksi sen toimittamat työvoimakustannusindeksitiedot on sisällytetty tähän kertomukseen. </w:t>
      </w:r>
    </w:p>
    <w:p>
      <w:pPr>
        <w:pStyle w:val="Text1"/>
        <w:spacing w:before="0" w:after="200" w:line="276" w:lineRule="auto"/>
        <w:ind w:left="0"/>
        <w:rPr>
          <w:noProof/>
          <w:szCs w:val="24"/>
        </w:rPr>
      </w:pPr>
      <w:r>
        <w:rPr>
          <w:noProof/>
        </w:rPr>
        <w:t>Komissio antoi heinäkuussa 2003 asetuksen (EY) N:o 1216/2003</w:t>
      </w:r>
      <w:r>
        <w:rPr>
          <w:rStyle w:val="FootnoteReference"/>
          <w:noProof/>
        </w:rPr>
        <w:footnoteReference w:id="4"/>
      </w:r>
      <w:r>
        <w:rPr>
          <w:noProof/>
        </w:rPr>
        <w:t>, jossa säädetään yksityiskohtaisemmin menettelyistä, joita jäsenvaltioiden on noudatettava toimittaessaan indeksinsä komissiolle, indekseihin tehtävistä kalenterikorjauksista ja kausitasoituksista sekä kansallisten laatuselvitysten sisällöstä. Maaliskuussa 2007 komissio antoi asetuksen (EY) N:o 224/2007</w:t>
      </w:r>
      <w:r>
        <w:rPr>
          <w:rStyle w:val="FootnoteReference"/>
          <w:bCs/>
          <w:noProof/>
        </w:rPr>
        <w:footnoteReference w:id="5"/>
      </w:r>
      <w:r>
        <w:rPr>
          <w:noProof/>
        </w:rPr>
        <w:t>. Sillä muutetaan asetusta (EY) N:o 1216/2003 ja laajennetaan työvoimakustannusindeksin soveltamisala kattamaan NACE Rev. 1:n pääluokat L, M, N ja O. Viimeksi mainittuihin pääluokkiin kuuluu lähinnä markkinattomia palveluja, joiden dynamiikka voi poiketa markkinapalvelujen dynamiikasta. Elokuussa 2007 komissio antoi lisäksi asetuksen (EY) N:o 973/2007</w:t>
      </w:r>
      <w:r>
        <w:rPr>
          <w:rStyle w:val="FootnoteReference"/>
          <w:noProof/>
        </w:rPr>
        <w:footnoteReference w:id="6"/>
      </w:r>
      <w:r>
        <w:rPr>
          <w:noProof/>
        </w:rPr>
        <w:t xml:space="preserve"> tilastollisen toimialaluokituksen NACE Rev. 2 täytäntöönpanosta annettujen eri tilastoaloja, myös työvoimakustannusindeksiä, koskevien useiden säädösten muuttamisesta.</w:t>
      </w:r>
    </w:p>
    <w:p>
      <w:pPr>
        <w:pStyle w:val="F"/>
        <w:spacing w:before="0" w:after="200" w:line="276" w:lineRule="auto"/>
      </w:pPr>
      <w:r>
        <w:t>Asetuksen (EY) N:o 1216/2003 liitteessä I työvoimakustannusindeksin laatu määritellään seuraavia kriteerejä käyttäen: merkityksellisyys, tarkkuus, tietojen toimittamisen täsmällisyys, saatavuus ja selkeys, verrattavuus, johdonmukaisuus ja kokonaisuus. Koska saatavuutta ja selkeyttä pidettiin edellisessä työvoimakustannusindeksiä koskevassa kertomuksessa</w:t>
      </w:r>
      <w:r>
        <w:rPr>
          <w:rStyle w:val="FootnoteReference"/>
        </w:rPr>
        <w:footnoteReference w:id="7"/>
      </w:r>
      <w:r>
        <w:t xml:space="preserve"> tyydyttävinä, tässä kertomuksessa käsitellään merkityksellisyyttä, kokonaisuutta, täsmällisyyttä, tarkkuutta, verrattavuutta ja johdonmukaisuutta.</w:t>
      </w:r>
    </w:p>
    <w:p>
      <w:pPr>
        <w:pStyle w:val="ManualHeading1"/>
        <w:spacing w:after="360"/>
        <w:ind w:left="851" w:hanging="851"/>
        <w:rPr>
          <w:noProof/>
          <w:szCs w:val="24"/>
        </w:rPr>
      </w:pPr>
      <w:r>
        <w:rPr>
          <w:noProof/>
        </w:rPr>
        <w:t>II.</w:t>
      </w:r>
      <w:r>
        <w:rPr>
          <w:noProof/>
        </w:rPr>
        <w:tab/>
        <w:t>EDELLISEN KERTOMUKSEN JÄLKEINEN YLEINEN EDISTYMINEN</w:t>
      </w:r>
    </w:p>
    <w:p>
      <w:pPr>
        <w:pStyle w:val="Text1"/>
        <w:spacing w:before="0" w:after="200" w:line="276" w:lineRule="auto"/>
        <w:ind w:left="0"/>
        <w:rPr>
          <w:noProof/>
          <w:szCs w:val="24"/>
        </w:rPr>
      </w:pPr>
      <w:r>
        <w:rPr>
          <w:noProof/>
        </w:rPr>
        <w:t xml:space="preserve">Lainsäädäntöön ei ole tehty muutoksia edellisen kertomuksen laatimisen jälkeen. Yhdistyneen kuningaskunnan ero Euroopan unionista kuitenkin vaikutti EU:n aggregaatteihin. Vuosineljänneksestä 2020Q1 alkaen työvoimakustannusindeksi kuvastaa EU:n uutta 27 jäsenvaltiosta koostuvaa kokoonpanoa. </w:t>
      </w:r>
    </w:p>
    <w:p>
      <w:pPr>
        <w:pStyle w:val="Text1"/>
        <w:spacing w:after="200" w:line="276" w:lineRule="auto"/>
        <w:ind w:left="0"/>
        <w:rPr>
          <w:noProof/>
        </w:rPr>
      </w:pPr>
      <w:r>
        <w:rPr>
          <w:noProof/>
        </w:rPr>
        <w:t xml:space="preserve">Työvoimakustannusindeksitietoja kerättiin edelleen datansiirron parantamiseksi SDMX-standardeja käyttäen, ja vuotuisia laatuselvityksiä päivitettiin aikataulun mukaisesti ennen viitejaksoa seuraavan vuoden loppua. </w:t>
      </w:r>
    </w:p>
    <w:p>
      <w:pPr>
        <w:pStyle w:val="Text1"/>
        <w:spacing w:after="200" w:line="276" w:lineRule="auto"/>
        <w:ind w:left="0"/>
        <w:rPr>
          <w:noProof/>
        </w:rPr>
      </w:pPr>
      <w:r>
        <w:rPr>
          <w:noProof/>
        </w:rPr>
        <w:t xml:space="preserve">Työvoimankustannusindeksitietojen perustaksi otettiin uusi viitevuosi (2016), jota varten uudet vertailutiedot saatiin tuoreimman työvoimakustannustutkimuksen (LCS2016) tulosten valmistuttua. </w:t>
      </w:r>
    </w:p>
    <w:p>
      <w:pPr>
        <w:pStyle w:val="Text1"/>
        <w:spacing w:after="200" w:line="276" w:lineRule="auto"/>
        <w:ind w:left="0"/>
        <w:rPr>
          <w:noProof/>
        </w:rPr>
      </w:pPr>
      <w:r>
        <w:rPr>
          <w:noProof/>
        </w:rPr>
        <w:t>Työtuntikohtaisia työvoimakustannustasoja koskevat tiedot päivitettiin kolmen kuukauden kuluessa viitevuoden päättymisestä vuoden 2019 työvoimakustannusindeksitietojen pohjalta.</w:t>
      </w:r>
    </w:p>
    <w:p>
      <w:pPr>
        <w:pStyle w:val="Text1"/>
        <w:spacing w:after="200" w:line="276" w:lineRule="auto"/>
        <w:ind w:left="0"/>
        <w:rPr>
          <w:noProof/>
        </w:rPr>
      </w:pPr>
      <w:r>
        <w:rPr>
          <w:noProof/>
        </w:rPr>
        <w:t>Lisäksi työmarkkinatilastoja käsittelevä työryhmä hyväksyi Eurostatin laatiman uuden mallin, jonka mukaisesti kerätään jäsenvaltioissa työvoimakustannusindeksin yhteydessä käytettyjä kausitasoitusmalleja koskevia tietoja.</w:t>
      </w:r>
    </w:p>
    <w:p>
      <w:pPr>
        <w:pStyle w:val="Text1"/>
        <w:spacing w:after="200" w:line="276" w:lineRule="auto"/>
        <w:ind w:left="0"/>
        <w:rPr>
          <w:noProof/>
        </w:rPr>
      </w:pPr>
      <w:r>
        <w:rPr>
          <w:noProof/>
        </w:rPr>
        <w:t>Seuraavissa kappaleissa kerrotaan näistä asioista yksityiskohtaisesti.</w:t>
      </w:r>
      <w:r>
        <w:rPr>
          <w:b/>
          <w:noProof/>
        </w:rPr>
        <w:t xml:space="preserve"> </w:t>
      </w:r>
    </w:p>
    <w:p>
      <w:pPr>
        <w:jc w:val="both"/>
        <w:rPr>
          <w:b/>
          <w:noProof/>
        </w:rPr>
      </w:pPr>
      <w:r>
        <w:rPr>
          <w:b/>
          <w:noProof/>
        </w:rPr>
        <w:t>2.1. Paremmat tiedonkeruun standardit</w:t>
      </w:r>
    </w:p>
    <w:p>
      <w:pPr>
        <w:jc w:val="both"/>
        <w:rPr>
          <w:b/>
          <w:noProof/>
        </w:rPr>
      </w:pPr>
    </w:p>
    <w:p>
      <w:pPr>
        <w:pStyle w:val="Text1"/>
        <w:spacing w:before="0" w:after="200" w:line="276" w:lineRule="auto"/>
        <w:ind w:left="0"/>
        <w:rPr>
          <w:noProof/>
        </w:rPr>
      </w:pPr>
      <w:r>
        <w:rPr>
          <w:noProof/>
        </w:rPr>
        <w:t>SDMX-standardin (Statistical Data and Metadata eXchange)</w:t>
      </w:r>
      <w:r>
        <w:rPr>
          <w:rStyle w:val="FootnoteReference"/>
          <w:noProof/>
        </w:rPr>
        <w:footnoteReference w:id="8"/>
      </w:r>
      <w:r>
        <w:rPr>
          <w:noProof/>
        </w:rPr>
        <w:t xml:space="preserve"> tietorakenteiden uusin versio toimii edelleen jäsenvaltioiden datan vastaanottamisessa ja työvoimakustannusindeksin tuottamisessa, mutta myös työvoimakustannusindeksitietojen siirtämisessä Euroopan keskuspankille.</w:t>
      </w:r>
    </w:p>
    <w:p>
      <w:pPr>
        <w:pStyle w:val="Text1"/>
        <w:spacing w:before="0" w:after="200" w:line="276" w:lineRule="auto"/>
        <w:ind w:left="0"/>
        <w:rPr>
          <w:noProof/>
        </w:rPr>
      </w:pPr>
      <w:r>
        <w:rPr>
          <w:noProof/>
        </w:rPr>
        <w:t>Jäsenvaltioille ilmoitettiin automaattisella validointivälineellä (STRUVAL) niiden työvoimakustannusindeksidatan siirroissa ilmenneistä tietoteknisistä ongelmista.</w:t>
      </w:r>
    </w:p>
    <w:p>
      <w:pPr>
        <w:pStyle w:val="Text1"/>
        <w:spacing w:before="0" w:after="200" w:line="276" w:lineRule="auto"/>
        <w:ind w:left="0"/>
        <w:rPr>
          <w:b/>
          <w:noProof/>
        </w:rPr>
      </w:pPr>
      <w:r>
        <w:rPr>
          <w:b/>
          <w:noProof/>
        </w:rPr>
        <w:t xml:space="preserve">2.2. Työvoimakustannusindeksin perustason muuttaminen </w:t>
      </w:r>
    </w:p>
    <w:p>
      <w:pPr>
        <w:pStyle w:val="Text1"/>
        <w:spacing w:before="0" w:after="200" w:line="276" w:lineRule="auto"/>
        <w:ind w:left="0"/>
        <w:rPr>
          <w:noProof/>
          <w:color w:val="000000"/>
        </w:rPr>
      </w:pPr>
      <w:r>
        <w:rPr>
          <w:noProof/>
          <w:color w:val="000000"/>
        </w:rPr>
        <w:t xml:space="preserve">Työvoimakustannusindeksidata esitetään indeksilukuina, jotka ilmaistaan suhteessa tiettyyn perusvuoteen, jonka arvo on määritelmän mukaan 100. Näin ollen indeksiluvut kertovat työvoimakustannusten kumulatiivisesta kasvusta verrattuna perusvuoteen. </w:t>
      </w:r>
    </w:p>
    <w:p>
      <w:pPr>
        <w:pStyle w:val="Text1"/>
        <w:spacing w:before="0" w:after="200" w:line="276" w:lineRule="auto"/>
        <w:ind w:left="0"/>
        <w:rPr>
          <w:noProof/>
          <w:color w:val="000000"/>
        </w:rPr>
      </w:pPr>
      <w:r>
        <w:rPr>
          <w:noProof/>
          <w:color w:val="000000"/>
        </w:rPr>
        <w:t xml:space="preserve">Perusvuodeksi valitaan se, jolta on peräisin neljän vuoden välein toteutetuista työvoimakustannustutkimuksista tuorein, josta saadaan työvoimakustannustasoja koskevat vertailuluvut. Näin perusvuoden työvoimakustannusdata voidaan suoraan yhdistää työvoimakustannustutkimuksen tietoihin ja johtaa niistä työvoimakustannustasoarvioita viimeisimmälle sellaiselle vuodelle, josta työvoimakustannusindeksitiedot ovat saatavilla. </w:t>
      </w:r>
    </w:p>
    <w:p>
      <w:pPr>
        <w:pStyle w:val="Text1"/>
        <w:spacing w:before="0" w:after="200" w:line="276" w:lineRule="auto"/>
        <w:ind w:left="0"/>
        <w:rPr>
          <w:noProof/>
          <w:color w:val="000000"/>
        </w:rPr>
      </w:pPr>
      <w:r>
        <w:rPr>
          <w:noProof/>
        </w:rPr>
        <w:t xml:space="preserve">Työvoimakustannusindeksin tilastoalan perusvuodeksi muutettiin 2016 heti, kun uusin työvoimakustannustutkimuksen vuosikerta viitevuodelta 2016 oli julkaistu. Kesäkuusta 2019 alkaen työvoimakustannusindeksitiedot on ilmoitettu siten, että perusvuosi 2016 = 100. </w:t>
      </w:r>
    </w:p>
    <w:p>
      <w:pPr>
        <w:jc w:val="both"/>
        <w:rPr>
          <w:b/>
          <w:noProof/>
        </w:rPr>
      </w:pPr>
      <w:r>
        <w:rPr>
          <w:b/>
          <w:noProof/>
        </w:rPr>
        <w:t>2.3. Työtuntikohtaiset työvoimakustannustasot</w:t>
      </w:r>
    </w:p>
    <w:p>
      <w:pPr>
        <w:jc w:val="both"/>
        <w:rPr>
          <w:b/>
          <w:noProof/>
        </w:rPr>
      </w:pPr>
    </w:p>
    <w:p>
      <w:pPr>
        <w:pStyle w:val="Text1"/>
        <w:spacing w:before="0" w:after="200" w:line="276" w:lineRule="auto"/>
        <w:ind w:left="0"/>
        <w:rPr>
          <w:noProof/>
        </w:rPr>
      </w:pPr>
      <w:r>
        <w:rPr>
          <w:noProof/>
        </w:rPr>
        <w:t xml:space="preserve">Eurostat sai edelleen julkaistua vuotuiset estimaatit työtuntikohtaisista työvoimakustannuksista NACE Rev. 2 -pääluokkien mukaan jaoteltuina. Ensimmäinen julkaisu on huhtikuulta 2016. Estimaatit perustuvat sekä työvoimakustannusten tasoon että työvoimakustannusindeksin trendeihin, ja ne tuotetaan 3 kuukautta viitejakson päättymisen jälkeen. Estimaatit kattoivat kaikki NACE-pääluokat, pois lukien NACE Rev. 2 -pääluokka ’L’ (kiinteistöalan toiminta). </w:t>
      </w:r>
    </w:p>
    <w:p>
      <w:pPr>
        <w:pStyle w:val="Text1"/>
        <w:spacing w:before="0" w:after="200" w:line="276" w:lineRule="auto"/>
        <w:ind w:left="0"/>
        <w:rPr>
          <w:b/>
          <w:noProof/>
        </w:rPr>
      </w:pPr>
      <w:r>
        <w:rPr>
          <w:b/>
          <w:noProof/>
        </w:rPr>
        <w:t>2.4. Laatuselvitykset</w:t>
      </w:r>
    </w:p>
    <w:p>
      <w:pPr>
        <w:pStyle w:val="Text1"/>
        <w:spacing w:before="0" w:after="200" w:line="276" w:lineRule="auto"/>
        <w:ind w:left="0"/>
        <w:rPr>
          <w:noProof/>
          <w:color w:val="000000"/>
        </w:rPr>
      </w:pPr>
      <w:r>
        <w:rPr>
          <w:noProof/>
          <w:color w:val="000000"/>
        </w:rPr>
        <w:t>Jäsenvaltioiden toimittamat laatuselvitykset käsiteltiin tietoteknisen välineen (European Statistical System Metadata Handler) uusimmalla versiolla ja annettiin kaikkien käyttäjien saataville</w:t>
      </w:r>
      <w:r>
        <w:rPr>
          <w:rStyle w:val="FootnoteReference"/>
          <w:noProof/>
          <w:color w:val="000000"/>
        </w:rPr>
        <w:footnoteReference w:id="9"/>
      </w:r>
      <w:r>
        <w:rPr>
          <w:noProof/>
          <w:color w:val="000000"/>
        </w:rPr>
        <w:t>.</w:t>
      </w:r>
    </w:p>
    <w:p>
      <w:pPr>
        <w:pStyle w:val="Text1"/>
        <w:spacing w:before="0" w:after="200" w:line="276" w:lineRule="auto"/>
        <w:ind w:left="0"/>
        <w:rPr>
          <w:b/>
          <w:noProof/>
          <w:color w:val="000000"/>
        </w:rPr>
      </w:pPr>
      <w:r>
        <w:rPr>
          <w:b/>
          <w:noProof/>
        </w:rPr>
        <w:t>2.5. Kausitasoitukset ja kalenterikorjaukset</w:t>
      </w:r>
    </w:p>
    <w:p>
      <w:pPr>
        <w:pStyle w:val="Text1"/>
        <w:spacing w:before="0" w:after="200" w:line="276" w:lineRule="auto"/>
        <w:ind w:left="0"/>
        <w:rPr>
          <w:noProof/>
          <w:color w:val="000000"/>
        </w:rPr>
      </w:pPr>
      <w:r>
        <w:rPr>
          <w:noProof/>
          <w:color w:val="000000"/>
        </w:rPr>
        <w:t>Eurostat analysoi jäsenvaltioiden toimittamat kausitasoitetut ja kalenterikorjatut sarjat ja teki työmarkkinatilastoja käsittelevässä työryhmässä (LAMAS-LMI) lokakuussa 2019 esitellyistä tuloksista maavertailun.</w:t>
      </w:r>
    </w:p>
    <w:p>
      <w:pPr>
        <w:pStyle w:val="Text1"/>
        <w:spacing w:before="0" w:after="200" w:line="276" w:lineRule="auto"/>
        <w:ind w:left="0"/>
        <w:rPr>
          <w:b/>
          <w:smallCaps/>
          <w:noProof/>
        </w:rPr>
      </w:pPr>
      <w:r>
        <w:rPr>
          <w:noProof/>
          <w:color w:val="000000"/>
        </w:rPr>
        <w:t>Eurostat esitteli myös uuden mallin, jota jäsenvaltiot käyttävät vuodesta 2020 alkaen raportoidessaan työvoimakustannusindeksin kausitasoituksessa käytetyistä menetelmistä ja malleista. Samanaikaisesti JDemetra+-ohjelmistoon kehitettiin myös erityinen lisäohjelma, jotta tiedot voidaan täyttää mallipohjaan yhdenmukaisella ja automatisoidulla tavalla.</w:t>
      </w:r>
    </w:p>
    <w:p>
      <w:pPr>
        <w:pStyle w:val="ManualHeading1"/>
        <w:spacing w:after="360"/>
        <w:ind w:left="851" w:hanging="851"/>
        <w:rPr>
          <w:noProof/>
          <w:szCs w:val="24"/>
        </w:rPr>
      </w:pPr>
      <w:r>
        <w:rPr>
          <w:noProof/>
        </w:rPr>
        <w:t>III.</w:t>
      </w:r>
      <w:r>
        <w:rPr>
          <w:noProof/>
        </w:rPr>
        <w:tab/>
        <w:t>TIETOJEN LAATU</w:t>
      </w:r>
    </w:p>
    <w:p>
      <w:pPr>
        <w:pStyle w:val="ManualHeading1"/>
        <w:spacing w:after="360"/>
        <w:ind w:left="851" w:hanging="851"/>
        <w:rPr>
          <w:smallCaps w:val="0"/>
          <w:noProof/>
          <w:szCs w:val="24"/>
        </w:rPr>
      </w:pPr>
      <w:r>
        <w:rPr>
          <w:noProof/>
        </w:rPr>
        <w:t>3.1.</w:t>
      </w:r>
      <w:r>
        <w:rPr>
          <w:noProof/>
        </w:rPr>
        <w:tab/>
      </w:r>
      <w:r>
        <w:rPr>
          <w:smallCaps w:val="0"/>
          <w:noProof/>
          <w:szCs w:val="24"/>
        </w:rPr>
        <w:t>Merkityksellisyys</w:t>
      </w:r>
    </w:p>
    <w:p>
      <w:pPr>
        <w:pStyle w:val="Text1"/>
        <w:spacing w:before="0" w:after="200" w:line="276" w:lineRule="auto"/>
        <w:ind w:left="0"/>
        <w:rPr>
          <w:noProof/>
          <w:color w:val="000000"/>
        </w:rPr>
      </w:pPr>
      <w:r>
        <w:rPr>
          <w:noProof/>
          <w:color w:val="000000"/>
        </w:rPr>
        <w:t>Työmarkkinoiden kehityksen aiheuttaman mahdollisen inflaatiopaineen arvioimiseksi komissio ja Euroopan keskuspankki käyttävät työtuntikohtaista työvoimakustannusindeksiä, joka osoittaa työvoimakustannusten kehityksen lyhyellä aikavälillä. Indeksi on laskettava kunkin jäsenvaltion, koko EU:n ja euroalueen osalta pian sen jälkeen, kun tiedot ovat saatavilla. Työvoimakustannusindeksi on tärkeä myös työmarkkinaosapuolille palkkaneuvotteluissa ja komissiolle itselleen työvoimakustannusten lyhyen aikavälin kehityksen seurannassa. Työvoimakustannusindeksi on yksi Euroopan talouden pääindikaattoreista</w:t>
      </w:r>
      <w:r>
        <w:rPr>
          <w:rStyle w:val="FootnoteReference"/>
          <w:noProof/>
          <w:color w:val="000000"/>
        </w:rPr>
        <w:footnoteReference w:id="10"/>
      </w:r>
      <w:r>
        <w:rPr>
          <w:noProof/>
          <w:color w:val="000000"/>
        </w:rPr>
        <w:t>. Työvoimakustannusindeksitietoja käytetään myös joidenkin useita vuosia kestävien kaupallisten sopimusten hintojen indeksointiin.</w:t>
      </w:r>
    </w:p>
    <w:p>
      <w:pPr>
        <w:pStyle w:val="Text1"/>
        <w:spacing w:before="0" w:after="200" w:line="276" w:lineRule="auto"/>
        <w:ind w:left="0"/>
        <w:rPr>
          <w:noProof/>
          <w:szCs w:val="24"/>
        </w:rPr>
      </w:pPr>
      <w:r>
        <w:rPr>
          <w:noProof/>
        </w:rPr>
        <w:t>Sen lisäksi, että tarvitaan tietoa työvoimakustannusten neljännesvuosittaisista prosenttivaihteluista, joita työvoimakustannusindeksi mittaa, käyttäjäkysyntää oli yhä useammin myös absoluuttisia työvoimakustannuksia (euroa/tunti) koskeville tiedoille. Eurostat julkaisi edelleen, kuten joka vuoden huhtikuussa, estimaatit työtuntikohtaisista työvoimakustannuksista euroissa ja kansallisissa valuutoissa NACE Rev. 2 -pääluokkien mukaan jaoteltuina. Estimaatteihin sisältyivät työtuntikohtaisten työvoimakustannusten vuotuiset kasvuluvut ja muiden kuin palkkakustannusten osuus kokonaistyövoimakustannuksista</w:t>
      </w:r>
      <w:r>
        <w:rPr>
          <w:rStyle w:val="FootnoteReference"/>
          <w:noProof/>
        </w:rPr>
        <w:footnoteReference w:id="11"/>
      </w:r>
      <w:r>
        <w:rPr>
          <w:noProof/>
        </w:rPr>
        <w:t xml:space="preserve">. Näiden estimaattien julkaisemisesta saatiin myönteistä palautetta, ja Eurostat jatkaa vuotuisten työvoimakustannusten tuottamista NACE Rev. 2 -pääluokkien mukaan jaoteltuina. </w:t>
      </w:r>
    </w:p>
    <w:p>
      <w:pPr>
        <w:pStyle w:val="ManualHeading1"/>
        <w:spacing w:after="360"/>
        <w:ind w:left="851" w:hanging="851"/>
        <w:rPr>
          <w:smallCaps w:val="0"/>
          <w:noProof/>
          <w:szCs w:val="24"/>
        </w:rPr>
      </w:pPr>
      <w:r>
        <w:rPr>
          <w:noProof/>
        </w:rPr>
        <w:t>3.2.</w:t>
      </w:r>
      <w:r>
        <w:rPr>
          <w:noProof/>
        </w:rPr>
        <w:tab/>
      </w:r>
      <w:r>
        <w:rPr>
          <w:smallCaps w:val="0"/>
          <w:noProof/>
          <w:szCs w:val="24"/>
        </w:rPr>
        <w:t>Kokonaisuus</w:t>
      </w:r>
    </w:p>
    <w:p>
      <w:pPr>
        <w:pStyle w:val="Text1"/>
        <w:spacing w:before="0" w:after="200" w:line="276" w:lineRule="auto"/>
        <w:ind w:left="0"/>
        <w:rPr>
          <w:noProof/>
          <w:szCs w:val="24"/>
        </w:rPr>
      </w:pPr>
      <w:r>
        <w:rPr>
          <w:noProof/>
        </w:rPr>
        <w:t>Työvoimakustannusindeksin saatavuus ja laatu olivat yleisesti ottaen tyydyttävät koko viiteajanjakson ajan. Eurostat sai kalenterikorjatut tiedot ja sekä kalenterikorjatut että kausitasoitetut tiedot kaikilta jäsenvaltioilta kaikilta vuosineljänneksiltä yhtä lukuun ottamatta (Kreikan tiedot puuttuivat vuosineljännekseltä 2019Q3). Jäsenvaltiot toimittivat myös kausitasoittamattomia tietoja, lukuun ottamatta Tanskaa ja Ruotsia, joille on myönnetty poikkeukset</w:t>
      </w:r>
      <w:r>
        <w:rPr>
          <w:rStyle w:val="FootnoteReference"/>
          <w:noProof/>
          <w:szCs w:val="24"/>
        </w:rPr>
        <w:footnoteReference w:id="12"/>
      </w:r>
      <w:r>
        <w:rPr>
          <w:noProof/>
        </w:rPr>
        <w:t xml:space="preserve">. </w:t>
      </w:r>
    </w:p>
    <w:p>
      <w:pPr>
        <w:pStyle w:val="Text1"/>
        <w:spacing w:before="0" w:after="200" w:line="276" w:lineRule="auto"/>
        <w:ind w:left="0"/>
        <w:rPr>
          <w:noProof/>
          <w:szCs w:val="24"/>
        </w:rPr>
      </w:pPr>
      <w:r>
        <w:rPr>
          <w:noProof/>
        </w:rPr>
        <w:t>Tanska toimitti Eurostatille kaikki työvoimakustannusindeksitiedot viitevuosineljännekseltä 2019Q4 ajoissa mutta julkaisi ne viiden viikon viiveellä, koska odotettiin uuden sosiaaliturvamaksujärjestelmän kirjaamista koskevaa päätöstä.</w:t>
      </w:r>
    </w:p>
    <w:p>
      <w:pPr>
        <w:pStyle w:val="Text1"/>
        <w:spacing w:before="0" w:after="200" w:line="276" w:lineRule="auto"/>
        <w:ind w:left="0"/>
        <w:rPr>
          <w:noProof/>
          <w:szCs w:val="24"/>
        </w:rPr>
      </w:pPr>
      <w:r>
        <w:rPr>
          <w:noProof/>
        </w:rPr>
        <w:t>Euroopan talousalueen (ETA) maiden</w:t>
      </w:r>
      <w:r>
        <w:rPr>
          <w:rStyle w:val="FootnoteReference"/>
          <w:noProof/>
          <w:szCs w:val="24"/>
        </w:rPr>
        <w:footnoteReference w:id="13"/>
      </w:r>
      <w:r>
        <w:rPr>
          <w:noProof/>
        </w:rPr>
        <w:t xml:space="preserve"> osalta sekä Islanti että Norja toimittivat työvoimakustannusindeksitiedot kaikilta viiteajanjakson vuosineljänneksiltä.</w:t>
      </w:r>
    </w:p>
    <w:p>
      <w:pPr>
        <w:pStyle w:val="Text1"/>
        <w:spacing w:before="0" w:after="200" w:line="276" w:lineRule="auto"/>
        <w:ind w:left="0"/>
        <w:rPr>
          <w:noProof/>
          <w:szCs w:val="24"/>
        </w:rPr>
      </w:pPr>
      <w:r>
        <w:rPr>
          <w:noProof/>
        </w:rPr>
        <w:t>Sveitsi ei kerää työvoimakustannusindeksitietoja vuosineljänneksittäin.</w:t>
      </w:r>
    </w:p>
    <w:p>
      <w:pPr>
        <w:pStyle w:val="Text1"/>
        <w:spacing w:before="0" w:after="200" w:line="276" w:lineRule="auto"/>
        <w:ind w:left="0"/>
        <w:rPr>
          <w:noProof/>
          <w:szCs w:val="24"/>
        </w:rPr>
      </w:pPr>
      <w:r>
        <w:rPr>
          <w:noProof/>
        </w:rPr>
        <w:t>Kausitasoitettujen tietojen kattavuuden parantumisesta huolimatta keskeiset luvut perustuvat edelleen kalenterikorjattujen tietojen vuosittaisiin (Q/Q-4) muutoksiin, koska niiden volatiliteetti on vähäisempi. Kaikki tiedot, mukaan lukien kausitasoitetut estimaatit, ovat kuitenkin saatavilla Eurostatin tietokannan asianmukaisella sivulla, mikä varmistaa selkeyden ja johdonmukaisuuden suhteessa muihin hintatilastoihin (esim. yhdenmukaistettuun kuluttajahintaindeksiin erityisesti)</w:t>
      </w:r>
      <w:r>
        <w:rPr>
          <w:rStyle w:val="FootnoteReference"/>
          <w:noProof/>
        </w:rPr>
        <w:footnoteReference w:id="14"/>
      </w:r>
      <w:r>
        <w:rPr>
          <w:noProof/>
        </w:rPr>
        <w:t>.</w:t>
      </w:r>
    </w:p>
    <w:p>
      <w:pPr>
        <w:pStyle w:val="Text1"/>
        <w:spacing w:before="0" w:after="200" w:line="276" w:lineRule="auto"/>
        <w:ind w:left="0"/>
        <w:rPr>
          <w:noProof/>
          <w:szCs w:val="24"/>
        </w:rPr>
      </w:pPr>
      <w:r>
        <w:rPr>
          <w:noProof/>
        </w:rPr>
        <w:t>Kaikki jäsenvaltiot toimittivat kansalliset laatuselvityksensä viitevuodelta 2018. Nämä selvitykset on validoitu ja julkaistu asiaa koskevalla Eurostatin verkkosivulla</w:t>
      </w:r>
      <w:r>
        <w:rPr>
          <w:rStyle w:val="FootnoteReference"/>
          <w:noProof/>
        </w:rPr>
        <w:footnoteReference w:id="15"/>
      </w:r>
      <w:r>
        <w:rPr>
          <w:noProof/>
        </w:rPr>
        <w:t>.</w:t>
      </w:r>
    </w:p>
    <w:p>
      <w:pPr>
        <w:pStyle w:val="ManualHeading1"/>
        <w:spacing w:after="360"/>
        <w:ind w:left="851" w:hanging="851"/>
        <w:rPr>
          <w:noProof/>
          <w:szCs w:val="24"/>
        </w:rPr>
      </w:pPr>
      <w:r>
        <w:rPr>
          <w:noProof/>
        </w:rPr>
        <w:t>3.3.</w:t>
      </w:r>
      <w:r>
        <w:rPr>
          <w:noProof/>
        </w:rPr>
        <w:tab/>
      </w:r>
      <w:r>
        <w:rPr>
          <w:smallCaps w:val="0"/>
          <w:noProof/>
          <w:szCs w:val="24"/>
        </w:rPr>
        <w:t>Täsmällisyys</w:t>
      </w:r>
    </w:p>
    <w:p>
      <w:pPr>
        <w:pStyle w:val="Text1"/>
        <w:spacing w:before="0" w:after="200" w:line="276" w:lineRule="auto"/>
        <w:ind w:left="0"/>
        <w:rPr>
          <w:noProof/>
          <w:szCs w:val="24"/>
        </w:rPr>
      </w:pPr>
      <w:r>
        <w:rPr>
          <w:noProof/>
        </w:rPr>
        <w:t>Jäsenvaltioiden täsmällisyys tietojen lähettämisessä komissiolle oli edellisen kertomuksen jälkeen hyvä, ja kaikki tiedot toimitettiin ajoissa lukuun ottamatta Kreikan vuosineljänneksen 2019Q3 tietoja. Nämä tiedot toimitettiin 8 päivän viiveellä.</w:t>
      </w:r>
    </w:p>
    <w:p>
      <w:pPr>
        <w:jc w:val="both"/>
        <w:rPr>
          <w:noProof/>
        </w:rPr>
      </w:pPr>
      <w:r>
        <w:rPr>
          <w:noProof/>
        </w:rPr>
        <w:t>ETA-maiden osalta Norja toimitti työvoimakustannusindeksitiedot ajoissa, ja niin teki myös Islanti.</w:t>
      </w:r>
    </w:p>
    <w:p>
      <w:pPr>
        <w:pStyle w:val="ManualHeading1"/>
        <w:spacing w:after="360"/>
        <w:ind w:left="851" w:hanging="851"/>
        <w:rPr>
          <w:noProof/>
          <w:szCs w:val="24"/>
        </w:rPr>
      </w:pPr>
      <w:r>
        <w:rPr>
          <w:noProof/>
        </w:rPr>
        <w:t>3.4.</w:t>
      </w:r>
      <w:r>
        <w:rPr>
          <w:noProof/>
        </w:rPr>
        <w:tab/>
      </w:r>
      <w:r>
        <w:rPr>
          <w:smallCaps w:val="0"/>
          <w:noProof/>
          <w:szCs w:val="24"/>
        </w:rPr>
        <w:t>Tarkkuus</w:t>
      </w:r>
    </w:p>
    <w:p>
      <w:pPr>
        <w:pStyle w:val="Text1"/>
        <w:spacing w:before="0" w:after="200" w:line="276" w:lineRule="auto"/>
        <w:ind w:left="0"/>
        <w:rPr>
          <w:i/>
          <w:noProof/>
        </w:rPr>
      </w:pPr>
      <w:r>
        <w:rPr>
          <w:noProof/>
        </w:rPr>
        <w:t>Työvoimakustannusindeksi perustuu useisiin eri muuttujiin (esim. työvoimakustannuksiin ja työtunteihin), jotka voidaan hankkia useista lähteistä. Tämä tarkoittaa sitä, että missä vaiheessa tahansa saatetaan tehdä tarkistuksia, jotka vaikuttavat viimeiseen vuosineljännekseen, useampaan vuosineljännekseen tai koko vuoden tietoihin. Aina kun muutokset koskevat viitevuotta, on tarkistettava koko sarja. EU:ta koskeviin keskeisiin lukuihin (vuosittainen kasvuluku) tehtyjen tarkistusten määrä on vain kerran ylittänyt 0,1 prosenttiyksikköä vuoden 2018 ensimmäisen vuosineljänneksen jälkeen (0,2 prosenttiyksikön muutos vuosineljännekseen 2018Q2, ks. kuva 1). Tarkkuus on näin ollen parantunut edelliseen kertomukseen verrattuna.</w:t>
      </w:r>
    </w:p>
    <w:p>
      <w:pPr>
        <w:jc w:val="center"/>
        <w:rPr>
          <w:noProof/>
          <w:u w:val="single"/>
        </w:rPr>
      </w:pPr>
      <w:r>
        <w:rPr>
          <w:i/>
          <w:noProof/>
        </w:rPr>
        <w:t xml:space="preserve">Kaavio 1: </w:t>
      </w:r>
      <w:r>
        <w:rPr>
          <w:noProof/>
          <w:u w:val="single"/>
        </w:rPr>
        <w:t>Muutokset vuotuiseen kasvuvauhtiin työvoimakustannusindeksin</w:t>
      </w:r>
    </w:p>
    <w:p>
      <w:pPr>
        <w:jc w:val="center"/>
        <w:rPr>
          <w:noProof/>
          <w:u w:val="single"/>
        </w:rPr>
      </w:pPr>
      <w:r>
        <w:rPr>
          <w:noProof/>
          <w:u w:val="single"/>
        </w:rPr>
        <w:t>ensimmäisen ja viimeisimmän (2020Q1) julkaisukauden välillä</w:t>
      </w:r>
    </w:p>
    <w:p>
      <w:pPr>
        <w:jc w:val="both"/>
        <w:rPr>
          <w:i/>
          <w:noProof/>
        </w:rPr>
      </w:pPr>
      <w:r>
        <w:rPr>
          <w:i/>
          <w:noProof/>
        </w:rPr>
        <w:t>(EU-28, NACE Rev. 2 -pääluokkia B–S koskeva aggregaatti, prosenttiyksikköinä)</w:t>
      </w:r>
    </w:p>
    <w:p>
      <w:pPr>
        <w:jc w:val="both"/>
        <w:rPr>
          <w:i/>
          <w:noProof/>
        </w:rPr>
      </w:pPr>
    </w:p>
    <w:p>
      <w:pPr>
        <w:jc w:val="center"/>
        <w:rPr>
          <w:noProof/>
          <w:highlight w:val="yellow"/>
        </w:rPr>
      </w:pPr>
      <w:r>
        <w:rPr>
          <w:noProof/>
          <w:highlight w:val="yellow"/>
          <w:lang w:val="en-GB"/>
        </w:rPr>
        <w:drawing>
          <wp:inline distT="0" distB="0" distL="0" distR="0">
            <wp:extent cx="4676140" cy="2632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6140" cy="2632075"/>
                    </a:xfrm>
                    <a:prstGeom prst="rect">
                      <a:avLst/>
                    </a:prstGeom>
                    <a:noFill/>
                    <a:ln>
                      <a:noFill/>
                    </a:ln>
                  </pic:spPr>
                </pic:pic>
              </a:graphicData>
            </a:graphic>
          </wp:inline>
        </w:drawing>
      </w:r>
    </w:p>
    <w:p>
      <w:pPr>
        <w:pStyle w:val="ManualHeading1"/>
        <w:spacing w:after="360"/>
        <w:ind w:left="851" w:hanging="851"/>
        <w:rPr>
          <w:smallCaps w:val="0"/>
          <w:noProof/>
          <w:szCs w:val="24"/>
        </w:rPr>
      </w:pPr>
      <w:r>
        <w:rPr>
          <w:noProof/>
        </w:rPr>
        <w:t xml:space="preserve">3.5. </w:t>
      </w:r>
      <w:r>
        <w:rPr>
          <w:noProof/>
        </w:rPr>
        <w:tab/>
        <w:t>Verrattavuus</w:t>
      </w:r>
    </w:p>
    <w:p>
      <w:pPr>
        <w:pStyle w:val="Text1"/>
        <w:spacing w:before="0" w:after="200" w:line="276" w:lineRule="auto"/>
        <w:ind w:left="0"/>
        <w:rPr>
          <w:noProof/>
        </w:rPr>
      </w:pPr>
      <w:r>
        <w:rPr>
          <w:noProof/>
        </w:rPr>
        <w:t>Maiden välinen vertailukelpoisuus varmistetaan käyttämällä työvoimakustannusindeksiä koskeviin säädöksiin sisältyviä yksityiskohtaisia määritelmiä ja menetelmiä. Jäsenvaltiot täyttävät EU:n vaatimukset, jotka koskevat kansallisella tasolla saatavilla olevia tietolähteitä. Useimmat jäsenvaltiot käyttävät joko tutkimuksia tai tutkimusten ja hallintodatan yhdistelmää, mutta kahdessa jäsenvaltiossa pohjana ovat ainoastaan hallinnolliset lähteet.</w:t>
      </w:r>
    </w:p>
    <w:p>
      <w:pPr>
        <w:pStyle w:val="Text1"/>
        <w:spacing w:before="0" w:after="200" w:line="276" w:lineRule="auto"/>
        <w:ind w:left="0"/>
        <w:rPr>
          <w:noProof/>
          <w:szCs w:val="24"/>
        </w:rPr>
      </w:pPr>
      <w:r>
        <w:rPr>
          <w:noProof/>
        </w:rPr>
        <w:t>Ajan mittaan vertailukelpoisten työvoimakustannusindeksitietojen julkaisemiseksi on tärkeää ottaa huomioon kalenterin mukaiset ja kausittaiset vaikutukset. Keskeisiin lukuihin tehdään kalenterikorjaukset ja kausivaihtelut tasoitetaan vertaamalla kahden peräkkäisen vuoden samoja vuosineljänneksiä.</w:t>
      </w:r>
    </w:p>
    <w:p>
      <w:pPr>
        <w:pStyle w:val="Text1"/>
        <w:spacing w:before="0" w:after="200" w:line="276" w:lineRule="auto"/>
        <w:ind w:left="0"/>
        <w:rPr>
          <w:noProof/>
          <w:szCs w:val="24"/>
        </w:rPr>
      </w:pPr>
      <w:r>
        <w:rPr>
          <w:noProof/>
        </w:rPr>
        <w:t>Komission asetuksen (EY) N:o 1216/2003 1 artiklan mukaan työvoimakustannusindeksiluvut on tuotettava sekä kausitasoittamattomina ja kalenterikorjaamattomina että kalenterikorjattuina ja kausitasoitettuina.</w:t>
      </w:r>
    </w:p>
    <w:p>
      <w:pPr>
        <w:pStyle w:val="Text1"/>
        <w:spacing w:before="0" w:after="200" w:line="276" w:lineRule="auto"/>
        <w:ind w:left="0"/>
        <w:rPr>
          <w:noProof/>
          <w:szCs w:val="24"/>
        </w:rPr>
      </w:pPr>
      <w:r>
        <w:rPr>
          <w:noProof/>
        </w:rPr>
        <w:t>Asetuksessa (EY) N:o 450/2003 ei nimenomaisesti todeta, onko kalenterikorjaus/kausitasoitus tehtävä käyttäen suoraa vai epäsuoraa menetelmää. Epäsuora tasoittamismenetelmä tarkoittaa sitä, että tasoitus tehdään vain perussarjoihin, joita sitten käytetään ylemmän tason aggregaattien muodostamiseen. Suorassa tasoittamisessa puolestaan tasoitetaan erikseen jokainen sarja, myös ylemmän tason aggregaatit.</w:t>
      </w:r>
    </w:p>
    <w:p>
      <w:pPr>
        <w:pStyle w:val="Text1"/>
        <w:spacing w:before="0" w:after="200" w:line="276" w:lineRule="auto"/>
        <w:ind w:left="0"/>
        <w:rPr>
          <w:noProof/>
          <w:szCs w:val="24"/>
        </w:rPr>
      </w:pPr>
      <w:r>
        <w:rPr>
          <w:noProof/>
        </w:rPr>
        <w:t xml:space="preserve">Työvoimakustannusindeksin laadinnassa Eurostat suosittelee käyttämään epäsuoraa menetelmää epäjohdonmukaisuuksien välttämiseksi kokonaistyövoimakustannusten ja niiden osatekijöiden välillä. Käyttäjät myös huomaavat tällaiset epäjohdonmukaisuudet helposti, ja ne voivat herättää epäilyksiä työvoimakustannusindeksin yleislaadusta. </w:t>
      </w:r>
    </w:p>
    <w:p>
      <w:pPr>
        <w:pStyle w:val="Text1"/>
        <w:spacing w:before="0" w:after="200" w:line="276" w:lineRule="auto"/>
        <w:ind w:left="0"/>
        <w:rPr>
          <w:noProof/>
          <w:szCs w:val="24"/>
        </w:rPr>
      </w:pPr>
      <w:r>
        <w:rPr>
          <w:noProof/>
        </w:rPr>
        <w:t>Eurostat havaitsee järjestelmällisesti kokonaislukujen ja osatekijöiden väliset vähintään 0,1 prosenttiyksikön (pyöristyksen jälkeen) epäjohdonmukaisuudet, joista se ilmoittaa kyseiselle maalle validointikertomuksessa. Sitten työvoimakustannusindeksi lasketaan uudelleen ottamalla huomioon palkoista ja muista kuin palkoista koostuvat osatekijät (epäsuora menetelmä). Tällainen yhdenmukaistaminen parantaa myös maiden välistä vertailukelpoisuutta.</w:t>
      </w:r>
    </w:p>
    <w:p>
      <w:pPr>
        <w:spacing w:after="200" w:line="276" w:lineRule="auto"/>
        <w:jc w:val="both"/>
        <w:rPr>
          <w:noProof/>
        </w:rPr>
      </w:pPr>
      <w:r>
        <w:rPr>
          <w:noProof/>
        </w:rPr>
        <w:t xml:space="preserve">Eurostat kertoi vuonna 20169 pidetyssä LAMAS-LMI:n kokouksessa jäsenvaltioille työvoimakustannusindeksiä varten toimitettuja kausitasoitettuja ja kalenterikorjattuja sarjoja koskevasta arvioinnistaan. Kausitasoitetut ja kalenterikorjatut tiedot analysoitiin erikseen, ja niihin jääneet kausittaisuudet tai kalenterivaikutukset tarkistettiin. Maille ehdotettiin vakiomallia, jonka mukaisesti ne voisivat dokumentoida kausitasoitus- ja kalenterikorjausmenettelynsä, ja ehdotus hyväksyttiin. Maita, joiden sarjat osoittivat kausittaisuuksia tai kalenterivaikutuksia, pyydettiin tarkistamaan mukauttamismenettelynsä ja raportoimaan havainnoistaan. </w:t>
      </w:r>
    </w:p>
    <w:p>
      <w:pPr>
        <w:pStyle w:val="Text1"/>
        <w:keepNext/>
        <w:spacing w:before="360" w:after="360"/>
        <w:ind w:left="851" w:hanging="851"/>
        <w:outlineLvl w:val="0"/>
        <w:rPr>
          <w:noProof/>
          <w:szCs w:val="24"/>
        </w:rPr>
      </w:pPr>
      <w:r>
        <w:rPr>
          <w:b/>
          <w:noProof/>
          <w:szCs w:val="24"/>
        </w:rPr>
        <w:t xml:space="preserve">3.6. </w:t>
      </w:r>
      <w:r>
        <w:rPr>
          <w:noProof/>
        </w:rPr>
        <w:tab/>
      </w:r>
      <w:r>
        <w:rPr>
          <w:b/>
          <w:noProof/>
          <w:szCs w:val="24"/>
        </w:rPr>
        <w:t>Johdonmukaisuus suhteessa kansantalouden tilinpidon lukuihin</w:t>
      </w:r>
    </w:p>
    <w:p>
      <w:pPr>
        <w:pStyle w:val="Text1"/>
        <w:spacing w:before="0" w:after="200" w:line="276" w:lineRule="auto"/>
        <w:ind w:left="0"/>
        <w:rPr>
          <w:noProof/>
          <w:szCs w:val="24"/>
        </w:rPr>
      </w:pPr>
      <w:r>
        <w:rPr>
          <w:noProof/>
        </w:rPr>
        <w:t>Huomiota kiinnitetään edelleen työvoimakustannusindeksin johdonmukaisuuteen suhteessa muihin työvoimakustannustilastoihin ja erityisesti neljännesvuosittaisiin kansantalouden tilinpitotietoihin.</w:t>
      </w:r>
    </w:p>
    <w:p>
      <w:pPr>
        <w:pStyle w:val="Text1"/>
        <w:spacing w:before="0" w:after="200" w:line="276" w:lineRule="auto"/>
        <w:ind w:left="0"/>
        <w:rPr>
          <w:noProof/>
          <w:szCs w:val="24"/>
        </w:rPr>
      </w:pPr>
      <w:r>
        <w:rPr>
          <w:noProof/>
        </w:rPr>
        <w:t>Jäsenvaltioita pyydetään vuosittaisessa laatuselvityksessä vertaamaan työvoimakustannusindeksin ja kansantalouden tilinpidosta ilmenevää työntekijöiden tuntipalkan kasvua (EKT 2020 -määritelmä</w:t>
      </w:r>
      <w:r>
        <w:rPr>
          <w:rStyle w:val="FootnoteReference"/>
          <w:noProof/>
        </w:rPr>
        <w:footnoteReference w:id="16"/>
      </w:r>
      <w:r>
        <w:rPr>
          <w:noProof/>
        </w:rPr>
        <w:t xml:space="preserve">). Tietokokonaisuuksien ei odoteta täysin vastaavan toisiaan, koska vaikka käytetään lähes samoja työvoimakustannusten määritelmiä, tilastolähteet ja tilastolliset käsittelyt voivat olla erilaisia. Lisäksi työtuntikohtaisten tietojen kerääminen on erityisen vaikeaa sekä työvoimakustannusindeksin että kansantalouden tilinpidon osalta. Menetelmien eroista huolimatta on informatiivista analysoida näiden lähteiden välisten erojen tasoa. Kun tasot ylittävät määritetyn suhteellisen kynnyksen, se voi olla merkki laatuongelmista jommassakummassa tietokokonaisuudessa. </w:t>
      </w:r>
    </w:p>
    <w:p>
      <w:pPr>
        <w:pStyle w:val="Text1"/>
        <w:spacing w:before="0" w:after="200" w:line="276" w:lineRule="auto"/>
        <w:ind w:left="0"/>
        <w:rPr>
          <w:i/>
          <w:noProof/>
        </w:rPr>
      </w:pPr>
      <w:r>
        <w:rPr>
          <w:noProof/>
        </w:rPr>
        <w:t>Arvioidakseen laatua Eurostat seurasi edelleen kunkin jäsenvaltion NACE Rev. 2 -pääluokkien B–S aggregaatteja. Tässä vertailussa käytettiin työvoimakustannusindeksin kausitasoittamattomia tietoja, paitsi Tanskan ja Ruotsin osalta, joiden kohdalla käytettiin kalenterikorjattuja tietoja. Työvoimakustannusindeksin vuotuisten kasvulukujen mediaania verrattiin työntekijöiden tuntipalkan vuotuisten kasvulukujen mediaaniin kymmeneltä vuosineljännekseltä, ja yli kahden prosenttiyksikön eron katsottiin edellyttävän lisäanalyysia. Tällainen ero havaittiin Unkarin (2,1 %-yks.), Kyproksen (2,5 %-yks.) ja Romanian (4,1 %-yks.) luvuissa (ks. kaavio 2, jossa maat ovat absoluuttisten arvojen eron mukaisessa suuruusjärjestyksessä). Edellä kuvatun analyysin tulokset käydään läpi jäsenvaltioiden kanssa kiinnittäen erityistä huomiota työtunteihin.</w:t>
      </w:r>
    </w:p>
    <w:p>
      <w:pPr>
        <w:jc w:val="center"/>
        <w:rPr>
          <w:noProof/>
          <w:u w:val="single"/>
        </w:rPr>
      </w:pPr>
      <w:r>
        <w:rPr>
          <w:i/>
          <w:noProof/>
        </w:rPr>
        <w:t xml:space="preserve">Kaavio 2: </w:t>
      </w:r>
      <w:r>
        <w:rPr>
          <w:noProof/>
          <w:u w:val="single"/>
        </w:rPr>
        <w:t>Työvoimakustannusindeksin vuotuisten kasvulukujen mediaanit</w:t>
      </w:r>
    </w:p>
    <w:p>
      <w:pPr>
        <w:jc w:val="center"/>
        <w:rPr>
          <w:noProof/>
          <w:u w:val="single"/>
        </w:rPr>
      </w:pPr>
      <w:r>
        <w:rPr>
          <w:noProof/>
          <w:u w:val="single"/>
        </w:rPr>
        <w:t>suhteessa tuntikohtaisiin palkansaajakorvauksiin (kansantalouden tilinpito)</w:t>
      </w:r>
    </w:p>
    <w:p>
      <w:pPr>
        <w:jc w:val="center"/>
        <w:rPr>
          <w:i/>
          <w:noProof/>
        </w:rPr>
      </w:pPr>
      <w:r>
        <w:rPr>
          <w:i/>
          <w:noProof/>
        </w:rPr>
        <w:t xml:space="preserve">(NACE Rev. 2 -pääluokkia B–S koskeva aggregaatti, kokonaistyövoimakustannukset,  </w:t>
      </w:r>
    </w:p>
    <w:p>
      <w:pPr>
        <w:jc w:val="center"/>
        <w:rPr>
          <w:i/>
          <w:noProof/>
          <w:vertAlign w:val="superscript"/>
        </w:rPr>
      </w:pPr>
      <w:r>
        <w:rPr>
          <w:i/>
          <w:noProof/>
        </w:rPr>
        <w:t>viitejakso: 2017Q4–2020Q1*, prosentteina)</w:t>
      </w:r>
    </w:p>
    <w:p>
      <w:pPr>
        <w:jc w:val="both"/>
        <w:rPr>
          <w:i/>
          <w:noProof/>
          <w:vertAlign w:val="superscript"/>
        </w:rPr>
      </w:pPr>
    </w:p>
    <w:p>
      <w:pPr>
        <w:jc w:val="both"/>
        <w:rPr>
          <w:i/>
          <w:noProof/>
        </w:rPr>
      </w:pPr>
      <w:r>
        <w:rPr>
          <w:noProof/>
          <w:lang w:val="en-GB"/>
        </w:rPr>
        <w:drawing>
          <wp:inline distT="0" distB="0" distL="0" distR="0">
            <wp:extent cx="5753100" cy="3752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752850"/>
                    </a:xfrm>
                    <a:prstGeom prst="rect">
                      <a:avLst/>
                    </a:prstGeom>
                    <a:noFill/>
                    <a:ln>
                      <a:noFill/>
                    </a:ln>
                  </pic:spPr>
                </pic:pic>
              </a:graphicData>
            </a:graphic>
          </wp:inline>
        </w:drawing>
      </w:r>
    </w:p>
    <w:p>
      <w:pPr>
        <w:jc w:val="both"/>
        <w:rPr>
          <w:i/>
          <w:noProof/>
        </w:rPr>
      </w:pPr>
    </w:p>
    <w:p>
      <w:pPr>
        <w:jc w:val="both"/>
        <w:rPr>
          <w:noProof/>
          <w:sz w:val="20"/>
          <w:szCs w:val="20"/>
        </w:rPr>
      </w:pPr>
      <w:r>
        <w:rPr>
          <w:noProof/>
          <w:sz w:val="20"/>
          <w:szCs w:val="20"/>
        </w:rPr>
        <w:t>* Paitsi Belgian ja Tanskan osalta: 2017Q4–2019Q4. Kansantalouden tilinpitotietoja vuoden 2020 ensimmäiseltä neljännekseltä (2020Q1) ei ollut laatimisajankohtana käytettävissä.</w:t>
      </w:r>
    </w:p>
    <w:p>
      <w:pPr>
        <w:jc w:val="both"/>
        <w:rPr>
          <w:noProof/>
        </w:rPr>
      </w:pPr>
    </w:p>
    <w:p>
      <w:pPr>
        <w:pStyle w:val="Text1"/>
        <w:spacing w:before="0" w:after="200" w:line="276" w:lineRule="auto"/>
        <w:ind w:left="0"/>
        <w:rPr>
          <w:noProof/>
          <w:szCs w:val="24"/>
        </w:rPr>
      </w:pPr>
      <w:r>
        <w:rPr>
          <w:noProof/>
        </w:rPr>
        <w:t>Mediaanien lisäksi Eurostat vertasi työvoimakustannusindeksin vuotuisten kasvulukujen ja kansantalouden tilinpidon tietosarjojen standardipoikkeamia volatiliteetin indikaattorina.</w:t>
      </w:r>
    </w:p>
    <w:p>
      <w:pPr>
        <w:pStyle w:val="Text1"/>
        <w:spacing w:before="0" w:after="200" w:line="276" w:lineRule="auto"/>
        <w:ind w:left="0"/>
        <w:rPr>
          <w:noProof/>
        </w:rPr>
      </w:pPr>
      <w:r>
        <w:rPr>
          <w:noProof/>
        </w:rPr>
        <w:t>Kahdessa tapauksessa – Itävallan ja Viron – tietojen osalta työvoimakustannusindeksin sarjan standardipoikkeamat erosivat kansantalouden tilinpidon tietosarjoista 2 prosenttiyksikköä. Kumpaakin maata on pyydetty tutkimaan näiden erojen alkuperä ja ilmoittamaan tuloksista Eurostatille.</w:t>
      </w:r>
    </w:p>
    <w:p>
      <w:pPr>
        <w:pStyle w:val="ManualHeading1"/>
        <w:spacing w:after="360"/>
        <w:ind w:left="0" w:firstLine="0"/>
        <w:rPr>
          <w:noProof/>
          <w:szCs w:val="24"/>
        </w:rPr>
      </w:pPr>
      <w:r>
        <w:rPr>
          <w:noProof/>
        </w:rPr>
        <w:t>IV.</w:t>
      </w:r>
      <w:r>
        <w:rPr>
          <w:noProof/>
        </w:rPr>
        <w:tab/>
        <w:t>PÄÄTELMÄT</w:t>
      </w:r>
    </w:p>
    <w:p>
      <w:pPr>
        <w:pStyle w:val="Text1"/>
        <w:spacing w:before="0" w:after="200" w:line="276" w:lineRule="auto"/>
        <w:ind w:left="0"/>
        <w:rPr>
          <w:noProof/>
          <w:szCs w:val="24"/>
        </w:rPr>
      </w:pPr>
      <w:r>
        <w:rPr>
          <w:noProof/>
        </w:rPr>
        <w:t>Kaiken kaikkiaan jäsenvaltioiden työvoimakustannusindeksien ja EU:n aggregaattien laatu on edelleen parantunut edellisen kertomuksen jälkeen.</w:t>
      </w:r>
      <w:r>
        <w:rPr>
          <w:noProof/>
          <w:color w:val="000000"/>
        </w:rPr>
        <w:t xml:space="preserve"> Tämä pätee erityisesti tarkistusten suuruuteen.</w:t>
      </w:r>
    </w:p>
    <w:p>
      <w:pPr>
        <w:pStyle w:val="Text1"/>
        <w:spacing w:before="0" w:after="200" w:line="276" w:lineRule="auto"/>
        <w:ind w:left="0"/>
        <w:rPr>
          <w:noProof/>
          <w:szCs w:val="24"/>
        </w:rPr>
      </w:pPr>
      <w:r>
        <w:rPr>
          <w:noProof/>
          <w:color w:val="000000"/>
        </w:rPr>
        <w:t>Jäsenvaltioiden toimittamat laatuselvitykset käsiteltiin tietoteknisen välineen (European Statistical System Metadata Handler) uusimmalla versiolla ja annettiin kaikkien käyttäjien saataville.</w:t>
      </w:r>
    </w:p>
    <w:p>
      <w:pPr>
        <w:pStyle w:val="Text1"/>
        <w:spacing w:after="200" w:line="276" w:lineRule="auto"/>
        <w:ind w:left="0"/>
        <w:rPr>
          <w:noProof/>
          <w:color w:val="000000"/>
        </w:rPr>
      </w:pPr>
      <w:r>
        <w:rPr>
          <w:noProof/>
          <w:color w:val="000000"/>
        </w:rPr>
        <w:t xml:space="preserve">Muiden edellisen kertomuksen jälkeen tehtyjen muutosten ohella työvoimakustannusindeksin tilastoalan perusvuodeksi on muutettu vuosi 2016 ja jäsenvaltioiden kausitasoituksia koskevien raportointikäytäntöjen parantamiseksi hyväksyttiin uusi malli. Vuoden 2020 ensimmäisestä neljänneksestä alkaen työvoimakustannusindeksin aggregaatit kuvastavat Euroopan unionin uutta kokoonpanoa ilman Yhdistynyttä kuningaskuntaa. </w:t>
      </w:r>
    </w:p>
    <w:p>
      <w:pPr>
        <w:pStyle w:val="Text1"/>
        <w:spacing w:before="0" w:after="200" w:line="276" w:lineRule="auto"/>
        <w:ind w:left="0"/>
        <w:rPr>
          <w:noProof/>
          <w:color w:val="000000"/>
        </w:rPr>
      </w:pPr>
      <w:r>
        <w:rPr>
          <w:noProof/>
          <w:color w:val="000000"/>
        </w:rPr>
        <w:t>Eurostat on vuodesta 2017 julkaissut vuosittain NACE Rev. 2 -pääluokkien mukaan eriteltyjä estimaatteja työvoiman tuntikustannuksista. Julkaisut perustuvat sekä työvoimakustannustutkimusten tasoihin että työvoimakustannusindeksin suuntauksiin. Käyttäjiltä saatiin myönteistä palautetta. Erityisesti myönteistä palautetta antoivat institutionaaliset käyttäjät, jotka hyödyntävät näitä tietoja seuratakseen palkkojen lähentymistä Euroopan unionissa.</w:t>
      </w:r>
    </w:p>
    <w:p>
      <w:pPr>
        <w:pStyle w:val="Text1"/>
        <w:spacing w:before="0" w:after="200" w:line="276" w:lineRule="auto"/>
        <w:ind w:left="0"/>
        <w:rPr>
          <w:noProof/>
        </w:rPr>
      </w:pPr>
      <w:r>
        <w:rPr>
          <w:noProof/>
          <w:color w:val="000000"/>
        </w:rPr>
        <w:t>Komissio aikoo edelleen seurata säännöllisesti vaatimusten noudattamista ja tietojen laatua käyttäen perustana toimitettuja tietoja ja muuta kansallista aineistoa, esimerkiksi laatuselvityksiä. Jos (riittävää) edistymistä ei ole havaittavissa, komissio on tiiviisti yhteydessä toimivaltaisiin kansallisiin viranomaisiin.</w:t>
      </w:r>
    </w:p>
    <w:p>
      <w:pPr>
        <w:jc w:val="center"/>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68911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both"/>
        <w:rPr>
          <w:i/>
        </w:rPr>
      </w:pPr>
      <w:r>
        <w:rPr>
          <w:rStyle w:val="FootnoteReference"/>
        </w:rPr>
        <w:footnoteRef/>
      </w:r>
      <w:r>
        <w:tab/>
      </w:r>
      <w:r>
        <w:rPr>
          <w:rStyle w:val="Emphasis"/>
        </w:rPr>
        <w:t>EUVL L 69, 13.3.2003, s. 1.</w:t>
      </w:r>
    </w:p>
  </w:footnote>
  <w:footnote w:id="3">
    <w:p>
      <w:pPr>
        <w:pStyle w:val="FootnoteText"/>
        <w:ind w:left="720" w:hanging="720"/>
        <w:jc w:val="both"/>
      </w:pPr>
      <w:r>
        <w:rPr>
          <w:rStyle w:val="FootnoteReference"/>
        </w:rPr>
        <w:footnoteRef/>
      </w:r>
      <w:r>
        <w:tab/>
        <w:t>Neljännesvuositiedote julkaistaan julkaisukalenterissa vahvistettuina päivinä. Molemmat ovat saatavilla Eurostatin verkkosivuilla (</w:t>
      </w:r>
      <w:hyperlink w:history="1">
        <w:r>
          <w:rPr>
            <w:rStyle w:val="Hyperlink"/>
          </w:rPr>
          <w:t>http:</w:t>
        </w:r>
      </w:hyperlink>
      <w:hyperlink r:id="rId1" w:history="1">
        <w:r>
          <w:rPr>
            <w:rStyle w:val="Hyperlink"/>
          </w:rPr>
          <w:t>//ec.europa.eu/eurostat/web/main</w:t>
        </w:r>
      </w:hyperlink>
      <w:r>
        <w:t xml:space="preserve"> – saatavilla englanniksi, ranskaksi ja saksaksi).</w:t>
      </w:r>
    </w:p>
  </w:footnote>
  <w:footnote w:id="4">
    <w:p>
      <w:pPr>
        <w:pStyle w:val="FootnoteText"/>
        <w:ind w:left="720" w:hanging="720"/>
        <w:jc w:val="both"/>
        <w:rPr>
          <w:i/>
        </w:rPr>
      </w:pPr>
      <w:r>
        <w:rPr>
          <w:rStyle w:val="FootnoteReference"/>
        </w:rPr>
        <w:footnoteRef/>
      </w:r>
      <w:r>
        <w:tab/>
      </w:r>
      <w:r>
        <w:rPr>
          <w:rStyle w:val="Strong"/>
          <w:b w:val="0"/>
        </w:rPr>
        <w:t>Komission asetus (EY) No 1216/2003, annettu 7 päivänä heinäkuuta 2003, työvoimakustannusindeksistä annetun Euroopan parlamentin ja neuvoston asetuksen (EY) N:o 450/2003 täytäntöönpanosta (</w:t>
      </w:r>
      <w:r>
        <w:t xml:space="preserve">EUVL </w:t>
      </w:r>
      <w:r>
        <w:rPr>
          <w:rStyle w:val="Emphasis"/>
          <w:i w:val="0"/>
        </w:rPr>
        <w:t>L 169, 8.7.2003, s. 37).</w:t>
      </w:r>
    </w:p>
  </w:footnote>
  <w:footnote w:id="5">
    <w:p>
      <w:pPr>
        <w:pStyle w:val="FootnoteText"/>
        <w:ind w:left="720" w:hanging="720"/>
        <w:jc w:val="both"/>
      </w:pPr>
      <w:r>
        <w:rPr>
          <w:rStyle w:val="FootnoteReference"/>
          <w:i/>
        </w:rPr>
        <w:footnoteRef/>
      </w:r>
      <w:r>
        <w:tab/>
      </w:r>
      <w:r>
        <w:rPr>
          <w:rStyle w:val="Strong"/>
          <w:b w:val="0"/>
        </w:rPr>
        <w:t>Komission asetus (EY) N:o 224/2007, annettu 1 päivänä maaliskuuta 2007, asetuksen (EY) N:o 1216/2003 muuttamisesta työvoimakustannusindeksin kattamien toimialojen osalta (</w:t>
      </w:r>
      <w:r>
        <w:t>EUVL L 64, 2.3.2007, s. 23).</w:t>
      </w:r>
    </w:p>
  </w:footnote>
  <w:footnote w:id="6">
    <w:p>
      <w:pPr>
        <w:pStyle w:val="FootnoteText"/>
        <w:ind w:left="720" w:hanging="720"/>
        <w:jc w:val="both"/>
      </w:pPr>
      <w:r>
        <w:rPr>
          <w:rStyle w:val="FootnoteReference"/>
        </w:rPr>
        <w:footnoteRef/>
      </w:r>
      <w:r>
        <w:tab/>
        <w:t>Komission asetus (EY) N:o 973/2007, annettu 20 päivänä elokuuta 2007, tilastollisen toimialaluokituksen NACE Rev. 2 täytäntöönpanosta annettujen eri tilastoaloja koskevien yhteisön asetusten muuttamisesta (EUVL L 216, 21.8.2007, s. 10).</w:t>
      </w:r>
    </w:p>
  </w:footnote>
  <w:footnote w:id="7">
    <w:p>
      <w:pPr>
        <w:pStyle w:val="FootnoteText"/>
        <w:ind w:left="720" w:hanging="720"/>
      </w:pPr>
      <w:r>
        <w:rPr>
          <w:rStyle w:val="FootnoteReference"/>
        </w:rPr>
        <w:footnoteRef/>
      </w:r>
      <w:r>
        <w:t xml:space="preserve"> </w:t>
      </w:r>
      <w:r>
        <w:tab/>
        <w:t>COM(2017) 71.</w:t>
      </w:r>
    </w:p>
  </w:footnote>
  <w:footnote w:id="8">
    <w:p>
      <w:pPr>
        <w:pStyle w:val="FootnoteText"/>
      </w:pPr>
      <w:r>
        <w:rPr>
          <w:rStyle w:val="FootnoteReference"/>
        </w:rPr>
        <w:footnoteRef/>
      </w:r>
      <w:r>
        <w:tab/>
        <w:t>htp://sdmx.org/ (saatavilla vain englanniksi).</w:t>
      </w:r>
    </w:p>
  </w:footnote>
  <w:footnote w:id="9">
    <w:p>
      <w:pPr>
        <w:pStyle w:val="FootnoteText"/>
      </w:pPr>
      <w:r>
        <w:rPr>
          <w:rStyle w:val="FootnoteReference"/>
        </w:rPr>
        <w:footnoteRef/>
      </w:r>
      <w:r>
        <w:t xml:space="preserve"> https://ec.europa.eu/eurostat/cache/metadata/en/lci_esms.htm</w:t>
      </w:r>
    </w:p>
  </w:footnote>
  <w:footnote w:id="10">
    <w:p>
      <w:pPr>
        <w:pStyle w:val="FootnoteText"/>
        <w:ind w:left="720" w:hanging="720"/>
      </w:pPr>
      <w:r>
        <w:rPr>
          <w:rStyle w:val="FootnoteReference"/>
        </w:rPr>
        <w:footnoteRef/>
      </w:r>
      <w:r>
        <w:tab/>
        <w:t>KOM(2002) 661, komission tiedonanto Euroopan parlamentille ja neuvostolle, ”Kohti entistä parempia euroalueen tilastojen ja indikaattorien laatimismenetelmiä”.</w:t>
      </w:r>
    </w:p>
  </w:footnote>
  <w:footnote w:id="11">
    <w:p>
      <w:pPr>
        <w:pStyle w:val="FootnoteText"/>
        <w:ind w:left="720" w:hanging="720"/>
      </w:pPr>
      <w:r>
        <w:rPr>
          <w:rStyle w:val="FootnoteReference"/>
        </w:rPr>
        <w:footnoteRef/>
      </w:r>
      <w:r>
        <w:t xml:space="preserve"> </w:t>
      </w:r>
      <w:r>
        <w:tab/>
        <w:t>Ks. tietokokonaisuus lc_lci_lev Eurobase -tietokannassa (</w:t>
      </w:r>
      <w:hyperlink r:id="rId2" w:history="1">
        <w:r>
          <w:rPr>
            <w:rStyle w:val="Hyperlink"/>
          </w:rPr>
          <w:t>http://ec.europa.eu/eurostat/data/database</w:t>
        </w:r>
      </w:hyperlink>
      <w:r>
        <w:t>, englanniksi, ranskaksi ja saksaksi).</w:t>
      </w:r>
    </w:p>
  </w:footnote>
  <w:footnote w:id="12">
    <w:p>
      <w:pPr>
        <w:pStyle w:val="FootnoteText"/>
        <w:ind w:left="720" w:hanging="720"/>
      </w:pPr>
      <w:r>
        <w:rPr>
          <w:rStyle w:val="FootnoteReference"/>
        </w:rPr>
        <w:footnoteRef/>
      </w:r>
      <w:r>
        <w:tab/>
        <w:t>Asetuksen (EY) N:o 1216/2003 mukaisesti Tanskan, Saksan, Ranskan ja Ruotsin ei tarvitse toimittaa kausitasoittamattomia tietoja.</w:t>
      </w:r>
    </w:p>
  </w:footnote>
  <w:footnote w:id="13">
    <w:p>
      <w:pPr>
        <w:pStyle w:val="FootnoteText"/>
      </w:pPr>
      <w:r>
        <w:rPr>
          <w:rStyle w:val="FootnoteReference"/>
        </w:rPr>
        <w:footnoteRef/>
      </w:r>
      <w:r>
        <w:tab/>
        <w:t>Asetusta (EY) N:o 450/2003 ei sovelleta Liechtensteiniin.</w:t>
      </w:r>
    </w:p>
  </w:footnote>
  <w:footnote w:id="14">
    <w:p>
      <w:pPr>
        <w:pStyle w:val="FootnoteText"/>
        <w:ind w:left="720" w:hanging="720"/>
      </w:pPr>
      <w:r>
        <w:rPr>
          <w:rStyle w:val="FootnoteReference"/>
        </w:rPr>
        <w:footnoteRef/>
      </w:r>
      <w:r>
        <w:tab/>
        <w:t>Ks. tietokokonaisuus lc_lci_r2_q Eurobase -tietokannassa (</w:t>
      </w:r>
      <w:hyperlink r:id="rId3" w:history="1">
        <w:r>
          <w:rPr>
            <w:rStyle w:val="Hyperlink"/>
          </w:rPr>
          <w:t>http://ec.europa.eu/eurostat/data/database</w:t>
        </w:r>
      </w:hyperlink>
      <w:r>
        <w:t>, englanniksi, ranskaksi ja saksaksi).</w:t>
      </w:r>
    </w:p>
  </w:footnote>
  <w:footnote w:id="15">
    <w:p>
      <w:pPr>
        <w:pStyle w:val="FootnoteText"/>
      </w:pPr>
      <w:r>
        <w:rPr>
          <w:rStyle w:val="FootnoteReference"/>
        </w:rPr>
        <w:footnoteRef/>
      </w:r>
      <w:r>
        <w:t xml:space="preserve"> </w:t>
      </w:r>
      <w:r>
        <w:tab/>
      </w:r>
      <w:hyperlink r:id="rId4" w:history="1">
        <w:r>
          <w:rPr>
            <w:rStyle w:val="Hyperlink"/>
          </w:rPr>
          <w:t>http://ec.europa.eu/eurostat/cache/metadata/EN/lci_esqrs.htm</w:t>
        </w:r>
      </w:hyperlink>
      <w:r>
        <w:t xml:space="preserve"> (saatavilla vain englanniksi)</w:t>
      </w:r>
    </w:p>
  </w:footnote>
  <w:footnote w:id="16">
    <w:p>
      <w:pPr>
        <w:ind w:left="720" w:hanging="720"/>
        <w:jc w:val="both"/>
      </w:pPr>
      <w:r>
        <w:rPr>
          <w:rStyle w:val="FootnoteReference"/>
        </w:rPr>
        <w:footnoteRef/>
      </w:r>
      <w:r>
        <w:tab/>
        <w:t>Euroopan parlamentin ja neuvoston asetus (EU) N:o 549/2013, annettu 21 päivänä toukokuuta 2013, Euroopan kansantalouden tilinpito- ja aluetilinpitojärjestelmästä Euroopan unionissa (EUVL L 174, 26.6.2013,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44997FA-AF78-4F69-AFBB-3AA7146B8620"/>
    <w:docVar w:name="LW_COVERPAGE_TYPE" w:val="1"/>
    <w:docVar w:name="LW_CROSSREFERENCE" w:val="&lt;UNUSED&gt;"/>
    <w:docVar w:name="LW_DocType" w:val="NORMAL"/>
    <w:docVar w:name="LW_EMISSION" w:val="22.12.2020"/>
    <w:docVar w:name="LW_EMISSION_ISODATE" w:val="2020-12-22"/>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8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uroopan parlamentin ja neuvoston asetuksen (EY) N:o 450/2003 täytäntöönpanosta&lt;/FMT&gt;_x000b_&lt;FMT:Bold&gt;työvoimakustannusindeksin osalta &lt;/FMT&gt;_x000d__x000d__x000b_"/>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fi-FI"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fi-FI"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4"/>
      <w:lang w:eastAsia="en-GB"/>
    </w:rPr>
  </w:style>
  <w:style w:type="character" w:styleId="Hyperlink">
    <w:name w:val="Hyperlink"/>
    <w:rPr>
      <w:color w:val="0000FF"/>
      <w:u w:val="single"/>
    </w:rPr>
  </w:style>
  <w:style w:type="character" w:styleId="Emphasis">
    <w:name w:val="Emphasis"/>
    <w:qFormat/>
    <w:rPr>
      <w:i/>
      <w:iC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fi-FI" w:eastAsia="en-GB"/>
    </w:rPr>
  </w:style>
  <w:style w:type="character" w:styleId="FootnoteReference">
    <w:name w:val="footnote reference"/>
    <w:uiPriority w:val="99"/>
    <w:rPr>
      <w:vertAlign w:val="superscript"/>
    </w:rPr>
  </w:style>
  <w:style w:type="character" w:styleId="Strong">
    <w:name w:val="Strong"/>
    <w:basedOn w:val="DefaultParagraphFont"/>
    <w:qFormat/>
    <w:rPr>
      <w:b/>
      <w:bCs/>
    </w:rPr>
  </w:style>
  <w:style w:type="paragraph" w:customStyle="1" w:styleId="F">
    <w:name w:val="F"/>
    <w:basedOn w:val="Normal"/>
    <w:pPr>
      <w:tabs>
        <w:tab w:val="left" w:pos="540"/>
      </w:tabs>
      <w:spacing w:before="120" w:after="120"/>
      <w:jc w:val="both"/>
    </w:pPr>
    <w:rPr>
      <w:noProof/>
      <w:szCs w:val="20"/>
    </w:rPr>
  </w:style>
  <w:style w:type="paragraph" w:customStyle="1" w:styleId="Text1">
    <w:name w:val="Text 1"/>
    <w:basedOn w:val="Normal"/>
    <w:pPr>
      <w:spacing w:before="120" w:after="120"/>
      <w:ind w:left="850"/>
      <w:jc w:val="both"/>
    </w:pPr>
    <w:rPr>
      <w:szCs w:val="20"/>
    </w:rPr>
  </w:style>
  <w:style w:type="paragraph" w:customStyle="1" w:styleId="ManualHeading1">
    <w:name w:val="Manual Heading 1"/>
    <w:basedOn w:val="Normal"/>
    <w:next w:val="Text1"/>
    <w:link w:val="ManualHeading1Char"/>
    <w:pPr>
      <w:keepNext/>
      <w:tabs>
        <w:tab w:val="left" w:pos="850"/>
      </w:tabs>
      <w:spacing w:before="360" w:after="120"/>
      <w:ind w:left="850" w:hanging="850"/>
      <w:jc w:val="both"/>
      <w:outlineLvl w:val="0"/>
    </w:pPr>
    <w:rPr>
      <w:b/>
      <w:smallCaps/>
      <w:szCs w:val="20"/>
    </w:rPr>
  </w:style>
  <w:style w:type="character" w:customStyle="1" w:styleId="ManualHeading1Char">
    <w:name w:val="Manual Heading 1 Char"/>
    <w:link w:val="ManualHeading1"/>
    <w:rPr>
      <w:rFonts w:ascii="Times New Roman" w:eastAsia="Times New Roman" w:hAnsi="Times New Roman" w:cs="Times New Roman"/>
      <w:b/>
      <w:smallCaps/>
      <w:sz w:val="24"/>
      <w:szCs w:val="20"/>
      <w:lang w:val="fi-FI" w:eastAsia="en-GB"/>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i-FI"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i-FI" w:eastAsia="en-GB"/>
    </w:r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fi-FI"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fi-FI"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4"/>
      <w:lang w:eastAsia="en-GB"/>
    </w:rPr>
  </w:style>
  <w:style w:type="character" w:styleId="Hyperlink">
    <w:name w:val="Hyperlink"/>
    <w:rPr>
      <w:color w:val="0000FF"/>
      <w:u w:val="single"/>
    </w:rPr>
  </w:style>
  <w:style w:type="character" w:styleId="Emphasis">
    <w:name w:val="Emphasis"/>
    <w:qFormat/>
    <w:rPr>
      <w:i/>
      <w:iC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fi-FI" w:eastAsia="en-GB"/>
    </w:rPr>
  </w:style>
  <w:style w:type="character" w:styleId="FootnoteReference">
    <w:name w:val="footnote reference"/>
    <w:uiPriority w:val="99"/>
    <w:rPr>
      <w:vertAlign w:val="superscript"/>
    </w:rPr>
  </w:style>
  <w:style w:type="character" w:styleId="Strong">
    <w:name w:val="Strong"/>
    <w:basedOn w:val="DefaultParagraphFont"/>
    <w:qFormat/>
    <w:rPr>
      <w:b/>
      <w:bCs/>
    </w:rPr>
  </w:style>
  <w:style w:type="paragraph" w:customStyle="1" w:styleId="F">
    <w:name w:val="F"/>
    <w:basedOn w:val="Normal"/>
    <w:pPr>
      <w:tabs>
        <w:tab w:val="left" w:pos="540"/>
      </w:tabs>
      <w:spacing w:before="120" w:after="120"/>
      <w:jc w:val="both"/>
    </w:pPr>
    <w:rPr>
      <w:noProof/>
      <w:szCs w:val="20"/>
    </w:rPr>
  </w:style>
  <w:style w:type="paragraph" w:customStyle="1" w:styleId="Text1">
    <w:name w:val="Text 1"/>
    <w:basedOn w:val="Normal"/>
    <w:pPr>
      <w:spacing w:before="120" w:after="120"/>
      <w:ind w:left="850"/>
      <w:jc w:val="both"/>
    </w:pPr>
    <w:rPr>
      <w:szCs w:val="20"/>
    </w:rPr>
  </w:style>
  <w:style w:type="paragraph" w:customStyle="1" w:styleId="ManualHeading1">
    <w:name w:val="Manual Heading 1"/>
    <w:basedOn w:val="Normal"/>
    <w:next w:val="Text1"/>
    <w:link w:val="ManualHeading1Char"/>
    <w:pPr>
      <w:keepNext/>
      <w:tabs>
        <w:tab w:val="left" w:pos="850"/>
      </w:tabs>
      <w:spacing w:before="360" w:after="120"/>
      <w:ind w:left="850" w:hanging="850"/>
      <w:jc w:val="both"/>
      <w:outlineLvl w:val="0"/>
    </w:pPr>
    <w:rPr>
      <w:b/>
      <w:smallCaps/>
      <w:szCs w:val="20"/>
    </w:rPr>
  </w:style>
  <w:style w:type="character" w:customStyle="1" w:styleId="ManualHeading1Char">
    <w:name w:val="Manual Heading 1 Char"/>
    <w:link w:val="ManualHeading1"/>
    <w:rPr>
      <w:rFonts w:ascii="Times New Roman" w:eastAsia="Times New Roman" w:hAnsi="Times New Roman" w:cs="Times New Roman"/>
      <w:b/>
      <w:smallCaps/>
      <w:sz w:val="24"/>
      <w:szCs w:val="20"/>
      <w:lang w:val="fi-FI" w:eastAsia="en-GB"/>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i-FI"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i-FI" w:eastAsia="en-GB"/>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data/database" TargetMode="External"/><Relationship Id="rId2" Type="http://schemas.openxmlformats.org/officeDocument/2006/relationships/hyperlink" Target="http://ec.europa.eu/eurostat/data/database" TargetMode="External"/><Relationship Id="rId1" Type="http://schemas.openxmlformats.org/officeDocument/2006/relationships/hyperlink" Target="https://ec.europa.eu/eurostat/web/main" TargetMode="External"/><Relationship Id="rId4" Type="http://schemas.openxmlformats.org/officeDocument/2006/relationships/hyperlink" Target="http://ec.europa.eu/eurostat/cache/metadata/EN/lci_esq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93C5-2AE5-4DC4-BCB4-8E29B6FD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1764</Words>
  <Characters>16830</Characters>
  <Application>Microsoft Office Word</Application>
  <DocSecurity>0</DocSecurity>
  <Lines>258</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2020-11-30T07:22:00Z</dcterms:created>
  <dcterms:modified xsi:type="dcterms:W3CDTF">2020-12-17T09:15:00Z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ies>
</file>