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76D42E78-815C-437B-8C4E-0E29DA0C6FE2" style="width:450.75pt;height:436.5pt">
            <v:imagedata r:id="rId12" o:title=""/>
          </v:shape>
        </w:pict>
      </w:r>
    </w:p>
    <w:p>
      <w:pPr>
        <w:rPr>
          <w:noProof/>
        </w:rPr>
        <w:sectPr>
          <w:footerReference w:type="default" r:id="rId13"/>
          <w:pgSz w:w="11907" w:h="16839"/>
          <w:pgMar w:top="1134" w:right="1418" w:bottom="1134" w:left="1418" w:header="709" w:footer="709" w:gutter="0"/>
          <w:pgNumType w:start="0"/>
          <w:cols w:space="720"/>
          <w:docGrid w:linePitch="360"/>
        </w:sectPr>
      </w:pPr>
    </w:p>
    <w:p>
      <w:pPr>
        <w:pStyle w:val="Exposdesmotifstitre"/>
        <w:rPr>
          <w:noProof/>
        </w:rPr>
      </w:pPr>
      <w:bookmarkStart w:id="0" w:name="_GoBack"/>
      <w:bookmarkEnd w:id="0"/>
      <w:r>
        <w:rPr>
          <w:noProof/>
        </w:rPr>
        <w:lastRenderedPageBreak/>
        <w:t>DŮVODOVÁ ZPRÁVA</w:t>
      </w:r>
    </w:p>
    <w:p>
      <w:pPr>
        <w:pStyle w:val="ManualHeading1"/>
        <w:rPr>
          <w:noProof/>
        </w:rPr>
      </w:pPr>
      <w:r>
        <w:rPr>
          <w:noProof/>
        </w:rPr>
        <w:t>1.</w:t>
      </w:r>
      <w:r>
        <w:rPr>
          <w:noProof/>
        </w:rPr>
        <w:tab/>
        <w:t>SOUVISLOSTI NÁVRHU</w:t>
      </w:r>
    </w:p>
    <w:p>
      <w:pPr>
        <w:pStyle w:val="ManualHeading2"/>
        <w:rPr>
          <w:rFonts w:eastAsia="Arial Unicode MS"/>
          <w:noProof/>
        </w:rPr>
      </w:pPr>
      <w:r>
        <w:rPr>
          <w:noProof/>
          <w:color w:val="000000"/>
          <w:bdr w:val="nil"/>
        </w:rPr>
        <w:t>•</w:t>
      </w:r>
      <w:r>
        <w:rPr>
          <w:noProof/>
          <w:color w:val="000000"/>
          <w:u w:color="000000"/>
          <w:bdr w:val="nil"/>
        </w:rPr>
        <w:tab/>
      </w:r>
      <w:r>
        <w:rPr>
          <w:noProof/>
        </w:rPr>
        <w:t>Odůvodnění a cíle návrhu</w:t>
      </w:r>
    </w:p>
    <w:p>
      <w:pPr>
        <w:pBdr>
          <w:top w:val="nil"/>
          <w:left w:val="nil"/>
          <w:bottom w:val="nil"/>
          <w:right w:val="nil"/>
          <w:between w:val="nil"/>
          <w:bar w:val="nil"/>
        </w:pBdr>
        <w:rPr>
          <w:noProof/>
          <w:szCs w:val="24"/>
        </w:rPr>
      </w:pPr>
      <w:r>
        <w:rPr>
          <w:noProof/>
        </w:rPr>
        <w:t>Zajištění účinného přístupu občanů a podniků ke spravedlnosti a usnadnění justiční spolupráce mezi členskými státy patří mezi hlavní cíle prostoru svobody, bezpečnosti a práva EU zakotveného ve Smlouvě o fungování Evropské unie</w:t>
      </w:r>
      <w:r>
        <w:rPr>
          <w:rStyle w:val="FootnoteReference"/>
          <w:noProof/>
        </w:rPr>
        <w:footnoteReference w:id="2"/>
      </w:r>
      <w:r>
        <w:rPr>
          <w:noProof/>
        </w:rPr>
        <w:t xml:space="preserve">. </w:t>
      </w:r>
    </w:p>
    <w:p>
      <w:pPr>
        <w:pBdr>
          <w:top w:val="nil"/>
          <w:left w:val="nil"/>
          <w:bottom w:val="nil"/>
          <w:right w:val="nil"/>
          <w:between w:val="nil"/>
          <w:bar w:val="nil"/>
        </w:pBdr>
        <w:rPr>
          <w:rFonts w:eastAsia="Times New Roman"/>
          <w:noProof/>
          <w:color w:val="000000"/>
          <w:bdr w:val="nil"/>
        </w:rPr>
      </w:pPr>
      <w:r>
        <w:rPr>
          <w:noProof/>
          <w:color w:val="000000"/>
          <w:bdr w:val="nil"/>
        </w:rPr>
        <w:t>V posledním desetiletí vyvinula Unie značné úsilí o koordinaci a harmonizaci přeshraničních soudních řízení za účelem užší justiční spolupráce v občanských a trestních věcech. S cílem usnadnit koordinaci mezi vnitrostátními pravidly týkajícími se i) mezinárodní příslušnosti, ii) uznávání a výkonu soudních aktů a příkazů, iii) přeshraničního doručování soudních písemností a iv) dokazování byla přijata řada aktů Unie. Mnoho jich rovněž bylo přijato za účelem zavedení soudních řízení na úrovni Unie, jako je evropský platební rozkaz</w:t>
      </w:r>
      <w:r>
        <w:rPr>
          <w:rStyle w:val="FootnoteReference"/>
          <w:rFonts w:eastAsia="Times New Roman"/>
          <w:noProof/>
          <w:color w:val="000000"/>
          <w:bdr w:val="nil"/>
          <w:lang w:eastAsia="en-GB"/>
        </w:rPr>
        <w:footnoteReference w:id="3"/>
      </w:r>
      <w:r>
        <w:rPr>
          <w:noProof/>
          <w:color w:val="000000"/>
          <w:bdr w:val="nil"/>
        </w:rPr>
        <w:t>, evropské řízení o drobných nárocích</w:t>
      </w:r>
      <w:r>
        <w:rPr>
          <w:rStyle w:val="FootnoteReference"/>
          <w:rFonts w:eastAsia="Times New Roman"/>
          <w:noProof/>
          <w:color w:val="000000"/>
          <w:bdr w:val="nil"/>
          <w:lang w:eastAsia="en-GB"/>
        </w:rPr>
        <w:footnoteReference w:id="4"/>
      </w:r>
      <w:r>
        <w:rPr>
          <w:noProof/>
          <w:color w:val="000000"/>
          <w:bdr w:val="nil"/>
        </w:rPr>
        <w:t>, evropský příkaz k obstavení účtů</w:t>
      </w:r>
      <w:r>
        <w:rPr>
          <w:rStyle w:val="FootnoteReference"/>
          <w:rFonts w:eastAsia="Times New Roman"/>
          <w:noProof/>
          <w:color w:val="000000"/>
          <w:bdr w:val="nil"/>
          <w:lang w:eastAsia="en-GB"/>
        </w:rPr>
        <w:footnoteReference w:id="5"/>
      </w:r>
      <w:r>
        <w:rPr>
          <w:noProof/>
          <w:color w:val="000000"/>
          <w:bdr w:val="nil"/>
        </w:rPr>
        <w:t xml:space="preserve"> atd. Účinné provádění těchto opatření je prioritou Unie. V této souvislosti má vývoj v oblasti e-justice zásadní význam pro úspěch přeshraničních soudních řízení, jejichž cílem je zlepšit fungování soudních systémů členských států a pomoci zjednodušit postupy, snížit náklady a zvýšit dostupnost.</w:t>
      </w:r>
    </w:p>
    <w:p>
      <w:pPr>
        <w:pBdr>
          <w:top w:val="nil"/>
          <w:left w:val="nil"/>
          <w:bottom w:val="nil"/>
          <w:right w:val="nil"/>
          <w:between w:val="nil"/>
          <w:bar w:val="nil"/>
        </w:pBdr>
        <w:rPr>
          <w:rFonts w:eastAsia="Times New Roman"/>
          <w:noProof/>
          <w:color w:val="000000"/>
          <w:bdr w:val="nil"/>
        </w:rPr>
      </w:pPr>
      <w:r>
        <w:rPr>
          <w:noProof/>
          <w:color w:val="000000"/>
          <w:bdr w:val="nil"/>
        </w:rPr>
        <w:t>Nástroje informačních technologií jsou klíčové pro zajištění účinných prostředků komunikace mezi stranami a soudy, jakož i mezi orgány v různých členských státech. Komise proto neustále usiluje o zlepšení on-line přístupu k procesním informacím a podporuje používání dynamických formulářů poskytovaných prostřednictvím portálu evropské e-justice.</w:t>
      </w:r>
    </w:p>
    <w:p>
      <w:pPr>
        <w:pBdr>
          <w:top w:val="nil"/>
          <w:left w:val="nil"/>
          <w:bottom w:val="nil"/>
          <w:right w:val="nil"/>
          <w:between w:val="nil"/>
          <w:bar w:val="nil"/>
        </w:pBdr>
        <w:rPr>
          <w:rFonts w:eastAsia="Arial Unicode MS" w:cs="Arial Unicode MS"/>
          <w:noProof/>
          <w:color w:val="000000" w:themeColor="text1"/>
        </w:rPr>
      </w:pPr>
      <w:r>
        <w:rPr>
          <w:noProof/>
          <w:color w:val="000000"/>
          <w:bdr w:val="nil"/>
        </w:rPr>
        <w:t xml:space="preserve">Vývoj systému e-CODEX (komunikace v oblasti e-justice prostřednictvím on-line výměny informací) byl zahájen v rámci víceletého akčního plánu v oblasti e-justice na období let 2009–2013, zejména s cílem podpořit digitalizaci přeshraničních soudních řízení a usnadnit komunikaci mezi justičními orgány členských států. </w:t>
      </w:r>
    </w:p>
    <w:p>
      <w:pPr>
        <w:pBdr>
          <w:top w:val="nil"/>
          <w:left w:val="nil"/>
          <w:bottom w:val="nil"/>
          <w:right w:val="nil"/>
          <w:between w:val="nil"/>
          <w:bar w:val="nil"/>
        </w:pBdr>
        <w:tabs>
          <w:tab w:val="left" w:pos="632"/>
        </w:tabs>
        <w:rPr>
          <w:rFonts w:eastAsia="Arial Unicode MS" w:cs="Arial Unicode MS"/>
          <w:noProof/>
          <w:color w:val="000000" w:themeColor="text1"/>
        </w:rPr>
      </w:pPr>
      <w:r>
        <w:rPr>
          <w:noProof/>
          <w:color w:val="000000"/>
          <w:bdr w:val="nil"/>
        </w:rPr>
        <w:t>Systém e-CODEX usnadňuje bezpečnou komunikaci v občanských a trestních řízeních prostřednictvím individuálně uzpůsobeného řešení pro přeshraniční výměnu elektronických zpráv v oblasti justiční spolupráce. Systém e-CODEX sestává z balíčku softwarových produktů, které lze použít ke zřízení přístupového bodu pro bezpečnou komunikaci. Přístupové body používající e-CODEX mohou přes internet komunikovat s jinými přístupovými body</w:t>
      </w:r>
      <w:r>
        <w:rPr>
          <w:rStyle w:val="FootnoteReference"/>
          <w:rFonts w:eastAsia="Arial Unicode MS" w:cs="Arial Unicode MS"/>
          <w:noProof/>
          <w:color w:val="000000"/>
          <w:bdr w:val="nil"/>
          <w:lang w:eastAsia="en-GB"/>
        </w:rPr>
        <w:footnoteReference w:id="6"/>
      </w:r>
      <w:r>
        <w:rPr>
          <w:noProof/>
          <w:color w:val="000000"/>
          <w:bdr w:val="nil"/>
        </w:rPr>
        <w:t xml:space="preserve"> prostřednictvím souboru společných protokolů, aniž by byl zapotřebí jakýkoliv centrální systém. Každý přístupový bod může být například propojen s vnitrostátním systémem správy případů, aby bylo možné jeho prostřednictvím bezpečně vyměňovat dokumenty s jinými podobnými systémy. Pokud jde o výměnu dokumentů v rámci konkrétních postupů, systém e-CODEX zpřístupňuje standardizované </w:t>
      </w:r>
      <w:r>
        <w:rPr>
          <w:noProof/>
          <w:color w:val="000000"/>
          <w:bdr w:val="nil"/>
        </w:rPr>
        <w:lastRenderedPageBreak/>
        <w:t>digitální formuláře (které nejsou propojeny s obsahem, jenž má být předán, ale pouze umožňují komunikaci), jež umožňují výměnu informací mezi vnitrostátními systémy</w:t>
      </w:r>
      <w:bookmarkStart w:id="1" w:name="_Ref503778114"/>
      <w:r>
        <w:rPr>
          <w:rStyle w:val="FootnoteReference"/>
          <w:rFonts w:eastAsia="Arial Unicode MS" w:cs="Arial Unicode MS"/>
          <w:noProof/>
          <w:color w:val="000000"/>
          <w:bdr w:val="nil"/>
          <w:lang w:eastAsia="en-GB"/>
        </w:rPr>
        <w:footnoteReference w:id="7"/>
      </w:r>
      <w:bookmarkEnd w:id="1"/>
      <w:r>
        <w:rPr>
          <w:noProof/>
          <w:color w:val="000000"/>
          <w:bdr w:val="nil"/>
        </w:rPr>
        <w:t>.</w:t>
      </w:r>
    </w:p>
    <w:p>
      <w:pPr>
        <w:pBdr>
          <w:top w:val="nil"/>
          <w:left w:val="nil"/>
          <w:bottom w:val="nil"/>
          <w:right w:val="nil"/>
          <w:between w:val="nil"/>
          <w:bar w:val="nil"/>
        </w:pBdr>
        <w:rPr>
          <w:rFonts w:eastAsia="Arial Unicode MS" w:cs="Arial Unicode MS"/>
          <w:noProof/>
          <w:color w:val="000000"/>
          <w:bdr w:val="nil"/>
        </w:rPr>
      </w:pPr>
      <w:r>
        <w:rPr>
          <w:noProof/>
          <w:color w:val="000000"/>
          <w:bdr w:val="nil"/>
        </w:rPr>
        <w:t>Systém e-CODEX vyvinulo 21 členských států</w:t>
      </w:r>
      <w:r>
        <w:rPr>
          <w:rStyle w:val="FootnoteReference"/>
          <w:rFonts w:eastAsia="Arial Unicode MS" w:cs="Arial Unicode MS"/>
          <w:noProof/>
          <w:color w:val="000000"/>
          <w:bdr w:val="nil"/>
          <w:lang w:eastAsia="en-GB"/>
        </w:rPr>
        <w:footnoteReference w:id="8"/>
      </w:r>
      <w:r>
        <w:rPr>
          <w:noProof/>
          <w:color w:val="000000"/>
          <w:bdr w:val="nil"/>
        </w:rPr>
        <w:t xml:space="preserve"> za účasti dalších třetích zemí/území a organizací</w:t>
      </w:r>
      <w:r>
        <w:rPr>
          <w:rStyle w:val="FootnoteReference"/>
          <w:noProof/>
        </w:rPr>
        <w:footnoteReference w:id="9"/>
      </w:r>
      <w:r>
        <w:rPr>
          <w:noProof/>
          <w:color w:val="000000"/>
          <w:bdr w:val="nil"/>
        </w:rPr>
        <w:t xml:space="preserve"> v letech 2010 až 2016. Celkové náklady na vývoj systému činily přibližně 24 milionů EUR, z čehož 50 % financovala EU z grantů</w:t>
      </w:r>
      <w:r>
        <w:rPr>
          <w:rStyle w:val="FootnoteReference"/>
          <w:noProof/>
        </w:rPr>
        <w:footnoteReference w:id="10"/>
      </w:r>
      <w:r>
        <w:rPr>
          <w:noProof/>
          <w:color w:val="000000"/>
          <w:bdr w:val="nil"/>
        </w:rPr>
        <w:t xml:space="preserve"> a 50 % zúčastněné členské státy. </w:t>
      </w:r>
    </w:p>
    <w:p>
      <w:pPr>
        <w:pBdr>
          <w:top w:val="nil"/>
          <w:left w:val="nil"/>
          <w:bottom w:val="nil"/>
          <w:right w:val="nil"/>
          <w:between w:val="nil"/>
          <w:bar w:val="nil"/>
        </w:pBdr>
        <w:rPr>
          <w:rFonts w:eastAsia="Arial Unicode MS" w:cs="Arial Unicode MS"/>
          <w:noProof/>
          <w:color w:val="000000"/>
          <w:bdr w:val="nil"/>
        </w:rPr>
      </w:pPr>
      <w:r>
        <w:rPr>
          <w:noProof/>
          <w:color w:val="000000"/>
          <w:bdr w:val="nil"/>
        </w:rPr>
        <w:t>Systém e-CODEX je v současné době řízen konsorciem členských států a dalších organizací financovaných z grantu EU. V období mezi ukončením stávajícího konsorcia a převzetím systému agenturou EU bude muset zajistit udržitelnost systému jiný subjekt.</w:t>
      </w:r>
    </w:p>
    <w:p>
      <w:pPr>
        <w:pBdr>
          <w:top w:val="nil"/>
          <w:left w:val="nil"/>
          <w:bottom w:val="nil"/>
          <w:right w:val="nil"/>
          <w:between w:val="nil"/>
          <w:bar w:val="nil"/>
        </w:pBdr>
        <w:rPr>
          <w:rFonts w:eastAsia="Arial Unicode MS" w:cs="Arial Unicode MS"/>
          <w:noProof/>
          <w:color w:val="000000" w:themeColor="text1"/>
        </w:rPr>
      </w:pPr>
      <w:r>
        <w:rPr>
          <w:noProof/>
          <w:color w:val="000000"/>
          <w:bdr w:val="nil"/>
        </w:rPr>
        <w:t>Systém e-CODEX v současné době usnadňuje elektronickou komunikaci mezi občany a soudy a mezi správními orgány členských států v některých přeshraničních občanských a trestních řízeních. Dosud se pilotních projektů týkajících se používání systému e-CODEX v různých právních řízeních účastnilo deset členských států.</w:t>
      </w:r>
      <w:r>
        <w:rPr>
          <w:rStyle w:val="FootnoteReference"/>
          <w:rFonts w:eastAsia="Arial Unicode MS" w:cs="Arial Unicode MS"/>
          <w:noProof/>
          <w:color w:val="000000"/>
          <w:bdr w:val="nil"/>
          <w:lang w:eastAsia="en-GB"/>
        </w:rPr>
        <w:footnoteReference w:id="11"/>
      </w:r>
    </w:p>
    <w:p>
      <w:pPr>
        <w:pBdr>
          <w:top w:val="nil"/>
          <w:left w:val="nil"/>
          <w:bottom w:val="nil"/>
          <w:right w:val="nil"/>
          <w:between w:val="nil"/>
          <w:bar w:val="nil"/>
        </w:pBdr>
        <w:rPr>
          <w:rFonts w:eastAsia="Arial Unicode MS" w:cs="Arial Unicode MS"/>
          <w:noProof/>
          <w:color w:val="000000"/>
          <w:bdr w:val="nil"/>
        </w:rPr>
      </w:pPr>
      <w:r>
        <w:rPr>
          <w:noProof/>
          <w:color w:val="000000"/>
          <w:bdr w:val="nil"/>
        </w:rPr>
        <w:t>Portál evropské e-justice</w:t>
      </w:r>
      <w:r>
        <w:rPr>
          <w:rStyle w:val="FootnoteReference"/>
          <w:noProof/>
        </w:rPr>
        <w:footnoteReference w:id="12"/>
      </w:r>
      <w:r>
        <w:rPr>
          <w:noProof/>
          <w:color w:val="000000"/>
          <w:bdr w:val="nil"/>
        </w:rPr>
        <w:t xml:space="preserve"> bude využívat e-CODEX, aby občané mohli elektronicky podepisovat a zasílat žádosti o evropské platební rozkazy</w:t>
      </w:r>
      <w:r>
        <w:rPr>
          <w:rStyle w:val="FootnoteReference"/>
          <w:noProof/>
        </w:rPr>
        <w:footnoteReference w:id="13"/>
      </w:r>
      <w:r>
        <w:rPr>
          <w:noProof/>
          <w:color w:val="000000"/>
          <w:bdr w:val="nil"/>
        </w:rPr>
        <w:t xml:space="preserve"> a drobné nároky</w:t>
      </w:r>
      <w:r>
        <w:rPr>
          <w:rStyle w:val="FootnoteReference"/>
          <w:noProof/>
        </w:rPr>
        <w:footnoteReference w:id="14"/>
      </w:r>
      <w:r>
        <w:rPr>
          <w:noProof/>
          <w:color w:val="000000"/>
          <w:bdr w:val="nil"/>
        </w:rPr>
        <w:t xml:space="preserve"> příslušným soudům v členských státech. Kromě toho Komise v roce 2018 navrhla právní předpis, jenž by stanovil povinný digitální kanál, který by mohl sloužit k doručování dokumentů a získávání důkazů,</w:t>
      </w:r>
      <w:r>
        <w:rPr>
          <w:rStyle w:val="FootnoteReference"/>
          <w:noProof/>
        </w:rPr>
        <w:footnoteReference w:id="15"/>
      </w:r>
      <w:r>
        <w:rPr>
          <w:noProof/>
          <w:color w:val="000000"/>
          <w:bdr w:val="nil"/>
        </w:rPr>
        <w:t xml:space="preserve"> a to prostřednictvím decentralizovaného informačního systému, který by mohl být založen na interoperabilním řešení, jako je e-CODEX, jakožto prostředku digitálního přenosu. Uvedená dvě nařízení byla přijata dne 25. listopadu 2020.</w:t>
      </w:r>
    </w:p>
    <w:p>
      <w:pPr>
        <w:pBdr>
          <w:top w:val="nil"/>
          <w:left w:val="nil"/>
          <w:bottom w:val="nil"/>
          <w:right w:val="nil"/>
          <w:between w:val="nil"/>
          <w:bar w:val="nil"/>
        </w:pBdr>
        <w:rPr>
          <w:rFonts w:eastAsia="Arial Unicode MS" w:cs="Arial Unicode MS"/>
          <w:noProof/>
          <w:color w:val="000000" w:themeColor="text1"/>
        </w:rPr>
      </w:pPr>
      <w:r>
        <w:rPr>
          <w:noProof/>
          <w:color w:val="000000"/>
          <w:bdr w:val="nil"/>
        </w:rPr>
        <w:t>V návaznosti na podporu členských států a jejich zkušenosti s používáním systému v různých občanských a trestních řízeních má e-CODEX potenciál stát se hlavním digitálním řešením pro bezpečný přenos elektronických údajů v přeshraničním občanském a trestním řízení v Unii. Ve svém hodnocení projektového grantu systému e-CODEX dospěla Komise k závěru, že pilotní projekt e-justice poskytl klíčové stavební prvky pro dosažení bezpečné a spolehlivé komunikace v justiční spolupráci</w:t>
      </w:r>
      <w:r>
        <w:rPr>
          <w:rStyle w:val="FootnoteReference"/>
          <w:rFonts w:eastAsia="Arial Unicode MS" w:cs="Arial Unicode MS"/>
          <w:noProof/>
          <w:color w:val="000000"/>
          <w:bdr w:val="nil"/>
          <w:lang w:eastAsia="en-GB"/>
        </w:rPr>
        <w:footnoteReference w:id="16"/>
      </w:r>
      <w:r>
        <w:rPr>
          <w:noProof/>
          <w:color w:val="000000"/>
          <w:bdr w:val="nil"/>
        </w:rPr>
        <w:t xml:space="preserve">. </w:t>
      </w:r>
      <w:r>
        <w:rPr>
          <w:noProof/>
        </w:rPr>
        <w:t xml:space="preserve">Komise dále ve svém sdělení „Digitalizace soudnictví v Evropské unii – </w:t>
      </w:r>
      <w:r>
        <w:rPr>
          <w:noProof/>
        </w:rPr>
        <w:lastRenderedPageBreak/>
        <w:t>soubor příležitostí“</w:t>
      </w:r>
      <w:r>
        <w:rPr>
          <w:rStyle w:val="FootnoteReference"/>
          <w:rFonts w:eastAsia="Arial Unicode MS"/>
          <w:noProof/>
          <w:bdr w:val="nil"/>
          <w:lang w:eastAsia="en-GB"/>
        </w:rPr>
        <w:footnoteReference w:id="17"/>
      </w:r>
      <w:r>
        <w:rPr>
          <w:noProof/>
        </w:rPr>
        <w:t>, přijatém společně s tímto návrhem, považuje e-CODEX za hlavní nástroj a zlatý standard pro vytvoření interoperabilní, bezpečné a decentralizované komunikační sítě mezi vnitrostátními informačními systémy v přeshraničních občanských a trestních řízeních.</w:t>
      </w:r>
    </w:p>
    <w:p>
      <w:pPr>
        <w:pBdr>
          <w:top w:val="nil"/>
          <w:left w:val="nil"/>
          <w:bottom w:val="nil"/>
          <w:right w:val="nil"/>
          <w:between w:val="nil"/>
          <w:bar w:val="nil"/>
        </w:pBdr>
        <w:rPr>
          <w:rFonts w:eastAsia="Arial Unicode MS" w:cs="Arial Unicode MS"/>
          <w:noProof/>
          <w:color w:val="000000" w:themeColor="text1"/>
        </w:rPr>
      </w:pPr>
      <w:r>
        <w:rPr>
          <w:noProof/>
          <w:color w:val="000000"/>
          <w:bdr w:val="nil"/>
        </w:rPr>
        <w:t>Prioritou Unie je dlouhodobá udržitelnost, zvýšené využívání a provozní řízení systému e-CODEX. Systém e-CODEX by mohl být využíván k účinnější justiční spolupráci mezi justičními orgány v trestních věcech, čímž by se zintenzivnil boj proti přeshraniční trestné činnosti, terorismu a kyberkriminalitě. To zahrnuje postupy vzájemného uznávání podle různých nástrojů</w:t>
      </w:r>
      <w:r>
        <w:rPr>
          <w:rStyle w:val="FootnoteReference"/>
          <w:noProof/>
        </w:rPr>
        <w:footnoteReference w:id="18"/>
      </w:r>
      <w:r>
        <w:rPr>
          <w:noProof/>
          <w:color w:val="000000"/>
          <w:bdr w:val="nil"/>
        </w:rPr>
        <w:t xml:space="preserve"> a další postupy justiční spolupráce, jako jsou postupy podle Úmluvy o vzájemné pomoci v trestních věcech mezi členskými státy Evropské unie, jejíž odpovídající ustanovení byla nahrazena evropským vyšetřovacím příkazem</w:t>
      </w:r>
      <w:r>
        <w:rPr>
          <w:rStyle w:val="FootnoteReference"/>
          <w:noProof/>
        </w:rPr>
        <w:footnoteReference w:id="19"/>
      </w:r>
      <w:r>
        <w:rPr>
          <w:noProof/>
          <w:color w:val="000000"/>
          <w:bdr w:val="nil"/>
        </w:rPr>
        <w:t>.</w:t>
      </w:r>
    </w:p>
    <w:p>
      <w:pPr>
        <w:pBdr>
          <w:top w:val="nil"/>
          <w:left w:val="nil"/>
          <w:bottom w:val="nil"/>
          <w:right w:val="nil"/>
          <w:between w:val="nil"/>
          <w:bar w:val="nil"/>
        </w:pBdr>
        <w:rPr>
          <w:rFonts w:eastAsia="Arial Unicode MS" w:cs="Arial Unicode MS"/>
          <w:noProof/>
          <w:color w:val="000000" w:themeColor="text1"/>
        </w:rPr>
      </w:pPr>
      <w:r>
        <w:rPr>
          <w:noProof/>
          <w:color w:val="000000"/>
          <w:bdr w:val="nil"/>
        </w:rPr>
        <w:t>Dočasné financování provozu systému e-CODEX lze nalézt v Nástroji pro propojení Evropy, programu Spravedlnost nebo jejich nástupcích v rámci příštího víceletého finančního rámce. Konsorcium členských států a dalších organizací,</w:t>
      </w:r>
      <w:r>
        <w:rPr>
          <w:rStyle w:val="FootnoteReference"/>
          <w:rFonts w:eastAsia="Calibri"/>
          <w:noProof/>
          <w:lang w:eastAsia="ar-SA"/>
        </w:rPr>
        <w:footnoteReference w:id="20"/>
      </w:r>
      <w:r>
        <w:rPr>
          <w:noProof/>
          <w:color w:val="000000"/>
          <w:bdr w:val="nil"/>
        </w:rPr>
        <w:t xml:space="preserve"> které v současné době zajišťuje vývoj a údržbu IT softwaru e-CODEX, však dlouhodobé provozní řízení systému nezajistí. Využívání dočasných grantů na akce za účelem správy systému není udržitelným řešením ani neumožňuje, aby se e-CODEX v budoucnu stal standardním systémem pro přeshraniční občanská a trestní řízení. Naposledy dne 13. října 2020</w:t>
      </w:r>
      <w:r>
        <w:rPr>
          <w:rStyle w:val="FootnoteReference"/>
          <w:rFonts w:eastAsia="Arial Unicode MS" w:cs="Arial Unicode MS"/>
          <w:noProof/>
          <w:color w:val="000000"/>
          <w:bdr w:val="nil"/>
          <w:lang w:eastAsia="en-GB"/>
        </w:rPr>
        <w:footnoteReference w:id="21"/>
      </w:r>
      <w:r>
        <w:rPr>
          <w:noProof/>
          <w:color w:val="000000"/>
          <w:bdr w:val="nil"/>
        </w:rPr>
        <w:t xml:space="preserve"> vyzvala Rada Komisi, aby předložila legislativní návrh zajišťující udržitelnost systému e-CODEX s odpovídající strukturou řízení a správy kompatibilní s agenturou eu-LISA, který by respektoval nezávislost soudnictví a ústavní požadavky členských států a zároveň zajistil odpovídající zastoupení soudních orgánů EU a členských států, jakož i klíčových zúčastněných stran. V zájmu zajištění udržitelného a dlouhodobého provozního řízení systému e-CODEX je cílem tohoto návrhu vytvořit stabilní řešení pro správu systému s transparentním rozhodovacím procesem, který zajistí zapojení členských států a dalších příslušných zúčastněných stran.</w:t>
      </w:r>
    </w:p>
    <w:p>
      <w:pPr>
        <w:pBdr>
          <w:top w:val="nil"/>
          <w:left w:val="nil"/>
          <w:bottom w:val="nil"/>
          <w:right w:val="nil"/>
          <w:between w:val="nil"/>
          <w:bar w:val="nil"/>
        </w:pBdr>
        <w:rPr>
          <w:rFonts w:eastAsia="Arial Unicode MS" w:cs="Arial Unicode MS"/>
          <w:noProof/>
          <w:color w:val="000000" w:themeColor="text1"/>
        </w:rPr>
      </w:pPr>
      <w:r>
        <w:rPr>
          <w:noProof/>
          <w:color w:val="000000"/>
          <w:bdr w:val="nil"/>
        </w:rPr>
        <w:t>Kromě toho musí být systém e-CODEX řízen způsobem, který nezpochybní nezávislost vnitrostátních soudů. Toho lze dosáhnout poskytnutím modelu řízení, který zajistí, aby soudy členských států byly odpovídajícím způsobem zastoupeny a aby byl subjektu spravujícímu systém přidělen samostatný rozpočet.</w:t>
      </w:r>
    </w:p>
    <w:p>
      <w:pPr>
        <w:pBdr>
          <w:top w:val="nil"/>
          <w:left w:val="nil"/>
          <w:bottom w:val="nil"/>
          <w:right w:val="nil"/>
          <w:between w:val="nil"/>
          <w:bar w:val="nil"/>
        </w:pBdr>
        <w:rPr>
          <w:rFonts w:eastAsia="Arial Unicode MS" w:cs="Arial Unicode MS"/>
          <w:noProof/>
          <w:color w:val="000000"/>
          <w:bdr w:val="nil"/>
        </w:rPr>
      </w:pPr>
      <w:r>
        <w:rPr>
          <w:noProof/>
          <w:color w:val="000000"/>
          <w:bdr w:val="nil"/>
        </w:rPr>
        <w:lastRenderedPageBreak/>
        <w:t>Posouzení dopadů ukázalo, že nejlepším řešením pro zajištění stabilní budoucnosti systému e-CODEX je převést jej na Agenturu Evropské unie pro provozní řízení rozsáhlých informačních systémů v prostoru svobody, bezpečnosti a práva (dále jen „agentura eu-LISA“) a pověřit agenturu zajištěním provozního řízení systému. Stabilní správa systému e-CODEX umožní zavést jej jako výchozí systém pro výměnu elektronických zpráv pro justiční spolupráci na úrovni EU.</w:t>
      </w:r>
    </w:p>
    <w:p>
      <w:pPr>
        <w:pBdr>
          <w:top w:val="nil"/>
          <w:left w:val="nil"/>
          <w:bottom w:val="nil"/>
          <w:right w:val="nil"/>
          <w:between w:val="nil"/>
          <w:bar w:val="nil"/>
        </w:pBdr>
        <w:rPr>
          <w:rFonts w:eastAsia="Arial Unicode MS" w:cs="Arial Unicode MS"/>
          <w:noProof/>
          <w:color w:val="000000"/>
          <w:bdr w:val="nil"/>
        </w:rPr>
      </w:pPr>
      <w:r>
        <w:rPr>
          <w:noProof/>
          <w:color w:val="000000"/>
          <w:bdr w:val="nil"/>
        </w:rPr>
        <w:t>Agentura eu-LISA by systém e-CODEX nepřevzala dříve než v červenci 2023. Předání nemůže proběhnout dříve vzhledem ke stávajícím významným úkolům svěřeným agentuře eu-LISA, zejména v souvislosti s vývojem a budoucím řízením řady rozsáhlých centralizovaných informačních systémů EU pro bezpečnost, správu hranic a řízení migrace, tj. Systému vstupu/výstupu (EES), Evropského systému pro cestovní informace a povolení (ETIAS) a Evropského informačního systému rejstříků trestů pro státní příslušníky třetích zemí (ECRIS-TCN). Kromě toho agentura rovněž odpovídá za modernizaci Schengenského informačního systému (SIS) a Vízového informačního systému (VIS). Kromě toho je v souladu s nařízeními (EU) 2019/817 a (EU) 2019/818, kterými se zřizuje rámec pro interoperabilitu mezi informačními systémy EU</w:t>
      </w:r>
      <w:r>
        <w:rPr>
          <w:rStyle w:val="FootnoteReference"/>
          <w:rFonts w:eastAsia="Arial Unicode MS" w:cs="Arial Unicode MS"/>
          <w:noProof/>
          <w:color w:val="000000"/>
          <w:bdr w:val="nil"/>
          <w:lang w:eastAsia="en-GB"/>
        </w:rPr>
        <w:footnoteReference w:id="22"/>
      </w:r>
      <w:r>
        <w:rPr>
          <w:noProof/>
          <w:color w:val="000000"/>
          <w:bdr w:val="nil"/>
        </w:rPr>
        <w:t xml:space="preserve">, úkolem agentury eu-LISA zajistit technickou interoperabilitu mezi těmito systémy. </w:t>
      </w:r>
    </w:p>
    <w:p>
      <w:pPr>
        <w:pBdr>
          <w:top w:val="nil"/>
          <w:left w:val="nil"/>
          <w:bottom w:val="nil"/>
          <w:right w:val="nil"/>
          <w:between w:val="nil"/>
          <w:bar w:val="nil"/>
        </w:pBdr>
        <w:rPr>
          <w:rFonts w:eastAsia="Arial Unicode MS" w:cs="Arial Unicode MS"/>
          <w:noProof/>
          <w:color w:val="000000"/>
          <w:bdr w:val="nil"/>
        </w:rPr>
      </w:pPr>
      <w:r>
        <w:rPr>
          <w:noProof/>
          <w:color w:val="000000"/>
          <w:bdr w:val="nil"/>
        </w:rPr>
        <w:t>Ústředním prvkem tohoto návrhu je načasování převzetí systému e-CODEX agenturou eu-LISA, aby bylo zaručeno, že bude účinně zajištěno stálé řízení systému e-CODEX. Převzetí systému by nebylo proveditelné dříve než v červenci 2023.</w:t>
      </w:r>
    </w:p>
    <w:p>
      <w:pPr>
        <w:pBdr>
          <w:top w:val="nil"/>
          <w:left w:val="nil"/>
          <w:bottom w:val="nil"/>
          <w:right w:val="nil"/>
          <w:between w:val="nil"/>
          <w:bar w:val="nil"/>
        </w:pBdr>
        <w:rPr>
          <w:rFonts w:eastAsia="Arial Unicode MS" w:cs="Arial Unicode MS"/>
          <w:noProof/>
          <w:color w:val="000000"/>
          <w:bdr w:val="nil"/>
        </w:rPr>
      </w:pPr>
      <w:r>
        <w:rPr>
          <w:noProof/>
          <w:color w:val="000000"/>
          <w:bdr w:val="nil"/>
        </w:rPr>
        <w:t>Jako agentura odpovědná za provozní řízení systému e-CODEX by agentura eu-LISA měla zajistit personál a technické prostředí nezbytné pro plnění těchto úkolů. Do 31. prosince 2022 by subjekt spravující systém měl agentuře eu-LISA předložit předávací dokument, v němž budou upřesněna opatření pro převod systému e-CODEX (včetně kritérií pro úspěšný proces předání a jeho dokončení, jak bylo dohodnuto Komisí). Měl by rovněž předložit související dokumentaci, včetně ustanovení o právech duševního vlastnictví a o softwarových produktech, které mají být předány.</w:t>
      </w:r>
    </w:p>
    <w:p>
      <w:pPr>
        <w:pBdr>
          <w:top w:val="nil"/>
          <w:left w:val="nil"/>
          <w:bottom w:val="nil"/>
          <w:right w:val="nil"/>
          <w:between w:val="nil"/>
          <w:bar w:val="nil"/>
        </w:pBdr>
        <w:rPr>
          <w:rFonts w:eastAsia="Arial Unicode MS" w:cs="Arial Unicode MS"/>
          <w:noProof/>
          <w:color w:val="000000"/>
          <w:bdr w:val="nil"/>
        </w:rPr>
      </w:pPr>
      <w:r>
        <w:rPr>
          <w:noProof/>
          <w:color w:val="000000"/>
          <w:bdr w:val="nil"/>
        </w:rPr>
        <w:t>Během šestiměsíčního přechodného období před převedením systému e-CODEX na agenturu eu-LISA by se uskutečnil proces předání mezi subjektem spravujícím systém – konsorciem členských států a organizacemi právníků s finančními prostředky EU – a agenturou eu-LISA. Proces bude zahrnovat přenos stabilní verze systému e-CODEX, včetně příslušného know-how, softwaru a související dokumentace a digitálních šablon. Mezi softwarem, který má být převeden, je i konektor DOMIBUS Connector a podpůrný software, zatímco software brány DOMIBUS Gateway, který je rovněž součástí projektu e-CODEX, bude nadále spravován Komisí. Subjekt spravující systém bude i nadále odpovědný za řízení systému e-CODEX a bude provádět pouze nápravnou údržbu. Měl by však rovněž podpořit agenturu eu-LISA při vytváření nezbytného technického prostředí pro zajištění řádné správy systému e-CODEX. </w:t>
      </w:r>
    </w:p>
    <w:p>
      <w:pPr>
        <w:pBdr>
          <w:top w:val="nil"/>
          <w:left w:val="nil"/>
          <w:bottom w:val="nil"/>
          <w:right w:val="nil"/>
          <w:between w:val="nil"/>
          <w:bar w:val="nil"/>
        </w:pBdr>
        <w:rPr>
          <w:rFonts w:eastAsia="Arial Unicode MS" w:cs="Arial Unicode MS"/>
          <w:noProof/>
          <w:color w:val="000000"/>
          <w:bdr w:val="nil"/>
        </w:rPr>
      </w:pPr>
      <w:r>
        <w:rPr>
          <w:noProof/>
          <w:color w:val="000000"/>
          <w:bdr w:val="nil"/>
        </w:rPr>
        <w:t>Komise bude sledovat proces předání/převzetí, aby zajistila, že subjekt spravující systém řádně dodržuje postupy, a to na základě kritérií stanovených v předávacím dokumentu předloženém subjektem. Agentura eu-LISA převezme odpovědnost za systém e-CODEX pouze za podmínky, že Komise prohlásí proces předání/převzetí za úspěšně dokončený.</w:t>
      </w:r>
    </w:p>
    <w:p>
      <w:pPr>
        <w:pBdr>
          <w:top w:val="nil"/>
          <w:left w:val="nil"/>
          <w:bottom w:val="nil"/>
          <w:right w:val="nil"/>
          <w:between w:val="nil"/>
          <w:bar w:val="nil"/>
        </w:pBdr>
        <w:rPr>
          <w:rFonts w:eastAsia="Arial Unicode MS" w:cs="Arial Unicode MS"/>
          <w:noProof/>
          <w:color w:val="000000"/>
          <w:bdr w:val="nil"/>
        </w:rPr>
      </w:pPr>
      <w:r>
        <w:rPr>
          <w:noProof/>
          <w:color w:val="000000"/>
          <w:bdr w:val="nil"/>
        </w:rPr>
        <w:t xml:space="preserve">Poté, co agentura eu-LISA převezme odpovědnost za systém, a to nejdříve dne 1. července 2023, bude muset na základě požadavků na technickou úroveň a úroveň služeb stanovených v prováděcích aktech zajistit funkčnost stávajícího softwaru v měnícím se technickém prostředí </w:t>
      </w:r>
      <w:r>
        <w:rPr>
          <w:noProof/>
          <w:color w:val="000000"/>
          <w:bdr w:val="nil"/>
        </w:rPr>
        <w:lastRenderedPageBreak/>
        <w:t xml:space="preserve">a jeho přizpůsobení vyvíjejícím se potřebám uživatelů. Kromě toho bude muset agentura eu-LISA udržovat nebo aktualizovat digitální šablony pro různá řízení, u nichž bude e-CODEX používán v návaznosti na právní nebo organizační změny, a vytvářet nové šablony pro nástroje spadající do oblasti působnosti nařízení, které zavádí systém e-CODEX. Komise poté zajistí, aby tyto šablony byly stanoveny v prováděcím aktu, kterým se stanoví podrobné specifikace používání systému e-CODEX u daných řízení. </w:t>
      </w:r>
    </w:p>
    <w:p>
      <w:pPr>
        <w:pStyle w:val="ManualHeading2"/>
        <w:rPr>
          <w:noProof/>
          <w:color w:val="000000"/>
          <w:bdr w:val="nil"/>
        </w:rPr>
      </w:pPr>
      <w:r>
        <w:rPr>
          <w:noProof/>
          <w:color w:val="000000"/>
          <w:bdr w:val="nil"/>
        </w:rPr>
        <w:t>•</w:t>
      </w:r>
      <w:r>
        <w:rPr>
          <w:noProof/>
          <w:color w:val="000000"/>
          <w:u w:color="000000"/>
          <w:bdr w:val="nil"/>
        </w:rPr>
        <w:tab/>
      </w:r>
      <w:r>
        <w:rPr>
          <w:noProof/>
        </w:rPr>
        <w:t>Soulad s platnými předpisy v této oblasti politiky</w:t>
      </w:r>
    </w:p>
    <w:p>
      <w:pPr>
        <w:pBdr>
          <w:top w:val="nil"/>
          <w:left w:val="nil"/>
          <w:bottom w:val="nil"/>
          <w:right w:val="nil"/>
          <w:between w:val="nil"/>
          <w:bar w:val="nil"/>
        </w:pBdr>
        <w:spacing w:before="0" w:after="240"/>
        <w:rPr>
          <w:noProof/>
          <w:szCs w:val="24"/>
        </w:rPr>
      </w:pPr>
      <w:r>
        <w:rPr>
          <w:noProof/>
        </w:rPr>
        <w:t>Je zřejmé, že na evropské i vnitrostátní úrovni je třeba učinit více, aby bylo zajištěno, že soudní systémy plně využijí digitálních technologií ke komunikaci mezi orgány a s občany a podniky. Značnou práci je nadále třeba vykonat v řadě oblastí, jako jsou: rozvoj bezpečných elektronických přenosových kanálů v rámci soudních a jiných příslušných orgánů, příslušných agentur a subjektů EU a mezi nimi a také mezi právníky; další digitalizace a propojení vnitrostátních databází a rejstříků; digitalizace soudních služeb poskytovaných veřejnosti; digitalizace justiční spolupráce a využívání bezpečných a vysoce kvalitních technologií dálkové komunikace.</w:t>
      </w:r>
    </w:p>
    <w:p>
      <w:pPr>
        <w:pBdr>
          <w:top w:val="nil"/>
          <w:left w:val="nil"/>
          <w:bottom w:val="nil"/>
          <w:right w:val="nil"/>
          <w:between w:val="nil"/>
          <w:bar w:val="nil"/>
        </w:pBdr>
        <w:spacing w:before="0" w:after="240"/>
        <w:rPr>
          <w:noProof/>
          <w:szCs w:val="24"/>
        </w:rPr>
      </w:pPr>
      <w:r>
        <w:rPr>
          <w:noProof/>
        </w:rPr>
        <w:t xml:space="preserve">Jednou z důležitých oblastí politických iniciativ v oblasti e-justice je </w:t>
      </w:r>
      <w:r>
        <w:rPr>
          <w:b/>
          <w:noProof/>
        </w:rPr>
        <w:t>vytvoření interoperabilních nástrojů pro komunikaci mezi informačními systémy</w:t>
      </w:r>
      <w:r>
        <w:rPr>
          <w:noProof/>
        </w:rPr>
        <w:t xml:space="preserve"> soudních orgánů v členských státech. Systém </w:t>
      </w:r>
      <w:r>
        <w:rPr>
          <w:b/>
          <w:noProof/>
        </w:rPr>
        <w:t>e-CODEX</w:t>
      </w:r>
      <w:r>
        <w:rPr>
          <w:noProof/>
        </w:rPr>
        <w:t xml:space="preserve"> je hlavním nástrojem k řešení této potřeby, který byl dosud vyvinut.</w:t>
      </w:r>
    </w:p>
    <w:p>
      <w:pPr>
        <w:pBdr>
          <w:top w:val="nil"/>
          <w:left w:val="nil"/>
          <w:bottom w:val="nil"/>
          <w:right w:val="nil"/>
          <w:between w:val="nil"/>
          <w:bar w:val="nil"/>
        </w:pBdr>
        <w:spacing w:before="0" w:after="240"/>
        <w:rPr>
          <w:b/>
          <w:noProof/>
        </w:rPr>
      </w:pPr>
      <w:r>
        <w:rPr>
          <w:noProof/>
        </w:rPr>
        <w:t xml:space="preserve">S rozvojem platformy IT pro justiční spolupráci v trestních věcech (digitální systém výměny elektronických důkazů), která využívá e-CODEX jako svou komunikační infrastrukturu, a s nedávným uzavřením jednání o nařízeních o doručování písemností a dokazování, je </w:t>
      </w:r>
      <w:r>
        <w:rPr>
          <w:b/>
          <w:noProof/>
        </w:rPr>
        <w:t>stále více zapotřebí zajistit udržitelné řízení systému e-CODEX</w:t>
      </w:r>
      <w:r>
        <w:rPr>
          <w:noProof/>
        </w:rPr>
        <w:t>.</w:t>
      </w:r>
    </w:p>
    <w:p>
      <w:pPr>
        <w:pBdr>
          <w:top w:val="nil"/>
          <w:left w:val="nil"/>
          <w:bottom w:val="nil"/>
          <w:right w:val="nil"/>
          <w:between w:val="nil"/>
          <w:bar w:val="nil"/>
        </w:pBdr>
        <w:spacing w:before="0" w:after="240"/>
        <w:rPr>
          <w:noProof/>
        </w:rPr>
      </w:pPr>
      <w:r>
        <w:rPr>
          <w:noProof/>
        </w:rPr>
        <w:t>Tento návrh navazuje na žádost Rady obsaženou v jejích závěrech z června 2016 o zlepšení trestního soudnictví v kyberprostoru, v nichž Rada požádala Komisi, aby vytvořila platformu se zabezpečeným komunikačním kanálem pro digitální výměnu žádostí o elektronické důkazy a odpovědí mezi příslušnými orgány. Po zvážení různých možností dospěli odborníci z členských států účastnící se rozvoje platformy k závěru, že e-CODEX by byl nejvhodnějším systémem pro tento druh výměny elektronických důkazů. Tento návrh by poskytl dlouhodobé řešení pro provozní řízení systému e-CODEX, a zajistil by tak udržování řešení zvoleného pro platformu pro výměnu informací.</w:t>
      </w:r>
    </w:p>
    <w:p>
      <w:pPr>
        <w:pBdr>
          <w:top w:val="nil"/>
          <w:left w:val="nil"/>
          <w:bottom w:val="nil"/>
          <w:right w:val="nil"/>
          <w:between w:val="nil"/>
          <w:bar w:val="nil"/>
        </w:pBdr>
        <w:spacing w:before="0" w:after="240"/>
        <w:rPr>
          <w:noProof/>
        </w:rPr>
      </w:pPr>
      <w:r>
        <w:rPr>
          <w:noProof/>
        </w:rPr>
        <w:t>Návrh rozšiřuje mandát agentury eu-LISA tak, aby do jejích pravomocí spadal systém e-CODEX. Aby mohla agentura eu-LISA spravovat e-CODEX v rámci uvedeného mandátu, jsou součástí tohoto návrhu rovněž změny zřizovacího nařízení agentury eu-LISA</w:t>
      </w:r>
      <w:r>
        <w:rPr>
          <w:rStyle w:val="FootnoteReference"/>
          <w:rFonts w:eastAsia="Arial Unicode MS"/>
          <w:noProof/>
        </w:rPr>
        <w:footnoteReference w:id="23"/>
      </w:r>
      <w:r>
        <w:rPr>
          <w:noProof/>
        </w:rPr>
        <w:t>.</w:t>
      </w:r>
    </w:p>
    <w:p>
      <w:pPr>
        <w:pStyle w:val="ManualHeading2"/>
        <w:rPr>
          <w:rFonts w:eastAsia="Arial Unicode MS"/>
          <w:noProof/>
        </w:rPr>
      </w:pPr>
      <w:r>
        <w:rPr>
          <w:noProof/>
          <w:color w:val="000000"/>
          <w:bdr w:val="nil"/>
        </w:rPr>
        <w:t>•</w:t>
      </w:r>
      <w:r>
        <w:rPr>
          <w:noProof/>
          <w:color w:val="000000"/>
          <w:u w:color="000000"/>
          <w:bdr w:val="nil"/>
        </w:rPr>
        <w:tab/>
      </w:r>
      <w:r>
        <w:rPr>
          <w:noProof/>
        </w:rPr>
        <w:t>Soulad s ostatními politikami Unie</w:t>
      </w:r>
    </w:p>
    <w:p>
      <w:pPr>
        <w:pBdr>
          <w:top w:val="nil"/>
          <w:left w:val="nil"/>
          <w:bottom w:val="nil"/>
          <w:right w:val="nil"/>
          <w:between w:val="nil"/>
          <w:bar w:val="nil"/>
        </w:pBdr>
        <w:spacing w:before="0" w:after="240"/>
        <w:rPr>
          <w:noProof/>
        </w:rPr>
      </w:pPr>
      <w:r>
        <w:rPr>
          <w:noProof/>
        </w:rPr>
        <w:t>Systém e-CODEX je jednou z klíčových složek politiky Komise v oblasti e-justice, jejímž cílem je zlepšit přístup ke spravedlnosti a její účinnost v členských státech; je zahrnut do akčního plánu v oblasti evropské e</w:t>
      </w:r>
      <w:r>
        <w:rPr>
          <w:noProof/>
        </w:rPr>
        <w:noBreakHyphen/>
        <w:t>justice na období 2019–2023</w:t>
      </w:r>
      <w:r>
        <w:rPr>
          <w:rStyle w:val="FootnoteReference"/>
          <w:noProof/>
        </w:rPr>
        <w:footnoteReference w:id="24"/>
      </w:r>
      <w:r>
        <w:rPr>
          <w:noProof/>
        </w:rPr>
        <w:t xml:space="preserve">. Za hlavní nástroj pro bezpečnou digitální komunikaci v přeshraničních soudních řízeních je rovněž prohlášen ve sdělení Komise „Digitalizace soudnictví v Evropské unii – soubor příležitostí“. V souvislosti s jednotným </w:t>
      </w:r>
      <w:r>
        <w:rPr>
          <w:noProof/>
        </w:rPr>
        <w:lastRenderedPageBreak/>
        <w:t>digitálním trhem, jehož cílem je poskytovat vysokorychlostní, bezpečné a důvěryhodné infrastruktury a služby, byla řešení na podporu e-justice součástí akčního plánu „eGovernment“ z roku 2016</w:t>
      </w:r>
      <w:r>
        <w:rPr>
          <w:rStyle w:val="FootnoteReference"/>
          <w:rFonts w:eastAsia="Arial Unicode MS"/>
          <w:noProof/>
        </w:rPr>
        <w:footnoteReference w:id="25"/>
      </w:r>
      <w:r>
        <w:rPr>
          <w:noProof/>
        </w:rPr>
        <w:t>. Portál e-justice je jednotným kontaktním místem pro justiční informace v EU a nabízí občanům možnost podávat drobné nároky a žádosti o evropský platební rozkaz elektronicky s využitím systému e-CODEX v členských státech, v nichž je elektronický přenos povolen.</w:t>
      </w:r>
    </w:p>
    <w:p>
      <w:pPr>
        <w:pBdr>
          <w:top w:val="nil"/>
          <w:left w:val="nil"/>
          <w:bottom w:val="nil"/>
          <w:right w:val="nil"/>
          <w:between w:val="nil"/>
          <w:bar w:val="nil"/>
        </w:pBdr>
        <w:spacing w:before="0" w:after="240"/>
        <w:rPr>
          <w:noProof/>
        </w:rPr>
      </w:pPr>
      <w:r>
        <w:rPr>
          <w:noProof/>
        </w:rPr>
        <w:t>Systém e-CODEX je součástí infrastruktury digitálních služeb e-justice v rámci Nástroje pro propojení Evropy</w:t>
      </w:r>
      <w:r>
        <w:rPr>
          <w:rStyle w:val="FootnoteReference"/>
          <w:rFonts w:eastAsia="Arial Unicode MS"/>
          <w:noProof/>
        </w:rPr>
        <w:footnoteReference w:id="26"/>
      </w:r>
      <w:r>
        <w:rPr>
          <w:noProof/>
        </w:rPr>
        <w:t xml:space="preserve">. </w:t>
      </w:r>
    </w:p>
    <w:p>
      <w:pPr>
        <w:pBdr>
          <w:top w:val="nil"/>
          <w:left w:val="nil"/>
          <w:bottom w:val="nil"/>
          <w:right w:val="nil"/>
          <w:between w:val="nil"/>
          <w:bar w:val="nil"/>
        </w:pBdr>
        <w:spacing w:before="0" w:after="240"/>
        <w:rPr>
          <w:rFonts w:eastAsia="Arial Unicode MS"/>
          <w:noProof/>
        </w:rPr>
      </w:pPr>
      <w:r>
        <w:rPr>
          <w:noProof/>
        </w:rPr>
        <w:t>Kromě toho Komise převzala a udržovala jednu ze složek systému e-CODEX jako součást stavebního prvku eDelivery v rámci Nástroje pro propojení Evropy, což dokládá, že se jedná o užitečný systém nejen pro soudnictví, ale i pro jiné oblasti.</w:t>
      </w:r>
    </w:p>
    <w:p>
      <w:pPr>
        <w:pStyle w:val="ManualHeading1"/>
        <w:rPr>
          <w:noProof/>
        </w:rPr>
      </w:pPr>
      <w:r>
        <w:rPr>
          <w:noProof/>
        </w:rPr>
        <w:t>2.</w:t>
      </w:r>
      <w:r>
        <w:rPr>
          <w:noProof/>
        </w:rPr>
        <w:tab/>
        <w:t>PRÁVNÍ ZÁKLAD, SUBSIDIARITA A PROPORCIONALITA</w:t>
      </w:r>
    </w:p>
    <w:p>
      <w:pPr>
        <w:pStyle w:val="ManualHeading2"/>
        <w:rPr>
          <w:noProof/>
          <w:u w:color="000000"/>
          <w:bdr w:val="nil"/>
        </w:rPr>
      </w:pPr>
      <w:r>
        <w:rPr>
          <w:noProof/>
        </w:rPr>
        <w:t>•</w:t>
      </w:r>
      <w:r>
        <w:rPr>
          <w:noProof/>
          <w:u w:color="000000"/>
          <w:bdr w:val="nil"/>
        </w:rPr>
        <w:tab/>
      </w:r>
      <w:r>
        <w:rPr>
          <w:noProof/>
          <w:bdr w:val="nil"/>
        </w:rPr>
        <w:t>Právní základ</w:t>
      </w:r>
    </w:p>
    <w:p>
      <w:pPr>
        <w:rPr>
          <w:rFonts w:eastAsia="Arial Unicode MS"/>
          <w:noProof/>
        </w:rPr>
      </w:pPr>
      <w:r>
        <w:rPr>
          <w:noProof/>
        </w:rPr>
        <w:t>Vzhledem k tomu, že systém e-CODEX by usnadnil justiční spolupráci v občanských i trestních věcech, je právním základem systému kombinace článků 81 a 82 Smlouvy o fungování Evropské unie. Konkrétněji usnadňuje systém e-CODEX přístup ke spravedlnosti v občanských věcech v souladu s čl. 81 odst. 2. Právním základem práva EU jednat v oblasti justiční spolupráce v trestních věcech za účelem usnadnění spolupráce mezi justičními nebo obdobnými orgány členských států v rámci trestních řízení a výkonu rozhodnutí je čl. 82 odst. 1.</w:t>
      </w:r>
    </w:p>
    <w:p>
      <w:pPr>
        <w:pStyle w:val="ManualHeading2"/>
        <w:rPr>
          <w:noProof/>
          <w:u w:color="000000"/>
          <w:bdr w:val="nil"/>
        </w:rPr>
      </w:pPr>
      <w:r>
        <w:rPr>
          <w:noProof/>
        </w:rPr>
        <w:t>•</w:t>
      </w:r>
      <w:r>
        <w:rPr>
          <w:noProof/>
          <w:u w:color="000000"/>
          <w:bdr w:val="nil"/>
        </w:rPr>
        <w:tab/>
      </w:r>
      <w:r>
        <w:rPr>
          <w:noProof/>
          <w:bdr w:val="nil"/>
        </w:rPr>
        <w:t xml:space="preserve">Subsidiarita </w:t>
      </w:r>
    </w:p>
    <w:p>
      <w:pPr>
        <w:rPr>
          <w:rFonts w:eastAsia="Arial Unicode MS" w:cs="Arial Unicode MS"/>
          <w:noProof/>
        </w:rPr>
      </w:pPr>
      <w:r>
        <w:rPr>
          <w:noProof/>
        </w:rPr>
        <w:t>Vytvoření mechanismu pro bezpečnou výměnu informací v přeshraničních soudních řízeních lze nejlépe dosáhnout na úrovni EU. V případě neexistence opatření na úrovni EU, je vysoce pravděpodobné, že by členské státy mohly vyvíjet vnitrostátní systémy, aniž by braly v úvahu, zda lze mezi nimi zajistit interoperabilitu. Provozní řízení na úrovni EU sice přináší náklady, ale je to nejlepší způsob, jak dosáhnout interoperabilního systému pro přeshraniční komunikaci mezi příslušnými orgány, a tedy nejlepší způsob, jak dosáhnout obecného cíle: společného prostoru bezpečnosti a práva, který funguje ještě efektivněji.</w:t>
      </w:r>
    </w:p>
    <w:p>
      <w:pPr>
        <w:rPr>
          <w:noProof/>
        </w:rPr>
      </w:pPr>
      <w:r>
        <w:rPr>
          <w:noProof/>
        </w:rPr>
        <w:t>Vytvoření společného systému pro digitální přeshraniční výměnu na úrovni EU poskytne standardní řešení, které lze použít pro různá právní řízení, a zároveň zajistí interoperabilitu mezi vnitrostátními systémy. Takový systém je účinnější než odlišné systémy na vnitrostátní úrovni, které by nutně nezaručovaly, že přeshraniční komunikace mezi členskými státy bude možná. Společný systém na úrovni EU navíc přinese úspory z rozsahu, neboť pro bezpečnou přeshraniční komunikaci v oblasti justice bude EU muset spravovat pouze jedno IT řešení. Bude to rovněž znamenat přidanou hodnotu pro členské státy, neboť se očekává, že náklady na digitalizaci jejich přeshraničních postupů se sníží a budou představovat menší překážku spolupráce.</w:t>
      </w:r>
    </w:p>
    <w:p>
      <w:pPr>
        <w:pStyle w:val="ManualHeading2"/>
        <w:rPr>
          <w:noProof/>
          <w:u w:color="000000"/>
          <w:bdr w:val="nil"/>
        </w:rPr>
      </w:pPr>
      <w:r>
        <w:rPr>
          <w:noProof/>
        </w:rPr>
        <w:lastRenderedPageBreak/>
        <w:t>•</w:t>
      </w:r>
      <w:r>
        <w:rPr>
          <w:noProof/>
          <w:u w:color="000000"/>
          <w:bdr w:val="nil"/>
        </w:rPr>
        <w:tab/>
      </w:r>
      <w:r>
        <w:rPr>
          <w:noProof/>
          <w:bdr w:val="nil"/>
        </w:rPr>
        <w:t>Proporcionalita</w:t>
      </w:r>
    </w:p>
    <w:p>
      <w:pPr>
        <w:pBdr>
          <w:top w:val="nil"/>
          <w:left w:val="nil"/>
          <w:bottom w:val="nil"/>
          <w:right w:val="nil"/>
          <w:between w:val="nil"/>
          <w:bar w:val="nil"/>
        </w:pBdr>
        <w:spacing w:before="0" w:after="240"/>
        <w:rPr>
          <w:noProof/>
        </w:rPr>
      </w:pPr>
      <w:r>
        <w:rPr>
          <w:noProof/>
        </w:rPr>
        <w:t>Zajištění stálého provozního řízení systému e-CODEX na úrovni EU je přiměřenou podporou přeshraniční komunikace v oblasti justice. Pověřením agentury eu-LISA provozním řízením systému lze získat přiměřený výnos z částky 24 milionů EUR investované do vývoje systému. Zachování tohoto systému je méně nákladné a méně složité řešení ve srovnání s vývojem nového systému nebo využíváním jiných systémů, které nejsou pro oblast justice uzpůsobeny.</w:t>
      </w:r>
    </w:p>
    <w:p>
      <w:pPr>
        <w:pBdr>
          <w:top w:val="nil"/>
          <w:left w:val="nil"/>
          <w:bottom w:val="nil"/>
          <w:right w:val="nil"/>
          <w:between w:val="nil"/>
          <w:bar w:val="nil"/>
        </w:pBdr>
        <w:spacing w:before="0" w:after="240"/>
        <w:rPr>
          <w:noProof/>
        </w:rPr>
      </w:pPr>
      <w:r>
        <w:rPr>
          <w:noProof/>
        </w:rPr>
        <w:t>Převedení úkolů souvisejících se systémem e-CODEX právě na agenturu eu-LISA je tou nejvhodnější možností z několika důvodů. Agentura specializující se na řízení systémů IT by měla know-how potřebné pro provoz systému e-CODEX. Protože členské státy jsou zastoupeny ve správní radě agentur, lze zohlednit jejich zájmy, jakož i zájmy vnitrostátních soudů. Vzhledem k tomu, že členské státy výrazně podporují předání agentuře eu-LISA, je navíc pravděpodobnější, že systém samy převezmou, bude-li provozní řízení agenturou eu-LISA zvoleno jako řešení.</w:t>
      </w:r>
    </w:p>
    <w:p>
      <w:pPr>
        <w:pBdr>
          <w:top w:val="nil"/>
          <w:left w:val="nil"/>
          <w:bottom w:val="nil"/>
          <w:right w:val="nil"/>
          <w:between w:val="nil"/>
          <w:bar w:val="nil"/>
        </w:pBdr>
        <w:spacing w:before="0" w:after="240"/>
        <w:rPr>
          <w:noProof/>
        </w:rPr>
      </w:pPr>
      <w:r>
        <w:rPr>
          <w:noProof/>
        </w:rPr>
        <w:t>Decentralizovaná agentura EU by rovněž byla schopna reagovat na vyvíjející se technické potřeby přicházející od členských států, které používají systém e-CODEX. Taková agentura by proto poskytla flexibilní řešení a byla by schopna provést nezbytné technické změny systému e-CODEX.</w:t>
      </w:r>
    </w:p>
    <w:p>
      <w:pPr>
        <w:pBdr>
          <w:top w:val="nil"/>
          <w:left w:val="nil"/>
          <w:bottom w:val="nil"/>
          <w:right w:val="nil"/>
          <w:between w:val="nil"/>
          <w:bar w:val="nil"/>
        </w:pBdr>
        <w:spacing w:before="0" w:after="240"/>
        <w:rPr>
          <w:rFonts w:eastAsia="Arial Unicode MS"/>
          <w:noProof/>
        </w:rPr>
      </w:pPr>
      <w:r>
        <w:rPr>
          <w:noProof/>
        </w:rPr>
        <w:t>S ohledem na nové důležité úkoly, které byly agentuře eu-LISA nedávno přiděleny v souvislosti se systémy EES, ETIAS a ECRIS-TCN, jakož i na nedávné návrhy týkající se interoperability mezi informačními systémy EU, by systém e-CODEX neměl být na agenturu eu-LISA převeden dříve než v červenci 2023.</w:t>
      </w:r>
    </w:p>
    <w:p>
      <w:pPr>
        <w:pStyle w:val="ManualHeading2"/>
        <w:rPr>
          <w:noProof/>
          <w:u w:color="000000"/>
          <w:bdr w:val="nil"/>
        </w:rPr>
      </w:pPr>
      <w:r>
        <w:rPr>
          <w:noProof/>
        </w:rPr>
        <w:t>•</w:t>
      </w:r>
      <w:r>
        <w:rPr>
          <w:noProof/>
          <w:u w:color="000000"/>
          <w:bdr w:val="nil"/>
        </w:rPr>
        <w:tab/>
      </w:r>
      <w:r>
        <w:rPr>
          <w:noProof/>
          <w:bdr w:val="nil"/>
        </w:rPr>
        <w:t>Volba nástroje</w:t>
      </w:r>
    </w:p>
    <w:p>
      <w:pPr>
        <w:pBdr>
          <w:top w:val="nil"/>
          <w:left w:val="nil"/>
          <w:bottom w:val="nil"/>
          <w:right w:val="nil"/>
          <w:between w:val="nil"/>
          <w:bar w:val="nil"/>
        </w:pBdr>
        <w:spacing w:before="0" w:after="240"/>
        <w:rPr>
          <w:noProof/>
          <w:sz w:val="23"/>
          <w:szCs w:val="23"/>
        </w:rPr>
      </w:pPr>
      <w:r>
        <w:rPr>
          <w:noProof/>
          <w:sz w:val="23"/>
          <w:szCs w:val="23"/>
        </w:rPr>
        <w:t>Komise předkládá návrh nařízení jako navrhovaný právní nástroj pro zřízení systému e-CODEX na úrovni EU a pověřuje agenturu eu-LISA provozním řízením systému. Návrh proto mění nařízení (EU) 2018/1726</w:t>
      </w:r>
      <w:r>
        <w:rPr>
          <w:rStyle w:val="FootnoteReference"/>
          <w:noProof/>
        </w:rPr>
        <w:footnoteReference w:id="27"/>
      </w:r>
      <w:r>
        <w:rPr>
          <w:noProof/>
          <w:sz w:val="23"/>
          <w:szCs w:val="23"/>
        </w:rPr>
        <w:t>, kterým se zřizuje agentura eu-LISA. Toto nařízení je přímo použitelné ve všech členských státech a je závazné v celém rozsahu. Zaručuje proto jednotné uplatňování pravidel v celé EU a jejich vstup v platnost ve stejnou dobu. Nabízí právní jistotu tím, že se vyhýbá rozdílným výkladům v členských státech, čímž zabraňuje právní roztříštěnosti.</w:t>
      </w:r>
    </w:p>
    <w:p>
      <w:pPr>
        <w:pBdr>
          <w:top w:val="nil"/>
          <w:left w:val="nil"/>
          <w:bottom w:val="nil"/>
          <w:right w:val="nil"/>
          <w:between w:val="nil"/>
          <w:bar w:val="nil"/>
        </w:pBdr>
        <w:spacing w:before="0" w:after="240"/>
        <w:rPr>
          <w:rFonts w:eastAsia="Arial Unicode MS"/>
          <w:noProof/>
        </w:rPr>
      </w:pPr>
      <w:r>
        <w:rPr>
          <w:noProof/>
        </w:rPr>
        <w:t xml:space="preserve">Zavedením systému e-CODEX přispěje přijetí nařízení k využívání systému e-CODEX více členskými státy, a to pro řízení, pro něž se systém již používá, jakož i pro ta budoucí. </w:t>
      </w:r>
    </w:p>
    <w:p>
      <w:pPr>
        <w:pStyle w:val="ManualHeading1"/>
        <w:rPr>
          <w:noProof/>
        </w:rPr>
      </w:pPr>
      <w:r>
        <w:rPr>
          <w:noProof/>
        </w:rPr>
        <w:t>3.</w:t>
      </w:r>
      <w:r>
        <w:rPr>
          <w:noProof/>
        </w:rPr>
        <w:tab/>
        <w:t xml:space="preserve">VÝSLEDKY HODNOCENÍ </w:t>
      </w:r>
      <w:r>
        <w:rPr>
          <w:i/>
          <w:iCs/>
          <w:noProof/>
        </w:rPr>
        <w:t>EX POST</w:t>
      </w:r>
      <w:r>
        <w:rPr>
          <w:noProof/>
        </w:rPr>
        <w:t>, KONZULTACÍ SE ZÚČASTNĚNÝMI STRANAMI A POSOUZENÍ DOPADŮ</w:t>
      </w:r>
    </w:p>
    <w:p>
      <w:pPr>
        <w:pStyle w:val="ManualHeading2"/>
        <w:rPr>
          <w:noProof/>
          <w:u w:color="000000"/>
          <w:bdr w:val="nil"/>
        </w:rPr>
      </w:pPr>
      <w:r>
        <w:rPr>
          <w:noProof/>
        </w:rPr>
        <w:t>•</w:t>
      </w:r>
      <w:r>
        <w:rPr>
          <w:noProof/>
          <w:u w:color="000000"/>
          <w:bdr w:val="nil"/>
        </w:rPr>
        <w:tab/>
      </w:r>
      <w:r>
        <w:rPr>
          <w:noProof/>
        </w:rPr>
        <w:t xml:space="preserve">Hodnocení </w:t>
      </w:r>
      <w:r>
        <w:rPr>
          <w:i/>
          <w:iCs/>
          <w:noProof/>
        </w:rPr>
        <w:t>ex post</w:t>
      </w:r>
      <w:r>
        <w:rPr>
          <w:noProof/>
        </w:rPr>
        <w:t xml:space="preserve"> / kontroly účelnosti platných právních předpisů</w:t>
      </w:r>
    </w:p>
    <w:p>
      <w:pPr>
        <w:pBdr>
          <w:top w:val="nil"/>
          <w:left w:val="nil"/>
          <w:bottom w:val="nil"/>
          <w:right w:val="nil"/>
          <w:between w:val="nil"/>
          <w:bar w:val="nil"/>
        </w:pBdr>
        <w:spacing w:before="0" w:after="240"/>
        <w:rPr>
          <w:noProof/>
        </w:rPr>
      </w:pPr>
      <w:r>
        <w:rPr>
          <w:noProof/>
        </w:rPr>
        <w:t>Zpráva o uplatňování nařízení Evropského parlamentu a Rady (ES) č. 1896/2006, kterým se zavádí řízení o evropském platebním rozkazu</w:t>
      </w:r>
      <w:r>
        <w:rPr>
          <w:rStyle w:val="FootnoteReference"/>
          <w:noProof/>
        </w:rPr>
        <w:footnoteReference w:id="28"/>
      </w:r>
      <w:r>
        <w:rPr>
          <w:noProof/>
        </w:rPr>
        <w:t>, obsahuje údaje o počtu platebních rozkazů v EU a délkách trvání řízení. Tyto údaje byly použity v posouzení dopadů k odhadu možných úspor díky používání systému e-CODEX k zadávání evropských platebních příkazů.</w:t>
      </w:r>
    </w:p>
    <w:p>
      <w:pPr>
        <w:pStyle w:val="ManualHeading2"/>
        <w:rPr>
          <w:noProof/>
          <w:u w:color="000000"/>
          <w:bdr w:val="nil"/>
        </w:rPr>
      </w:pPr>
      <w:r>
        <w:rPr>
          <w:noProof/>
        </w:rPr>
        <w:lastRenderedPageBreak/>
        <w:t>•</w:t>
      </w:r>
      <w:r>
        <w:rPr>
          <w:noProof/>
          <w:u w:color="000000"/>
          <w:bdr w:val="nil"/>
        </w:rPr>
        <w:tab/>
      </w:r>
      <w:r>
        <w:rPr>
          <w:noProof/>
          <w:bdr w:val="nil"/>
        </w:rPr>
        <w:t>Konzultace se zúčastněnými stranami</w:t>
      </w:r>
    </w:p>
    <w:p>
      <w:pPr>
        <w:pBdr>
          <w:top w:val="nil"/>
          <w:left w:val="nil"/>
          <w:bottom w:val="nil"/>
          <w:right w:val="nil"/>
          <w:between w:val="nil"/>
          <w:bar w:val="nil"/>
        </w:pBdr>
        <w:spacing w:before="0" w:after="240"/>
        <w:rPr>
          <w:noProof/>
        </w:rPr>
      </w:pPr>
      <w:r>
        <w:rPr>
          <w:noProof/>
        </w:rPr>
        <w:t>Konsorcium systému e-CODEX konzultovalo se všemi významnými právními profesemi možnost předat provozní řízení systému e-CODEX stálému subjektu. V rámci přípravného projednávání v Radě od roku 2014 byla získána konkrétní zpětná vazba od Rady evropských advokátních komor a právnických společností (CCBE), notářů Evropy (CNUE), Evropské komory soudních exekutorů (CEHJ) a Evropského právního institutu (ELI). Kromě toho konsorcium systému e-CODEX vyhodnotilo používání systému e-CODEX v různých pilotních řízeních zasláním dotazníků zúčastněným stranám, včetně soudů, spotřebitelských organizací a právníků. Výsledky tohoto hodnocení byly vesměs kladné.</w:t>
      </w:r>
    </w:p>
    <w:p>
      <w:pPr>
        <w:pBdr>
          <w:top w:val="nil"/>
          <w:left w:val="nil"/>
          <w:bottom w:val="nil"/>
          <w:right w:val="nil"/>
          <w:between w:val="nil"/>
          <w:bar w:val="nil"/>
        </w:pBdr>
        <w:spacing w:before="0" w:after="240"/>
        <w:rPr>
          <w:noProof/>
        </w:rPr>
      </w:pPr>
      <w:r>
        <w:rPr>
          <w:noProof/>
        </w:rPr>
        <w:t>Konsorcium spravující systém e-CODEX pravidelně komunikovalo se všemi důležitými zúčastněnými stranami a všemi členskými státy prostřednictvím skupiny odborníků pro otázky související se systémem e-CODEX, která je součástí pracovní skupiny Rady pro e-justici a zasedá čtyřikrát až šestkrát ročně.</w:t>
      </w:r>
    </w:p>
    <w:p>
      <w:pPr>
        <w:pBdr>
          <w:top w:val="nil"/>
          <w:left w:val="nil"/>
          <w:bottom w:val="nil"/>
          <w:right w:val="nil"/>
          <w:between w:val="nil"/>
          <w:bar w:val="nil"/>
        </w:pBdr>
        <w:spacing w:before="0" w:after="240"/>
        <w:rPr>
          <w:noProof/>
        </w:rPr>
      </w:pPr>
      <w:r>
        <w:rPr>
          <w:noProof/>
        </w:rPr>
        <w:t>Kromě toho se v letech 2016 a 2017 v rámci mechanismu spolupráce konala zasedání pracovní skupiny Rady pro e-justici, na nichž byly zúčastněné strany vyzvány, aby projednaly témata související s e-justicí. Systém e-CODEX byl na pořadu jednání těchto dvou zasedání. Pracovní skupina Rady vedla další jednání týkající se systému e-CODEX v letech 2018 a 2019.</w:t>
      </w:r>
    </w:p>
    <w:p>
      <w:pPr>
        <w:pBdr>
          <w:top w:val="nil"/>
          <w:left w:val="nil"/>
          <w:bottom w:val="nil"/>
          <w:right w:val="nil"/>
          <w:between w:val="nil"/>
          <w:bar w:val="nil"/>
        </w:pBdr>
        <w:spacing w:before="0" w:after="240"/>
        <w:rPr>
          <w:rFonts w:eastAsia="Arial Unicode MS"/>
          <w:noProof/>
        </w:rPr>
      </w:pPr>
      <w:r>
        <w:rPr>
          <w:noProof/>
        </w:rPr>
        <w:t>Další konzultace proběhly zveřejněním počátečního posouzení dopadů dne 17. července 2017. Respondenti předložili připomínky, kterými podpořili udržování systému e-CODEX a upřednostnili přenesení odpovědnosti za jeho řízení na agenturu EU. Mezi respondenty byli právníci, orgány členských států a mezinárodní organizace (Haagská konference o mezinárodním právu soukromém).</w:t>
      </w:r>
    </w:p>
    <w:p>
      <w:pPr>
        <w:pStyle w:val="ManualHeading2"/>
        <w:rPr>
          <w:noProof/>
          <w:u w:color="000000"/>
          <w:bdr w:val="nil"/>
        </w:rPr>
      </w:pPr>
      <w:r>
        <w:rPr>
          <w:noProof/>
        </w:rPr>
        <w:t>•</w:t>
      </w:r>
      <w:r>
        <w:rPr>
          <w:noProof/>
          <w:u w:color="000000"/>
          <w:bdr w:val="nil"/>
        </w:rPr>
        <w:tab/>
      </w:r>
      <w:r>
        <w:rPr>
          <w:noProof/>
          <w:bdr w:val="nil"/>
        </w:rPr>
        <w:t>Sběr a využití výsledků odborných konzultací</w:t>
      </w:r>
    </w:p>
    <w:p>
      <w:pPr>
        <w:pBdr>
          <w:top w:val="nil"/>
          <w:left w:val="nil"/>
          <w:bottom w:val="nil"/>
          <w:right w:val="nil"/>
          <w:between w:val="nil"/>
          <w:bar w:val="nil"/>
        </w:pBdr>
        <w:spacing w:before="0" w:after="240"/>
        <w:rPr>
          <w:noProof/>
        </w:rPr>
      </w:pPr>
      <w:r>
        <w:rPr>
          <w:noProof/>
        </w:rPr>
        <w:t>Při posuzování dopadů tohoto legislativního návrhu byly využity studie provedené stávajícím konsorciem systému e-CODEX</w:t>
      </w:r>
      <w:r>
        <w:rPr>
          <w:rStyle w:val="FootnoteReference"/>
          <w:rFonts w:eastAsia="Arial Unicode MS"/>
          <w:noProof/>
        </w:rPr>
        <w:footnoteReference w:id="29"/>
      </w:r>
      <w:r>
        <w:rPr>
          <w:noProof/>
        </w:rPr>
        <w:t xml:space="preserve"> – zejména o zkušenostech získaných při používání systému e-CODEX v pilotních projektech pro právní řízení, jako je evropské řízení o drobných nárocích nebo řízení o evropském platebním rozkazu.</w:t>
      </w:r>
    </w:p>
    <w:p>
      <w:pPr>
        <w:pBdr>
          <w:top w:val="nil"/>
          <w:left w:val="nil"/>
          <w:bottom w:val="nil"/>
          <w:right w:val="nil"/>
          <w:between w:val="nil"/>
          <w:bar w:val="nil"/>
        </w:pBdr>
        <w:spacing w:before="0" w:after="240"/>
        <w:rPr>
          <w:noProof/>
        </w:rPr>
      </w:pPr>
      <w:r>
        <w:rPr>
          <w:noProof/>
        </w:rPr>
        <w:t>Kromě toho Komise zadala studii o dlouhodobé udržitelnosti infrastruktur pro digitální služby, která byla provedena v letech 2016–2017</w:t>
      </w:r>
      <w:r>
        <w:rPr>
          <w:rStyle w:val="FootnoteReference"/>
          <w:rFonts w:eastAsia="Arial Unicode MS"/>
          <w:noProof/>
        </w:rPr>
        <w:footnoteReference w:id="30"/>
      </w:r>
      <w:r>
        <w:rPr>
          <w:noProof/>
        </w:rPr>
        <w:t>. Tato studie se týkala infrastruktury pro digitální službu e-justice, včetně systému e</w:t>
      </w:r>
      <w:r>
        <w:rPr>
          <w:noProof/>
        </w:rPr>
        <w:noBreakHyphen/>
        <w:t>CODEX, a jako nejlepší možnost zajištění udržitelnosti infrastruktury doporučila její předání regulační agentuře EU.</w:t>
      </w:r>
    </w:p>
    <w:p>
      <w:pPr>
        <w:pBdr>
          <w:top w:val="nil"/>
          <w:left w:val="nil"/>
          <w:bottom w:val="nil"/>
          <w:right w:val="nil"/>
          <w:between w:val="nil"/>
          <w:bar w:val="nil"/>
        </w:pBdr>
        <w:spacing w:before="0" w:after="240"/>
        <w:rPr>
          <w:rFonts w:eastAsia="Arial Unicode MS"/>
          <w:noProof/>
        </w:rPr>
      </w:pPr>
      <w:r>
        <w:rPr>
          <w:noProof/>
        </w:rPr>
        <w:t>Nedávná studie zadaná estonskou vládou a provedená společností PricewaterhouseCoopers</w:t>
      </w:r>
      <w:r>
        <w:rPr>
          <w:rStyle w:val="FootnoteReference"/>
          <w:rFonts w:eastAsia="Arial Unicode MS"/>
          <w:noProof/>
        </w:rPr>
        <w:footnoteReference w:id="31"/>
      </w:r>
      <w:r>
        <w:rPr>
          <w:noProof/>
        </w:rPr>
        <w:t xml:space="preserve"> rovněž potvrdila, že nejrealističtějším scénářem v krátkodobém až střednědobém horizontu by bylo řízení systému e-CODEX v rámci stávající řídící struktury agentury eu-LISA.</w:t>
      </w:r>
    </w:p>
    <w:p>
      <w:pPr>
        <w:pStyle w:val="ManualHeading2"/>
        <w:rPr>
          <w:noProof/>
          <w:u w:color="000000"/>
          <w:bdr w:val="nil"/>
        </w:rPr>
      </w:pPr>
      <w:r>
        <w:rPr>
          <w:noProof/>
        </w:rPr>
        <w:lastRenderedPageBreak/>
        <w:t>•</w:t>
      </w:r>
      <w:r>
        <w:rPr>
          <w:noProof/>
          <w:u w:color="000000"/>
          <w:bdr w:val="nil"/>
        </w:rPr>
        <w:tab/>
      </w:r>
      <w:r>
        <w:rPr>
          <w:noProof/>
          <w:bdr w:val="nil"/>
        </w:rPr>
        <w:t>Posouzení dopadů</w:t>
      </w:r>
    </w:p>
    <w:p>
      <w:pPr>
        <w:pBdr>
          <w:top w:val="nil"/>
          <w:left w:val="nil"/>
          <w:bottom w:val="nil"/>
          <w:right w:val="nil"/>
          <w:between w:val="nil"/>
          <w:bar w:val="nil"/>
        </w:pBdr>
        <w:spacing w:before="0" w:after="240"/>
        <w:rPr>
          <w:noProof/>
        </w:rPr>
      </w:pPr>
      <w:r>
        <w:rPr>
          <w:noProof/>
        </w:rPr>
        <w:t>Tento návrh je podpořen posouzením dopadů uvedeným v průvodním pracovním dokumentu útvarů Komise SWD(2020) 541.</w:t>
      </w:r>
    </w:p>
    <w:p>
      <w:pPr>
        <w:pBdr>
          <w:top w:val="nil"/>
          <w:left w:val="nil"/>
          <w:bottom w:val="nil"/>
          <w:right w:val="nil"/>
          <w:between w:val="nil"/>
          <w:bar w:val="nil"/>
        </w:pBdr>
        <w:spacing w:before="0" w:after="240"/>
        <w:rPr>
          <w:rFonts w:eastAsia="Arial Unicode MS"/>
          <w:noProof/>
        </w:rPr>
      </w:pPr>
      <w:r>
        <w:rPr>
          <w:noProof/>
        </w:rPr>
        <w:t>Výbor pro kontrolu regulace přezkoumal návrh posouzení dopadů na svém zasedání dne 13. prosince 2017 a dne 15. prosince 2017 k němu vydal stanovisko (kladné s výhradami) s tím, že zpráva o posouzení dopadů by měla být upravena tak, aby byla zapracována doporučení výboru ke konkrétním otázkám. Ty se týkaly především budoucnosti systému e-CODEX; výbor byl toho názoru, že není dostatečně jasné, zda se Rada a Komise již na výběru hostitelské agentury dohodly. Zadruhé měl výbor za to, že zpráva by měla lépe vysvětlit, proč je míra využívání systému e-CODEX nízká a jak by navrhované nařízení odstranilo stávající překážky. Za třetí měl výbor za to, že srovnání obou možností pro umístění systému e-CODEX by mělo být vyváženější a méně zaujaté. Komise v reakci na tyto hlavní připomínky a rovněž s cílem řešit další poznámky výboru své posouzení dopadů aktualizovala.</w:t>
      </w:r>
    </w:p>
    <w:p>
      <w:pPr>
        <w:pBdr>
          <w:top w:val="nil"/>
          <w:left w:val="nil"/>
          <w:bottom w:val="nil"/>
          <w:right w:val="nil"/>
          <w:between w:val="nil"/>
          <w:bar w:val="nil"/>
        </w:pBdr>
        <w:spacing w:before="0" w:after="240"/>
        <w:rPr>
          <w:rFonts w:eastAsia="Arial Unicode MS"/>
          <w:noProof/>
        </w:rPr>
      </w:pPr>
      <w:r>
        <w:rPr>
          <w:noProof/>
        </w:rPr>
        <w:t>Posouzení dopadů hodnotilo několik legislativních i nelegislativních možností. Některé možnosti byly již v rané fázi zamítnuty. Například možnost vytvoření samostatného právního subjektu byla vyloučena z toho důvodu, že takové opatření by bylo nepřiměřené s ohledem na omezené úkoly, které by byly tomuto subjektu svěřeny. Možnost využití nebo rozvoje alternativního systému byla rovněž zamítnuta, zejména proto, že stávající řešení e-CODEX se ukázalo jako velmi účinné a účelné v řízeních, pro něž se již používá, a lze důvodně očekávat návratnost ve výši 24 milionů EUR investovaných do jeho vytvoření. Kromě toho by obchodní řešení vyvolalo problémy týkající se dlouhodobé udržitelnosti a integrity údajů, neboť vlastník alternativního systému by teoreticky mohl mít přístup k údajům předávaným prostřednictvím daného systému. Nelze uvažovat ani o předání systému e-CODEX členskému státu nebo konsorciu členských států, neboť členské státy tuto možnost jednoznačně odmítly. Dávají přednost, jak je vyjádřeno v závěrech Rady, předání odpovědnosti za provozní řízení systému e-CODEX agentuře eu-LISA.</w:t>
      </w:r>
    </w:p>
    <w:p>
      <w:pPr>
        <w:pBdr>
          <w:top w:val="nil"/>
          <w:left w:val="nil"/>
          <w:bottom w:val="nil"/>
          <w:right w:val="nil"/>
          <w:between w:val="nil"/>
          <w:bar w:val="nil"/>
        </w:pBdr>
        <w:spacing w:before="0" w:after="240"/>
        <w:rPr>
          <w:rFonts w:eastAsia="Arial Unicode MS"/>
          <w:noProof/>
        </w:rPr>
      </w:pPr>
      <w:r>
        <w:rPr>
          <w:noProof/>
        </w:rPr>
        <w:t>Za těchto podmínek byly dvě možnosti posouzeny ve srovnání s výchozím scénářem (v jehož rámci by nebylo zajištěno stálé provozní řízení, což by vedlo k ukončení platnosti systému e-CODEX). Z těchto dvou možností byla za nejvhodnější považována možnost předat e-CODEX agentuře. Alternativní možnost, totiž aby provozní řízení systému e-CODEX zajistila Komise, byla považována za méně vhodnou, neboť by bylo obtížnější zajistit zapojení členských států do správy systému. Členské státy považují za důležité, aby správa systému plně respektovala nezávislost vnitrostátních soudů. Agentura by rovněž mohla být pružnějším řešením, které by umožnilo lépe zohlednit podněty zúčastněných stran. Ze stávajících agentur má pouze agentura eu-LISA příslušné zkušenosti se správou systémů IT v oblasti spravedlnosti a vnitřních věcí, a proto by jí měl být svěřen úkol spravovat e-CODEX.</w:t>
      </w:r>
    </w:p>
    <w:p>
      <w:pPr>
        <w:pBdr>
          <w:top w:val="nil"/>
          <w:left w:val="nil"/>
          <w:bottom w:val="nil"/>
          <w:right w:val="nil"/>
          <w:between w:val="nil"/>
          <w:bar w:val="nil"/>
        </w:pBdr>
        <w:spacing w:before="0" w:after="240"/>
        <w:rPr>
          <w:rFonts w:eastAsia="Arial Unicode MS"/>
          <w:noProof/>
        </w:rPr>
      </w:pPr>
      <w:r>
        <w:rPr>
          <w:noProof/>
        </w:rPr>
        <w:t>Posouzení dopadů dospělo k závěru, že používání systému e-CODEX pro digitalizaci soudnictví by přineslo výhody, neboť by usnadnilo a urychlilo přeshraniční občanská a trestní řízení a justiční spolupráci. To by pomohlo zlepšit fungování jednotného digitálního trhu zvýšením účinnosti přeshraničních řízení a mělo by pozitivní dopad na boj proti přeshraniční trestné činnosti usnadněním spolupráce mezi příslušnými orgány. Využití systému e-CODEX v přeshraničních občanských a trestních řízeních by rovněž mohlo zvýšit účinnost vnitrostátních soudů.</w:t>
      </w:r>
    </w:p>
    <w:p>
      <w:pPr>
        <w:pBdr>
          <w:top w:val="nil"/>
          <w:left w:val="nil"/>
          <w:bottom w:val="nil"/>
          <w:right w:val="nil"/>
          <w:between w:val="nil"/>
          <w:bar w:val="nil"/>
        </w:pBdr>
        <w:spacing w:before="0" w:after="240"/>
        <w:rPr>
          <w:rFonts w:eastAsia="Arial Unicode MS"/>
          <w:noProof/>
        </w:rPr>
      </w:pPr>
      <w:r>
        <w:rPr>
          <w:noProof/>
        </w:rPr>
        <w:t xml:space="preserve">Pokud jde o možnosti zajištění provozního řízení systému e-CODEX, posouzení dopadů dospělo k závěru, že pro tento účel by měla odpovídající kapacitu regulační agentura EU, jako je agentura eu-LISA. Agentura bude moci přizpůsobit systém e-CODEX technickým potřebám členských států, které jej používají. To by umožnilo zabránit jakémukoli asymetrickému vývoji na vnitrostátní </w:t>
      </w:r>
      <w:r>
        <w:rPr>
          <w:noProof/>
        </w:rPr>
        <w:lastRenderedPageBreak/>
        <w:t>úrovni, který by mohl potenciálně ovlivnit interoperabilitu mezi vnitrostátními systémy členských států.</w:t>
      </w:r>
    </w:p>
    <w:p>
      <w:pPr>
        <w:pBdr>
          <w:top w:val="nil"/>
          <w:left w:val="nil"/>
          <w:bottom w:val="nil"/>
          <w:right w:val="nil"/>
          <w:between w:val="nil"/>
          <w:bar w:val="nil"/>
        </w:pBdr>
        <w:spacing w:before="0" w:after="240"/>
        <w:rPr>
          <w:rFonts w:eastAsia="Arial Unicode MS"/>
          <w:noProof/>
        </w:rPr>
      </w:pPr>
      <w:r>
        <w:rPr>
          <w:noProof/>
        </w:rPr>
        <w:t>Malé a střední podniky a mikropodniky by měly prospěch z digitalizace přeshraničních občanských a trestních řízení, která by usnadnil systém e-CODEX. Možnost uplatňovat u soudů nároky on-line – například návrhy na vydání evropského platebního rozkazu nebo nároky v rámci evropského řízení o drobných nárocích (pokud je umožňuje vnitrostátní právo) – by vedla k úsporám vyplývajícím ze snížených nákladů na poštovné a účinnějších a kratších postupů. Malým a středním podnikům (nebo jiným hospodářským subjektům) by nevznikly žádné dodatečné náklady na používání systému e-CODEX v rámci zvláštního právního řízení.</w:t>
      </w:r>
    </w:p>
    <w:p>
      <w:pPr>
        <w:pStyle w:val="ManualHeading2"/>
        <w:rPr>
          <w:noProof/>
          <w:u w:color="000000"/>
          <w:bdr w:val="nil"/>
        </w:rPr>
      </w:pPr>
      <w:bookmarkStart w:id="2" w:name="_Toc493060909"/>
      <w:bookmarkStart w:id="3" w:name="_Toc493061334"/>
      <w:bookmarkStart w:id="4" w:name="_Toc493061382"/>
      <w:bookmarkStart w:id="5" w:name="_Toc493061421"/>
      <w:bookmarkStart w:id="6" w:name="_Toc493061501"/>
      <w:bookmarkStart w:id="7" w:name="_Toc493061549"/>
      <w:bookmarkStart w:id="8" w:name="_Toc492907438"/>
      <w:bookmarkStart w:id="9" w:name="_Toc492917541"/>
      <w:bookmarkStart w:id="10" w:name="_Toc492917623"/>
      <w:bookmarkStart w:id="11" w:name="_Toc492917680"/>
      <w:bookmarkStart w:id="12" w:name="_Toc493059133"/>
      <w:bookmarkStart w:id="13" w:name="_Toc493059243"/>
      <w:bookmarkStart w:id="14" w:name="_Toc493059325"/>
      <w:bookmarkStart w:id="15" w:name="_Toc493059409"/>
      <w:bookmarkStart w:id="16" w:name="_Toc493059490"/>
      <w:bookmarkStart w:id="17" w:name="_Toc493059570"/>
      <w:bookmarkStart w:id="18" w:name="_Toc493059650"/>
      <w:bookmarkStart w:id="19" w:name="_Toc493060910"/>
      <w:bookmarkStart w:id="20" w:name="_Toc493061335"/>
      <w:bookmarkStart w:id="21" w:name="_Toc493061383"/>
      <w:bookmarkStart w:id="22" w:name="_Toc493061422"/>
      <w:bookmarkStart w:id="23" w:name="_Toc493061502"/>
      <w:bookmarkStart w:id="24" w:name="_Toc49306155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noProof/>
        </w:rPr>
        <w:t>•</w:t>
      </w:r>
      <w:r>
        <w:rPr>
          <w:noProof/>
          <w:u w:color="000000"/>
          <w:bdr w:val="nil"/>
        </w:rPr>
        <w:tab/>
      </w:r>
      <w:r>
        <w:rPr>
          <w:noProof/>
          <w:bdr w:val="nil"/>
        </w:rPr>
        <w:t>Základní práva</w:t>
      </w:r>
    </w:p>
    <w:p>
      <w:pPr>
        <w:pBdr>
          <w:top w:val="nil"/>
          <w:left w:val="nil"/>
          <w:bottom w:val="nil"/>
          <w:right w:val="nil"/>
          <w:between w:val="nil"/>
          <w:bar w:val="nil"/>
        </w:pBdr>
        <w:spacing w:before="0" w:after="240"/>
        <w:rPr>
          <w:noProof/>
        </w:rPr>
      </w:pPr>
      <w:r>
        <w:rPr>
          <w:noProof/>
        </w:rPr>
        <w:t>Systém e-CODEX by usnadnil lidem výkon jejich práva na účinnou soudní ochranu v souladu s článkem 47 Listiny základních práv „Právo na účinné opravné prostředky a právo na spravedlivý proces“, neboť elektronická komunikace a přenos písemností usnadňují a urychlují soudní řízení. Zúčastněné strany poukázaly na to, že článek 47 rovněž zaručuje právo na nestranný a nezávislý soud, a že aby byly v souladu s uvedeným článkem, musí budoucí řízení a koordinace systému e-CODEX a s ním souvisejících činností toto právo respektovat.</w:t>
      </w:r>
    </w:p>
    <w:p>
      <w:pPr>
        <w:pBdr>
          <w:top w:val="nil"/>
          <w:left w:val="nil"/>
          <w:bottom w:val="nil"/>
          <w:right w:val="nil"/>
          <w:between w:val="nil"/>
          <w:bar w:val="nil"/>
        </w:pBdr>
        <w:spacing w:before="0" w:after="240"/>
        <w:rPr>
          <w:noProof/>
        </w:rPr>
      </w:pPr>
      <w:r>
        <w:rPr>
          <w:noProof/>
        </w:rPr>
        <w:t>Vzhledem k tomu, že systém e-CODEX je decentralizovaný systém, subjekt pověřený provozním řízením složek systému nebude uchovávat nebo zpracovávat údaje nad rámec toho, co je nezbytné pro udržování kontaktů se subjekty provozujícími přístupové body systému e-CODEX. Tyto subjekty nesou odpovědnost za zřízení a provoz různých sítí e-CODEX, a proto budou jedinými subjekty odpovědnými za osobní údaje předávané prostřednictvím příslušných přístupových bodů. V závislosti na tom, zda je přístupový bod provozován orgánem, institucí nebo agenturou EU, nebo na vnitrostátní úrovni, a v závislosti na tom, které vnitrostátní orgány zpracovávají osobní údaje a za jakým účelem, se použije buď nařízení (EU) 2018/1725</w:t>
      </w:r>
      <w:r>
        <w:rPr>
          <w:rStyle w:val="FootnoteReference"/>
          <w:rFonts w:eastAsia="Arial Unicode MS"/>
          <w:noProof/>
        </w:rPr>
        <w:footnoteReference w:id="32"/>
      </w:r>
      <w:r>
        <w:rPr>
          <w:noProof/>
        </w:rPr>
        <w:t>, obecné nařízení o ochraně osobních údajů, nebo směrnice (EU) 2016/680</w:t>
      </w:r>
      <w:r>
        <w:rPr>
          <w:rStyle w:val="FootnoteReference"/>
          <w:rFonts w:eastAsia="Arial Unicode MS"/>
          <w:noProof/>
        </w:rPr>
        <w:footnoteReference w:id="33"/>
      </w:r>
      <w:r>
        <w:rPr>
          <w:noProof/>
        </w:rPr>
        <w:t>.</w:t>
      </w:r>
    </w:p>
    <w:p>
      <w:pPr>
        <w:pBdr>
          <w:top w:val="nil"/>
          <w:left w:val="nil"/>
          <w:bottom w:val="nil"/>
          <w:right w:val="nil"/>
          <w:between w:val="nil"/>
          <w:bar w:val="nil"/>
        </w:pBdr>
        <w:spacing w:before="0" w:after="240"/>
        <w:rPr>
          <w:noProof/>
        </w:rPr>
      </w:pPr>
      <w:r>
        <w:rPr>
          <w:noProof/>
        </w:rPr>
        <w:t>Jak je tomu již nyní, agentura eu-LISA musí při zpracovávání osobních údajů dodržovat nařízení (EU) 2018/1725. Pokud jde zejména o úkol systém dále technicky rozvíjet, ten zahrnuje zajištění toho, aby veškerá zlepšení nebo nové verze složek softwaru svěřené agentuře eu-LISA respektovaly požadavky na záměrnou a standardní bezpečnost a ochranu údajů. Článek 10 tohoto návrhu ukládá agentuře eu-LISA odpovědnost za plnění tohoto úkolu a za celkové zabezpečení údajů.</w:t>
      </w:r>
    </w:p>
    <w:p>
      <w:pPr>
        <w:pStyle w:val="ManualHeading1"/>
        <w:rPr>
          <w:noProof/>
        </w:rPr>
      </w:pPr>
      <w:r>
        <w:rPr>
          <w:noProof/>
        </w:rPr>
        <w:t>4.</w:t>
      </w:r>
      <w:r>
        <w:rPr>
          <w:noProof/>
        </w:rPr>
        <w:tab/>
        <w:t>ROZPOČTOVÉ DŮSLEDKY</w:t>
      </w:r>
    </w:p>
    <w:p>
      <w:pPr>
        <w:pBdr>
          <w:top w:val="nil"/>
          <w:left w:val="nil"/>
          <w:bottom w:val="nil"/>
          <w:right w:val="nil"/>
          <w:between w:val="nil"/>
          <w:bar w:val="nil"/>
        </w:pBdr>
        <w:spacing w:before="0" w:after="240"/>
        <w:rPr>
          <w:noProof/>
        </w:rPr>
      </w:pPr>
      <w:r>
        <w:rPr>
          <w:noProof/>
        </w:rPr>
        <w:t>Celkové náklady na období 2022–2027 činí 9 667 milionů EUR (průměrné roční náklady činí 1 611 milionů EUR). Z této částky činí finanční prostředky agentury eu-LISA na stejné období 8 723 milionů EUR.</w:t>
      </w:r>
    </w:p>
    <w:p>
      <w:pPr>
        <w:pBdr>
          <w:top w:val="nil"/>
          <w:left w:val="nil"/>
          <w:bottom w:val="nil"/>
          <w:right w:val="nil"/>
          <w:between w:val="nil"/>
          <w:bar w:val="nil"/>
        </w:pBdr>
        <w:spacing w:before="0" w:after="240"/>
        <w:rPr>
          <w:noProof/>
        </w:rPr>
      </w:pPr>
      <w:r>
        <w:rPr>
          <w:noProof/>
        </w:rPr>
        <w:lastRenderedPageBreak/>
        <w:t>Náklady zahrnují dodatečné lidské zdroje potřebné pro činnosti prováděné agenturou eu-LISA a Komisí. V agentuře eu-LISA bude nábor interních zdrojů zahájen od 1. září 2022 dvěma pracovními místy pro smluvní zaměstnance, aby bylo zajištěno hladké předání. Od 1. ledna 2023 by agentura eu-LISA měla mít celkem dva dočasné a tři smluvní zaměstnance, kteří zajistí základní funkce týkající se systému e-CODEX. Kromě toho bude muset být Komise (Generální ředitelství pro spravedlnost a spotřebitele) zapojena do zajišťování politického řízení činnosti agentury eu-LISA, do monitorování agentury a do přípravy nezbytných prováděcích aktů, které nařízení ukládá. Na toto bylo v rozpočtu od roku 2022 vyčleněno jedno další statutární místo.</w:t>
      </w:r>
    </w:p>
    <w:p>
      <w:pPr>
        <w:pBdr>
          <w:top w:val="nil"/>
          <w:left w:val="nil"/>
          <w:bottom w:val="nil"/>
          <w:right w:val="nil"/>
          <w:between w:val="nil"/>
          <w:bar w:val="nil"/>
        </w:pBdr>
        <w:spacing w:before="0" w:after="240"/>
        <w:rPr>
          <w:noProof/>
        </w:rPr>
      </w:pPr>
      <w:r>
        <w:rPr>
          <w:noProof/>
        </w:rPr>
        <w:t>Legislativní finanční výkaz připojený k tomuto návrhu obsahuje podrobné vysvětlení nákladů.</w:t>
      </w:r>
    </w:p>
    <w:p>
      <w:pPr>
        <w:pStyle w:val="ManualHeading1"/>
        <w:rPr>
          <w:noProof/>
        </w:rPr>
      </w:pPr>
      <w:r>
        <w:rPr>
          <w:noProof/>
        </w:rPr>
        <w:t>5.</w:t>
      </w:r>
      <w:r>
        <w:rPr>
          <w:noProof/>
        </w:rPr>
        <w:tab/>
        <w:t>OSTATNÍ PRVKY</w:t>
      </w:r>
    </w:p>
    <w:p>
      <w:pPr>
        <w:pStyle w:val="ManualHeading2"/>
        <w:rPr>
          <w:noProof/>
          <w:u w:color="000000"/>
          <w:bdr w:val="nil"/>
        </w:rPr>
      </w:pPr>
      <w:r>
        <w:rPr>
          <w:noProof/>
        </w:rPr>
        <w:t>•</w:t>
      </w:r>
      <w:r>
        <w:rPr>
          <w:noProof/>
          <w:u w:color="000000"/>
          <w:bdr w:val="nil"/>
        </w:rPr>
        <w:tab/>
      </w:r>
      <w:r>
        <w:rPr>
          <w:noProof/>
          <w:bdr w:val="nil"/>
        </w:rPr>
        <w:t>Plány provádění a způsob monitorování, hodnocení a podávání zpráv</w:t>
      </w:r>
    </w:p>
    <w:p>
      <w:pPr>
        <w:rPr>
          <w:noProof/>
        </w:rPr>
      </w:pPr>
      <w:r>
        <w:rPr>
          <w:noProof/>
        </w:rPr>
        <w:t>Subjekt spravující systém e-CODEX za něj bude i nadále odpovědný až do úspěšného dokončení procesu předání/převzetí. Předání systému agentuře eu-LISA by mělo trvat maximálně šest měsíců počínaje 1. lednem 2023. Během tohoto období si plnou odpovědnost za systém e-CODEX ponechá systém spravující subjekt. Tato lhůta umožní agentuře eu-LISA provést nezbytné přípravy na převzetí systému. Agentura by měla přijmout potřebné zaměstnance a patřičně naplánovat činnosti při zadávání veřejných zakázek.</w:t>
      </w:r>
    </w:p>
    <w:p>
      <w:pPr>
        <w:rPr>
          <w:noProof/>
        </w:rPr>
      </w:pPr>
      <w:r>
        <w:rPr>
          <w:noProof/>
        </w:rPr>
        <w:t>Dva roky poté, co agentura eu-LISA převezme odpovědnost za systém e-CODEX, a poté každé dva následující roky musí agentura Komisi předložit komplexní zprávu o činnostech týkajících se technického vývoje a fungování systému e-CODEX během vykazovaného období, včetně jeho zabezpečení Tyto zprávy budou vycházet z informací, které každoročně poskytnou členské státy a Komise. Budou obsahovat seznam oprávněných přístupových bodů systému e-CODEX; soupis přeshraničních občanských a trestních řízení, u kterých je použit systém e-CODEX; míru digitalizace každého přeshraničního občanského nebo trestního řízení; počet provozních sdělení zaslaných a obdržených od každého z ostatních členských států zapojených do každého přeshraničního občanského a trestního řízení a počet a druh incidentů, které mají dopad na zabezpečení systému e-CODEX.</w:t>
      </w:r>
    </w:p>
    <w:p>
      <w:pPr>
        <w:rPr>
          <w:noProof/>
        </w:rPr>
      </w:pPr>
      <w:r>
        <w:rPr>
          <w:noProof/>
        </w:rPr>
        <w:t>Tři roky poté, co agentura eu-LISA převezme odpovědnost za systém e-CODEX, a poté každé následující čtyři roky musí Komise vypracovat celkové hodnocení systému e-CODEX, včetně posouzení uplatňování nařízení a přezkoumání dosažených výsledků porovnaných s cíli. První hodnocení by mělo zahrnovat také posouzení fungování rady pro řízení programu a toho, zda by měla být zachována. S ohledem na výsledek tohoto hodnocení může Komise provést veškeré nezbytné budoucí činnosti.</w:t>
      </w:r>
    </w:p>
    <w:p>
      <w:pPr>
        <w:pStyle w:val="ManualHeading2"/>
        <w:rPr>
          <w:noProof/>
          <w:u w:color="000000"/>
          <w:bdr w:val="nil"/>
        </w:rPr>
      </w:pPr>
      <w:r>
        <w:rPr>
          <w:noProof/>
        </w:rPr>
        <w:t>•</w:t>
      </w:r>
      <w:r>
        <w:rPr>
          <w:noProof/>
          <w:u w:color="000000"/>
          <w:bdr w:val="nil"/>
        </w:rPr>
        <w:tab/>
      </w:r>
      <w:r>
        <w:rPr>
          <w:noProof/>
          <w:bdr w:val="nil"/>
        </w:rPr>
        <w:t>Podrobné vysvětlení konkrétních ustanovení návrhu</w:t>
      </w:r>
    </w:p>
    <w:p>
      <w:pPr>
        <w:pBdr>
          <w:top w:val="nil"/>
          <w:left w:val="nil"/>
          <w:bottom w:val="nil"/>
          <w:right w:val="nil"/>
          <w:between w:val="nil"/>
          <w:bar w:val="nil"/>
        </w:pBdr>
        <w:spacing w:before="0" w:after="240"/>
        <w:rPr>
          <w:noProof/>
        </w:rPr>
      </w:pPr>
      <w:r>
        <w:rPr>
          <w:i/>
          <w:noProof/>
        </w:rPr>
        <w:t>Článek 1</w:t>
      </w:r>
      <w:r>
        <w:rPr>
          <w:noProof/>
        </w:rPr>
        <w:t xml:space="preserve"> stanoví předmět nařízení. Nařízení zřizuje systém e-CODEX a pověřuje jeho provozním řízením agenturu eu-LISA. Nařízení dále stanoví povinnosti Komise, členských států a subjektů provozujících oprávněné přístupové body systému e-CODEX. </w:t>
      </w:r>
    </w:p>
    <w:p>
      <w:pPr>
        <w:pBdr>
          <w:top w:val="nil"/>
          <w:left w:val="nil"/>
          <w:bottom w:val="nil"/>
          <w:right w:val="nil"/>
          <w:between w:val="nil"/>
          <w:bar w:val="nil"/>
        </w:pBdr>
        <w:spacing w:before="0" w:after="240"/>
        <w:rPr>
          <w:noProof/>
        </w:rPr>
      </w:pPr>
      <w:r>
        <w:rPr>
          <w:i/>
          <w:noProof/>
        </w:rPr>
        <w:t>Článek 2</w:t>
      </w:r>
      <w:r>
        <w:rPr>
          <w:noProof/>
        </w:rPr>
        <w:t xml:space="preserve"> vymezuje oblast působnosti nařízení. Nařízení se vztahuje na elektronické předávání informací v přeshraničních občanských a trestních řízeních prostřednictvím systému e-CODEX v souladu s právními nástroji přijatými v oblasti civilní a trestní spolupráce. Seznam těchto nástrojů je uveden v příloze I. </w:t>
      </w:r>
    </w:p>
    <w:p>
      <w:pPr>
        <w:pBdr>
          <w:top w:val="nil"/>
          <w:left w:val="nil"/>
          <w:bottom w:val="nil"/>
          <w:right w:val="nil"/>
          <w:between w:val="nil"/>
          <w:bar w:val="nil"/>
        </w:pBdr>
        <w:spacing w:before="0" w:after="240"/>
        <w:rPr>
          <w:rFonts w:eastAsia="Arial Unicode MS"/>
          <w:noProof/>
        </w:rPr>
      </w:pPr>
      <w:r>
        <w:rPr>
          <w:i/>
          <w:noProof/>
        </w:rPr>
        <w:t>Článek 3</w:t>
      </w:r>
      <w:r>
        <w:rPr>
          <w:noProof/>
        </w:rPr>
        <w:t xml:space="preserve"> obsahuje definice pojmů, které toto nařízení používá.</w:t>
      </w:r>
    </w:p>
    <w:p>
      <w:pPr>
        <w:pBdr>
          <w:top w:val="nil"/>
          <w:left w:val="nil"/>
          <w:bottom w:val="nil"/>
          <w:right w:val="nil"/>
          <w:between w:val="nil"/>
          <w:bar w:val="nil"/>
        </w:pBdr>
        <w:spacing w:before="0" w:after="240"/>
        <w:rPr>
          <w:rFonts w:eastAsia="Arial Unicode MS"/>
          <w:noProof/>
        </w:rPr>
      </w:pPr>
      <w:r>
        <w:rPr>
          <w:i/>
          <w:noProof/>
        </w:rPr>
        <w:lastRenderedPageBreak/>
        <w:t>Článek 4</w:t>
      </w:r>
      <w:r>
        <w:rPr>
          <w:noProof/>
        </w:rPr>
        <w:t xml:space="preserve"> definuje systém e-CODEX a stanoví jeho složení, sestávající ze softwaru pro přístupové body (včetně brány a konektoru). Kromě toho se systém e-CODEX skládá z digitálních procesních norem, které umožňují propojení přístupových bodů.</w:t>
      </w:r>
    </w:p>
    <w:p>
      <w:pPr>
        <w:pBdr>
          <w:top w:val="nil"/>
          <w:left w:val="nil"/>
          <w:bottom w:val="nil"/>
          <w:right w:val="nil"/>
          <w:between w:val="nil"/>
          <w:bar w:val="nil"/>
        </w:pBdr>
        <w:spacing w:before="0" w:after="240"/>
        <w:rPr>
          <w:rFonts w:eastAsia="Arial Unicode MS"/>
          <w:noProof/>
        </w:rPr>
      </w:pPr>
      <w:r>
        <w:rPr>
          <w:i/>
          <w:noProof/>
        </w:rPr>
        <w:t>Článek 5</w:t>
      </w:r>
      <w:r>
        <w:rPr>
          <w:noProof/>
        </w:rPr>
        <w:t xml:space="preserve"> pověřuje Komisi, aby do 31. prosince 2022 přijala prováděcí akty, kterými stanoví požadavky na úroveň služeb pro činnosti prováděné agenturou eu-LISA. Dále pověřuje Komisi, aby prostřednictvím prováděcích aktů definovala minimální technické specifikace a normy, včetně norem týkajících se bezpečnosti, na nichž jsou založeny softwarové produkty zahrnuté do systému e-CODEX; požadavky na úroveň služeb a další nezbytné technické specifikace pro činnosti, které má agentura eu-LISA provádět v souladu s článkem 6; a podmínky procesu předání/převzetí. Kromě toho může Komise rovněž přijmout prováděcí akty týkající se technických opatření pro používání systému e-CODEX v různých přeshraničních občanských a trestních řízeních uvedených v příloze I. Komisi je rovněž svěřena odpovědnost za vedení seznamu oprávněných přístupových bodů e-CODEX provozovaných orgány, institucemi nebo agenturami EU, za informování agentury eu-LISA o jakýchkoli změnách v tomto seznamu a za jmenování korespondentů, kteří mají nárok na asistenci při používání systému e-CODEX.</w:t>
      </w:r>
    </w:p>
    <w:p>
      <w:pPr>
        <w:pBdr>
          <w:top w:val="nil"/>
          <w:left w:val="nil"/>
          <w:bottom w:val="nil"/>
          <w:right w:val="nil"/>
          <w:between w:val="nil"/>
          <w:bar w:val="nil"/>
        </w:pBdr>
        <w:spacing w:before="0" w:after="240"/>
        <w:rPr>
          <w:rFonts w:eastAsia="Arial Unicode MS"/>
          <w:noProof/>
        </w:rPr>
      </w:pPr>
      <w:r>
        <w:rPr>
          <w:i/>
          <w:noProof/>
        </w:rPr>
        <w:t>Článek 6</w:t>
      </w:r>
      <w:r>
        <w:rPr>
          <w:noProof/>
        </w:rPr>
        <w:t xml:space="preserve"> stanoví odpovědnost agentury eu-LISA za provozní řízení systému e-CODEX. Agentuře eu-LISA rovněž ukládá určité dodatečné úkoly týkající se systému e</w:t>
      </w:r>
      <w:r>
        <w:rPr>
          <w:noProof/>
        </w:rPr>
        <w:noBreakHyphen/>
        <w:t xml:space="preserve">CODEX a odpovídající technické práce související se složkami uvedenými v článku 4, za něž agentura eu-LISA odpovídá. </w:t>
      </w:r>
    </w:p>
    <w:p>
      <w:pPr>
        <w:pBdr>
          <w:top w:val="nil"/>
          <w:left w:val="nil"/>
          <w:bottom w:val="nil"/>
          <w:right w:val="nil"/>
          <w:between w:val="nil"/>
          <w:bar w:val="nil"/>
        </w:pBdr>
        <w:spacing w:before="0" w:after="240"/>
        <w:rPr>
          <w:rFonts w:eastAsia="Arial Unicode MS"/>
          <w:noProof/>
        </w:rPr>
      </w:pPr>
      <w:r>
        <w:rPr>
          <w:i/>
          <w:noProof/>
        </w:rPr>
        <w:t>Článek 7</w:t>
      </w:r>
      <w:r>
        <w:rPr>
          <w:noProof/>
        </w:rPr>
        <w:t xml:space="preserve"> členským státům ukládá povinnost vést seznam oprávněných přístupových bodů systému e-CODEX, které jsou provozovány na jejich území; informovat agenturu eu-LISA o veškerých změnách tohoto seznamu a jmenovat korespondenty, kteří jsou oprávněni obdržet podporu pro používání systému e-CODEX.</w:t>
      </w:r>
    </w:p>
    <w:p>
      <w:pPr>
        <w:pBdr>
          <w:top w:val="nil"/>
          <w:left w:val="nil"/>
          <w:bottom w:val="nil"/>
          <w:right w:val="nil"/>
          <w:between w:val="nil"/>
          <w:bar w:val="nil"/>
        </w:pBdr>
        <w:spacing w:before="0" w:after="240"/>
        <w:rPr>
          <w:rFonts w:eastAsia="Arial Unicode MS"/>
          <w:noProof/>
        </w:rPr>
      </w:pPr>
      <w:r>
        <w:rPr>
          <w:i/>
          <w:noProof/>
        </w:rPr>
        <w:t>Článek 8</w:t>
      </w:r>
      <w:r>
        <w:rPr>
          <w:noProof/>
        </w:rPr>
        <w:t xml:space="preserve"> vymezuje povinnosti subjektů provozujících oprávněné přístupové body systému e-CODEX. Patří mezi ně odpovědnost za bezpečné zřízení a provoz přístupového bodu, jakož i za případné škody na něm a za bezpečnost údajů předávaných jeho prostřednictvím. Budou rovněž odpovídat za shromažďování statistických informací týkajících se jejich činnosti.</w:t>
      </w:r>
    </w:p>
    <w:p>
      <w:pPr>
        <w:pBdr>
          <w:top w:val="nil"/>
          <w:left w:val="nil"/>
          <w:bottom w:val="nil"/>
          <w:right w:val="nil"/>
          <w:between w:val="nil"/>
          <w:bar w:val="nil"/>
        </w:pBdr>
        <w:spacing w:before="0" w:after="240"/>
        <w:rPr>
          <w:rFonts w:eastAsia="Arial Unicode MS"/>
          <w:noProof/>
        </w:rPr>
      </w:pPr>
      <w:r>
        <w:rPr>
          <w:i/>
          <w:noProof/>
        </w:rPr>
        <w:t>Článek 9</w:t>
      </w:r>
      <w:r>
        <w:rPr>
          <w:noProof/>
        </w:rPr>
        <w:t xml:space="preserve"> stanoví postup pro předání systému e-CODEX subjektem, který jej spravuje, agentuře eu-LISA, a to včetně monitorovací úlohy Komise. Nejdřívějším navrhovaným datem pro převzetí je 1. červenec 2023, aby agentura eu-LISA měla čas na provedení úkolů, které jí již byly svěřeny pro systémy EES, ETIAS a ECRIS-TCN, pro modernizaci SIS a VIS a pro zajištění interoperability mezi informačními systémy EU. K převzetí dojde až poté, co Komise prohlásí, že proces předání/převzetí byl úspěšně dokončen. Do 31. prosince 2022 by měl subjekt spravující systém e-CODEX předložit předávací dokument, v němž budou upřesněna ujednání pro převod systému e-CODEX na agenturu eu-LISA. Během předávacího období si subjekt spravující systém e-CODEX ponechá plnou odpovědnost za systém e-CODEX a zajistí, aby v systému byly prováděny pouze nápravné činnosti údržby. Předání zahrnuje složky systému e-CODEX stanovené v článku 4, tj. konektor a digitální procesní normy, jakož i podpůrné produkty uvedené v příloze II. Článek 9 dále objasňuje, že předání by mělo rovněž zajistit, že budou převedena veškerá práva duševního vlastnictví nebo užívací práva týkající se systému e-CODEX a podpůrných produktů uvedených v příloze II, aby agentura eu-LISA mohla plnit své funkce. U hlavních softwarových složek systému by však neměl být nutný smluvní převod, neboť software Domibus má otevřený zdrojový kód a vztahuje se na něj veřejná licence EUPL. </w:t>
      </w:r>
    </w:p>
    <w:p>
      <w:pPr>
        <w:pBdr>
          <w:top w:val="nil"/>
          <w:left w:val="nil"/>
          <w:bottom w:val="nil"/>
          <w:right w:val="nil"/>
          <w:between w:val="nil"/>
          <w:bar w:val="nil"/>
        </w:pBdr>
        <w:spacing w:before="0" w:after="240"/>
        <w:rPr>
          <w:rFonts w:eastAsia="Arial Unicode MS"/>
          <w:noProof/>
        </w:rPr>
      </w:pPr>
      <w:r>
        <w:rPr>
          <w:i/>
          <w:noProof/>
        </w:rPr>
        <w:t>Článek 10</w:t>
      </w:r>
      <w:r>
        <w:rPr>
          <w:noProof/>
        </w:rPr>
        <w:t xml:space="preserve"> stanoví požadavky na bezpečnost, přičemž celkovou odpovědnost za bezpečnost systému e-CODEX svěřuje agentuře eu-LISA plnící úkoly v oblasti provozního řízení. Agentura eu-LISA </w:t>
      </w:r>
      <w:r>
        <w:rPr>
          <w:noProof/>
        </w:rPr>
        <w:lastRenderedPageBreak/>
        <w:t>musí zajistit, že systém e-CODEX zavede zásady záměrné a standardní bezpečnosti a ochrany údajů. Dále objasňuje, že odpovědnost za zabezpečení údajů předávaných prostřednictvím oprávněného přístupového bodu systému e-CODEX nese subjekt provozující přístupový bod.</w:t>
      </w:r>
    </w:p>
    <w:p>
      <w:pPr>
        <w:pBdr>
          <w:top w:val="nil"/>
          <w:left w:val="nil"/>
          <w:bottom w:val="nil"/>
          <w:right w:val="nil"/>
          <w:between w:val="nil"/>
          <w:bar w:val="nil"/>
        </w:pBdr>
        <w:spacing w:before="0" w:after="240"/>
        <w:rPr>
          <w:rFonts w:eastAsia="Arial Unicode MS"/>
          <w:noProof/>
        </w:rPr>
      </w:pPr>
      <w:r>
        <w:rPr>
          <w:i/>
          <w:noProof/>
        </w:rPr>
        <w:t>Článek 11</w:t>
      </w:r>
      <w:r>
        <w:rPr>
          <w:noProof/>
        </w:rPr>
        <w:t xml:space="preserve"> stanoví, že agentura eu-LISA zřídí poradní skupinu pro e-CODEX, která bude asistovat při práci na systému e-CODEX. Poradní skupina poskytne agentuře eu-LISA nezbytné odborné znalosti související se systémem e-CODEX a bude mimo jiné rovněž sledovat stav zavádění v členských státech. </w:t>
      </w:r>
    </w:p>
    <w:p>
      <w:pPr>
        <w:pBdr>
          <w:top w:val="nil"/>
          <w:left w:val="nil"/>
          <w:bottom w:val="nil"/>
          <w:right w:val="nil"/>
          <w:between w:val="nil"/>
          <w:bar w:val="nil"/>
        </w:pBdr>
        <w:spacing w:before="0" w:after="240"/>
        <w:rPr>
          <w:rFonts w:eastAsia="Arial Unicode MS"/>
          <w:noProof/>
        </w:rPr>
      </w:pPr>
      <w:r>
        <w:rPr>
          <w:i/>
          <w:noProof/>
        </w:rPr>
        <w:t>Článkem 12</w:t>
      </w:r>
      <w:r>
        <w:rPr>
          <w:noProof/>
        </w:rPr>
        <w:t xml:space="preserve"> se zřizuje rada pro řízení programu, která bude napomáhat vedení agentury eu-LISA při zajišťování odpovídajícího řízení systému e-CODEX. Rada pro řízení programu bude působit jako zprostředkující subjekt mezi poradními skupinami a správní radou agentury eu-LISA. Bude zejména monitorovat předávací činnosti s cílem zajistit včasné převzetí systému agenturou eu-LISA. Rada pro řízení programu rovněž zajistí vhodné stanovení priorit pro práci na systému e-CODEX a bude působit jako prostředník při případných sporných otázkách.</w:t>
      </w:r>
    </w:p>
    <w:p>
      <w:pPr>
        <w:pBdr>
          <w:top w:val="nil"/>
          <w:left w:val="nil"/>
          <w:bottom w:val="nil"/>
          <w:right w:val="nil"/>
          <w:between w:val="nil"/>
          <w:bar w:val="nil"/>
        </w:pBdr>
        <w:spacing w:before="0" w:after="240"/>
        <w:rPr>
          <w:rFonts w:eastAsia="Arial Unicode MS"/>
          <w:noProof/>
        </w:rPr>
      </w:pPr>
      <w:r>
        <w:rPr>
          <w:i/>
          <w:noProof/>
        </w:rPr>
        <w:t>Článek 13</w:t>
      </w:r>
      <w:r>
        <w:rPr>
          <w:noProof/>
        </w:rPr>
        <w:t xml:space="preserve"> ukládá agentuře eu-LISA úkol poskytovat odbornou přípravu zaměřenou na technické aspekty používání systému e-CODEX.</w:t>
      </w:r>
    </w:p>
    <w:p>
      <w:pPr>
        <w:pBdr>
          <w:top w:val="nil"/>
          <w:left w:val="nil"/>
          <w:bottom w:val="nil"/>
          <w:right w:val="nil"/>
          <w:between w:val="nil"/>
          <w:bar w:val="nil"/>
        </w:pBdr>
        <w:spacing w:before="0" w:after="240"/>
        <w:rPr>
          <w:rFonts w:eastAsia="Arial Unicode MS"/>
          <w:noProof/>
        </w:rPr>
      </w:pPr>
      <w:r>
        <w:rPr>
          <w:i/>
          <w:noProof/>
        </w:rPr>
        <w:t>Článek 14</w:t>
      </w:r>
      <w:r>
        <w:rPr>
          <w:noProof/>
        </w:rPr>
        <w:t xml:space="preserve"> podrobně uvádí informace, které jsou členské státy a Komise povinny agentuře eu-LISA poskytnout: seznam přeshraničních občanských řízení a trestních řízení, pro která je používán systém e-CODEX; do jaké míry lze systém e-CODEX použít pro jednotlivá přeshraniční občanská a trestní řízení; počet provozních sdělení zaslaných a přijatých každým oprávněným přístupovým bodem systému e-CODEX provozovaným na jejich území; počet a druh incidentů, s nimiž se setkávají subjekty provozující oprávněné přístupové body systému e</w:t>
      </w:r>
      <w:r>
        <w:rPr>
          <w:noProof/>
        </w:rPr>
        <w:noBreakHyphen/>
        <w:t>CODEX na území členského státu a které mají dopad na bezpečnost systému e</w:t>
      </w:r>
      <w:r>
        <w:rPr>
          <w:noProof/>
        </w:rPr>
        <w:noBreakHyphen/>
        <w:t>CODEX.</w:t>
      </w:r>
    </w:p>
    <w:p>
      <w:pPr>
        <w:pBdr>
          <w:top w:val="nil"/>
          <w:left w:val="nil"/>
          <w:bottom w:val="nil"/>
          <w:right w:val="nil"/>
          <w:between w:val="nil"/>
          <w:bar w:val="nil"/>
        </w:pBdr>
        <w:spacing w:before="0" w:after="240"/>
        <w:rPr>
          <w:rFonts w:eastAsia="Arial Unicode MS"/>
          <w:noProof/>
        </w:rPr>
      </w:pPr>
      <w:r>
        <w:rPr>
          <w:i/>
          <w:noProof/>
        </w:rPr>
        <w:t>Článek 15</w:t>
      </w:r>
      <w:r>
        <w:rPr>
          <w:noProof/>
        </w:rPr>
        <w:t xml:space="preserve"> stanoví pravidla pro monitorování a podávání zpráv. Každé dva roky musí agentura eu-LISA, s využitím informací od členských států, předkládat Komisi zprávy o systému e-CODEX. Kromě toho musí Komise tři roky po převzetí a každé následující čtyři roky předložit zprávu o systému e-CODEX.</w:t>
      </w:r>
    </w:p>
    <w:p>
      <w:pPr>
        <w:pBdr>
          <w:top w:val="nil"/>
          <w:left w:val="nil"/>
          <w:bottom w:val="nil"/>
          <w:right w:val="nil"/>
          <w:between w:val="nil"/>
          <w:bar w:val="nil"/>
        </w:pBdr>
        <w:spacing w:before="0" w:after="240"/>
        <w:rPr>
          <w:rFonts w:eastAsia="Arial Unicode MS"/>
          <w:noProof/>
        </w:rPr>
      </w:pPr>
      <w:r>
        <w:rPr>
          <w:i/>
          <w:noProof/>
        </w:rPr>
        <w:t>Článek 16</w:t>
      </w:r>
      <w:r>
        <w:rPr>
          <w:noProof/>
        </w:rPr>
        <w:t xml:space="preserve"> upravuje změny nařízení (EU) 2018/1726 týkající se nových povinností a úkolů agentury eu-LISA v rámci systému e-CODEX.</w:t>
      </w:r>
    </w:p>
    <w:p>
      <w:pPr>
        <w:pBdr>
          <w:top w:val="nil"/>
          <w:left w:val="nil"/>
          <w:bottom w:val="nil"/>
          <w:right w:val="nil"/>
          <w:between w:val="nil"/>
          <w:bar w:val="nil"/>
        </w:pBdr>
        <w:spacing w:before="0" w:after="240"/>
        <w:rPr>
          <w:rFonts w:eastAsia="Arial Unicode MS"/>
          <w:noProof/>
        </w:rPr>
      </w:pPr>
      <w:r>
        <w:rPr>
          <w:i/>
          <w:noProof/>
        </w:rPr>
        <w:t>Článek 17</w:t>
      </w:r>
      <w:r>
        <w:rPr>
          <w:noProof/>
        </w:rPr>
        <w:t xml:space="preserve"> se týká postupu projednávání ve výborech, který se má použít, a to na základě standardního ustanovení.</w:t>
      </w:r>
    </w:p>
    <w:p>
      <w:pPr>
        <w:pBdr>
          <w:top w:val="nil"/>
          <w:left w:val="nil"/>
          <w:bottom w:val="nil"/>
          <w:right w:val="nil"/>
          <w:between w:val="nil"/>
          <w:bar w:val="nil"/>
        </w:pBdr>
        <w:spacing w:before="0" w:after="240"/>
        <w:rPr>
          <w:rFonts w:eastAsia="Arial Unicode MS"/>
          <w:noProof/>
        </w:rPr>
      </w:pPr>
      <w:r>
        <w:rPr>
          <w:i/>
          <w:noProof/>
        </w:rPr>
        <w:t>Článek 18</w:t>
      </w:r>
      <w:r>
        <w:rPr>
          <w:noProof/>
        </w:rPr>
        <w:t xml:space="preserve"> stanoví, že náklady na provozní řízení systému e-CODEX jsou hrazeny ze souhrnného rozpočtu Evropské unie. Naproti tomu členské státy ponesou náklady na vedení seznamu oprávněných přístupových bodů e-CODEX na vnitrostátní úrovni a náklady na určení korespondentů systému e</w:t>
      </w:r>
      <w:r>
        <w:rPr>
          <w:noProof/>
        </w:rPr>
        <w:noBreakHyphen/>
        <w:t>CODEX v souladu s článkem 7. Náklady na zřízení a provoz systému e-CODEX na vnitrostátní úrovni ponesou v souladu s článkem 8 subjekty provozující oprávněné přístupové body systému e-CODEX.</w:t>
      </w:r>
    </w:p>
    <w:p>
      <w:pPr>
        <w:pBdr>
          <w:top w:val="nil"/>
          <w:left w:val="nil"/>
          <w:bottom w:val="nil"/>
          <w:right w:val="nil"/>
          <w:between w:val="nil"/>
          <w:bar w:val="nil"/>
        </w:pBdr>
        <w:spacing w:before="0" w:after="240"/>
        <w:rPr>
          <w:rFonts w:eastAsia="Arial Unicode MS"/>
          <w:noProof/>
        </w:rPr>
      </w:pPr>
      <w:r>
        <w:rPr>
          <w:i/>
          <w:noProof/>
        </w:rPr>
        <w:t>Článek 19</w:t>
      </w:r>
      <w:r>
        <w:rPr>
          <w:noProof/>
        </w:rPr>
        <w:t xml:space="preserve"> stanoví, že nařízení vstoupí v platnost dvacátým dnem po vyhlášení v </w:t>
      </w:r>
      <w:r>
        <w:rPr>
          <w:i/>
          <w:noProof/>
        </w:rPr>
        <w:t>Úředním věstníku Evropské unie</w:t>
      </w:r>
      <w:r>
        <w:rPr>
          <w:noProof/>
        </w:rPr>
        <w:t>.</w:t>
      </w:r>
    </w:p>
    <w:p>
      <w:pPr>
        <w:pBdr>
          <w:top w:val="nil"/>
          <w:left w:val="nil"/>
          <w:bottom w:val="nil"/>
          <w:right w:val="nil"/>
          <w:between w:val="nil"/>
          <w:bar w:val="nil"/>
        </w:pBdr>
        <w:spacing w:before="0" w:after="240"/>
        <w:rPr>
          <w:rFonts w:eastAsia="Arial Unicode MS"/>
          <w:noProof/>
        </w:rPr>
      </w:pPr>
      <w:r>
        <w:rPr>
          <w:noProof/>
        </w:rPr>
        <w:t>V </w:t>
      </w:r>
      <w:r>
        <w:rPr>
          <w:i/>
          <w:noProof/>
        </w:rPr>
        <w:t>příloze I </w:t>
      </w:r>
      <w:r>
        <w:rPr>
          <w:noProof/>
        </w:rPr>
        <w:t>jsou uvedeny právní akty spadající do oblasti působnosti tohoto nařízení.</w:t>
      </w:r>
    </w:p>
    <w:p>
      <w:pPr>
        <w:pBdr>
          <w:top w:val="nil"/>
          <w:left w:val="nil"/>
          <w:bottom w:val="nil"/>
          <w:right w:val="nil"/>
          <w:between w:val="nil"/>
          <w:bar w:val="nil"/>
        </w:pBdr>
        <w:spacing w:before="0" w:after="240"/>
        <w:rPr>
          <w:rFonts w:eastAsia="Arial Unicode MS"/>
          <w:noProof/>
        </w:rPr>
      </w:pPr>
      <w:r>
        <w:rPr>
          <w:noProof/>
        </w:rPr>
        <w:lastRenderedPageBreak/>
        <w:t>V </w:t>
      </w:r>
      <w:r>
        <w:rPr>
          <w:i/>
          <w:noProof/>
        </w:rPr>
        <w:t>příloze II</w:t>
      </w:r>
      <w:r>
        <w:rPr>
          <w:noProof/>
        </w:rPr>
        <w:t xml:space="preserve"> je uveden seznam podpůrných softwarových produktů, které mají být předány agentuře eu-LISA v souladu s článkem 9.</w:t>
      </w:r>
    </w:p>
    <w:p>
      <w:pPr>
        <w:rPr>
          <w:noProof/>
        </w:rPr>
        <w:sectPr>
          <w:footerReference w:type="default" r:id="rId14"/>
          <w:footerReference w:type="first" r:id="rId15"/>
          <w:pgSz w:w="11907" w:h="16840" w:code="9"/>
          <w:pgMar w:top="1418" w:right="1134" w:bottom="1418" w:left="1134" w:header="709" w:footer="709" w:gutter="0"/>
          <w:cols w:space="708"/>
          <w:docGrid w:linePitch="360"/>
        </w:sectPr>
      </w:pPr>
    </w:p>
    <w:p>
      <w:pPr>
        <w:pStyle w:val="Rfrenceinterinstitutionnelle"/>
        <w:rPr>
          <w:noProof/>
        </w:rPr>
      </w:pPr>
      <w:r>
        <w:rPr>
          <w:noProof/>
        </w:rPr>
        <w:lastRenderedPageBreak/>
        <w:t>2020/0345 (COD)</w:t>
      </w:r>
    </w:p>
    <w:p>
      <w:pPr>
        <w:pStyle w:val="Statut"/>
        <w:rPr>
          <w:noProof/>
        </w:rPr>
      </w:pPr>
      <w:r>
        <w:rPr>
          <w:noProof/>
        </w:rPr>
        <w:t>Návrh</w:t>
      </w:r>
    </w:p>
    <w:p>
      <w:pPr>
        <w:pStyle w:val="Typedudocument"/>
        <w:rPr>
          <w:noProof/>
        </w:rPr>
      </w:pPr>
      <w:r>
        <w:rPr>
          <w:noProof/>
        </w:rPr>
        <w:t>NAŘÍZENÍ EVROPSKÉHO PARLAMENTU A RADY</w:t>
      </w:r>
    </w:p>
    <w:p>
      <w:pPr>
        <w:pStyle w:val="Titreobjet"/>
        <w:rPr>
          <w:noProof/>
        </w:rPr>
      </w:pPr>
      <w:r>
        <w:rPr>
          <w:noProof/>
        </w:rPr>
        <w:t xml:space="preserve">o počítačovém systému pro komunikaci v přeshraničních občanských a trestních řízeních (systém e-CODEX) a o změně nařízení (EU) 2018/1726 </w:t>
      </w:r>
      <w:r>
        <w:rPr>
          <w:noProof/>
        </w:rPr>
        <w:br/>
      </w:r>
      <w:r>
        <w:rPr>
          <w:noProof/>
        </w:rPr>
        <w:br/>
      </w:r>
    </w:p>
    <w:p>
      <w:pPr>
        <w:pStyle w:val="IntrtEEE"/>
        <w:rPr>
          <w:noProof/>
        </w:rPr>
      </w:pPr>
      <w:r>
        <w:rPr>
          <w:noProof/>
        </w:rPr>
        <w:t>(Text s významem pro EHP)</w:t>
      </w:r>
    </w:p>
    <w:p>
      <w:pPr>
        <w:pStyle w:val="Institutionquiagit"/>
        <w:rPr>
          <w:noProof/>
        </w:rPr>
      </w:pPr>
      <w:r>
        <w:rPr>
          <w:noProof/>
        </w:rPr>
        <w:t>EVROPSKÝ PARLAMENT A RADA EVROPSKÉ UNIE,</w:t>
      </w:r>
    </w:p>
    <w:p>
      <w:pPr>
        <w:rPr>
          <w:noProof/>
        </w:rPr>
      </w:pPr>
      <w:r>
        <w:rPr>
          <w:noProof/>
        </w:rPr>
        <w:t>s ohledem na Smlouvu o fungování Evropské unie, a zejména na čl. 81 odst. 2 a čl. 82 odst. 1 této smlouvy,</w:t>
      </w:r>
    </w:p>
    <w:p>
      <w:pPr>
        <w:rPr>
          <w:noProof/>
        </w:rPr>
      </w:pPr>
      <w:r>
        <w:rPr>
          <w:noProof/>
        </w:rPr>
        <w:t>s ohledem na návrh Evropské komise,</w:t>
      </w:r>
    </w:p>
    <w:p>
      <w:pPr>
        <w:rPr>
          <w:noProof/>
        </w:rPr>
      </w:pPr>
      <w:r>
        <w:rPr>
          <w:noProof/>
        </w:rPr>
        <w:t>po postoupení návrhu legislativního aktu vnitrostátním parlamentům,</w:t>
      </w:r>
    </w:p>
    <w:p>
      <w:pPr>
        <w:rPr>
          <w:noProof/>
        </w:rPr>
      </w:pPr>
      <w:r>
        <w:rPr>
          <w:noProof/>
        </w:rPr>
        <w:t>v souladu s řádným legislativním postupem,</w:t>
      </w:r>
    </w:p>
    <w:p>
      <w:pPr>
        <w:rPr>
          <w:noProof/>
        </w:rPr>
      </w:pPr>
      <w:r>
        <w:rPr>
          <w:noProof/>
        </w:rPr>
        <w:t>vzhledem k těmto důvodům:</w:t>
      </w:r>
    </w:p>
    <w:p>
      <w:pPr>
        <w:pStyle w:val="ManualConsidrant"/>
        <w:rPr>
          <w:noProof/>
        </w:rPr>
      </w:pPr>
      <w:r>
        <w:t>(1)</w:t>
      </w:r>
      <w:r>
        <w:tab/>
      </w:r>
      <w:r>
        <w:rPr>
          <w:noProof/>
        </w:rPr>
        <w:t xml:space="preserve">Mezi hlavní cíle prostoru svobody, bezpečnosti a práva EU zakotveného v hlavě V Smlouvy patří zajištění účinného přístupu občanů a podniků ke spravedlnosti a usnadnění justiční spolupráce mezi členskými státy. </w:t>
      </w:r>
    </w:p>
    <w:p>
      <w:pPr>
        <w:pStyle w:val="ManualConsidrant"/>
        <w:rPr>
          <w:noProof/>
        </w:rPr>
      </w:pPr>
      <w:r>
        <w:t>(2)</w:t>
      </w:r>
      <w:r>
        <w:tab/>
      </w:r>
      <w:r>
        <w:rPr>
          <w:noProof/>
        </w:rPr>
        <w:t xml:space="preserve">Je tedy důležité, aby byly vytvořeny vhodné kanály k zajištění účinné digitální spolupráce soudních systémů. Proto je nezbytné vytvořit nástroj informační technologie na úrovni Unie, který umožní rychlou, přímou, interoperabilní, spolehlivou a bezpečnou přeshraniční elektronickou výměnu údajů týkajících se jednotlivých případů. Daný systém umožňující občanům a podnikům vyměňovat si dokumenty a důkazy v digitální podobě se soudními nebo jinými příslušnými orgány, pokud tak stanoví vnitrostátní právo nebo právo Unie, by měl přispět ke zlepšení přístupu ke spravedlnosti. </w:t>
      </w:r>
    </w:p>
    <w:p>
      <w:pPr>
        <w:pStyle w:val="ManualConsidrant"/>
        <w:rPr>
          <w:noProof/>
        </w:rPr>
      </w:pPr>
      <w:r>
        <w:t>(3)</w:t>
      </w:r>
      <w:r>
        <w:tab/>
      </w:r>
      <w:r>
        <w:rPr>
          <w:noProof/>
        </w:rPr>
        <w:t>Jsou k dispozici nástroje, které byly vyvinuty pro digitální výměnu údajů souvisejících s případy, a které nenahrazují stávající back-end systémy zavedené v členských státech, ani nevyžadují jejich nákladné úpravy. Hlavním nástrojem, který byl dosud vyvinut, je systém elektronické komunikace v oblasti e-justice prostřednictvím on-line výměny informací (systém e-CODEX).</w:t>
      </w:r>
    </w:p>
    <w:p>
      <w:pPr>
        <w:pStyle w:val="ManualConsidrant"/>
        <w:rPr>
          <w:noProof/>
        </w:rPr>
      </w:pPr>
      <w:r>
        <w:t>(4)</w:t>
      </w:r>
      <w:r>
        <w:tab/>
      </w:r>
      <w:r>
        <w:rPr>
          <w:noProof/>
        </w:rPr>
        <w:t>Systém e-CODEX je nástroj speciálně navržený k usnadnění přeshraniční elektronické výměny zpráv v oblasti justice. S ohledem na rostoucí digitalizaci řízení v občanských a trestních věcech má systém e-CODEX zlepšit účinnost přeshraniční komunikace mezi příslušnými orgány a usnadnit občanům a podnikům přístup ke spravedlnosti. V současné době jej spravuje konsorcium členských států a organizací s financováním z programů Unie.</w:t>
      </w:r>
    </w:p>
    <w:p>
      <w:pPr>
        <w:pStyle w:val="ManualConsidrant"/>
        <w:rPr>
          <w:noProof/>
        </w:rPr>
      </w:pPr>
      <w:r>
        <w:t>(5)</w:t>
      </w:r>
      <w:r>
        <w:tab/>
      </w:r>
      <w:r>
        <w:rPr>
          <w:noProof/>
        </w:rPr>
        <w:t xml:space="preserve">Systém e-CODEX tvoří dva softwarové prvky: software Domibus Gateway pro výměnu zpráv s jinými bránami a software Domibus Connector, který poskytuje řadu </w:t>
      </w:r>
      <w:r>
        <w:rPr>
          <w:noProof/>
        </w:rPr>
        <w:lastRenderedPageBreak/>
        <w:t xml:space="preserve">funkcí souvisejících s přenosem zpráv mezi vnitrostátními systémy. Brána je založena na stavebním prvku eDelivery spravovaném Komisí, zatímco provozní řízení konektoru provádí konsorcium členských států a organizací s financováním z programů Unie (subjekt spravující systém e-CODEX). Software konektoru zajišťuje funkce, jako je ověřování elektronických podpisů prostřednictvím bezpečnostní knihovny a doklad o doručení. Kromě toho subjekt spravující systém e-CODEX vyvinul šablony pro digitální formuláře, které mají být používány v určitých občanských a trestních řízeních, u nichž proběhla pilotní fáze systém e-CODEX. </w:t>
      </w:r>
    </w:p>
    <w:p>
      <w:pPr>
        <w:pStyle w:val="ManualConsidrant"/>
        <w:rPr>
          <w:noProof/>
        </w:rPr>
      </w:pPr>
      <w:r>
        <w:t>(6)</w:t>
      </w:r>
      <w:r>
        <w:tab/>
      </w:r>
      <w:r>
        <w:rPr>
          <w:noProof/>
        </w:rPr>
        <w:t>Vzhledem k významu systému e-CODEX pro přeshraniční výměny v oblasti justice v Unii by měl existovat udržitelný právní rámec Unie, kterým by se zřídil systém e-CODEX a stanovila se pravidla pro jeho fungování a rozvoj. Tento právní rámec by měl jasně definovat a vymezit složky systému e-CODEX, aby byla zaručena jeho technická udržitelnost. Systém by měl definovat IT složky přístupového bodu, které by měly být tvořeny bránou pro účely bezpečné komunikace s jinými určenými bránami a konektorem pro účely výměny zpráv. Měl by rovněž zahrnovat digitální procesní normy sestávající z modelů obchodních procesů a šablon vymezujících elektronický formát dokumentů používaných v rámci těchto postupů s cílem podpořit využívání přístupových bodů systému e-CODEX pro právní řízení stanovená právními akty přijatými v oblasti justiční spolupráce a umožnit výměnu informací mezi přístupovými body.</w:t>
      </w:r>
    </w:p>
    <w:p>
      <w:pPr>
        <w:pStyle w:val="ManualConsidrant"/>
        <w:rPr>
          <w:noProof/>
        </w:rPr>
      </w:pPr>
      <w:r>
        <w:t>(7)</w:t>
      </w:r>
      <w:r>
        <w:tab/>
      </w:r>
      <w:r>
        <w:rPr>
          <w:noProof/>
        </w:rPr>
        <w:t>Vzhledem k tomu, že je nezbytné zajistit dlouhodobou udržitelnost systému e-CODEX a jeho správu a zároveň zohlednit nezávislost vnitrostátních soudů, měl by být určen vhodný subjekt pro provozní řízení systému.</w:t>
      </w:r>
    </w:p>
    <w:p>
      <w:pPr>
        <w:pStyle w:val="ManualConsidrant"/>
        <w:rPr>
          <w:noProof/>
        </w:rPr>
      </w:pPr>
      <w:r>
        <w:t>(8)</w:t>
      </w:r>
      <w:r>
        <w:tab/>
      </w:r>
      <w:r>
        <w:rPr>
          <w:noProof/>
        </w:rPr>
        <w:t>Nejvhodnějším subjektem pro provozní řízení systému je agentura, neboť její řídící struktura umožňuje zapojení členských států do provozního řízení systému prostřednictvím účasti ve správní radě, poradních skupinách a radách pro řízení programu agentury. Agentura Evropské unie pro provozní řízení rozsáhlých informačních systémů v prostoru svobody, bezpečnosti a práva (eu-LISA), zřízená nařízením Evropského parlamentu a Rady (EU) 2018/1726</w:t>
      </w:r>
      <w:r>
        <w:rPr>
          <w:rStyle w:val="FootnoteReference"/>
          <w:noProof/>
        </w:rPr>
        <w:footnoteReference w:id="34"/>
      </w:r>
      <w:r>
        <w:rPr>
          <w:noProof/>
        </w:rPr>
        <w:t>, má odpovídající zkušenosti s řízením rozsáhlých informačních systémů. Agentura eu-LISA by proto měla být pověřena provozním řízením systému e-CODEX. Je rovněž nezbytné upravit stávající řídící strukturu agentury eu-LISA přizpůsobením povinností její správní rady a zřízením poradní skupiny pro systém e-CODEX. Nařízení (EU) 2018/1726 by proto mělo být odpovídajícím způsobem změněno. Měla by být rovněž zřízena zvláštní rada pro řízení programu.</w:t>
      </w:r>
    </w:p>
    <w:p>
      <w:pPr>
        <w:pStyle w:val="ManualConsidrant"/>
        <w:rPr>
          <w:noProof/>
        </w:rPr>
      </w:pPr>
      <w:r>
        <w:t>(9)</w:t>
      </w:r>
      <w:r>
        <w:tab/>
      </w:r>
      <w:r>
        <w:rPr>
          <w:noProof/>
        </w:rPr>
        <w:t>Podle článku 19 nařízení (EU) 2018/1726 správní rada zajišťuje, aby ve všech rozhodnutích a opatřeních agentury, která se týkají rozsáhlých informačních systémů v prostoru svobody, bezpečnosti a práva, byla dodržována zásada nezávislosti soudnictví. Dodržování této zásady dále zaručují řídící struktura agentury a systém financování. Do řízení systému e-CODEX je rovněž důležité zapojit představitele právní profese a další zúčastněné strany, a to prostřednictvím rady pro řízení programu.</w:t>
      </w:r>
    </w:p>
    <w:p>
      <w:pPr>
        <w:pStyle w:val="ManualConsidrant"/>
        <w:rPr>
          <w:noProof/>
        </w:rPr>
      </w:pPr>
      <w:r>
        <w:lastRenderedPageBreak/>
        <w:t>(10)</w:t>
      </w:r>
      <w:r>
        <w:tab/>
      </w:r>
      <w:r>
        <w:rPr>
          <w:noProof/>
        </w:rPr>
        <w:t xml:space="preserve">Agentura eu-LISA by neměla převzít odpovědnost za systém e-CODEX dříve než 1. července 2023, vzhledem k jejím prioritním úkolům v oblasti vývoje a správy Systému vstupu/výstupu (EES), Evropského systému pro cestovní informace a povolení (ETIAS), Evropského informačního systému rejstříků trestů pro státní příslušníky třetích zemí (ECRIS-TCN), revidovaného Schengenského informačního systému (SIS), Vízového informačního systému (VIS) a Eurodacu, jakož i strategickému úkolu vytvořit rámec pro interoperabilitu mezi informačními systémy EU. </w:t>
      </w:r>
    </w:p>
    <w:p>
      <w:pPr>
        <w:pStyle w:val="ManualConsidrant"/>
        <w:rPr>
          <w:noProof/>
        </w:rPr>
      </w:pPr>
      <w:r>
        <w:t>(11)</w:t>
      </w:r>
      <w:r>
        <w:tab/>
      </w:r>
      <w:r>
        <w:rPr>
          <w:noProof/>
        </w:rPr>
        <w:t xml:space="preserve">Systém e-CODEX lze použít v přeshraničních občanských a trestních řízeních. Vzhledem k tomu, že má otevřený zdrojový kód, by však mohl být použit i v jiných situacích. Toto nařízení by se nemělo vztahovat na žádné použití systému e-CODEX, který není založeno na právních aktech uvedených v příloze I. </w:t>
      </w:r>
    </w:p>
    <w:p>
      <w:pPr>
        <w:pStyle w:val="ManualConsidrant"/>
        <w:rPr>
          <w:noProof/>
        </w:rPr>
      </w:pPr>
      <w:r>
        <w:t>(12)</w:t>
      </w:r>
      <w:r>
        <w:tab/>
      </w:r>
      <w:r>
        <w:rPr>
          <w:noProof/>
        </w:rPr>
        <w:t xml:space="preserve">Agentura eu-LISA by měla nést odpovědnost za složky systému e-CODEX, s výjimkou provozního řízení softwaru Domibus Gateway, neboť tento software je v současné době poskytován meziodvětvově Komisí v rámci stavebního prvku eDelivery. Agentura eu-LISA by měla od subjektu spravujícího systém e-CODEX převzít plnou odpovědnost za provozní řízení softwaru Domibus Connector a za digitální procesní normy. Vzhledem k tomu, že brána Domibus Gateway a konektor Domibus Connector jsou nedílnou součástí systému e-Codex, měla by agentura eu-LISA zajistit kompatibilitu konektoru s nejnovější verzí brány. Za tímto účelem by Komise měla agenturu eu-LISA zahrnout do příslušného správního orgánu pro stavební prvek eDelivery, a to od okamžiku vstupu tohoto nařízení v platnost. </w:t>
      </w:r>
    </w:p>
    <w:p>
      <w:pPr>
        <w:pStyle w:val="ManualConsidrant"/>
        <w:rPr>
          <w:noProof/>
        </w:rPr>
      </w:pPr>
      <w:r>
        <w:t>(13)</w:t>
      </w:r>
      <w:r>
        <w:tab/>
      </w:r>
      <w:r>
        <w:rPr>
          <w:noProof/>
        </w:rPr>
        <w:t>Za účelem zajištění jednotných podmínek k uplatňování tohoto nařízení by měly být Komisi svěřeny prováděcí pravomoci. Tyto pravomoci by měly být vykonávány v souladu s nařízením Evropského parlamentu a Rady (EU) č. 182/2011</w:t>
      </w:r>
      <w:r>
        <w:rPr>
          <w:rStyle w:val="FootnoteReference"/>
          <w:noProof/>
        </w:rPr>
        <w:footnoteReference w:id="35"/>
      </w:r>
      <w:r>
        <w:rPr>
          <w:noProof/>
        </w:rPr>
        <w:t>. Prováděcí akty přijaté v jeho rámci by měly stanovit minimální technické specifikace a normy, včetně norem týkajících se bezpečnosti, na nichž mají být založeny složky systému e-CODEX; stanovit požadavky na úroveň služeb pro činnosti, které má agentura eu-LISA provádět, jakož i další nezbytné technické specifikace těchto činností; a stanovit podmínky procesu předání/převzetí. Prováděcí akty by rovněž mohly stanovit technická opatření podporující používání systému e-CODEX v řízeních v oblasti justiční spolupráce.</w:t>
      </w:r>
    </w:p>
    <w:p>
      <w:pPr>
        <w:pStyle w:val="ManualConsidrant"/>
        <w:rPr>
          <w:noProof/>
        </w:rPr>
      </w:pPr>
      <w:r>
        <w:t>(14)</w:t>
      </w:r>
      <w:r>
        <w:tab/>
      </w:r>
      <w:r>
        <w:rPr>
          <w:noProof/>
        </w:rPr>
        <w:t>Měly by být stanoveny konkrétní povinnosti agentury eu-LISA v souvislosti s provozním řízením systému e</w:t>
      </w:r>
      <w:r>
        <w:rPr>
          <w:noProof/>
        </w:rPr>
        <w:noBreakHyphen/>
        <w:t xml:space="preserve">CODEX. </w:t>
      </w:r>
    </w:p>
    <w:p>
      <w:pPr>
        <w:pStyle w:val="ManualConsidrant"/>
        <w:rPr>
          <w:noProof/>
        </w:rPr>
      </w:pPr>
      <w:r>
        <w:t>(15)</w:t>
      </w:r>
      <w:r>
        <w:tab/>
      </w:r>
      <w:r>
        <w:rPr>
          <w:noProof/>
        </w:rPr>
        <w:t>Členské státy by měly vést seznam oprávněných přístupových bodů systému e-CODEX provozovaných na jejich území a předávat je agentuře eu-LISA, aby byla umožněna interakce mezi nimi v rámci příslušných postupů. Komise by ze stejného důvodu měla vést podobný seznam oprávněných přístupových bodů systému e-CODEX provozovaných orgány, institucemi a jinými subjekty Unie. Subjekty provozujícími přístupové body na vnitrostátní úrovni mohou být orgány veřejné moci, organizace zastupující právníky nebo soukromé společnosti. Vzhledem k decentralizované povaze systému e-CODEX by agentura eu-LISA měla zajistit provozní řízení systému e-CODEX, avšak odpovědnost za zřízení a provoz povolených přístupových bodů systému e</w:t>
      </w:r>
      <w:r>
        <w:rPr>
          <w:noProof/>
        </w:rPr>
        <w:noBreakHyphen/>
        <w:t xml:space="preserve">CODEX by měly nést výhradně subjekty provozující příslušné přístupové body. Odpovědnost za veškeré škody vyplývající </w:t>
      </w:r>
      <w:r>
        <w:rPr>
          <w:noProof/>
        </w:rPr>
        <w:lastRenderedPageBreak/>
        <w:t>z provozu oprávněného přístupového bodu e</w:t>
      </w:r>
      <w:r>
        <w:rPr>
          <w:noProof/>
        </w:rPr>
        <w:noBreakHyphen/>
        <w:t xml:space="preserve">CODEX by měly nést subjekty, které jej provozují. </w:t>
      </w:r>
    </w:p>
    <w:p>
      <w:pPr>
        <w:pStyle w:val="ManualConsidrant"/>
        <w:rPr>
          <w:noProof/>
        </w:rPr>
      </w:pPr>
      <w:r>
        <w:t>(16)</w:t>
      </w:r>
      <w:r>
        <w:tab/>
      </w:r>
      <w:r>
        <w:rPr>
          <w:noProof/>
        </w:rPr>
        <w:t>Vnitrostátní systémy propojené prostřednictvím systému e-CODEX by měly umožnit sledování jeho účinnosti a účelnosti tím, že vytvoří mechanismus pro sledování výstupů, výsledků a dopadů nástrojů, které umožňují přenos elektronických údajů v rámci přeshraničních občanských a trestních řízení v Unii. Systémy připojené k oprávněným přístupovým místům e-CODEX by proto měly být schopny systematicky shromažďovat a uchovávat komplexní údaje o využívání v přeshraničních občanských a trestních řízeních v souladu s příslušnými ustanoveními právních aktů uvedených v příloze I. To by mělo nejen usnadnit práci členských států při shromažďování příslušných údajů a zajistit vzájemnou odpovědnost a transparentnost, ale také významně usnadnit následné monitorování právních aktů přijatých Komisí v oblasti civilní a trestní spolupráce. Shromážděné informace by měly zahrnovat pouze souhrnné údaje a neměly by být osobními údaji.</w:t>
      </w:r>
    </w:p>
    <w:p>
      <w:pPr>
        <w:pStyle w:val="ManualConsidrant"/>
        <w:rPr>
          <w:noProof/>
        </w:rPr>
      </w:pPr>
      <w:r>
        <w:t>(17)</w:t>
      </w:r>
      <w:r>
        <w:tab/>
      </w:r>
      <w:r>
        <w:rPr>
          <w:noProof/>
        </w:rPr>
        <w:t>Agentura eu-LISA by při plnění svých úkolů měla udržovat vysokou úroveň zabezpečení. Při dalším technickém vývoji softwaru by agentura eu-LISA měla v souladu s nařízením (EU) 2018/1725 uplatňovat zásady záměrné a standardní bezpečnosti a ochrany údajů. Subjekty provozující oprávněný přístupový bod systému e-CODEX by měly nést odpovědnost za zabezpečení údajů přenášených prostřednictvím jejich přístupových bodů.</w:t>
      </w:r>
    </w:p>
    <w:p>
      <w:pPr>
        <w:pStyle w:val="ManualConsidrant"/>
        <w:rPr>
          <w:noProof/>
        </w:rPr>
      </w:pPr>
      <w:r>
        <w:t>(18)</w:t>
      </w:r>
      <w:r>
        <w:tab/>
      </w:r>
      <w:r>
        <w:rPr>
          <w:noProof/>
        </w:rPr>
        <w:t>V případě, že by bylo pomocí systému e-CODEX třeba zpracovávat utajované informace, musel by být systém akreditován v souladu s pravidly agentury eu-LISA pro bezpečnost informací.</w:t>
      </w:r>
    </w:p>
    <w:p>
      <w:pPr>
        <w:pStyle w:val="ManualConsidrant"/>
        <w:rPr>
          <w:noProof/>
        </w:rPr>
      </w:pPr>
      <w:r>
        <w:t>(19)</w:t>
      </w:r>
      <w:r>
        <w:tab/>
      </w:r>
      <w:r>
        <w:rPr>
          <w:noProof/>
        </w:rPr>
        <w:t>Aby mohla agentura eu-LISA odpovídajícím způsobem připravit převzetí, měl by subjekt spravující systém e-CODEX do 31. prosince 2022 v souladu s prováděcími akty přijatými Komisí podle tohoto nařízení vypracovat předávací dokument, který stanoví podrobná ujednání pro převod systému e-CODEX, včetně kritérií pro úspěšný proces předání a jeho dokončení. Předávací dokument by měl popsat součásti systému e</w:t>
      </w:r>
      <w:r>
        <w:rPr>
          <w:noProof/>
        </w:rPr>
        <w:noBreakHyphen/>
        <w:t>CODEX, včetně brány, konektoru a digitálních procesních norem, jakož i příslušné podpůrné produkty. Komise by měla monitorovat proces předání/převzetí, aby zajistila jeho soulad s prováděcími akty a předávacím dokumentem a k převzetí by mělo dojít až poté, co Komise oznámí, že proces byl úspěšně dokončen. Po předložení předávacího dokumentu a až do úspěšného předání systému e-CODEX agentuře eu-LISA by subjekt spravující systém e-CODEX neměl dodat žádnou novou verzi systému, ale měl by pouze zajistit nápravné činnosti údržby systému e-CODEX.</w:t>
      </w:r>
    </w:p>
    <w:p>
      <w:pPr>
        <w:pStyle w:val="ManualConsidrant"/>
        <w:rPr>
          <w:noProof/>
        </w:rPr>
      </w:pPr>
      <w:r>
        <w:t>(20)</w:t>
      </w:r>
      <w:r>
        <w:tab/>
      </w:r>
      <w:r>
        <w:rPr>
          <w:noProof/>
        </w:rPr>
        <w:t xml:space="preserve">Předání by mělo rovněž zajistit, aby veškerá práva duševního vlastnictví nebo užívací práva týkající se systému e-CODEX a příslušných podpůrných produktů byla převedena tak, aby agentura eu-LISA mohla plnit své povinnosti podle tohoto nařízení. U hlavních softwarových složek systému by však neměl být nutný smluvní převod, neboť software Domibus má otevřený zdrojový kód a vztahuje se na něj veřejná licence Evropské unie (EUPL). </w:t>
      </w:r>
    </w:p>
    <w:p>
      <w:pPr>
        <w:pStyle w:val="ManualConsidrant"/>
        <w:rPr>
          <w:noProof/>
        </w:rPr>
      </w:pPr>
      <w:r>
        <w:t>(21)</w:t>
      </w:r>
      <w:r>
        <w:tab/>
      </w:r>
      <w:r>
        <w:rPr>
          <w:noProof/>
        </w:rPr>
        <w:t xml:space="preserve">Aby mohla Komise systém e-CODEX pravidelně hodnotit, měla by agentura eu-LISA každé dva roky podávat Komisi zprávu o technickém vývoji a technickém fungování systému e-CODEX, jakož i o činnostech rady pro řízení programu. Za účelem vypracování této zprávy by členské státy měly agentuře eu-LISA poskytnout příslušné informace týkající se přístupových bodů provozovaných na jejich území a Komise by měla poskytnout podobné informace o přístupových bodech provozovaných orgány, institucemi a jinými subjekty Unie. </w:t>
      </w:r>
    </w:p>
    <w:p>
      <w:pPr>
        <w:pStyle w:val="ManualConsidrant"/>
        <w:rPr>
          <w:noProof/>
        </w:rPr>
      </w:pPr>
      <w:r>
        <w:lastRenderedPageBreak/>
        <w:t>(22)</w:t>
      </w:r>
      <w:r>
        <w:tab/>
      </w:r>
      <w:r>
        <w:rPr>
          <w:noProof/>
        </w:rPr>
        <w:t>Toto nařízení by nemělo poskytovat žádný konkrétní právní základ pro zpracování osobních údajů. Jakékoli zpracování osobních údajů prováděné v rámci tohoto nařízení by mělo být v souladu s platnými pravidly ochrany údajů. Na zpracování osobních údajů prováděné přístupovými body systému e-CODEX provozovanými oprávněnými přístupovými body systému e-CODEX, která jsou zřízena na území členských států podle tohoto nařízení, se vztahuje nařízení Evropského parlamentu a Rady (EU) 2016/679</w:t>
      </w:r>
      <w:r>
        <w:rPr>
          <w:rStyle w:val="FootnoteReference"/>
          <w:noProof/>
        </w:rPr>
        <w:footnoteReference w:id="36"/>
      </w:r>
      <w:r>
        <w:rPr>
          <w:noProof/>
        </w:rPr>
        <w:t xml:space="preserve"> a směrnice Evropského parlamentu a Rady (EU) 2016/680</w:t>
      </w:r>
      <w:r>
        <w:rPr>
          <w:rStyle w:val="FootnoteReference"/>
          <w:noProof/>
        </w:rPr>
        <w:footnoteReference w:id="37"/>
      </w:r>
      <w:r>
        <w:rPr>
          <w:noProof/>
        </w:rPr>
        <w:t xml:space="preserve">. </w:t>
      </w:r>
    </w:p>
    <w:p>
      <w:pPr>
        <w:pStyle w:val="ManualConsidrant"/>
        <w:rPr>
          <w:noProof/>
        </w:rPr>
      </w:pPr>
      <w:r>
        <w:t>(23)</w:t>
      </w:r>
      <w:r>
        <w:tab/>
      </w:r>
      <w:r>
        <w:rPr>
          <w:noProof/>
        </w:rPr>
        <w:t>Nařízení Evropského parlamentu a Rady (EU) 2018/1725</w:t>
      </w:r>
      <w:r>
        <w:rPr>
          <w:rStyle w:val="FootnoteReference"/>
          <w:noProof/>
        </w:rPr>
        <w:footnoteReference w:id="38"/>
      </w:r>
      <w:r>
        <w:rPr>
          <w:noProof/>
        </w:rPr>
        <w:t xml:space="preserve"> se vztahuje na zpracování osobních údajů prováděné orgány, institucemi a agenturami Unie v souvislosti s tímto nařízením. </w:t>
      </w:r>
    </w:p>
    <w:p>
      <w:pPr>
        <w:pStyle w:val="ManualConsidrant"/>
        <w:rPr>
          <w:noProof/>
        </w:rPr>
      </w:pPr>
      <w:r>
        <w:t>(24)</w:t>
      </w:r>
      <w:r>
        <w:tab/>
      </w:r>
      <w:r>
        <w:rPr>
          <w:noProof/>
        </w:rPr>
        <w:t>V souladu s články 1 a 2 Protokolu (č. 22) o postavení Dánska, připojeného ke Smlouvě o Evropské unii a ke Smlouvě o fungování Evropské unie, se Dánsko neúčastní přijímání tohoto nařízení a toto nařízení pro ně není závazné ani použitelné.</w:t>
      </w:r>
    </w:p>
    <w:p>
      <w:pPr>
        <w:pStyle w:val="ManualConsidrant"/>
        <w:rPr>
          <w:noProof/>
        </w:rPr>
      </w:pPr>
      <w:r>
        <w:t>(25)</w:t>
      </w:r>
      <w:r>
        <w:tab/>
      </w:r>
      <w:r>
        <w:rPr>
          <w:noProof/>
        </w:rPr>
        <w:t>V souladu s články 1, 2 a 4a(1) Protokolu (č. 21) o postavení Spojeného království a Irska s ohledem na prostor svobody, bezpečnosti a práva, připojeného ke Smlouvě o Evropské unii a ke Smlouvě o fungování Evropské unie, a aniž je dotčen článek 4 uvedeného protokolu, se Irsko neúčastní přijímání tohoto nařízení a toto nařízení není pro ně závazné ani použitelné.</w:t>
      </w:r>
    </w:p>
    <w:p>
      <w:pPr>
        <w:rPr>
          <w:noProof/>
        </w:rPr>
      </w:pPr>
      <w:r>
        <w:rPr>
          <w:noProof/>
        </w:rPr>
        <w:t>[nebo]</w:t>
      </w:r>
    </w:p>
    <w:p>
      <w:pPr>
        <w:pStyle w:val="ManualConsidrant"/>
        <w:rPr>
          <w:noProof/>
        </w:rPr>
      </w:pPr>
      <w:r>
        <w:t>(26)</w:t>
      </w:r>
      <w:r>
        <w:tab/>
      </w:r>
      <w:r>
        <w:rPr>
          <w:noProof/>
        </w:rPr>
        <w:t>V souladu s článkem 3 a čl. 4a odst. 1 Protokolu (č. 21) o postavení Spojeného království a Irska s ohledem na prostor svobody, bezpečnosti a práva, připojeného ke Smlouvě o Evropské unii a ke Smlouvě o fungování Evropské unie, oznámilo Irsko své přání účastnit se přijímání a používání tohoto nařízení.</w:t>
      </w:r>
    </w:p>
    <w:p>
      <w:pPr>
        <w:pStyle w:val="ManualConsidrant"/>
        <w:rPr>
          <w:noProof/>
        </w:rPr>
      </w:pPr>
      <w:r>
        <w:t>(27)</w:t>
      </w:r>
      <w:r>
        <w:tab/>
      </w:r>
      <w:r>
        <w:rPr>
          <w:noProof/>
        </w:rPr>
        <w:t>Evropský inspektor ochrany údajů byl konzultován a vydal stanovisko …</w:t>
      </w:r>
      <w:r>
        <w:rPr>
          <w:rStyle w:val="FootnoteReference"/>
          <w:noProof/>
        </w:rPr>
        <w:footnoteReference w:id="39"/>
      </w:r>
      <w:r>
        <w:rPr>
          <w:noProof/>
        </w:rPr>
        <w:t>,</w:t>
      </w:r>
    </w:p>
    <w:p>
      <w:pPr>
        <w:rPr>
          <w:noProof/>
        </w:rPr>
      </w:pPr>
    </w:p>
    <w:p>
      <w:pPr>
        <w:pStyle w:val="Formuledadoption"/>
        <w:rPr>
          <w:noProof/>
        </w:rPr>
      </w:pPr>
      <w:r>
        <w:rPr>
          <w:noProof/>
        </w:rPr>
        <w:t>PŘIJALY TOTO NAŘÍZENÍ:</w:t>
      </w:r>
    </w:p>
    <w:p>
      <w:pPr>
        <w:pStyle w:val="ChapterTitle"/>
        <w:rPr>
          <w:noProof/>
        </w:rPr>
      </w:pPr>
      <w:r>
        <w:rPr>
          <w:noProof/>
        </w:rPr>
        <w:t>KAPITOLA 1</w:t>
      </w:r>
      <w:r>
        <w:rPr>
          <w:noProof/>
        </w:rPr>
        <w:br/>
        <w:t xml:space="preserve">Obecná ustanovení </w:t>
      </w:r>
    </w:p>
    <w:p>
      <w:pPr>
        <w:pStyle w:val="Titrearticle"/>
        <w:rPr>
          <w:noProof/>
        </w:rPr>
      </w:pPr>
      <w:r>
        <w:rPr>
          <w:noProof/>
        </w:rPr>
        <w:t>Článek 1</w:t>
      </w:r>
      <w:r>
        <w:rPr>
          <w:noProof/>
        </w:rPr>
        <w:br/>
        <w:t>Předmět</w:t>
      </w:r>
    </w:p>
    <w:p>
      <w:pPr>
        <w:rPr>
          <w:noProof/>
        </w:rPr>
      </w:pPr>
      <w:r>
        <w:rPr>
          <w:noProof/>
        </w:rPr>
        <w:t xml:space="preserve">Tímto nařízením se zřizuje decentralizovaný informační systém pro přeshraniční komunikaci za účelem usnadnění bezpečné a spolehlivé elektronické výměny dokumentů, žádostí, </w:t>
      </w:r>
      <w:r>
        <w:rPr>
          <w:noProof/>
        </w:rPr>
        <w:lastRenderedPageBreak/>
        <w:t>formulářů, důkazů nebo jiných informací v přeshraničních občanských a trestních řízeních (elektronická komunikace v oblasti e-justice prostřednictvím on-line výměny informací – systém e-CODEX).</w:t>
      </w:r>
    </w:p>
    <w:p>
      <w:pPr>
        <w:rPr>
          <w:noProof/>
        </w:rPr>
      </w:pPr>
      <w:r>
        <w:rPr>
          <w:noProof/>
        </w:rPr>
        <w:t>Stanoví pravidla pro:</w:t>
      </w:r>
    </w:p>
    <w:p>
      <w:pPr>
        <w:pStyle w:val="Point0"/>
        <w:rPr>
          <w:noProof/>
        </w:rPr>
      </w:pPr>
      <w:r>
        <w:rPr>
          <w:noProof/>
        </w:rPr>
        <w:t>a)</w:t>
      </w:r>
      <w:r>
        <w:rPr>
          <w:noProof/>
        </w:rPr>
        <w:tab/>
        <w:t>definici a složení systému e-CODEX;</w:t>
      </w:r>
    </w:p>
    <w:p>
      <w:pPr>
        <w:pStyle w:val="Point0"/>
        <w:rPr>
          <w:noProof/>
        </w:rPr>
      </w:pPr>
      <w:r>
        <w:rPr>
          <w:noProof/>
        </w:rPr>
        <w:t>b)</w:t>
      </w:r>
      <w:r>
        <w:rPr>
          <w:noProof/>
        </w:rPr>
        <w:tab/>
        <w:t>provozní řízení systému e-CODEX Agenturou Evropské unie pro provozní řízení rozsáhlých informačních systémů v prostoru svobody, bezpečnosti a práva (dále jen „agentura eu-LISA“);</w:t>
      </w:r>
    </w:p>
    <w:p>
      <w:pPr>
        <w:pStyle w:val="Point0"/>
        <w:rPr>
          <w:noProof/>
        </w:rPr>
      </w:pPr>
      <w:r>
        <w:rPr>
          <w:noProof/>
        </w:rPr>
        <w:t>c)</w:t>
      </w:r>
      <w:r>
        <w:rPr>
          <w:noProof/>
        </w:rPr>
        <w:tab/>
        <w:t>povinnosti Komise, členských států a subjektů provozujících oprávněné přístupové body systému e-CODEX.</w:t>
      </w:r>
    </w:p>
    <w:p>
      <w:pPr>
        <w:pStyle w:val="Titrearticle"/>
        <w:rPr>
          <w:noProof/>
        </w:rPr>
      </w:pPr>
      <w:r>
        <w:rPr>
          <w:noProof/>
        </w:rPr>
        <w:t>Článek 2</w:t>
      </w:r>
      <w:r>
        <w:rPr>
          <w:noProof/>
        </w:rPr>
        <w:br/>
        <w:t>Oblast působnosti</w:t>
      </w:r>
    </w:p>
    <w:p>
      <w:pPr>
        <w:rPr>
          <w:noProof/>
        </w:rPr>
      </w:pPr>
      <w:r>
        <w:rPr>
          <w:noProof/>
        </w:rPr>
        <w:t>Toto nařízení se vztahuje na elektronický přenos informací v souvislosti s přeshraničními občanskými a trestními řízeními prostřednictvím systému e</w:t>
      </w:r>
      <w:r>
        <w:rPr>
          <w:noProof/>
        </w:rPr>
        <w:noBreakHyphen/>
        <w:t>CODEX, a to v souladu s právními akty přijatými v oblasti justiční spolupráce, které jsou uvedeny v příloze I.</w:t>
      </w:r>
    </w:p>
    <w:p>
      <w:pPr>
        <w:pStyle w:val="Titrearticle"/>
        <w:rPr>
          <w:noProof/>
        </w:rPr>
      </w:pPr>
      <w:r>
        <w:rPr>
          <w:noProof/>
        </w:rPr>
        <w:t>Článek 3</w:t>
      </w:r>
      <w:r>
        <w:rPr>
          <w:noProof/>
        </w:rPr>
        <w:br/>
        <w:t>Definice</w:t>
      </w:r>
    </w:p>
    <w:p>
      <w:pPr>
        <w:rPr>
          <w:noProof/>
        </w:rPr>
      </w:pPr>
      <w:r>
        <w:rPr>
          <w:noProof/>
        </w:rPr>
        <w:t>Pro účely tohoto nařízení se rozumí:</w:t>
      </w:r>
    </w:p>
    <w:p>
      <w:pPr>
        <w:pStyle w:val="Point0"/>
        <w:rPr>
          <w:noProof/>
        </w:rPr>
      </w:pPr>
      <w:r>
        <w:rPr>
          <w:noProof/>
        </w:rPr>
        <w:t>a)</w:t>
      </w:r>
      <w:r>
        <w:rPr>
          <w:noProof/>
        </w:rPr>
        <w:tab/>
        <w:t>„přístupovým bodem systému e-CODEX“ software přístupového bodu instalovaný v hardwarové infrastruktuře, který je schopen důvěryhodně přenášet a přijímat informace do a jiných přístupových bodů systému e-CODEX a z nich;</w:t>
      </w:r>
    </w:p>
    <w:p>
      <w:pPr>
        <w:pStyle w:val="Point0"/>
        <w:rPr>
          <w:noProof/>
        </w:rPr>
      </w:pPr>
      <w:r>
        <w:rPr>
          <w:noProof/>
        </w:rPr>
        <w:t>b)</w:t>
      </w:r>
      <w:r>
        <w:rPr>
          <w:noProof/>
        </w:rPr>
        <w:tab/>
        <w:t>„oprávněným přístupovým bodem systému e-CODEX“ přístupový bod systému e-CODEX, který byl oznámen agentuře eu-LISA v souladu s čl. 5 odst. 4 nebo čl. 7 odst. 1 a který používá digitální procesní normu uvedenou v čl. 4 odst. 3;</w:t>
      </w:r>
    </w:p>
    <w:p>
      <w:pPr>
        <w:pStyle w:val="Point0"/>
        <w:rPr>
          <w:noProof/>
        </w:rPr>
      </w:pPr>
      <w:r>
        <w:rPr>
          <w:noProof/>
        </w:rPr>
        <w:t>c)</w:t>
      </w:r>
      <w:r>
        <w:rPr>
          <w:noProof/>
        </w:rPr>
        <w:tab/>
        <w:t>„subjektem provozujícím oprávněný přístupový bod systému e-CODEX“ orgán, instituce nebo agentura Unie, vnitrostátní orgán veřejné správy nebo právnická osoba, která provozuje oprávněný přístupový bod systému e-CODEX;</w:t>
      </w:r>
    </w:p>
    <w:p>
      <w:pPr>
        <w:pStyle w:val="Point0"/>
        <w:rPr>
          <w:noProof/>
        </w:rPr>
      </w:pPr>
      <w:r>
        <w:rPr>
          <w:noProof/>
        </w:rPr>
        <w:t>d)</w:t>
      </w:r>
      <w:r>
        <w:rPr>
          <w:noProof/>
        </w:rPr>
        <w:tab/>
        <w:t>„připojeným systémem“ informační systém, který je připojen k přístupovému bodu systému e-CODEX pro účely komunikace s jinými přístupovými body systému e-CODEX;</w:t>
      </w:r>
    </w:p>
    <w:p>
      <w:pPr>
        <w:pStyle w:val="Point0"/>
        <w:rPr>
          <w:noProof/>
        </w:rPr>
      </w:pPr>
      <w:r>
        <w:rPr>
          <w:noProof/>
        </w:rPr>
        <w:t>e)</w:t>
      </w:r>
      <w:r>
        <w:rPr>
          <w:noProof/>
        </w:rPr>
        <w:tab/>
        <w:t>„platformou centrálního testování“ přístupový bod systému e-CODEX používaný výhradně pro testování a poskytující soubor funkcí, které mohou využívat subjekty provozující oprávněné přístupové body systému e-CODEX k ověření správného fungování svých přístupových bodů a správného používání digitálních procesních norem systému e-CODEX v připojených systémech propojených s těmito přístupovými body;</w:t>
      </w:r>
    </w:p>
    <w:p>
      <w:pPr>
        <w:pStyle w:val="Point0"/>
        <w:rPr>
          <w:noProof/>
        </w:rPr>
      </w:pPr>
      <w:r>
        <w:rPr>
          <w:noProof/>
        </w:rPr>
        <w:t>f)</w:t>
      </w:r>
      <w:r>
        <w:rPr>
          <w:noProof/>
        </w:rPr>
        <w:tab/>
        <w:t>„modelem obchodního procesu“ grafické a textové znázornění koncepčního modelu několika souvisejících, strukturovaných činností nebo úkolů spolu s příslušnými datovými modely a posloupností, v níž musí být činnosti nebo úkoly prováděny, aby se dosáhlo smysluplné interakce mezi dvěma nebo více stranami;</w:t>
      </w:r>
    </w:p>
    <w:p>
      <w:pPr>
        <w:pStyle w:val="Point0"/>
        <w:rPr>
          <w:noProof/>
        </w:rPr>
      </w:pPr>
      <w:r>
        <w:rPr>
          <w:noProof/>
        </w:rPr>
        <w:t>g)</w:t>
      </w:r>
      <w:r>
        <w:rPr>
          <w:noProof/>
        </w:rPr>
        <w:tab/>
        <w:t>„provozním řízením“ všechny úkoly nezbytné k tomu, aby systém e</w:t>
      </w:r>
      <w:r>
        <w:rPr>
          <w:noProof/>
        </w:rPr>
        <w:noBreakHyphen/>
        <w:t xml:space="preserve">CODEX fungoval v souladu s tímto nařízením. </w:t>
      </w:r>
    </w:p>
    <w:p>
      <w:pPr>
        <w:pStyle w:val="ChapterTitle"/>
        <w:spacing w:before="480"/>
        <w:rPr>
          <w:noProof/>
        </w:rPr>
      </w:pPr>
      <w:r>
        <w:rPr>
          <w:noProof/>
        </w:rPr>
        <w:lastRenderedPageBreak/>
        <w:t xml:space="preserve">KAPITOLA 2 </w:t>
      </w:r>
      <w:r>
        <w:rPr>
          <w:noProof/>
        </w:rPr>
        <w:br/>
        <w:t>Složení, funkce a povinnosti související se systémem e-CODEX</w:t>
      </w:r>
    </w:p>
    <w:p>
      <w:pPr>
        <w:pStyle w:val="Titrearticle"/>
        <w:rPr>
          <w:noProof/>
        </w:rPr>
      </w:pPr>
      <w:r>
        <w:rPr>
          <w:noProof/>
        </w:rPr>
        <w:t>Článek 4</w:t>
      </w:r>
      <w:r>
        <w:rPr>
          <w:noProof/>
        </w:rPr>
        <w:br/>
        <w:t xml:space="preserve">Složení systému e-CODEX </w:t>
      </w:r>
    </w:p>
    <w:p>
      <w:pPr>
        <w:pStyle w:val="ManualNumPar1"/>
        <w:rPr>
          <w:noProof/>
        </w:rPr>
      </w:pPr>
      <w:r>
        <w:t>1.</w:t>
      </w:r>
      <w:r>
        <w:tab/>
      </w:r>
      <w:r>
        <w:rPr>
          <w:noProof/>
        </w:rPr>
        <w:t>Systém e-CODEX se skládá z přístupového bodu systému e-CODEX a digitálních procesních norem.</w:t>
      </w:r>
    </w:p>
    <w:p>
      <w:pPr>
        <w:pStyle w:val="ManualNumPar1"/>
        <w:rPr>
          <w:noProof/>
        </w:rPr>
      </w:pPr>
      <w:r>
        <w:t>2.</w:t>
      </w:r>
      <w:r>
        <w:tab/>
      </w:r>
      <w:r>
        <w:rPr>
          <w:noProof/>
        </w:rPr>
        <w:t>Přístupové body systému e-CODEX tvoří:</w:t>
      </w:r>
    </w:p>
    <w:p>
      <w:pPr>
        <w:pStyle w:val="Point1"/>
        <w:rPr>
          <w:noProof/>
        </w:rPr>
      </w:pPr>
      <w:r>
        <w:rPr>
          <w:noProof/>
        </w:rPr>
        <w:t>a)</w:t>
      </w:r>
      <w:r>
        <w:rPr>
          <w:noProof/>
        </w:rPr>
        <w:tab/>
        <w:t>brána tvořená softwarem založeným na společném souboru protokolů, který umožňuje bezpečnou výměnu informací prostřednictvím telekomunikační sítě s jinými bránami používajícími stejný společný soubor protokolů;</w:t>
      </w:r>
    </w:p>
    <w:p>
      <w:pPr>
        <w:pStyle w:val="Point1"/>
        <w:rPr>
          <w:noProof/>
        </w:rPr>
      </w:pPr>
      <w:r>
        <w:rPr>
          <w:noProof/>
        </w:rPr>
        <w:t>b)</w:t>
      </w:r>
      <w:r>
        <w:rPr>
          <w:noProof/>
        </w:rPr>
        <w:tab/>
        <w:t>konektor umožňující propojení připojených systémů s bránou uvedenou v písmenu a) a sestávající ze softwaru založeného na společném souboru otevřených protokolů, který umožňuje:</w:t>
      </w:r>
    </w:p>
    <w:p>
      <w:pPr>
        <w:pStyle w:val="Point2"/>
        <w:rPr>
          <w:noProof/>
        </w:rPr>
      </w:pPr>
      <w:r>
        <w:rPr>
          <w:noProof/>
        </w:rPr>
        <w:t>i)</w:t>
      </w:r>
      <w:r>
        <w:rPr>
          <w:noProof/>
        </w:rPr>
        <w:tab/>
        <w:t xml:space="preserve">strukturování, zaznamenávání a spojování zpráv; </w:t>
      </w:r>
    </w:p>
    <w:p>
      <w:pPr>
        <w:pStyle w:val="Point2"/>
        <w:rPr>
          <w:noProof/>
        </w:rPr>
      </w:pPr>
      <w:r>
        <w:rPr>
          <w:noProof/>
        </w:rPr>
        <w:t>ii)</w:t>
      </w:r>
      <w:r>
        <w:rPr>
          <w:noProof/>
        </w:rPr>
        <w:tab/>
        <w:t>ověření jejich integrity a pravosti;</w:t>
      </w:r>
    </w:p>
    <w:p>
      <w:pPr>
        <w:pStyle w:val="Point2"/>
        <w:rPr>
          <w:noProof/>
        </w:rPr>
      </w:pPr>
      <w:r>
        <w:rPr>
          <w:noProof/>
        </w:rPr>
        <w:t>iii)</w:t>
      </w:r>
      <w:r>
        <w:rPr>
          <w:noProof/>
        </w:rPr>
        <w:tab/>
        <w:t xml:space="preserve">vytvoření časově určených dokladů o přijetí vyměňovaných zpráv. </w:t>
      </w:r>
    </w:p>
    <w:p>
      <w:pPr>
        <w:pStyle w:val="ManualNumPar1"/>
        <w:rPr>
          <w:noProof/>
        </w:rPr>
      </w:pPr>
      <w:r>
        <w:t>3.</w:t>
      </w:r>
      <w:r>
        <w:tab/>
      </w:r>
      <w:r>
        <w:rPr>
          <w:noProof/>
        </w:rPr>
        <w:t>Digitální procesní norma sestává z modelů obchodních procesů a šablon vymezujících elektronický formát dokumentů používaných v souvislosti s postupy stanovenými právními akty uvedenými v příloze I.</w:t>
      </w:r>
    </w:p>
    <w:p>
      <w:pPr>
        <w:pStyle w:val="Titrearticle"/>
        <w:rPr>
          <w:noProof/>
        </w:rPr>
      </w:pPr>
      <w:r>
        <w:rPr>
          <w:noProof/>
        </w:rPr>
        <w:t>Článek 5</w:t>
      </w:r>
      <w:r>
        <w:rPr>
          <w:noProof/>
        </w:rPr>
        <w:br/>
        <w:t>Povinnosti Komise</w:t>
      </w:r>
    </w:p>
    <w:p>
      <w:pPr>
        <w:pStyle w:val="ManualNumPar1"/>
        <w:rPr>
          <w:noProof/>
        </w:rPr>
      </w:pPr>
      <w:r>
        <w:t>1.</w:t>
      </w:r>
      <w:r>
        <w:tab/>
      </w:r>
      <w:r>
        <w:rPr>
          <w:noProof/>
        </w:rPr>
        <w:t>Do 31. prosince 2022 Komise prostřednictvím prováděcích aktů stanoví:</w:t>
      </w:r>
    </w:p>
    <w:p>
      <w:pPr>
        <w:pStyle w:val="Point1"/>
        <w:rPr>
          <w:noProof/>
        </w:rPr>
      </w:pPr>
      <w:r>
        <w:rPr>
          <w:noProof/>
        </w:rPr>
        <w:t>a)</w:t>
      </w:r>
      <w:r>
        <w:rPr>
          <w:noProof/>
        </w:rPr>
        <w:tab/>
        <w:t>minimální technické specifikace a normy, včetně norem týkajících se bezpečnosti, o něž se opírají složky systému e-CODEX uvedené v článku 4;</w:t>
      </w:r>
    </w:p>
    <w:p>
      <w:pPr>
        <w:pStyle w:val="Point1"/>
        <w:rPr>
          <w:noProof/>
        </w:rPr>
      </w:pPr>
      <w:r>
        <w:rPr>
          <w:noProof/>
        </w:rPr>
        <w:t>b)</w:t>
      </w:r>
      <w:r>
        <w:rPr>
          <w:noProof/>
        </w:rPr>
        <w:tab/>
        <w:t xml:space="preserve">požadavky na úroveň služeb pro činnosti, které má agentura eu-LISA provádět v souladu s článkem 6, jakož i další nezbytné technické specifikace těchto činností; </w:t>
      </w:r>
    </w:p>
    <w:p>
      <w:pPr>
        <w:pStyle w:val="Point1"/>
        <w:rPr>
          <w:noProof/>
        </w:rPr>
      </w:pPr>
      <w:r>
        <w:rPr>
          <w:noProof/>
        </w:rPr>
        <w:t>c)</w:t>
      </w:r>
      <w:r>
        <w:rPr>
          <w:noProof/>
        </w:rPr>
        <w:tab/>
        <w:t>zvláštní opatření pro proces předání/převzetí podle článku 9.</w:t>
      </w:r>
    </w:p>
    <w:p>
      <w:pPr>
        <w:pStyle w:val="ManualNumPar1"/>
        <w:rPr>
          <w:noProof/>
        </w:rPr>
      </w:pPr>
      <w:r>
        <w:t>2.</w:t>
      </w:r>
      <w:r>
        <w:tab/>
      </w:r>
      <w:r>
        <w:rPr>
          <w:noProof/>
        </w:rPr>
        <w:t>Komise může přijmout prováděcí akty, kterými stanoví podrobné technické specifikace k digitálním procesním normám definovaným v čl. 4 odst. 3.</w:t>
      </w:r>
    </w:p>
    <w:p>
      <w:pPr>
        <w:pStyle w:val="ManualNumPar1"/>
        <w:rPr>
          <w:noProof/>
        </w:rPr>
      </w:pPr>
      <w:r>
        <w:t>3.</w:t>
      </w:r>
      <w:r>
        <w:tab/>
      </w:r>
      <w:r>
        <w:rPr>
          <w:noProof/>
        </w:rPr>
        <w:t>Prováděcí akty uvedené v odstavcích 1 a 2 se přijímají přezkumným postupem podle čl. 17 odst. 2.</w:t>
      </w:r>
    </w:p>
    <w:p>
      <w:pPr>
        <w:pStyle w:val="ManualNumPar1"/>
        <w:rPr>
          <w:noProof/>
        </w:rPr>
      </w:pPr>
      <w:r>
        <w:t>4.</w:t>
      </w:r>
      <w:r>
        <w:tab/>
      </w:r>
      <w:r>
        <w:rPr>
          <w:noProof/>
        </w:rPr>
        <w:t xml:space="preserve">Komise vede seznam oprávněných přístupových bodů systému e-CODEX provozovaných orgány, institucemi a jinými subjekty Unie, jakož i přeshraničních občanských a trestních řízení, jakož i formulářů, které je každý přístupový bod oprávněn používat. Změny agentuře eu-LISA neprodleně oznámí, aniž by tím bylo ovlivněno každoroční oznamování stanovené v článku 14. </w:t>
      </w:r>
    </w:p>
    <w:p>
      <w:pPr>
        <w:pStyle w:val="ManualNumPar1"/>
        <w:rPr>
          <w:noProof/>
        </w:rPr>
      </w:pPr>
      <w:r>
        <w:t>5.</w:t>
      </w:r>
      <w:r>
        <w:tab/>
      </w:r>
      <w:r>
        <w:rPr>
          <w:noProof/>
        </w:rPr>
        <w:t xml:space="preserve">Komise určí až pět korespondentů systému e-CODEX. Pouze korespondenti systému e-CODEX jsou oprávněni žádat o technickou podporu uvedenou v čl. 6 odst. 2 písm. </w:t>
      </w:r>
      <w:r>
        <w:rPr>
          <w:noProof/>
        </w:rPr>
        <w:lastRenderedPageBreak/>
        <w:t>f) od agentury eu-LISA a obdržet ji v souvislosti se systémem e-CODEX provozovaným orgány, institucemi a jinými subjekty Unie.</w:t>
      </w:r>
    </w:p>
    <w:p>
      <w:pPr>
        <w:pStyle w:val="Titrearticle"/>
        <w:rPr>
          <w:noProof/>
        </w:rPr>
      </w:pPr>
      <w:r>
        <w:rPr>
          <w:noProof/>
        </w:rPr>
        <w:t>Článek 6</w:t>
      </w:r>
      <w:r>
        <w:rPr>
          <w:noProof/>
        </w:rPr>
        <w:br/>
        <w:t>Povinnosti agentury eu-LISA</w:t>
      </w:r>
    </w:p>
    <w:p>
      <w:pPr>
        <w:pStyle w:val="ManualNumPar1"/>
        <w:rPr>
          <w:noProof/>
        </w:rPr>
      </w:pPr>
      <w:r>
        <w:t>1.</w:t>
      </w:r>
      <w:r>
        <w:tab/>
      </w:r>
      <w:r>
        <w:rPr>
          <w:noProof/>
        </w:rPr>
        <w:t>Agentura eu-LISA odpovídá za provozní řízení složek systému e-CODEX uvedeného v čl. 4 odst. 2 písm. b) a odst. 3 a podpůrného softwaru uvedeného v příloze II.</w:t>
      </w:r>
    </w:p>
    <w:p>
      <w:pPr>
        <w:pStyle w:val="ManualNumPar1"/>
        <w:rPr>
          <w:noProof/>
        </w:rPr>
      </w:pPr>
      <w:r>
        <w:t>2.</w:t>
      </w:r>
      <w:r>
        <w:tab/>
      </w:r>
      <w:r>
        <w:rPr>
          <w:noProof/>
        </w:rPr>
        <w:t xml:space="preserve">Provozní řízení systému e-CODEX představuje zejména: </w:t>
      </w:r>
    </w:p>
    <w:p>
      <w:pPr>
        <w:pStyle w:val="Point1"/>
        <w:rPr>
          <w:noProof/>
        </w:rPr>
      </w:pPr>
      <w:r>
        <w:rPr>
          <w:noProof/>
        </w:rPr>
        <w:t>a)</w:t>
      </w:r>
      <w:r>
        <w:rPr>
          <w:noProof/>
        </w:rPr>
        <w:tab/>
        <w:t>vývoj, údržbu, stanovení chyb a distribuci softwarových produktů uvedených v odstavci 1 do oprávněných přístupových bodů systému e</w:t>
      </w:r>
      <w:r>
        <w:rPr>
          <w:noProof/>
        </w:rPr>
        <w:noBreakHyphen/>
        <w:t>CODEX;</w:t>
      </w:r>
    </w:p>
    <w:p>
      <w:pPr>
        <w:pStyle w:val="Point1"/>
        <w:rPr>
          <w:noProof/>
        </w:rPr>
      </w:pPr>
      <w:r>
        <w:rPr>
          <w:noProof/>
        </w:rPr>
        <w:t>b)</w:t>
      </w:r>
      <w:r>
        <w:rPr>
          <w:noProof/>
        </w:rPr>
        <w:tab/>
        <w:t>vývoj, údržbu, distribuci a aktualizace veškeré dokumentace týkající se součástí systému e-CODEX a jeho podpůrných softwarových produktů uvedených v odstavci 1 do oprávněných přístupových bodů systému e-CODEX;</w:t>
      </w:r>
    </w:p>
    <w:p>
      <w:pPr>
        <w:pStyle w:val="Point1"/>
        <w:rPr>
          <w:noProof/>
        </w:rPr>
      </w:pPr>
      <w:r>
        <w:rPr>
          <w:noProof/>
        </w:rPr>
        <w:t>c)</w:t>
      </w:r>
      <w:r>
        <w:rPr>
          <w:noProof/>
        </w:rPr>
        <w:tab/>
        <w:t xml:space="preserve">vývoj, údržbu, aktualizace a distribuci konfiguračního souboru obsahujícího úplný seznam oprávněných přístupových bodů systému e-CODEX do oprávněného přístupového bodu systému e-CODEX, včetně postupů a formulářů, které jsou oprávněny používat jednotlivé přístupové body; </w:t>
      </w:r>
    </w:p>
    <w:p>
      <w:pPr>
        <w:pStyle w:val="Point1"/>
        <w:rPr>
          <w:noProof/>
        </w:rPr>
      </w:pPr>
      <w:r>
        <w:rPr>
          <w:noProof/>
        </w:rPr>
        <w:t>d)</w:t>
      </w:r>
      <w:r>
        <w:rPr>
          <w:noProof/>
        </w:rPr>
        <w:tab/>
        <w:t>technické změny systému e-CODEX a doplnění nových prvků, vydaných jako nové verze systému e-CODEX, s cílem reagovat na nově se objevující požadavky stanovené prováděcími akty uvedenými v čl. 5 odst. 2 nebo poradní skupinou pro systém e-CODEX;</w:t>
      </w:r>
    </w:p>
    <w:p>
      <w:pPr>
        <w:pStyle w:val="Point1"/>
        <w:rPr>
          <w:noProof/>
        </w:rPr>
      </w:pPr>
      <w:r>
        <w:rPr>
          <w:noProof/>
        </w:rPr>
        <w:t>e)</w:t>
      </w:r>
      <w:r>
        <w:rPr>
          <w:noProof/>
        </w:rPr>
        <w:tab/>
        <w:t>podporu a koordinaci testovacích činností, včetně testování konektivity, za účasti oprávněných přístupových bodů systému e-CODEX;</w:t>
      </w:r>
    </w:p>
    <w:p>
      <w:pPr>
        <w:pStyle w:val="Point1"/>
        <w:rPr>
          <w:noProof/>
        </w:rPr>
      </w:pPr>
      <w:r>
        <w:rPr>
          <w:noProof/>
        </w:rPr>
        <w:t>f)</w:t>
      </w:r>
      <w:r>
        <w:rPr>
          <w:noProof/>
        </w:rPr>
        <w:tab/>
        <w:t>technickou podporu pro korespondenty systému e-CODEX týkající se systému e-CODEX;</w:t>
      </w:r>
    </w:p>
    <w:p>
      <w:pPr>
        <w:pStyle w:val="Point1"/>
        <w:rPr>
          <w:noProof/>
        </w:rPr>
      </w:pPr>
      <w:r>
        <w:rPr>
          <w:noProof/>
        </w:rPr>
        <w:t>g)</w:t>
      </w:r>
      <w:r>
        <w:rPr>
          <w:noProof/>
        </w:rPr>
        <w:tab/>
        <w:t>udržování a distribuci modelů obchodních procesů, šablon vymezujících elektronický formát dokumentů uvedených v čl. 4 odst. 3 a základního předem definovaného sběru datových modelů do oprávněných přístupových bodů systému e-CODEX;</w:t>
      </w:r>
    </w:p>
    <w:p>
      <w:pPr>
        <w:pStyle w:val="Point1"/>
        <w:rPr>
          <w:noProof/>
        </w:rPr>
      </w:pPr>
      <w:r>
        <w:rPr>
          <w:noProof/>
        </w:rPr>
        <w:t>h)</w:t>
      </w:r>
      <w:r>
        <w:rPr>
          <w:noProof/>
        </w:rPr>
        <w:tab/>
        <w:t>zveřejnění seznamu oprávněných přístupových bodů systému e-CODEX, které byly oznámeny agentuře eu-LISA, na internetových stránkách agentury a seznamu přeshraničních občanských a trestních řízení, které jsou jednotlivé přístupové body oprávněny používat;</w:t>
      </w:r>
    </w:p>
    <w:p>
      <w:pPr>
        <w:pStyle w:val="Point1"/>
        <w:rPr>
          <w:noProof/>
        </w:rPr>
      </w:pPr>
      <w:r>
        <w:rPr>
          <w:noProof/>
        </w:rPr>
        <w:t>i)</w:t>
      </w:r>
      <w:r>
        <w:rPr>
          <w:noProof/>
        </w:rPr>
        <w:tab/>
        <w:t xml:space="preserve">reakce na žádosti útvarů Komise o technické poradenství a podporu v souvislosti s přípravou prováděcích aktů podle čl. 5 odst. 2; </w:t>
      </w:r>
    </w:p>
    <w:p>
      <w:pPr>
        <w:pStyle w:val="Point1"/>
        <w:rPr>
          <w:noProof/>
        </w:rPr>
      </w:pPr>
      <w:r>
        <w:rPr>
          <w:noProof/>
        </w:rPr>
        <w:t>j)</w:t>
      </w:r>
      <w:r>
        <w:rPr>
          <w:noProof/>
        </w:rPr>
        <w:tab/>
        <w:t>přípravu a distribuci nových modelů obchodních procesů a šablon vymezujících elektronický formát dokumentů uvedených v čl. 4 odst. 3 do oprávněných přístupových bodů systému e-CODEX, mimo jiné organizováním a usnadňováním workshopů s korespondenty systému e-CODEX.</w:t>
      </w:r>
    </w:p>
    <w:p>
      <w:pPr>
        <w:pStyle w:val="ManualNumPar1"/>
        <w:rPr>
          <w:noProof/>
        </w:rPr>
      </w:pPr>
      <w:r>
        <w:t>3.</w:t>
      </w:r>
      <w:r>
        <w:tab/>
      </w:r>
      <w:r>
        <w:rPr>
          <w:noProof/>
        </w:rPr>
        <w:t>Agentura eu-LISA odpovídá za následující dodatečné úkoly:</w:t>
      </w:r>
    </w:p>
    <w:p>
      <w:pPr>
        <w:pStyle w:val="Point1"/>
        <w:rPr>
          <w:noProof/>
        </w:rPr>
      </w:pPr>
      <w:r>
        <w:rPr>
          <w:noProof/>
        </w:rPr>
        <w:t>a)</w:t>
      </w:r>
      <w:r>
        <w:rPr>
          <w:noProof/>
        </w:rPr>
        <w:tab/>
        <w:t xml:space="preserve">poskytování, provoz a údržbu hardwarové a softwarové IT infrastruktury technických prostor agentury eu-LISA nezbytné k plnění jejích úkolů; </w:t>
      </w:r>
    </w:p>
    <w:p>
      <w:pPr>
        <w:pStyle w:val="Point1"/>
        <w:rPr>
          <w:noProof/>
        </w:rPr>
      </w:pPr>
      <w:r>
        <w:rPr>
          <w:noProof/>
        </w:rPr>
        <w:lastRenderedPageBreak/>
        <w:t>b)</w:t>
      </w:r>
      <w:r>
        <w:rPr>
          <w:noProof/>
        </w:rPr>
        <w:tab/>
        <w:t xml:space="preserve">poskytování, provoz a údržbu platformy centrálního testování; </w:t>
      </w:r>
    </w:p>
    <w:p>
      <w:pPr>
        <w:pStyle w:val="Point1"/>
        <w:rPr>
          <w:noProof/>
        </w:rPr>
      </w:pPr>
      <w:r>
        <w:rPr>
          <w:noProof/>
        </w:rPr>
        <w:t>c)</w:t>
      </w:r>
      <w:r>
        <w:rPr>
          <w:noProof/>
        </w:rPr>
        <w:tab/>
        <w:t>informování široké veřejnosti o systému e-CODEX prostřednictvím internetu, a to ve velkém měřítku pomocí souboru komunikačních kanálů jako jsou internetové stránky nebo sociální média;</w:t>
      </w:r>
    </w:p>
    <w:p>
      <w:pPr>
        <w:pStyle w:val="Point1"/>
        <w:rPr>
          <w:noProof/>
        </w:rPr>
      </w:pPr>
      <w:r>
        <w:rPr>
          <w:noProof/>
        </w:rPr>
        <w:t>d)</w:t>
      </w:r>
      <w:r>
        <w:rPr>
          <w:noProof/>
        </w:rPr>
        <w:tab/>
        <w:t>přípravu, aktualizace a on-line distribuci netechnických informací týkajících se systému e-CODEX a činností prováděných agenturou eu-LISA.</w:t>
      </w:r>
    </w:p>
    <w:p>
      <w:pPr>
        <w:pStyle w:val="ManualNumPar1"/>
        <w:rPr>
          <w:noProof/>
        </w:rPr>
      </w:pPr>
      <w:r>
        <w:t>4.</w:t>
      </w:r>
      <w:r>
        <w:tab/>
      </w:r>
      <w:r>
        <w:rPr>
          <w:noProof/>
        </w:rPr>
        <w:t>Agentura eu-LISA poskytne během pracovní doby zdroje na základě tzv. pracovní pohotovosti, aby vytvořila jednotné kontaktní místo, kterému mohou oprávněné přístupové body systému e-CODEX oznamovat otázky týkající se zabezpečení. Na základě těchto oznámení provede agentura eu-LISA analýzu dané otázky zabezpečení a v případě potřeby informuje oprávněné přístupové body systému e-CODEX, jichž se uvedená otázka zabezpečení týká.</w:t>
      </w:r>
    </w:p>
    <w:p>
      <w:pPr>
        <w:pStyle w:val="Titrearticle"/>
        <w:rPr>
          <w:noProof/>
        </w:rPr>
      </w:pPr>
      <w:r>
        <w:rPr>
          <w:noProof/>
        </w:rPr>
        <w:t>Článek 7</w:t>
      </w:r>
      <w:r>
        <w:rPr>
          <w:noProof/>
        </w:rPr>
        <w:br/>
        <w:t xml:space="preserve">Povinnosti členských států </w:t>
      </w:r>
    </w:p>
    <w:p>
      <w:pPr>
        <w:pStyle w:val="ManualNumPar1"/>
        <w:rPr>
          <w:noProof/>
        </w:rPr>
      </w:pPr>
      <w:r>
        <w:t>1.</w:t>
      </w:r>
      <w:r>
        <w:tab/>
      </w:r>
      <w:r>
        <w:rPr>
          <w:noProof/>
        </w:rPr>
        <w:t>Členské státy vedou seznam oprávněných přístupových bodů systému e-CODEX provozovaných na jejich území, přeshraničních občanských a trestních řízení, jakož i formulářů, které je každý přístupový bod oprávněn používat. Změny agentuře eu-LISA neprodleně oznámí, aniž by tím bylo ovlivněno každoroční oznamování stanovené v článku 14.</w:t>
      </w:r>
    </w:p>
    <w:p>
      <w:pPr>
        <w:pStyle w:val="ManualNumPar1"/>
        <w:rPr>
          <w:noProof/>
        </w:rPr>
      </w:pPr>
      <w:r>
        <w:t>2.</w:t>
      </w:r>
      <w:r>
        <w:tab/>
      </w:r>
      <w:r>
        <w:rPr>
          <w:noProof/>
        </w:rPr>
        <w:t>Jednotlivé členské státy určí až pět korespondentů systému e-CODEX. Pouze uvedení korespondenti jsou oprávněni požádat o technickou podporu uvedenou v čl. 6 odst. 2 písm. f) a obdržet ji.</w:t>
      </w:r>
    </w:p>
    <w:p>
      <w:pPr>
        <w:pStyle w:val="Titrearticle"/>
        <w:rPr>
          <w:noProof/>
        </w:rPr>
      </w:pPr>
      <w:r>
        <w:rPr>
          <w:noProof/>
        </w:rPr>
        <w:t>Článek 8</w:t>
      </w:r>
      <w:r>
        <w:rPr>
          <w:noProof/>
        </w:rPr>
        <w:br/>
        <w:t>Povinnosti subjektů provozujících oprávněné přístupové body systému e-CODEX</w:t>
      </w:r>
    </w:p>
    <w:p>
      <w:pPr>
        <w:pStyle w:val="ManualNumPar1"/>
        <w:rPr>
          <w:noProof/>
        </w:rPr>
      </w:pPr>
      <w:r>
        <w:t>1.</w:t>
      </w:r>
      <w:r>
        <w:tab/>
      </w:r>
      <w:r>
        <w:rPr>
          <w:noProof/>
        </w:rPr>
        <w:t>Subjekt provozující oprávněný přístupový bod systému e-CODEX odpovídá za zabezpečení jeho nastavení a provozu. Tato povinnost zahrnuje nezbytné úpravy konektoru uvedeného v čl. 4 odst. 2 písm. b), aby byl kompatibilní s veškerými připojenými systémy, a veškeré další nezbytné technické přizpůsobení připojeným systémům.</w:t>
      </w:r>
    </w:p>
    <w:p>
      <w:pPr>
        <w:pStyle w:val="ManualNumPar1"/>
        <w:rPr>
          <w:noProof/>
        </w:rPr>
      </w:pPr>
      <w:r>
        <w:t>2.</w:t>
      </w:r>
      <w:r>
        <w:tab/>
      </w:r>
      <w:r>
        <w:rPr>
          <w:noProof/>
        </w:rPr>
        <w:t>Subjekt provozující oprávněný přístupový bod systému e-CODEX poskytne ve svém připojeném systému (systémech) mechanismus umožňující získávání příslušných údajů o využívání přeshraničních občanských a trestních řízení v souladu s příslušnými ustanoveními právních aktů uvedených v příloze I.</w:t>
      </w:r>
    </w:p>
    <w:p>
      <w:pPr>
        <w:pStyle w:val="ManualNumPar1"/>
        <w:rPr>
          <w:noProof/>
        </w:rPr>
      </w:pPr>
      <w:r>
        <w:t>3.</w:t>
      </w:r>
      <w:r>
        <w:tab/>
      </w:r>
      <w:r>
        <w:rPr>
          <w:noProof/>
        </w:rPr>
        <w:t>Odpovědnost za veškeré škody vzniklé provozem oprávněného přístupového bodu systému e-CODEX a jakýchkoli připojených systémů nese subjekt provozující oprávněný přístupový bod systému e-CODEX.</w:t>
      </w:r>
    </w:p>
    <w:p>
      <w:pPr>
        <w:pStyle w:val="Titrearticle"/>
        <w:rPr>
          <w:noProof/>
        </w:rPr>
      </w:pPr>
      <w:r>
        <w:rPr>
          <w:noProof/>
        </w:rPr>
        <w:t>Článek 9</w:t>
      </w:r>
      <w:r>
        <w:rPr>
          <w:noProof/>
        </w:rPr>
        <w:br/>
        <w:t>Předání a převzetí</w:t>
      </w:r>
    </w:p>
    <w:p>
      <w:pPr>
        <w:pStyle w:val="ManualNumPar1"/>
        <w:rPr>
          <w:noProof/>
        </w:rPr>
      </w:pPr>
      <w:r>
        <w:t>1.</w:t>
      </w:r>
      <w:r>
        <w:tab/>
      </w:r>
      <w:r>
        <w:rPr>
          <w:noProof/>
        </w:rPr>
        <w:t>Subjekt spravující systém e-CODEX nejpozději do 31. prosince 2022</w:t>
      </w:r>
      <w:r>
        <w:rPr>
          <w:noProof/>
        </w:rPr>
        <w:tab/>
        <w:t xml:space="preserve">předloží agentuře eu-LISA společný předávací dokument, v němž upřesní podrobná ujednání pro převod systému e-CODEX, včetně kritérií pro úspěšný proces předání a dokončení a související dokumentace, jak stanoví prováděcí akty podle čl. 5 odst. 1 písm. c), včetně ustanovení o právech duševního vlastnictví nebo uživatelských </w:t>
      </w:r>
      <w:r>
        <w:rPr>
          <w:noProof/>
        </w:rPr>
        <w:lastRenderedPageBreak/>
        <w:t xml:space="preserve">právech týkajících se systému e-CODEX a podpůrného softwaru uvedeného v příloze II, který agentuře eu-LISA umožní plnit její povinnosti v souladu s článkem 6. </w:t>
      </w:r>
    </w:p>
    <w:p>
      <w:pPr>
        <w:pStyle w:val="ManualNumPar1"/>
        <w:rPr>
          <w:noProof/>
        </w:rPr>
      </w:pPr>
      <w:r>
        <w:t>2.</w:t>
      </w:r>
      <w:r>
        <w:tab/>
      </w:r>
      <w:r>
        <w:rPr>
          <w:noProof/>
        </w:rPr>
        <w:t xml:space="preserve">Během nejvýše šesti měsíců od předložení předávacího dokumentu uvedeného v odstavci 1 proběhne proces předání/převzetí mezi subjektem spravujícím systém e-CODEX a agenturou eu-LISA. Během tohoto období si subjekt spravující systém e-CODEX ponechá plnou odpovědnost za systém e-CODEX a zajistí, aby v systému byly prováděny pouze nápravné činnosti údržby, bez jakýchkoli jiných typů změn systému. Zejména neposkytne žádnou novou verzi systému e-CODEX. </w:t>
      </w:r>
    </w:p>
    <w:p>
      <w:pPr>
        <w:pStyle w:val="ManualNumPar1"/>
        <w:rPr>
          <w:noProof/>
        </w:rPr>
      </w:pPr>
      <w:r>
        <w:t>3.</w:t>
      </w:r>
      <w:r>
        <w:tab/>
      </w:r>
      <w:r>
        <w:rPr>
          <w:noProof/>
        </w:rPr>
        <w:t>Komise monitoruje proces předání/převzetí, aby zajistila, že podrobná ujednání procesu budou subjektem spravující systém e-CODEX a agenturou eu-LISA řádně provedena na základě kritérií uvedených v odstavci 1.</w:t>
      </w:r>
    </w:p>
    <w:p>
      <w:pPr>
        <w:pStyle w:val="ManualNumPar1"/>
        <w:rPr>
          <w:noProof/>
        </w:rPr>
      </w:pPr>
      <w:r>
        <w:t>4.</w:t>
      </w:r>
      <w:r>
        <w:tab/>
      </w:r>
      <w:r>
        <w:rPr>
          <w:noProof/>
        </w:rPr>
        <w:t>Agentura eu-LISA převezme odpovědnost za systém e-CODEX ke dni, ke kterému Komise oznámí úspěšné dokončení procesu předání/převzetí podle odstavce 2, a to nejdříve dne 1. července 2023.</w:t>
      </w:r>
    </w:p>
    <w:p>
      <w:pPr>
        <w:pStyle w:val="Titrearticle"/>
        <w:rPr>
          <w:noProof/>
        </w:rPr>
      </w:pPr>
      <w:r>
        <w:rPr>
          <w:noProof/>
        </w:rPr>
        <w:t>Článek 10</w:t>
      </w:r>
      <w:r>
        <w:rPr>
          <w:noProof/>
        </w:rPr>
        <w:br/>
        <w:t xml:space="preserve">Zabezpečení </w:t>
      </w:r>
    </w:p>
    <w:p>
      <w:pPr>
        <w:pStyle w:val="ManualNumPar1"/>
        <w:rPr>
          <w:noProof/>
        </w:rPr>
      </w:pPr>
      <w:r>
        <w:t>1.</w:t>
      </w:r>
      <w:r>
        <w:tab/>
      </w:r>
      <w:r>
        <w:rPr>
          <w:noProof/>
        </w:rPr>
        <w:t>Po úspěšném převzetí systému e-CODEX je agentura eu-LISA při plnění svých úkolů odpovědná za udržování vysoké úrovně zabezpečení, včetně zabezpečení hardwarové a softwarové IT infrastruktury uvedené v čl. 6 odst. 3. Agentura eu-LISA zejména zajistí, aby byl vytvořen a udržován bezpečnostní plán systému e-CODEX a aby byl systém e-CODEX provozován v souladu s tímto bezpečnostním plánem, přičemž zohlední stupeň utajení informací zpracovávaných v systému e-CODEX a pravidla agentury eu-LISA pro bezpečnost informací. Uvedený plán stanoví pravidelné bezpečnostní inspekce a audity včetně posouzení zabezpečení softwaru systému e-CODEX za účasti subjektů provozujících přístupový bod systému e-CODEX.</w:t>
      </w:r>
    </w:p>
    <w:p>
      <w:pPr>
        <w:pStyle w:val="ManualNumPar1"/>
        <w:rPr>
          <w:noProof/>
        </w:rPr>
      </w:pPr>
      <w:r>
        <w:t>2.</w:t>
      </w:r>
      <w:r>
        <w:tab/>
      </w:r>
      <w:r>
        <w:rPr>
          <w:noProof/>
        </w:rPr>
        <w:t xml:space="preserve">Při plnění svých povinností zavádí agentura eu-LISA zásady záměrného zabezpečení a záměrné ochrany osobních údajů. Utajované informace se prostřednictvím systému e-CODEX nepřenášejí, ledaže k tomu agentura eu-LISA systém zmocní a příslušné vnitrostátní bezpečnostní orgány členských států zmocní přístupové body. </w:t>
      </w:r>
    </w:p>
    <w:p>
      <w:pPr>
        <w:pStyle w:val="ManualNumPar1"/>
        <w:rPr>
          <w:noProof/>
        </w:rPr>
      </w:pPr>
      <w:r>
        <w:t>3.</w:t>
      </w:r>
      <w:r>
        <w:tab/>
      </w:r>
      <w:r>
        <w:rPr>
          <w:noProof/>
        </w:rPr>
        <w:t xml:space="preserve">Subjekt provozující oprávněný přístupový bod e-CODEX nese výlučnou odpovědnost za zabezpečení daného přístupového bodu, včetně zabezpečení údajů přenášených jeho prostřednictvím. </w:t>
      </w:r>
    </w:p>
    <w:p>
      <w:pPr>
        <w:pStyle w:val="Text1"/>
        <w:rPr>
          <w:noProof/>
        </w:rPr>
      </w:pPr>
      <w:r>
        <w:rPr>
          <w:noProof/>
        </w:rPr>
        <w:t>Veškeré bezpečnostní otázky neprodleně oznámí agentuře eu-LISA a členskému státu spravujícímu seznam oprávněných přístupových bodů systému e-CODEX, ve kterém je tento přístupový bod uveden, nebo Komisi v případě, že je přístupový bod provozován orgánem, institucí nebo agenturou Unie.</w:t>
      </w:r>
    </w:p>
    <w:p>
      <w:pPr>
        <w:pStyle w:val="Text1"/>
        <w:rPr>
          <w:noProof/>
        </w:rPr>
      </w:pPr>
      <w:r>
        <w:rPr>
          <w:noProof/>
        </w:rPr>
        <w:t>Agentura eu-LISA vypracuje bezpečnostní pravidla a pokyny týkající se přístupových bodů systému e-CODEX. Subjekt provozující oprávněný přístupový bod systému e-CODEX poskytne agentuře eu-LISA prohlášení prokazující jeho soulad s pravidly pro bezpečnost přístupových bodů systému e-CODEX. Tato prohlášení se aktualizují každoročně, nebo kdykoli je změna nutná.</w:t>
      </w:r>
    </w:p>
    <w:p>
      <w:pPr>
        <w:pStyle w:val="Titrearticle"/>
        <w:rPr>
          <w:noProof/>
        </w:rPr>
      </w:pPr>
      <w:r>
        <w:rPr>
          <w:noProof/>
        </w:rPr>
        <w:lastRenderedPageBreak/>
        <w:t>Článek 11</w:t>
      </w:r>
      <w:r>
        <w:rPr>
          <w:noProof/>
        </w:rPr>
        <w:br/>
        <w:t>Poradní skupina pro systém e-CODEX</w:t>
      </w:r>
    </w:p>
    <w:p>
      <w:pPr>
        <w:pStyle w:val="ManualNumPar1"/>
        <w:rPr>
          <w:noProof/>
        </w:rPr>
      </w:pPr>
      <w:r>
        <w:t>1.</w:t>
      </w:r>
      <w:r>
        <w:tab/>
      </w:r>
      <w:r>
        <w:rPr>
          <w:noProof/>
        </w:rPr>
        <w:t>Od 1. ledna 2023 poskytuje poradní skupina pro e-CODEX zřízená podle čl. 27 písm. dc) nařízení (EU) 2018/1726 agentuře eu-LISA nezbytné odborné znalosti související se systémem e-CODEX, zejména v souvislosti s přípravou jejího ročního pracovního programu a výroční zprávy o činnosti. Rovněž sleduje stav zavádění v členských státech. Poradní skupina je informována o veškerých bezpečnostních otázkách.</w:t>
      </w:r>
    </w:p>
    <w:p>
      <w:pPr>
        <w:pStyle w:val="ManualNumPar1"/>
        <w:rPr>
          <w:noProof/>
        </w:rPr>
      </w:pPr>
      <w:r>
        <w:t>2.</w:t>
      </w:r>
      <w:r>
        <w:tab/>
      </w:r>
      <w:r>
        <w:rPr>
          <w:noProof/>
        </w:rPr>
        <w:t xml:space="preserve">Během procesu předání/převzetí se poradní skupina pro systém e-CODEX pravidelně schází nejméně jednou za dva měsíce, dokud není proces převzetí úspěšně dokončen. </w:t>
      </w:r>
    </w:p>
    <w:p>
      <w:pPr>
        <w:pStyle w:val="ManualNumPar1"/>
        <w:rPr>
          <w:noProof/>
        </w:rPr>
      </w:pPr>
      <w:r>
        <w:t>3.</w:t>
      </w:r>
      <w:r>
        <w:tab/>
      </w:r>
      <w:r>
        <w:rPr>
          <w:noProof/>
        </w:rPr>
        <w:t>Poradní skupina pro systém e-CODEX podává po každém zasedání zprávu radě pro řízení programu. Zajišťuje odborné znalosti pro podporu úkolů rady pro řízení programu a podniká kroky v návaznosti na stav zavádění v členských státech.</w:t>
      </w:r>
    </w:p>
    <w:p>
      <w:pPr>
        <w:pStyle w:val="ManualNumPar1"/>
        <w:rPr>
          <w:noProof/>
        </w:rPr>
      </w:pPr>
      <w:r>
        <w:t>4.</w:t>
      </w:r>
      <w:r>
        <w:tab/>
      </w:r>
      <w:r>
        <w:rPr>
          <w:noProof/>
        </w:rPr>
        <w:t>Poradní skupina pro systém e-CODEX do své činnosti zapojí profesní organizace a další zúčastněné strany, které se podílely na spravování systému e-CODEX v době jeho předávání.</w:t>
      </w:r>
    </w:p>
    <w:p>
      <w:pPr>
        <w:pStyle w:val="Titrearticle"/>
        <w:rPr>
          <w:noProof/>
        </w:rPr>
      </w:pPr>
      <w:r>
        <w:rPr>
          <w:noProof/>
        </w:rPr>
        <w:t>Článek 12</w:t>
      </w:r>
      <w:r>
        <w:rPr>
          <w:noProof/>
        </w:rPr>
        <w:br/>
        <w:t>Rada pro řízení programu</w:t>
      </w:r>
    </w:p>
    <w:p>
      <w:pPr>
        <w:pStyle w:val="ManualNumPar1"/>
        <w:rPr>
          <w:noProof/>
        </w:rPr>
      </w:pPr>
      <w:r>
        <w:t>1.</w:t>
      </w:r>
      <w:r>
        <w:tab/>
      </w:r>
      <w:r>
        <w:rPr>
          <w:noProof/>
        </w:rPr>
        <w:t>Správní rada agentury eu-LISA zřídí do 1. ledna 2023 radu pro řízení programu systému e-CODEX složenou z deseti členů.</w:t>
      </w:r>
    </w:p>
    <w:p>
      <w:pPr>
        <w:pStyle w:val="ManualNumPar1"/>
        <w:rPr>
          <w:noProof/>
        </w:rPr>
      </w:pPr>
      <w:r>
        <w:t>2.</w:t>
      </w:r>
      <w:r>
        <w:tab/>
      </w:r>
      <w:r>
        <w:rPr>
          <w:noProof/>
        </w:rPr>
        <w:t>Tato rada pro řízení programu se skládá z osmi členů jmenovaných správní radou, předsedy poradní skupiny uvedené v článku 11 a jednoho člena jmenovaného Komisí. Správní rada zajistí, aby členové, které jmenuje do rady pro řízení programu, měli nezbytné zkušenosti a odborné znalosti týkající se systému e-CODEX.</w:t>
      </w:r>
    </w:p>
    <w:p>
      <w:pPr>
        <w:pStyle w:val="ManualNumPar1"/>
        <w:rPr>
          <w:noProof/>
        </w:rPr>
      </w:pPr>
      <w:r>
        <w:t>3.</w:t>
      </w:r>
      <w:r>
        <w:tab/>
      </w:r>
      <w:r>
        <w:rPr>
          <w:noProof/>
        </w:rPr>
        <w:t>Agentura eu-LISA se podílí na činnosti rady pro řízení programu. Za tím účelem se její zástupci účastní zasedání rady pro řízení programu s cílem podávat zprávy o práci související se systémem e-CODEX a o jakékoliv další související práci a činnostech.</w:t>
      </w:r>
    </w:p>
    <w:p>
      <w:pPr>
        <w:pStyle w:val="ManualNumPar1"/>
        <w:rPr>
          <w:noProof/>
        </w:rPr>
      </w:pPr>
      <w:r>
        <w:t>4.</w:t>
      </w:r>
      <w:r>
        <w:tab/>
      </w:r>
      <w:r>
        <w:rPr>
          <w:noProof/>
        </w:rPr>
        <w:t>Rada pro řízení programu se schází nejméně jednou za tři měsíce a v případě potřeby častěji. Zajistí odpovídající správu systému e</w:t>
      </w:r>
      <w:r>
        <w:rPr>
          <w:noProof/>
        </w:rPr>
        <w:noBreakHyphen/>
        <w:t>CODEX, zejména během procesu předání/převzetí a s ohledem na provádění aktů přijatých podle čl. 5 odst. 2. Rada pro řízení programu předkládá pravidelně, a pokud možno každý druhý měsíc, správní radě eu-LISA písemné zprávy o pokroku projektu. Rada pro řízení programu nemá rozhodovací pravomoc ani není zmocněna zastupovat členy správní rady.</w:t>
      </w:r>
    </w:p>
    <w:p>
      <w:pPr>
        <w:pStyle w:val="ManualNumPar1"/>
        <w:rPr>
          <w:noProof/>
        </w:rPr>
      </w:pPr>
      <w:r>
        <w:t>5.</w:t>
      </w:r>
      <w:r>
        <w:tab/>
      </w:r>
      <w:r>
        <w:rPr>
          <w:noProof/>
        </w:rPr>
        <w:t>Rada pro řízení programu stanoví svůj jednací řád, který zahrnuje zejména pravidla pro:</w:t>
      </w:r>
    </w:p>
    <w:p>
      <w:pPr>
        <w:pStyle w:val="Point1"/>
        <w:rPr>
          <w:noProof/>
        </w:rPr>
      </w:pPr>
      <w:r>
        <w:rPr>
          <w:noProof/>
        </w:rPr>
        <w:t>a)</w:t>
      </w:r>
      <w:r>
        <w:rPr>
          <w:noProof/>
        </w:rPr>
        <w:tab/>
        <w:t>volbu předsedy;</w:t>
      </w:r>
    </w:p>
    <w:p>
      <w:pPr>
        <w:pStyle w:val="Point1"/>
        <w:rPr>
          <w:noProof/>
        </w:rPr>
      </w:pPr>
      <w:r>
        <w:rPr>
          <w:noProof/>
        </w:rPr>
        <w:t>b)</w:t>
      </w:r>
      <w:r>
        <w:rPr>
          <w:noProof/>
        </w:rPr>
        <w:tab/>
        <w:t>místa zasedání;</w:t>
      </w:r>
    </w:p>
    <w:p>
      <w:pPr>
        <w:pStyle w:val="Point1"/>
        <w:rPr>
          <w:noProof/>
        </w:rPr>
      </w:pPr>
      <w:r>
        <w:rPr>
          <w:noProof/>
        </w:rPr>
        <w:t>c)</w:t>
      </w:r>
      <w:r>
        <w:rPr>
          <w:noProof/>
        </w:rPr>
        <w:tab/>
        <w:t>přípravu jednání;</w:t>
      </w:r>
    </w:p>
    <w:p>
      <w:pPr>
        <w:pStyle w:val="Point1"/>
        <w:rPr>
          <w:noProof/>
        </w:rPr>
      </w:pPr>
      <w:r>
        <w:rPr>
          <w:noProof/>
        </w:rPr>
        <w:t>d)</w:t>
      </w:r>
      <w:r>
        <w:rPr>
          <w:noProof/>
        </w:rPr>
        <w:tab/>
        <w:t>přizvání odborníků na zasedání, včetně představitelů profesních organizací a dalších zúčastněných stran, účastnících se spravování systému e-CODEX v okamžiku jeho předání;</w:t>
      </w:r>
    </w:p>
    <w:p>
      <w:pPr>
        <w:pStyle w:val="Point1"/>
        <w:rPr>
          <w:noProof/>
        </w:rPr>
      </w:pPr>
      <w:r>
        <w:rPr>
          <w:noProof/>
        </w:rPr>
        <w:lastRenderedPageBreak/>
        <w:t>e)</w:t>
      </w:r>
      <w:r>
        <w:rPr>
          <w:noProof/>
        </w:rPr>
        <w:tab/>
        <w:t>komunikační plány zajišťující plné informování nezúčastněných členů správní rady.</w:t>
      </w:r>
    </w:p>
    <w:p>
      <w:pPr>
        <w:pStyle w:val="ManualNumPar1"/>
        <w:rPr>
          <w:noProof/>
        </w:rPr>
      </w:pPr>
      <w:r>
        <w:t>6.</w:t>
      </w:r>
      <w:r>
        <w:tab/>
      </w:r>
      <w:r>
        <w:rPr>
          <w:noProof/>
        </w:rPr>
        <w:t>Radě pro řízení programu předsedá členský stát, který je plně vázán právními akty uvedenými v příloze I a v rámci jejich působnosti používá systém e-CODEX a je plně vázán právními akty upravujícími vývoj, zřízení, provoz a používání všech rozsáhlých informačních systémů spravovaných agenturou eu-LISA.</w:t>
      </w:r>
    </w:p>
    <w:p>
      <w:pPr>
        <w:pStyle w:val="ManualNumPar1"/>
        <w:rPr>
          <w:noProof/>
        </w:rPr>
      </w:pPr>
      <w:r>
        <w:t>7.</w:t>
      </w:r>
      <w:r>
        <w:tab/>
      </w:r>
      <w:r>
        <w:rPr>
          <w:noProof/>
        </w:rPr>
        <w:t xml:space="preserve">Všechny cestovní výdaje a výdaje na pobyt, které vzniknou členům rady pro řízení programu, hradí agentura eu-LISA. Článek 10 jednacího řádu agentury eu-LISA se použije obdobně. </w:t>
      </w:r>
    </w:p>
    <w:p>
      <w:pPr>
        <w:pStyle w:val="ManualNumPar1"/>
        <w:rPr>
          <w:noProof/>
        </w:rPr>
      </w:pPr>
      <w:r>
        <w:t>8.</w:t>
      </w:r>
      <w:r>
        <w:tab/>
      </w:r>
      <w:r>
        <w:rPr>
          <w:noProof/>
        </w:rPr>
        <w:t>Sekretariát rady pro řízení programu zajišťuje agentura eu-LISA.</w:t>
      </w:r>
    </w:p>
    <w:p>
      <w:pPr>
        <w:pStyle w:val="Titrearticle"/>
        <w:rPr>
          <w:noProof/>
        </w:rPr>
      </w:pPr>
      <w:r>
        <w:rPr>
          <w:noProof/>
        </w:rPr>
        <w:t>Článek 13</w:t>
      </w:r>
      <w:r>
        <w:rPr>
          <w:noProof/>
        </w:rPr>
        <w:br/>
        <w:t>Odborná příprava</w:t>
      </w:r>
    </w:p>
    <w:p>
      <w:pPr>
        <w:rPr>
          <w:noProof/>
        </w:rPr>
      </w:pPr>
      <w:r>
        <w:rPr>
          <w:noProof/>
        </w:rPr>
        <w:t>Agentura eu-LISA plní úkoly související se zajištěním odborné přípravy zaměřené na technické aspekty používání systému e</w:t>
      </w:r>
      <w:r>
        <w:rPr>
          <w:noProof/>
        </w:rPr>
        <w:noBreakHyphen/>
        <w:t xml:space="preserve">CODEX podle nařízení (EU) 2018/1726, včetně poskytování školicích materiálů on-line. </w:t>
      </w:r>
    </w:p>
    <w:p>
      <w:pPr>
        <w:pStyle w:val="Titrearticle"/>
        <w:rPr>
          <w:noProof/>
        </w:rPr>
      </w:pPr>
      <w:r>
        <w:rPr>
          <w:noProof/>
        </w:rPr>
        <w:t>Článek 14</w:t>
      </w:r>
      <w:r>
        <w:rPr>
          <w:noProof/>
        </w:rPr>
        <w:br/>
        <w:t>Oznamování</w:t>
      </w:r>
    </w:p>
    <w:p>
      <w:pPr>
        <w:pStyle w:val="ManualNumPar1"/>
        <w:rPr>
          <w:noProof/>
        </w:rPr>
      </w:pPr>
      <w:r>
        <w:t>1.</w:t>
      </w:r>
      <w:r>
        <w:tab/>
      </w:r>
      <w:r>
        <w:rPr>
          <w:noProof/>
        </w:rPr>
        <w:t>Poté, co agentura eu-LISA úspěšně převezme systém e-CODEX, do 31. ledna každého roku oznámí členské státy agentuře tyto informace:</w:t>
      </w:r>
    </w:p>
    <w:p>
      <w:pPr>
        <w:pStyle w:val="Point1"/>
        <w:rPr>
          <w:noProof/>
        </w:rPr>
      </w:pPr>
      <w:r>
        <w:rPr>
          <w:noProof/>
        </w:rPr>
        <w:t>a)</w:t>
      </w:r>
      <w:r>
        <w:rPr>
          <w:noProof/>
        </w:rPr>
        <w:tab/>
        <w:t>seznam oprávněných přístupových bodů systému e-CODEX, které jsou provozovány na jejich území, a přeshraniční občanská a trestní řízení a formuláře, které je každý přístupový bod systému e-CODEX oprávněn používat, jak je uvedeno v čl. 7 odst. 1;</w:t>
      </w:r>
    </w:p>
    <w:p>
      <w:pPr>
        <w:pStyle w:val="Point1"/>
        <w:rPr>
          <w:noProof/>
        </w:rPr>
      </w:pPr>
      <w:r>
        <w:rPr>
          <w:noProof/>
        </w:rPr>
        <w:t>b)</w:t>
      </w:r>
      <w:r>
        <w:rPr>
          <w:noProof/>
        </w:rPr>
        <w:tab/>
        <w:t>seznam přeshraničních občanských a trestních řízení, v nichž používají systém e-CODEX, a rozsah, v jakém lze systém e-CODEX pro každé z těchto řízení používat;</w:t>
      </w:r>
    </w:p>
    <w:p>
      <w:pPr>
        <w:pStyle w:val="Point1"/>
        <w:rPr>
          <w:noProof/>
        </w:rPr>
      </w:pPr>
      <w:r>
        <w:rPr>
          <w:noProof/>
        </w:rPr>
        <w:t>c)</w:t>
      </w:r>
      <w:r>
        <w:rPr>
          <w:noProof/>
        </w:rPr>
        <w:tab/>
        <w:t>Počet zpráv zaslaných a obdržených každým oprávněným přístupovým bodem e</w:t>
      </w:r>
      <w:r>
        <w:rPr>
          <w:noProof/>
        </w:rPr>
        <w:noBreakHyphen/>
        <w:t>CODEX provozovaným na jejich území, seskupených podle příslušného oprávněného přístupového bodu systému e-CODEX a přeshraničního občanského a trestního řízení;</w:t>
      </w:r>
    </w:p>
    <w:p>
      <w:pPr>
        <w:pStyle w:val="Point1"/>
        <w:rPr>
          <w:noProof/>
        </w:rPr>
      </w:pPr>
      <w:r>
        <w:rPr>
          <w:noProof/>
        </w:rPr>
        <w:t>d)</w:t>
      </w:r>
      <w:r>
        <w:rPr>
          <w:noProof/>
        </w:rPr>
        <w:tab/>
        <w:t>počet a druh incidentů, s nimiž se setkávají subjekty provozující oprávněné přístupové body systému e-CODEX na území členského státu a které mají dopad na bezpečnost systému e-CODEX.</w:t>
      </w:r>
    </w:p>
    <w:p>
      <w:pPr>
        <w:pStyle w:val="ManualNumPar1"/>
        <w:rPr>
          <w:noProof/>
        </w:rPr>
      </w:pPr>
      <w:r>
        <w:t>2.</w:t>
      </w:r>
      <w:r>
        <w:tab/>
      </w:r>
      <w:r>
        <w:rPr>
          <w:noProof/>
        </w:rPr>
        <w:t>Poté, co agentura eu-LISA úspěšně převezme systém e-CODEX, do 31. ledna každého roku oznámí Komise agentuře tyto informace:</w:t>
      </w:r>
    </w:p>
    <w:p>
      <w:pPr>
        <w:pStyle w:val="Point1"/>
        <w:rPr>
          <w:noProof/>
        </w:rPr>
      </w:pPr>
      <w:r>
        <w:rPr>
          <w:noProof/>
        </w:rPr>
        <w:t>a)</w:t>
      </w:r>
      <w:r>
        <w:rPr>
          <w:noProof/>
        </w:rPr>
        <w:tab/>
        <w:t>seznam oprávněných přístupových bodů systému e-CODEX provozovaných orgány, institucemi a jinými subjekty Unie a přeshraniční občanská a trestní řízení a formuláře, které je každý přístupový bod systému e-CODEX oprávněn používat, uvedený v čl. 5 odst. 4;</w:t>
      </w:r>
    </w:p>
    <w:p>
      <w:pPr>
        <w:pStyle w:val="Point1"/>
        <w:rPr>
          <w:noProof/>
        </w:rPr>
      </w:pPr>
      <w:r>
        <w:rPr>
          <w:noProof/>
        </w:rPr>
        <w:t>b)</w:t>
      </w:r>
      <w:r>
        <w:rPr>
          <w:noProof/>
        </w:rPr>
        <w:tab/>
        <w:t>seznam přeshraničních občanských a trestních řízení, v nichž používají systém e-CODEX, a rozsah, v jakém lze systém e-CODEX pro každé z těchto řízení používat;</w:t>
      </w:r>
    </w:p>
    <w:p>
      <w:pPr>
        <w:pStyle w:val="Point1"/>
        <w:rPr>
          <w:noProof/>
        </w:rPr>
      </w:pPr>
      <w:r>
        <w:rPr>
          <w:noProof/>
        </w:rPr>
        <w:lastRenderedPageBreak/>
        <w:t>c)</w:t>
      </w:r>
      <w:r>
        <w:rPr>
          <w:noProof/>
        </w:rPr>
        <w:tab/>
        <w:t>Počet zpráv zaslaných a obdržených každým oprávněným přístupovým bodem e</w:t>
      </w:r>
      <w:r>
        <w:rPr>
          <w:noProof/>
        </w:rPr>
        <w:noBreakHyphen/>
        <w:t>CODEX provozovaným orgány, institucemi a jinými subjekty Unie seskupeným podle příslušného oprávněného přístupového bodu e-CODEX a přeshraničního občanského a trestního řízení;</w:t>
      </w:r>
    </w:p>
    <w:p>
      <w:pPr>
        <w:pStyle w:val="Point1"/>
        <w:rPr>
          <w:noProof/>
        </w:rPr>
      </w:pPr>
      <w:r>
        <w:rPr>
          <w:noProof/>
        </w:rPr>
        <w:t>d)</w:t>
      </w:r>
      <w:r>
        <w:rPr>
          <w:noProof/>
        </w:rPr>
        <w:tab/>
        <w:t>počet a druh incidentů, s nimiž se potýkají subjekty provozující oprávněné přístupové body systému e-CODEX, které provozují orgány, instituce a jiné subjekty Unie a které mají dopad na bezpečnost systému e-CODEX.</w:t>
      </w:r>
    </w:p>
    <w:p>
      <w:pPr>
        <w:pStyle w:val="Titrearticle"/>
        <w:rPr>
          <w:noProof/>
        </w:rPr>
      </w:pPr>
      <w:r>
        <w:rPr>
          <w:noProof/>
        </w:rPr>
        <w:t>Článek 15</w:t>
      </w:r>
      <w:r>
        <w:rPr>
          <w:noProof/>
        </w:rPr>
        <w:br/>
        <w:t>Monitorování a podávání zpráv</w:t>
      </w:r>
    </w:p>
    <w:p>
      <w:pPr>
        <w:pStyle w:val="ManualNumPar1"/>
        <w:rPr>
          <w:noProof/>
        </w:rPr>
      </w:pPr>
      <w:r>
        <w:t>1.</w:t>
      </w:r>
      <w:r>
        <w:tab/>
      </w:r>
      <w:r>
        <w:rPr>
          <w:noProof/>
        </w:rPr>
        <w:t>Dva roky poté, co agentura eu-LISA převezme odpovědnost za systém e-CODEX, a poté každé dva následující roky předloží Komisi zprávu o technickém fungování a používání systému e-CODEX, včetně jeho bezpečnosti.</w:t>
      </w:r>
    </w:p>
    <w:p>
      <w:pPr>
        <w:pStyle w:val="ManualNumPar1"/>
        <w:rPr>
          <w:noProof/>
        </w:rPr>
      </w:pPr>
      <w:r>
        <w:t>2.</w:t>
      </w:r>
      <w:r>
        <w:tab/>
      </w:r>
      <w:r>
        <w:rPr>
          <w:noProof/>
        </w:rPr>
        <w:t>Agentura eu-LISA konsoliduje údaje obdržené od Komise a členských států podle článku 14 a poskytne v rámci zprávy uvedené v odstavci 1 tyto ukazatele:</w:t>
      </w:r>
    </w:p>
    <w:p>
      <w:pPr>
        <w:pStyle w:val="Point1"/>
        <w:rPr>
          <w:noProof/>
        </w:rPr>
      </w:pPr>
      <w:r>
        <w:rPr>
          <w:noProof/>
        </w:rPr>
        <w:t>a)</w:t>
      </w:r>
      <w:r>
        <w:rPr>
          <w:noProof/>
        </w:rPr>
        <w:tab/>
        <w:t>seznam a počet přeshraničních občanských a trestních řízení, u nichž byl během vykazovaného období použit systém e-CODEX;</w:t>
      </w:r>
    </w:p>
    <w:p>
      <w:pPr>
        <w:pStyle w:val="Point1"/>
        <w:rPr>
          <w:noProof/>
        </w:rPr>
      </w:pPr>
      <w:r>
        <w:rPr>
          <w:noProof/>
        </w:rPr>
        <w:t>b)</w:t>
      </w:r>
      <w:r>
        <w:rPr>
          <w:noProof/>
        </w:rPr>
        <w:tab/>
        <w:t>počet oprávněných přístupových bodů systému e-CODEX za každý členský stát a za každé občanské a trestní řízení;</w:t>
      </w:r>
    </w:p>
    <w:p>
      <w:pPr>
        <w:pStyle w:val="Point1"/>
        <w:rPr>
          <w:noProof/>
        </w:rPr>
      </w:pPr>
      <w:r>
        <w:rPr>
          <w:noProof/>
        </w:rPr>
        <w:t>c)</w:t>
      </w:r>
      <w:r>
        <w:rPr>
          <w:noProof/>
        </w:rPr>
        <w:tab/>
        <w:t>fáze přeshraničních občanských a trestních řízení, v nichž lze systém e-CODEX použít, a to za každý členský stát;</w:t>
      </w:r>
    </w:p>
    <w:p>
      <w:pPr>
        <w:pStyle w:val="Point1"/>
        <w:rPr>
          <w:noProof/>
        </w:rPr>
      </w:pPr>
      <w:r>
        <w:rPr>
          <w:noProof/>
        </w:rPr>
        <w:t>d)</w:t>
      </w:r>
      <w:r>
        <w:rPr>
          <w:noProof/>
        </w:rPr>
        <w:tab/>
        <w:t>počet zpráv zaslaných prostřednictvím systému, a to za každé občanské a trestní řízení mezi jednotlivými oprávněnými přístupovými body systému e-CODEX;</w:t>
      </w:r>
    </w:p>
    <w:p>
      <w:pPr>
        <w:pStyle w:val="Point1"/>
        <w:rPr>
          <w:noProof/>
        </w:rPr>
      </w:pPr>
      <w:r>
        <w:rPr>
          <w:noProof/>
        </w:rPr>
        <w:t>e)</w:t>
      </w:r>
      <w:r>
        <w:rPr>
          <w:noProof/>
        </w:rPr>
        <w:tab/>
        <w:t>počet a druh incidentů, které mají dopad na zabezpečení systému e-CODEX, a informace o souladu s bezpečnostním plánem systému e-CODEX.</w:t>
      </w:r>
    </w:p>
    <w:p>
      <w:pPr>
        <w:pStyle w:val="ManualNumPar1"/>
        <w:rPr>
          <w:noProof/>
        </w:rPr>
      </w:pPr>
      <w:r>
        <w:t>3.</w:t>
      </w:r>
      <w:r>
        <w:tab/>
      </w:r>
      <w:r>
        <w:rPr>
          <w:noProof/>
        </w:rPr>
        <w:t>Tři roky poté, co agentura eu-LISA převezme odpovědnost za systém e</w:t>
      </w:r>
      <w:r>
        <w:rPr>
          <w:noProof/>
        </w:rPr>
        <w:noBreakHyphen/>
        <w:t>CODEX, a poté každé následující čtyři roky vypracuje Komise celkové hodnocení systému e-CODEX. Toto celkové hodnocení zahrnuje posouzení uplatňování tohoto nařízení a posouzení dosažených výsledků v porovnání s cíli a může navrhnout možná budoucí opatření. Při prvním hodnocení Komise rovněž přezkoumá úlohu rady pro řízení programu a její pokračování. Komise předloží tuto hodnotící zprávu Evropskému parlamentu a Radě.</w:t>
      </w:r>
    </w:p>
    <w:p>
      <w:pPr>
        <w:pStyle w:val="Titrearticle"/>
        <w:rPr>
          <w:noProof/>
        </w:rPr>
      </w:pPr>
      <w:r>
        <w:rPr>
          <w:noProof/>
        </w:rPr>
        <w:t>Článek 16</w:t>
      </w:r>
      <w:r>
        <w:rPr>
          <w:noProof/>
        </w:rPr>
        <w:br/>
        <w:t>Změny nařízení (EU) 2018/1726</w:t>
      </w:r>
    </w:p>
    <w:p>
      <w:pPr>
        <w:rPr>
          <w:noProof/>
        </w:rPr>
      </w:pPr>
      <w:r>
        <w:rPr>
          <w:noProof/>
        </w:rPr>
        <w:t>Nařízení (EU) 2018/1726 se mění takto:</w:t>
      </w:r>
    </w:p>
    <w:p>
      <w:pPr>
        <w:pStyle w:val="Point0"/>
        <w:rPr>
          <w:noProof/>
        </w:rPr>
      </w:pPr>
      <w:r>
        <w:rPr>
          <w:noProof/>
        </w:rPr>
        <w:t>1)</w:t>
      </w:r>
      <w:r>
        <w:rPr>
          <w:noProof/>
        </w:rPr>
        <w:tab/>
        <w:t>V článku 1 se vkládá nový odstavec 4a, který zní:</w:t>
      </w:r>
    </w:p>
    <w:p>
      <w:pPr>
        <w:pStyle w:val="Point1"/>
        <w:rPr>
          <w:noProof/>
        </w:rPr>
      </w:pPr>
      <w:r>
        <w:rPr>
          <w:noProof/>
        </w:rPr>
        <w:t>„4a. Agentura odpovídá za vývoj, provozní řízení, a to včetně technického vývoje, počítačového systému pro komunikaci v přeshraničních občanských a trestních řízeních (systém e-CODEX).“</w:t>
      </w:r>
    </w:p>
    <w:p>
      <w:pPr>
        <w:pStyle w:val="Point0"/>
        <w:rPr>
          <w:noProof/>
        </w:rPr>
      </w:pPr>
      <w:r>
        <w:rPr>
          <w:noProof/>
        </w:rPr>
        <w:t>2)</w:t>
      </w:r>
      <w:r>
        <w:rPr>
          <w:noProof/>
        </w:rPr>
        <w:tab/>
        <w:t>Vkládá se nový článek 8b, který zní:</w:t>
      </w:r>
    </w:p>
    <w:p>
      <w:pPr>
        <w:pStyle w:val="Point1"/>
        <w:jc w:val="center"/>
        <w:rPr>
          <w:noProof/>
        </w:rPr>
      </w:pPr>
      <w:r>
        <w:rPr>
          <w:noProof/>
        </w:rPr>
        <w:t>„Článek 8b</w:t>
      </w:r>
    </w:p>
    <w:p>
      <w:pPr>
        <w:pStyle w:val="Point1"/>
        <w:jc w:val="center"/>
        <w:rPr>
          <w:noProof/>
        </w:rPr>
      </w:pPr>
      <w:r>
        <w:rPr>
          <w:noProof/>
        </w:rPr>
        <w:lastRenderedPageBreak/>
        <w:t xml:space="preserve">Úkoly související se systémem e-CODEX </w:t>
      </w:r>
    </w:p>
    <w:p>
      <w:pPr>
        <w:pStyle w:val="Text1"/>
        <w:rPr>
          <w:noProof/>
        </w:rPr>
      </w:pPr>
      <w:r>
        <w:rPr>
          <w:noProof/>
        </w:rPr>
        <w:t>V souvislosti se systémem e-CODEX plní agentura:</w:t>
      </w:r>
    </w:p>
    <w:p>
      <w:pPr>
        <w:pStyle w:val="Point1"/>
        <w:rPr>
          <w:noProof/>
        </w:rPr>
      </w:pPr>
      <w:r>
        <w:rPr>
          <w:noProof/>
        </w:rPr>
        <w:t>a)</w:t>
      </w:r>
      <w:r>
        <w:rPr>
          <w:noProof/>
        </w:rPr>
        <w:tab/>
        <w:t xml:space="preserve">úkoly, kterými ji pověřuje nařízení Evropského parlamentu a Rady (EU) č. XXX/20XX*; </w:t>
      </w:r>
    </w:p>
    <w:p>
      <w:pPr>
        <w:pStyle w:val="Point1"/>
        <w:rPr>
          <w:noProof/>
        </w:rPr>
      </w:pPr>
      <w:r>
        <w:rPr>
          <w:noProof/>
        </w:rPr>
        <w:t>b)</w:t>
      </w:r>
      <w:r>
        <w:rPr>
          <w:noProof/>
        </w:rPr>
        <w:tab/>
        <w:t>úkoly související s odbornou přípravou zaměřenou na technické aspekty používání systému e-CODEX, včetně poskytování školicích materiálů on-line.</w:t>
      </w:r>
    </w:p>
    <w:p>
      <w:pPr>
        <w:pStyle w:val="Text1"/>
        <w:rPr>
          <w:noProof/>
        </w:rPr>
      </w:pPr>
      <w:r>
        <w:rPr>
          <w:noProof/>
        </w:rPr>
        <w:t xml:space="preserve">__________ </w:t>
      </w:r>
    </w:p>
    <w:p>
      <w:pPr>
        <w:pStyle w:val="Text1"/>
        <w:rPr>
          <w:noProof/>
        </w:rPr>
      </w:pPr>
      <w:r>
        <w:rPr>
          <w:noProof/>
        </w:rPr>
        <w:t>*</w:t>
      </w:r>
      <w:r>
        <w:rPr>
          <w:noProof/>
        </w:rPr>
        <w:tab/>
        <w:t>o počítačovém systému pro komunikaci v přeshraničních občanských a trestních řízeních (systém e-CODEX) a o změně nařízení (EU) 2018/1726 (Úř. věst. L ...)“;</w:t>
      </w:r>
    </w:p>
    <w:p>
      <w:pPr>
        <w:pStyle w:val="Point0"/>
        <w:rPr>
          <w:noProof/>
        </w:rPr>
      </w:pPr>
      <w:r>
        <w:rPr>
          <w:noProof/>
        </w:rPr>
        <w:t>3)</w:t>
      </w:r>
      <w:r>
        <w:rPr>
          <w:noProof/>
        </w:rPr>
        <w:tab/>
        <w:t>V článku 14 se odstavec 1 nahrazuje tímto:</w:t>
      </w:r>
    </w:p>
    <w:p>
      <w:pPr>
        <w:pStyle w:val="Point1"/>
        <w:rPr>
          <w:noProof/>
        </w:rPr>
      </w:pPr>
      <w:r>
        <w:rPr>
          <w:noProof/>
        </w:rPr>
        <w:t>„1.</w:t>
      </w:r>
      <w:r>
        <w:rPr>
          <w:noProof/>
        </w:rPr>
        <w:tab/>
        <w:t>Agentura sleduje vývoj v oblasti výzkumu, který je důležitý pro provozní řízení SIS II, VIS, Eurodacu, EES, ETIAS, sítě DubliNet, ECRIS-TCN, e-CODEX a jiných rozsáhlých informačních systémů uvedených v čl. 1 odst. 5.“</w:t>
      </w:r>
    </w:p>
    <w:p>
      <w:pPr>
        <w:pStyle w:val="Point0"/>
        <w:rPr>
          <w:noProof/>
        </w:rPr>
      </w:pPr>
      <w:r>
        <w:rPr>
          <w:noProof/>
        </w:rPr>
        <w:t>4)</w:t>
      </w:r>
      <w:r>
        <w:rPr>
          <w:noProof/>
        </w:rPr>
        <w:tab/>
        <w:t xml:space="preserve">V článku 19 se odstavec 1 mění takto: </w:t>
      </w:r>
    </w:p>
    <w:p>
      <w:pPr>
        <w:pStyle w:val="Point1"/>
        <w:rPr>
          <w:noProof/>
        </w:rPr>
      </w:pPr>
      <w:r>
        <w:rPr>
          <w:noProof/>
        </w:rPr>
        <w:t>a)</w:t>
      </w:r>
      <w:r>
        <w:rPr>
          <w:noProof/>
        </w:rPr>
        <w:tab/>
        <w:t>písmeno ff) se nahrazuje tímto:</w:t>
      </w:r>
    </w:p>
    <w:p>
      <w:pPr>
        <w:pStyle w:val="Point1"/>
        <w:rPr>
          <w:noProof/>
        </w:rPr>
      </w:pPr>
      <w:r>
        <w:rPr>
          <w:noProof/>
        </w:rPr>
        <w:t>„ff)</w:t>
      </w:r>
      <w:r>
        <w:rPr>
          <w:noProof/>
        </w:rPr>
        <w:tab/>
        <w:t>přijímá zprávy o technickém fungování:</w:t>
      </w:r>
    </w:p>
    <w:p>
      <w:pPr>
        <w:pStyle w:val="Point2"/>
        <w:rPr>
          <w:noProof/>
        </w:rPr>
      </w:pPr>
      <w:r>
        <w:rPr>
          <w:noProof/>
        </w:rPr>
        <w:t>i)</w:t>
      </w:r>
      <w:r>
        <w:rPr>
          <w:noProof/>
        </w:rPr>
        <w:tab/>
        <w:t>SIS podle čl. 60 odst. 7 nařízení Evropského parlamentu a Rady (EU) 2018/1861 a čl. 74 odst. 8 nařízení Evropského parlamentu a Rady (EU) 2018/1862**;</w:t>
      </w:r>
    </w:p>
    <w:p>
      <w:pPr>
        <w:pStyle w:val="Point2"/>
        <w:rPr>
          <w:noProof/>
        </w:rPr>
      </w:pPr>
      <w:r>
        <w:rPr>
          <w:noProof/>
        </w:rPr>
        <w:t>ii)</w:t>
      </w:r>
      <w:r>
        <w:rPr>
          <w:noProof/>
        </w:rPr>
        <w:tab/>
        <w:t>VIS podle čl. 50 odst. 3 nařízení (ES) č. 767/2008 a čl. 17 odst. 3 rozhodnutí 2008/633/SVV;</w:t>
      </w:r>
    </w:p>
    <w:p>
      <w:pPr>
        <w:pStyle w:val="Point2"/>
        <w:rPr>
          <w:noProof/>
        </w:rPr>
      </w:pPr>
      <w:r>
        <w:rPr>
          <w:noProof/>
        </w:rPr>
        <w:t>iii)</w:t>
      </w:r>
      <w:r>
        <w:rPr>
          <w:noProof/>
        </w:rPr>
        <w:tab/>
        <w:t>EES podle čl. 72 odst. 4 nařízení (EU) 2017/2226;</w:t>
      </w:r>
    </w:p>
    <w:p>
      <w:pPr>
        <w:pStyle w:val="Point2"/>
        <w:rPr>
          <w:noProof/>
        </w:rPr>
      </w:pPr>
      <w:r>
        <w:rPr>
          <w:noProof/>
        </w:rPr>
        <w:t>iv)</w:t>
      </w:r>
      <w:r>
        <w:rPr>
          <w:noProof/>
        </w:rPr>
        <w:tab/>
        <w:t>ETIAS podle čl. 92 odst. 4 nařízení (EU) 2018/1240;</w:t>
      </w:r>
    </w:p>
    <w:p>
      <w:pPr>
        <w:pStyle w:val="Point2"/>
        <w:rPr>
          <w:noProof/>
        </w:rPr>
      </w:pPr>
      <w:r>
        <w:rPr>
          <w:noProof/>
        </w:rPr>
        <w:t>v)</w:t>
      </w:r>
      <w:r>
        <w:rPr>
          <w:noProof/>
        </w:rPr>
        <w:tab/>
        <w:t>ECRIS-TCN a referenčního provedení ECRIS podle čl. 36 odst. 8 nařízení Evropského parlamentu a Rady (EU) 2019/816***;</w:t>
      </w:r>
    </w:p>
    <w:p>
      <w:pPr>
        <w:pStyle w:val="Point2"/>
        <w:rPr>
          <w:noProof/>
        </w:rPr>
      </w:pPr>
      <w:r>
        <w:rPr>
          <w:noProof/>
        </w:rPr>
        <w:t>vi)</w:t>
      </w:r>
      <w:r>
        <w:rPr>
          <w:noProof/>
        </w:rPr>
        <w:tab/>
        <w:t xml:space="preserve">složek interoperability podle čl. 78 odst. 3 nařízení (EU) 2019/817“ a čl. 74 odst. 3 nařízení (EU) 2019/818; </w:t>
      </w:r>
    </w:p>
    <w:p>
      <w:pPr>
        <w:pStyle w:val="Point2"/>
        <w:rPr>
          <w:noProof/>
        </w:rPr>
      </w:pPr>
      <w:r>
        <w:rPr>
          <w:noProof/>
        </w:rPr>
        <w:t>vii)</w:t>
      </w:r>
      <w:r>
        <w:rPr>
          <w:noProof/>
        </w:rPr>
        <w:tab/>
        <w:t>e</w:t>
      </w:r>
      <w:r>
        <w:rPr>
          <w:noProof/>
        </w:rPr>
        <w:noBreakHyphen/>
        <w:t>CODEX podle čl. 14 odst. 1 nařízení (EU) XXX ze dne 20XX [</w:t>
      </w:r>
      <w:r>
        <w:rPr>
          <w:i/>
          <w:noProof/>
        </w:rPr>
        <w:t>tohoto nařízení</w:t>
      </w:r>
      <w:r>
        <w:rPr>
          <w:noProof/>
        </w:rPr>
        <w:t>]</w:t>
      </w:r>
    </w:p>
    <w:p>
      <w:pPr>
        <w:pStyle w:val="Text2"/>
        <w:rPr>
          <w:noProof/>
        </w:rPr>
      </w:pPr>
      <w:r>
        <w:rPr>
          <w:noProof/>
        </w:rPr>
        <w:t>__________</w:t>
      </w:r>
    </w:p>
    <w:p>
      <w:pPr>
        <w:pStyle w:val="Text2"/>
        <w:rPr>
          <w:noProof/>
        </w:rPr>
      </w:pPr>
      <w:r>
        <w:rPr>
          <w:noProof/>
        </w:rPr>
        <w:t>*</w:t>
      </w:r>
      <w:r>
        <w:rPr>
          <w:noProof/>
        </w:rPr>
        <w:tab/>
        <w:t>Nařízení Evropského parlamentu a Rady (EU) 2018/1861 ze dne 28. listopadu 2018 o zřízení, provozu a využívání Schengenského informačního systému (SIS) v oblasti hraničních kontrol, o změně Úmluvy k provedení Schengenské dohody a o změně a zrušení nařízení (ES) č. 1987/2006 (Úř. věst. L 312, 7.12.2018, s. 14).</w:t>
      </w:r>
    </w:p>
    <w:p>
      <w:pPr>
        <w:pStyle w:val="Text2"/>
        <w:rPr>
          <w:noProof/>
        </w:rPr>
      </w:pPr>
      <w:r>
        <w:rPr>
          <w:noProof/>
        </w:rPr>
        <w:t>**</w:t>
      </w:r>
      <w:r>
        <w:rPr>
          <w:noProof/>
        </w:rPr>
        <w:tab/>
        <w:t>Nařízení Evropského parlamentu a Rady (EU) 2018/1862 ze dne 28. listopadu 2018 o zřízení, provozu a využívání Schengenského informačního systému (SIS) v oblasti policejní spolupráce a justiční spolupráce v trestních věcech, o změně a o zrušení rozhodnutí Rady 2007/533/SVV a o zrušení nařízení Evropského parlamentu a Rady (ES) č. 1986/2006 a rozhodnutí Komise 2010/261/EU. (Úř. věst. L 312, 7.12.2018, s. 56).</w:t>
      </w:r>
    </w:p>
    <w:p>
      <w:pPr>
        <w:pStyle w:val="Text2"/>
        <w:rPr>
          <w:noProof/>
        </w:rPr>
      </w:pPr>
      <w:r>
        <w:rPr>
          <w:noProof/>
        </w:rPr>
        <w:lastRenderedPageBreak/>
        <w:t>***</w:t>
      </w:r>
      <w:r>
        <w:rPr>
          <w:noProof/>
        </w:rPr>
        <w:tab/>
        <w:t>Nařízení Evropského parlamentu a Rady (EU) 2019/816 ze dne 17. dubna 2019, kterým se zřizuje centralizovaný systém pro identifikaci členských států, jež mají informace o odsouzeních státních příslušníků třetích zemí a osob bez státní příslušnosti (ECRIS-TCN), na doplnění Evropského informačního systému rejstříků trestů, a kterým se mění nařízení (EU) 2018/1726 (Úř. věst. L 135, 22.5.2019, s. 1).“ ;</w:t>
      </w:r>
    </w:p>
    <w:p>
      <w:pPr>
        <w:pStyle w:val="Point1"/>
        <w:rPr>
          <w:noProof/>
        </w:rPr>
      </w:pPr>
      <w:r>
        <w:rPr>
          <w:noProof/>
        </w:rPr>
        <w:t>b)</w:t>
      </w:r>
      <w:r>
        <w:rPr>
          <w:noProof/>
        </w:rPr>
        <w:tab/>
        <w:t>písmeno mm) se nahrazuje tímto:</w:t>
      </w:r>
    </w:p>
    <w:p>
      <w:pPr>
        <w:pStyle w:val="Point1"/>
        <w:rPr>
          <w:noProof/>
        </w:rPr>
      </w:pPr>
      <w:r>
        <w:rPr>
          <w:noProof/>
        </w:rPr>
        <w:t>„mm)</w:t>
      </w:r>
      <w:r>
        <w:rPr>
          <w:noProof/>
        </w:rPr>
        <w:tab/>
        <w:t>zajišťuje každoroční zveřejnění:</w:t>
      </w:r>
    </w:p>
    <w:p>
      <w:pPr>
        <w:pStyle w:val="Point2"/>
        <w:rPr>
          <w:noProof/>
        </w:rPr>
      </w:pPr>
      <w:r>
        <w:rPr>
          <w:noProof/>
        </w:rPr>
        <w:t>i)</w:t>
      </w:r>
      <w:r>
        <w:rPr>
          <w:noProof/>
        </w:rPr>
        <w:tab/>
        <w:t>seznamu příslušných orgánů, které jsou oprávněny přímo vyhledávat v údajích obsažených v SIS podle čl. 41 odst. 8 nařízení (EU) 2018/1861 a čl. 56 odst. 7 nařízení (EU) 2018/1862, spolu se seznamem úřadů vnitrostátních systémů SIS (N.SIS) a centrál SIRENE podle čl. 7 odst. 3 nařízení (EU) 2018/1861 a čl. 7 odst. 3 nařízení (EU) 2018/1862;</w:t>
      </w:r>
    </w:p>
    <w:p>
      <w:pPr>
        <w:pStyle w:val="Point2"/>
        <w:rPr>
          <w:noProof/>
        </w:rPr>
      </w:pPr>
      <w:r>
        <w:rPr>
          <w:noProof/>
        </w:rPr>
        <w:t>ii)</w:t>
      </w:r>
      <w:r>
        <w:rPr>
          <w:noProof/>
        </w:rPr>
        <w:tab/>
        <w:t>seznamu příslušných orgánů podle čl. 65 odst. 2 nařízení (EU) 2017/2226;</w:t>
      </w:r>
    </w:p>
    <w:p>
      <w:pPr>
        <w:pStyle w:val="Point2"/>
        <w:rPr>
          <w:noProof/>
        </w:rPr>
      </w:pPr>
      <w:r>
        <w:rPr>
          <w:noProof/>
        </w:rPr>
        <w:t>iii)</w:t>
      </w:r>
      <w:r>
        <w:rPr>
          <w:noProof/>
        </w:rPr>
        <w:tab/>
        <w:t>seznamu příslušných orgánů podle čl. 87 odst. 2 nařízení (EU) 2018/1240;</w:t>
      </w:r>
    </w:p>
    <w:p>
      <w:pPr>
        <w:pStyle w:val="Point2"/>
        <w:rPr>
          <w:noProof/>
        </w:rPr>
      </w:pPr>
      <w:r>
        <w:rPr>
          <w:noProof/>
        </w:rPr>
        <w:t>iv)</w:t>
      </w:r>
      <w:r>
        <w:rPr>
          <w:noProof/>
        </w:rPr>
        <w:tab/>
        <w:t>seznamu ústředních orgánů podle čl. 34 odst. 2 nařízení (EU) 2019/816;</w:t>
      </w:r>
    </w:p>
    <w:p>
      <w:pPr>
        <w:pStyle w:val="Point2"/>
        <w:rPr>
          <w:noProof/>
        </w:rPr>
      </w:pPr>
      <w:r>
        <w:rPr>
          <w:noProof/>
        </w:rPr>
        <w:t>v)</w:t>
      </w:r>
      <w:r>
        <w:rPr>
          <w:noProof/>
        </w:rPr>
        <w:tab/>
        <w:t>seznamu orgánů podle čl. 71 odst. 1 nařízení (EU) 2019/817 a čl. 67 odst. 1 nařízení (EU) 2019/818;</w:t>
      </w:r>
    </w:p>
    <w:p>
      <w:pPr>
        <w:pStyle w:val="Point2"/>
        <w:rPr>
          <w:noProof/>
        </w:rPr>
      </w:pPr>
      <w:r>
        <w:rPr>
          <w:noProof/>
        </w:rPr>
        <w:t>vi)</w:t>
      </w:r>
      <w:r>
        <w:rPr>
          <w:noProof/>
        </w:rPr>
        <w:tab/>
        <w:t>seznamu oprávněných přístupových bodů systému e-CODEX podle čl. 6 odst. 2 písm. h) nařízení (EU) XXX ze dne 20XX [o systému e-CODEX – toto nařízení];“;</w:t>
      </w:r>
    </w:p>
    <w:p>
      <w:pPr>
        <w:pStyle w:val="Point0"/>
        <w:rPr>
          <w:noProof/>
        </w:rPr>
      </w:pPr>
      <w:r>
        <w:rPr>
          <w:noProof/>
        </w:rPr>
        <w:t>5)</w:t>
      </w:r>
      <w:r>
        <w:rPr>
          <w:noProof/>
        </w:rPr>
        <w:tab/>
        <w:t>V čl. 27 odst. 1 se vkládá nové písmeno dc), které zní:</w:t>
      </w:r>
    </w:p>
    <w:p>
      <w:pPr>
        <w:pStyle w:val="Point1"/>
        <w:rPr>
          <w:noProof/>
        </w:rPr>
      </w:pPr>
      <w:r>
        <w:rPr>
          <w:noProof/>
        </w:rPr>
        <w:t>„dc)</w:t>
      </w:r>
      <w:r>
        <w:rPr>
          <w:noProof/>
        </w:rPr>
        <w:tab/>
        <w:t>poradní skupina pro systém e-CODEX;“.</w:t>
      </w:r>
    </w:p>
    <w:p>
      <w:pPr>
        <w:pStyle w:val="ChapterTitle"/>
        <w:spacing w:before="480"/>
        <w:rPr>
          <w:noProof/>
        </w:rPr>
      </w:pPr>
      <w:r>
        <w:rPr>
          <w:noProof/>
        </w:rPr>
        <w:t>KAPITOLA 3</w:t>
      </w:r>
      <w:r>
        <w:rPr>
          <w:noProof/>
        </w:rPr>
        <w:br/>
        <w:t>Závěrečná ustanovení</w:t>
      </w:r>
    </w:p>
    <w:p>
      <w:pPr>
        <w:pStyle w:val="Titrearticle"/>
        <w:rPr>
          <w:noProof/>
        </w:rPr>
      </w:pPr>
      <w:r>
        <w:rPr>
          <w:noProof/>
        </w:rPr>
        <w:t>Článek 17</w:t>
      </w:r>
      <w:r>
        <w:rPr>
          <w:noProof/>
        </w:rPr>
        <w:br/>
        <w:t>Postup projednávání ve výboru</w:t>
      </w:r>
    </w:p>
    <w:p>
      <w:pPr>
        <w:pStyle w:val="ManualNumPar1"/>
        <w:rPr>
          <w:noProof/>
        </w:rPr>
      </w:pPr>
      <w:r>
        <w:t>1.</w:t>
      </w:r>
      <w:r>
        <w:tab/>
      </w:r>
      <w:r>
        <w:rPr>
          <w:noProof/>
        </w:rPr>
        <w:t>Komisi je nápomocen výbor. Tento výbor je výborem ve smyslu nařízení (EU) č. 182/2011.</w:t>
      </w:r>
    </w:p>
    <w:p>
      <w:pPr>
        <w:pStyle w:val="ManualNumPar1"/>
        <w:rPr>
          <w:noProof/>
        </w:rPr>
      </w:pPr>
      <w:r>
        <w:t>2.</w:t>
      </w:r>
      <w:r>
        <w:tab/>
      </w:r>
      <w:r>
        <w:rPr>
          <w:noProof/>
        </w:rPr>
        <w:t>Odkazuje-li se na tento odstavec, použije se článek 5 nařízení (EU) č. 182/2011.</w:t>
      </w:r>
    </w:p>
    <w:p>
      <w:pPr>
        <w:pStyle w:val="Titrearticle"/>
        <w:rPr>
          <w:noProof/>
        </w:rPr>
      </w:pPr>
      <w:r>
        <w:rPr>
          <w:noProof/>
        </w:rPr>
        <w:t>Článek 18</w:t>
      </w:r>
      <w:r>
        <w:rPr>
          <w:noProof/>
        </w:rPr>
        <w:br/>
        <w:t>Náklady</w:t>
      </w:r>
    </w:p>
    <w:p>
      <w:pPr>
        <w:pStyle w:val="ManualNumPar1"/>
        <w:rPr>
          <w:noProof/>
        </w:rPr>
      </w:pPr>
      <w:r>
        <w:t>1.</w:t>
      </w:r>
      <w:r>
        <w:tab/>
      </w:r>
      <w:r>
        <w:rPr>
          <w:noProof/>
        </w:rPr>
        <w:t>Náklady vzniklé při plnění úkolů uvedených v článku 6 jsou hrazeny ze souhrnného rozpočtu Evropské unie.</w:t>
      </w:r>
    </w:p>
    <w:p>
      <w:pPr>
        <w:pStyle w:val="ManualNumPar1"/>
        <w:rPr>
          <w:noProof/>
        </w:rPr>
      </w:pPr>
      <w:r>
        <w:t>2.</w:t>
      </w:r>
      <w:r>
        <w:tab/>
      </w:r>
      <w:r>
        <w:rPr>
          <w:noProof/>
        </w:rPr>
        <w:t>Náklady na úkoly uvedené v článcích 7 a 8 hradí členské státy a subjekty provozující oprávněné přístupové body systému e-CODEX.</w:t>
      </w:r>
    </w:p>
    <w:p>
      <w:pPr>
        <w:pStyle w:val="Titrearticle"/>
        <w:rPr>
          <w:noProof/>
        </w:rPr>
      </w:pPr>
      <w:r>
        <w:rPr>
          <w:noProof/>
        </w:rPr>
        <w:lastRenderedPageBreak/>
        <w:t>Článek 19</w:t>
      </w:r>
      <w:r>
        <w:rPr>
          <w:noProof/>
        </w:rPr>
        <w:br/>
        <w:t xml:space="preserve">Vstup v platnost </w:t>
      </w:r>
    </w:p>
    <w:p>
      <w:pPr>
        <w:rPr>
          <w:noProof/>
        </w:rPr>
      </w:pPr>
      <w:r>
        <w:rPr>
          <w:noProof/>
        </w:rPr>
        <w:t>Toto nařízení vstupuje v platnost dvacátým dnem po vyhlášení v </w:t>
      </w:r>
      <w:r>
        <w:rPr>
          <w:i/>
          <w:noProof/>
        </w:rPr>
        <w:t>Úředním věstníku Evropské unie</w:t>
      </w:r>
      <w:r>
        <w:rPr>
          <w:noProof/>
        </w:rPr>
        <w:t xml:space="preserve">. </w:t>
      </w:r>
    </w:p>
    <w:p>
      <w:pPr>
        <w:rPr>
          <w:noProof/>
        </w:rPr>
      </w:pPr>
    </w:p>
    <w:p>
      <w:pPr>
        <w:rPr>
          <w:noProof/>
        </w:rPr>
      </w:pPr>
      <w:r>
        <w:rPr>
          <w:noProof/>
        </w:rPr>
        <w:t>Toto nařízení je závazné v celém rozsahu a přímo použitelné v členských státech v souladu se Smlouvami.</w:t>
      </w:r>
    </w:p>
    <w:p>
      <w:pPr>
        <w:pStyle w:val="Text1"/>
        <w:rPr>
          <w:noProof/>
        </w:rPr>
      </w:pPr>
    </w:p>
    <w:p>
      <w:pPr>
        <w:pStyle w:val="Fait"/>
        <w:rPr>
          <w:noProof/>
        </w:rPr>
      </w:pPr>
      <w:r>
        <w:t>V Bruselu dne</w:t>
      </w:r>
    </w:p>
    <w:p>
      <w:pPr>
        <w:pStyle w:val="Institutionquisigne"/>
        <w:rPr>
          <w:noProof/>
        </w:rPr>
      </w:pPr>
      <w:r>
        <w:rPr>
          <w:noProof/>
        </w:rPr>
        <w:t>Za Evropský parlament</w:t>
      </w:r>
      <w:r>
        <w:rPr>
          <w:noProof/>
        </w:rPr>
        <w:tab/>
        <w:t>Za Radu</w:t>
      </w:r>
    </w:p>
    <w:p>
      <w:pPr>
        <w:pStyle w:val="Personnequisigne"/>
        <w:rPr>
          <w:noProof/>
        </w:rPr>
      </w:pPr>
      <w:r>
        <w:rPr>
          <w:noProof/>
        </w:rPr>
        <w:t>předseda/předsedkyně</w:t>
      </w:r>
      <w:r>
        <w:rPr>
          <w:noProof/>
        </w:rPr>
        <w:tab/>
        <w:t>předseda/předsedkyně</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LEGISLATIVNÍ FINANČNÍ VÝKAZ</w:t>
      </w:r>
    </w:p>
    <w:p>
      <w:pPr>
        <w:pStyle w:val="ManualHeading1"/>
        <w:rPr>
          <w:noProof/>
        </w:rPr>
      </w:pPr>
      <w:r>
        <w:rPr>
          <w:noProof/>
        </w:rPr>
        <w:t>1.</w:t>
      </w:r>
      <w:r>
        <w:rPr>
          <w:noProof/>
        </w:rPr>
        <w:tab/>
        <w:t xml:space="preserve">RÁMEC NÁVRHU/PODNĚTU </w:t>
      </w:r>
    </w:p>
    <w:p>
      <w:pPr>
        <w:pStyle w:val="ManualHeading2"/>
        <w:rPr>
          <w:b w:val="0"/>
          <w:noProof/>
        </w:rPr>
      </w:pPr>
      <w:r>
        <w:rPr>
          <w:noProof/>
        </w:rPr>
        <w:tab/>
      </w:r>
      <w:r>
        <w:rPr>
          <w:b w:val="0"/>
          <w:noProof/>
        </w:rPr>
        <w:t>1.1</w:t>
      </w:r>
      <w:r>
        <w:rPr>
          <w:b w:val="0"/>
          <w:noProof/>
        </w:rPr>
        <w:tab/>
        <w:t xml:space="preserve">Název návrhu/podnětu </w:t>
      </w:r>
    </w:p>
    <w:p>
      <w:pPr>
        <w:pStyle w:val="ManualHeading2"/>
        <w:rPr>
          <w:b w:val="0"/>
          <w:noProof/>
        </w:rPr>
      </w:pPr>
      <w:r>
        <w:rPr>
          <w:b w:val="0"/>
          <w:noProof/>
        </w:rPr>
        <w:tab/>
        <w:t>1.2</w:t>
      </w:r>
      <w:r>
        <w:rPr>
          <w:b w:val="0"/>
          <w:noProof/>
        </w:rPr>
        <w:tab/>
        <w:t>Příslušné oblasti politik podle členění ABM/ABB</w:t>
      </w:r>
    </w:p>
    <w:p>
      <w:pPr>
        <w:pStyle w:val="ManualHeading2"/>
        <w:rPr>
          <w:b w:val="0"/>
          <w:noProof/>
        </w:rPr>
      </w:pPr>
      <w:r>
        <w:rPr>
          <w:b w:val="0"/>
          <w:noProof/>
        </w:rPr>
        <w:tab/>
        <w:t>1.3</w:t>
      </w:r>
      <w:r>
        <w:rPr>
          <w:b w:val="0"/>
          <w:noProof/>
        </w:rPr>
        <w:tab/>
        <w:t xml:space="preserve">Povaha návrhu/podnětu </w:t>
      </w:r>
    </w:p>
    <w:p>
      <w:pPr>
        <w:pStyle w:val="ManualHeading2"/>
        <w:rPr>
          <w:b w:val="0"/>
          <w:noProof/>
        </w:rPr>
      </w:pPr>
      <w:r>
        <w:rPr>
          <w:b w:val="0"/>
          <w:noProof/>
        </w:rPr>
        <w:tab/>
        <w:t>1.4</w:t>
      </w:r>
      <w:r>
        <w:rPr>
          <w:b w:val="0"/>
          <w:noProof/>
        </w:rPr>
        <w:tab/>
        <w:t xml:space="preserve">Cíle </w:t>
      </w:r>
    </w:p>
    <w:p>
      <w:pPr>
        <w:pStyle w:val="ManualHeading2"/>
        <w:rPr>
          <w:b w:val="0"/>
          <w:noProof/>
        </w:rPr>
      </w:pPr>
      <w:r>
        <w:rPr>
          <w:b w:val="0"/>
          <w:noProof/>
        </w:rPr>
        <w:tab/>
        <w:t>1.5</w:t>
      </w:r>
      <w:r>
        <w:rPr>
          <w:b w:val="0"/>
          <w:noProof/>
        </w:rPr>
        <w:tab/>
        <w:t xml:space="preserve">Odůvodnění návrhu/podnětu </w:t>
      </w:r>
    </w:p>
    <w:p>
      <w:pPr>
        <w:pStyle w:val="ManualHeading2"/>
        <w:rPr>
          <w:b w:val="0"/>
          <w:noProof/>
        </w:rPr>
      </w:pPr>
      <w:r>
        <w:rPr>
          <w:b w:val="0"/>
          <w:noProof/>
        </w:rPr>
        <w:tab/>
        <w:t>1.6</w:t>
      </w:r>
      <w:r>
        <w:rPr>
          <w:b w:val="0"/>
          <w:noProof/>
        </w:rPr>
        <w:tab/>
        <w:t xml:space="preserve">Doba trvání akce a finanční dopad </w:t>
      </w:r>
    </w:p>
    <w:p>
      <w:pPr>
        <w:pStyle w:val="ManualHeading2"/>
        <w:rPr>
          <w:b w:val="0"/>
          <w:noProof/>
        </w:rPr>
      </w:pPr>
      <w:r>
        <w:rPr>
          <w:b w:val="0"/>
          <w:noProof/>
        </w:rPr>
        <w:tab/>
        <w:t>1.7</w:t>
      </w:r>
      <w:r>
        <w:rPr>
          <w:b w:val="0"/>
          <w:noProof/>
        </w:rPr>
        <w:tab/>
        <w:t xml:space="preserve">Předpokládaný způsob řízení </w:t>
      </w:r>
    </w:p>
    <w:p>
      <w:pPr>
        <w:pStyle w:val="ManualHeading1"/>
        <w:rPr>
          <w:noProof/>
        </w:rPr>
      </w:pPr>
      <w:r>
        <w:rPr>
          <w:noProof/>
        </w:rPr>
        <w:t>2.</w:t>
      </w:r>
      <w:r>
        <w:rPr>
          <w:noProof/>
        </w:rPr>
        <w:tab/>
        <w:t xml:space="preserve">SPRÁVNÍ OPATŘENÍ </w:t>
      </w:r>
    </w:p>
    <w:p>
      <w:pPr>
        <w:pStyle w:val="ManualHeading2"/>
        <w:rPr>
          <w:b w:val="0"/>
          <w:noProof/>
        </w:rPr>
      </w:pPr>
      <w:r>
        <w:rPr>
          <w:b w:val="0"/>
          <w:noProof/>
        </w:rPr>
        <w:tab/>
        <w:t>2.1</w:t>
      </w:r>
      <w:r>
        <w:rPr>
          <w:b w:val="0"/>
          <w:noProof/>
        </w:rPr>
        <w:tab/>
        <w:t xml:space="preserve">Pravidla pro sledování a podávání zpráv </w:t>
      </w:r>
    </w:p>
    <w:p>
      <w:pPr>
        <w:pStyle w:val="ManualHeading2"/>
        <w:rPr>
          <w:b w:val="0"/>
          <w:noProof/>
        </w:rPr>
      </w:pPr>
      <w:r>
        <w:rPr>
          <w:b w:val="0"/>
          <w:noProof/>
        </w:rPr>
        <w:tab/>
        <w:t>2.2</w:t>
      </w:r>
      <w:r>
        <w:rPr>
          <w:b w:val="0"/>
          <w:noProof/>
        </w:rPr>
        <w:tab/>
        <w:t xml:space="preserve">Systém řízení a kontroly </w:t>
      </w:r>
    </w:p>
    <w:p>
      <w:pPr>
        <w:pStyle w:val="ManualHeading2"/>
        <w:rPr>
          <w:b w:val="0"/>
          <w:noProof/>
        </w:rPr>
      </w:pPr>
      <w:r>
        <w:rPr>
          <w:b w:val="0"/>
          <w:noProof/>
        </w:rPr>
        <w:tab/>
        <w:t>2.3</w:t>
      </w:r>
      <w:r>
        <w:rPr>
          <w:b w:val="0"/>
          <w:noProof/>
        </w:rPr>
        <w:tab/>
        <w:t xml:space="preserve">Opatření k zamezení podvodů a nesrovnalostí </w:t>
      </w:r>
    </w:p>
    <w:p>
      <w:pPr>
        <w:pStyle w:val="ManualHeading1"/>
        <w:rPr>
          <w:noProof/>
        </w:rPr>
      </w:pPr>
      <w:r>
        <w:rPr>
          <w:noProof/>
        </w:rPr>
        <w:t>3.</w:t>
      </w:r>
      <w:r>
        <w:rPr>
          <w:noProof/>
        </w:rPr>
        <w:tab/>
        <w:t xml:space="preserve">ODHADOVANÝ FINANČNÍ DOPAD NÁVRHU/PODNĚTU </w:t>
      </w:r>
    </w:p>
    <w:p>
      <w:pPr>
        <w:pStyle w:val="ManualHeading2"/>
        <w:rPr>
          <w:b w:val="0"/>
          <w:noProof/>
        </w:rPr>
      </w:pPr>
      <w:r>
        <w:rPr>
          <w:b w:val="0"/>
          <w:noProof/>
        </w:rPr>
        <w:tab/>
        <w:t>3.1</w:t>
      </w:r>
      <w:r>
        <w:rPr>
          <w:b w:val="0"/>
          <w:noProof/>
        </w:rPr>
        <w:tab/>
        <w:t xml:space="preserve">Okruhy víceletého finančního rámce a dotčené výdajové rozpočtové položky </w:t>
      </w:r>
    </w:p>
    <w:p>
      <w:pPr>
        <w:pStyle w:val="ManualHeading2"/>
        <w:rPr>
          <w:noProof/>
        </w:rPr>
      </w:pPr>
      <w:r>
        <w:rPr>
          <w:b w:val="0"/>
          <w:noProof/>
        </w:rPr>
        <w:tab/>
        <w:t>3.2</w:t>
      </w:r>
      <w:r>
        <w:rPr>
          <w:b w:val="0"/>
          <w:noProof/>
        </w:rPr>
        <w:tab/>
        <w:t>Odhadovaný dopad na výdaje</w:t>
      </w:r>
      <w:r>
        <w:rPr>
          <w:noProof/>
        </w:rPr>
        <w:t xml:space="preserve"> </w:t>
      </w:r>
    </w:p>
    <w:p>
      <w:pPr>
        <w:pStyle w:val="ManualHeading3"/>
        <w:rPr>
          <w:noProof/>
        </w:rPr>
      </w:pPr>
      <w:r>
        <w:rPr>
          <w:noProof/>
        </w:rPr>
        <w:tab/>
        <w:t>3.2.1</w:t>
      </w:r>
      <w:r>
        <w:rPr>
          <w:noProof/>
        </w:rPr>
        <w:tab/>
        <w:t xml:space="preserve">Odhadovaný souhrnný dopad na výdaje </w:t>
      </w:r>
    </w:p>
    <w:p>
      <w:pPr>
        <w:pStyle w:val="ManualHeading3"/>
        <w:rPr>
          <w:noProof/>
        </w:rPr>
      </w:pPr>
      <w:r>
        <w:rPr>
          <w:noProof/>
        </w:rPr>
        <w:tab/>
        <w:t>3.2.2</w:t>
      </w:r>
      <w:r>
        <w:rPr>
          <w:noProof/>
        </w:rPr>
        <w:tab/>
        <w:t xml:space="preserve">Odhadovaný dopad na operační prostředky </w:t>
      </w:r>
    </w:p>
    <w:p>
      <w:pPr>
        <w:pStyle w:val="ManualHeading3"/>
        <w:rPr>
          <w:noProof/>
        </w:rPr>
      </w:pPr>
      <w:r>
        <w:rPr>
          <w:noProof/>
        </w:rPr>
        <w:tab/>
        <w:t>3.2.3</w:t>
      </w:r>
      <w:r>
        <w:rPr>
          <w:noProof/>
        </w:rPr>
        <w:tab/>
        <w:t>Odhadovaný dopad na prostředky správní povahy</w:t>
      </w:r>
    </w:p>
    <w:p>
      <w:pPr>
        <w:pStyle w:val="ManualHeading3"/>
        <w:rPr>
          <w:noProof/>
        </w:rPr>
      </w:pPr>
      <w:r>
        <w:rPr>
          <w:noProof/>
        </w:rPr>
        <w:tab/>
        <w:t>3.2.4</w:t>
      </w:r>
      <w:r>
        <w:rPr>
          <w:noProof/>
        </w:rPr>
        <w:tab/>
        <w:t>Slučitelnost se stávajícím víceletým finančním rámcem</w:t>
      </w:r>
    </w:p>
    <w:p>
      <w:pPr>
        <w:pStyle w:val="ManualHeading3"/>
        <w:rPr>
          <w:noProof/>
        </w:rPr>
      </w:pPr>
      <w:r>
        <w:rPr>
          <w:noProof/>
        </w:rPr>
        <w:tab/>
        <w:t>3.2.5</w:t>
      </w:r>
      <w:r>
        <w:rPr>
          <w:noProof/>
        </w:rPr>
        <w:tab/>
        <w:t xml:space="preserve">Příspěvky třetích stran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Odhadovaný dopad na příjmy</w:t>
      </w:r>
    </w:p>
    <w:p>
      <w:pPr>
        <w:jc w:val="center"/>
        <w:rPr>
          <w:b/>
          <w:noProof/>
          <w:u w:val="single"/>
        </w:rPr>
      </w:pPr>
      <w:r>
        <w:rPr>
          <w:b/>
          <w:noProof/>
          <w:u w:val="single"/>
        </w:rPr>
        <w:t>LEGISLATIVNÍ FINANČNÍ VÝKAZ</w:t>
      </w:r>
    </w:p>
    <w:p>
      <w:pPr>
        <w:pStyle w:val="ManualHeading1"/>
        <w:rPr>
          <w:noProof/>
        </w:rPr>
      </w:pPr>
      <w:r>
        <w:t>1.</w:t>
      </w:r>
      <w:r>
        <w:tab/>
      </w:r>
      <w:r>
        <w:rPr>
          <w:noProof/>
        </w:rPr>
        <w:t xml:space="preserve">RÁMEC NÁVRHU/PODNĚTU </w:t>
      </w:r>
    </w:p>
    <w:p>
      <w:pPr>
        <w:pStyle w:val="ManualHeading2"/>
        <w:rPr>
          <w:noProof/>
        </w:rPr>
      </w:pPr>
      <w:r>
        <w:t>1.1.</w:t>
      </w:r>
      <w:r>
        <w:tab/>
      </w:r>
      <w:r>
        <w:rPr>
          <w:noProof/>
        </w:rPr>
        <w:t xml:space="preserve">Název návrhu/podnětu </w:t>
      </w:r>
    </w:p>
    <w:p>
      <w:pPr>
        <w:pStyle w:val="Text1"/>
        <w:rPr>
          <w:noProof/>
        </w:rPr>
      </w:pPr>
      <w:r>
        <w:rPr>
          <w:noProof/>
        </w:rPr>
        <w:t xml:space="preserve">Nařízení Evropského parlamentu a Rady o počítačovém systému pro komunikaci v přeshraničních občanských a trestních řízeních (systém e-CODEX) a o změně nařízení (EU) 2018/1726 </w:t>
      </w:r>
    </w:p>
    <w:p>
      <w:pPr>
        <w:pStyle w:val="ManualHeading2"/>
        <w:rPr>
          <w:noProof/>
        </w:rPr>
      </w:pPr>
      <w:r>
        <w:t>1.2.</w:t>
      </w:r>
      <w:r>
        <w:tab/>
      </w:r>
      <w:r>
        <w:rPr>
          <w:noProof/>
        </w:rPr>
        <w:t xml:space="preserve">Příslušné oblasti politik </w:t>
      </w:r>
      <w:r>
        <w:rPr>
          <w:i/>
          <w:noProof/>
        </w:rPr>
        <w:t>(skupina programů)</w:t>
      </w:r>
    </w:p>
    <w:p>
      <w:pPr>
        <w:pStyle w:val="Text1"/>
        <w:rPr>
          <w:rFonts w:eastAsiaTheme="majorEastAsia"/>
          <w:noProof/>
        </w:rPr>
      </w:pPr>
      <w:r>
        <w:rPr>
          <w:noProof/>
        </w:rPr>
        <w:t>Investice do lidí, sociální soudržnost a hodnoty, spravedlnost, práva a hodnoty</w:t>
      </w:r>
    </w:p>
    <w:p>
      <w:pPr>
        <w:pStyle w:val="ManualHeading2"/>
        <w:rPr>
          <w:noProof/>
        </w:rPr>
      </w:pPr>
      <w:r>
        <w:t>1.3.</w:t>
      </w:r>
      <w:r>
        <w:tab/>
      </w:r>
      <w:r>
        <w:rPr>
          <w:noProof/>
        </w:rPr>
        <w:t xml:space="preserve">Návrh/podnět se týká: </w:t>
      </w:r>
    </w:p>
    <w:p>
      <w:pPr>
        <w:pStyle w:val="Text1"/>
        <w:rPr>
          <w:b/>
          <w:noProof/>
          <w:sz w:val="22"/>
        </w:rPr>
      </w:pPr>
      <w:r>
        <w:rPr>
          <w:b/>
          <w:noProof/>
          <w:sz w:val="22"/>
        </w:rPr>
        <w:sym w:font="Wingdings" w:char="F0A8"/>
      </w:r>
      <w:r>
        <w:rPr>
          <w:b/>
          <w:i/>
          <w:noProof/>
          <w:sz w:val="22"/>
        </w:rPr>
        <w:t xml:space="preserve"> </w:t>
      </w:r>
      <w:r>
        <w:rPr>
          <w:b/>
          <w:noProof/>
        </w:rPr>
        <w:t>nové akce</w:t>
      </w:r>
      <w:r>
        <w:rPr>
          <w:b/>
          <w:noProof/>
          <w:sz w:val="22"/>
        </w:rPr>
        <w:t xml:space="preserve"> </w:t>
      </w:r>
    </w:p>
    <w:p>
      <w:pPr>
        <w:pStyle w:val="Text1"/>
        <w:rPr>
          <w:b/>
          <w:noProof/>
          <w:sz w:val="22"/>
        </w:rPr>
      </w:pPr>
      <w:r>
        <w:rPr>
          <w:b/>
          <w:noProof/>
          <w:sz w:val="22"/>
        </w:rPr>
        <w:sym w:font="Wingdings" w:char="F0A8"/>
      </w:r>
      <w:r>
        <w:rPr>
          <w:b/>
          <w:i/>
          <w:noProof/>
          <w:sz w:val="22"/>
        </w:rPr>
        <w:t xml:space="preserve"> </w:t>
      </w:r>
      <w:r>
        <w:rPr>
          <w:b/>
          <w:noProof/>
        </w:rPr>
        <w:t>nové akce následující po pilotním projektu / přípravné akci</w:t>
      </w:r>
      <w:r>
        <w:rPr>
          <w:rStyle w:val="FootnoteReference"/>
          <w:noProof/>
        </w:rPr>
        <w:footnoteReference w:id="40"/>
      </w:r>
      <w:r>
        <w:rPr>
          <w:b/>
          <w:noProof/>
          <w:sz w:val="22"/>
        </w:rPr>
        <w:t xml:space="preserve"> </w:t>
      </w:r>
    </w:p>
    <w:p>
      <w:pPr>
        <w:pStyle w:val="Text1"/>
        <w:rPr>
          <w:b/>
          <w:noProof/>
          <w:sz w:val="22"/>
        </w:rPr>
      </w:pPr>
      <w:r>
        <w:rPr>
          <w:b/>
          <w:noProof/>
        </w:rPr>
        <w:sym w:font="Wingdings" w:char="F078"/>
      </w:r>
      <w:r>
        <w:rPr>
          <w:b/>
          <w:i/>
          <w:noProof/>
          <w:sz w:val="22"/>
        </w:rPr>
        <w:t xml:space="preserve"> </w:t>
      </w:r>
      <w:r>
        <w:rPr>
          <w:b/>
          <w:noProof/>
        </w:rPr>
        <w:t>prodloužení stávající akce</w:t>
      </w:r>
      <w:r>
        <w:rPr>
          <w:b/>
          <w:noProof/>
          <w:sz w:val="22"/>
        </w:rPr>
        <w:t xml:space="preserve"> </w:t>
      </w:r>
    </w:p>
    <w:p>
      <w:pPr>
        <w:pStyle w:val="Text1"/>
        <w:rPr>
          <w:b/>
          <w:noProof/>
        </w:rPr>
      </w:pPr>
      <w:r>
        <w:rPr>
          <w:b/>
          <w:noProof/>
          <w:sz w:val="22"/>
        </w:rPr>
        <w:sym w:font="Wingdings" w:char="F0A8"/>
      </w:r>
      <w:r>
        <w:rPr>
          <w:b/>
          <w:i/>
          <w:noProof/>
          <w:sz w:val="22"/>
        </w:rPr>
        <w:t xml:space="preserve"> </w:t>
      </w:r>
      <w:r>
        <w:rPr>
          <w:b/>
          <w:noProof/>
        </w:rPr>
        <w:t xml:space="preserve">sloučení jedné či více akcí v jinou/novou akci nebo přesměrování jedné či více akcí na jinou/novou akci </w:t>
      </w:r>
    </w:p>
    <w:p>
      <w:pPr>
        <w:pStyle w:val="ManualHeading2"/>
        <w:rPr>
          <w:noProof/>
        </w:rPr>
      </w:pPr>
      <w:r>
        <w:t>1.4.</w:t>
      </w:r>
      <w:r>
        <w:tab/>
      </w:r>
      <w:r>
        <w:rPr>
          <w:noProof/>
        </w:rPr>
        <w:t xml:space="preserve">Odůvodnění návrhu/podnětu </w:t>
      </w:r>
    </w:p>
    <w:p>
      <w:pPr>
        <w:pStyle w:val="ManualHeading3"/>
        <w:rPr>
          <w:noProof/>
        </w:rPr>
      </w:pPr>
      <w:r>
        <w:t>1.4.1.</w:t>
      </w:r>
      <w:r>
        <w:tab/>
      </w:r>
      <w:r>
        <w:rPr>
          <w:noProof/>
        </w:rPr>
        <w:t>Potřeby, které mají být uspokojeny v krátkodobém nebo dlouhodobém horizontu, včetně podrobného harmonogramu pro zahajovací fázi provádění podnětu</w:t>
      </w:r>
    </w:p>
    <w:p>
      <w:pPr>
        <w:pStyle w:val="Text1"/>
        <w:rPr>
          <w:noProof/>
        </w:rPr>
      </w:pPr>
      <w:r>
        <w:rPr>
          <w:noProof/>
        </w:rPr>
        <w:t>Cílem tohoto právního návrhu je zřídit systém e-CODEX a svěřit agentuře eu</w:t>
      </w:r>
      <w:r>
        <w:rPr>
          <w:noProof/>
        </w:rPr>
        <w:noBreakHyphen/>
        <w:t>LISA (dále jen „agentura“) provozní řízení a další technický vývoj systému v rámci povinností agentury stanovených v článku 6.</w:t>
      </w:r>
    </w:p>
    <w:p>
      <w:pPr>
        <w:pStyle w:val="Text1"/>
        <w:rPr>
          <w:noProof/>
        </w:rPr>
      </w:pPr>
      <w:r>
        <w:rPr>
          <w:noProof/>
        </w:rPr>
        <w:t>Systém e-CODEX vyvinulo 21 členských států EU v letech 2010 až 2016 za účasti dalších zemí/území a organizací. Celkové náklady na vývoj projektu činily přibližně 24 milionů EUR, z čehož 50 % bylo financováno z grantů EU a 50 % zúčastněnými členskými státy. Další 2 miliony EUR byly přiděleny na udržování systému e-CODEX v letech 2016 až 2018 (projekt Me-CODEX) a další 3 miliony EUR byly uvolněny prostřednictvím grantu na údržbu systému v letech 2019 až 2021 (projekt Me-CODEX II). Očekává se, že k předání systému e-CODEX agentuře eu-LISA dojde v první polovině roku 2023. Proto bude zapotřebí další projekt údržby, který pokryje potřebu údržby systému v období 2021–2023.</w:t>
      </w:r>
    </w:p>
    <w:p>
      <w:pPr>
        <w:pStyle w:val="Text1"/>
        <w:rPr>
          <w:noProof/>
        </w:rPr>
      </w:pPr>
      <w:r>
        <w:rPr>
          <w:noProof/>
        </w:rPr>
        <w:t>Systém je a bude nadále provozován jeho uživateli (členskými státy) decentralizovaným způsobem, přičemž každý členský stát provozuje jeden nebo více přístupových bodů systému e-CODEX. Ke zřízení přístupového bodu by členský stát používal softwarové produkty spravované agenturou eu-LISA a obdrží od ní technickou pomoc během fází instalace a konfigurace přístupového bodu. Agentura eu-LISA bude rovněž podporovat provozní zavádění přístupových bodů.</w:t>
      </w:r>
    </w:p>
    <w:p>
      <w:pPr>
        <w:pStyle w:val="Text1"/>
        <w:rPr>
          <w:noProof/>
        </w:rPr>
      </w:pPr>
      <w:r>
        <w:rPr>
          <w:noProof/>
        </w:rPr>
        <w:t>Komise si ponechává svoji s politikou související úlohu při monitorování a řízení práce probíhající v agentuře eu-LISA, přičemž prostřednictvím prováděcích aktů vymezuje vysokoúrovňové prvky systému e-CODEX a pracuje na jeho vytvoření coby zabezpečeného komunikačního kanálu používaného pro justiční spolupráci související se seznamem přeshraničních soudních řízení v EU.</w:t>
      </w:r>
    </w:p>
    <w:p>
      <w:pPr>
        <w:pStyle w:val="Text1"/>
        <w:rPr>
          <w:noProof/>
        </w:rPr>
      </w:pPr>
      <w:r>
        <w:rPr>
          <w:noProof/>
        </w:rPr>
        <w:t>Krátkodobý požadavek: agentura eu-LISA má zahájit činnosti související s plněním úkolů vymezených v článku 6 do 30. června 2023.</w:t>
      </w:r>
    </w:p>
    <w:p>
      <w:pPr>
        <w:pStyle w:val="Text1"/>
        <w:rPr>
          <w:noProof/>
        </w:rPr>
      </w:pPr>
      <w:r>
        <w:rPr>
          <w:noProof/>
        </w:rPr>
        <w:t>Dlouhodobý požadavek: postupné zavádění systému e-CODEX jako hlavního digitálního řešení pro přeshraniční spolupráci mezi justičními orgány a přeshraniční soudní řízení v Evropské unii.</w:t>
      </w:r>
    </w:p>
    <w:p>
      <w:pPr>
        <w:pStyle w:val="ManualHeading3"/>
        <w:rPr>
          <w:noProof/>
        </w:rPr>
      </w:pPr>
      <w:r>
        <w:t>1.4.2.</w:t>
      </w:r>
      <w:r>
        <w:tab/>
      </w:r>
      <w:r>
        <w:rPr>
          <w:noProof/>
        </w:rPr>
        <w:t>Přidaná hodnota ze zapojení Unie (může být důsledkem různých faktorů, např. přínosů z koordinace, právní jistoty, vyšší účinnosti nebo doplňkovosti). Pro účely tohoto bodu se „přidanou hodnotou ze zapojení Unie“ rozumí hodnota plynoucí ze zásahu Unie, jež doplňuje hodnotu, která by jinak vznikla činností samotných členských států.</w:t>
      </w:r>
    </w:p>
    <w:p>
      <w:pPr>
        <w:pStyle w:val="Text1"/>
        <w:rPr>
          <w:noProof/>
        </w:rPr>
      </w:pPr>
      <w:r>
        <w:rPr>
          <w:noProof/>
        </w:rPr>
        <w:t>Důvody pro akci na evropské úrovni (ex ante): Při neexistenci opatření na úrovni EU existuje riziko, že členské státy budou vyvíjet vnitrostátní informační systémy nezávisle, což povede k nedostatečné interoperabilitě mezi nimi. Jediným způsobem, jak dosáhnout interoperabilního systému pro přeshraniční komunikaci mezi justičními orgány, je provozní řízení a další technický vývoj na úrovni EU.</w:t>
      </w:r>
    </w:p>
    <w:p>
      <w:pPr>
        <w:pStyle w:val="Text1"/>
        <w:rPr>
          <w:noProof/>
        </w:rPr>
      </w:pPr>
      <w:r>
        <w:rPr>
          <w:noProof/>
        </w:rPr>
        <w:t xml:space="preserve">Očekávaná vytvořená přidaná hodnota na úrovni Unie (ex post): Pilotní projekty systému e-CODEX prováděné členskými státy jsou dokladem potenciálu systému pro digitalizaci postupů, jako jsou evropské drobné nároky nebo evropský platební rozkaz v oblasti občanského práva, nebo pro výměnu žádostí o vzájemnou právní pomoc a evropských vyšetřovacích příkazů v trestní oblasti. </w:t>
      </w:r>
    </w:p>
    <w:p>
      <w:pPr>
        <w:pStyle w:val="Text1"/>
        <w:rPr>
          <w:noProof/>
        </w:rPr>
      </w:pPr>
      <w:r>
        <w:rPr>
          <w:noProof/>
        </w:rPr>
        <w:t>Systém e-CODEX řízený agenturou eu-LISA přispěje k odstranění omezujících faktorů díky:</w:t>
      </w:r>
    </w:p>
    <w:p>
      <w:pPr>
        <w:pStyle w:val="Text1"/>
        <w:rPr>
          <w:noProof/>
        </w:rPr>
      </w:pPr>
      <w:r>
        <w:rPr>
          <w:noProof/>
        </w:rPr>
        <w:t xml:space="preserve">Poskytnutí záložního řešení, které povede k úsporám z rozsahu, neboť EU bude muset udržovat pouze jedno IT řešení pro bezpečnou přeshraniční komunikaci v soudním prostoru. Očekává se tedy, že se náklady členských států na digitalizaci jejich přeshraničních postupů sníží a stanou se menší překážkou. Pokud členské státy nemají k dispozici nástroje ke splnění systémových požadavků, mohla by EU poskytnout referenční provádění na základě systému e-CODEX. </w:t>
      </w:r>
    </w:p>
    <w:p>
      <w:pPr>
        <w:pStyle w:val="Text1"/>
        <w:rPr>
          <w:noProof/>
        </w:rPr>
      </w:pPr>
      <w:r>
        <w:rPr>
          <w:noProof/>
        </w:rPr>
        <w:t xml:space="preserve">Zavedení systému e-CODEX jako stabilního udržitelného řešení zvýší důvěru členských států v to, že investice do místních systémů, které mají být připojeny k systému e-CODEX, nebudou krátkodobé, a budou tak mít potenciál přinést očekávanou návratnost investic. </w:t>
      </w:r>
    </w:p>
    <w:p>
      <w:pPr>
        <w:pStyle w:val="Text1"/>
        <w:rPr>
          <w:noProof/>
        </w:rPr>
      </w:pPr>
      <w:r>
        <w:rPr>
          <w:noProof/>
        </w:rPr>
        <w:t>Další legislativní návrhy EU týkající se digitalizace soudních řízení by již mohly uvádět e-CODEX jako upřednostňovaný informační systém pro přeshraniční komunikaci, což by usnadnilo pozdější proces zavádění.</w:t>
      </w:r>
    </w:p>
    <w:p>
      <w:pPr>
        <w:pStyle w:val="ManualHeading3"/>
        <w:rPr>
          <w:noProof/>
        </w:rPr>
      </w:pPr>
      <w:r>
        <w:t>1.4.3.</w:t>
      </w:r>
      <w:r>
        <w:tab/>
      </w:r>
      <w:r>
        <w:rPr>
          <w:noProof/>
        </w:rPr>
        <w:t>Závěry vyvozené z podobných zkušeností v minulosti</w:t>
      </w:r>
    </w:p>
    <w:p>
      <w:pPr>
        <w:pStyle w:val="Text1"/>
        <w:rPr>
          <w:noProof/>
        </w:rPr>
      </w:pPr>
      <w:r>
        <w:rPr>
          <w:noProof/>
        </w:rPr>
        <w:t>Bez stabilní a jasně definované struktury řízení a provozního uspořádání se systémy jako e-CODEX, i pokud je všichni účastníci považují za velmi užitečné, nemohou rozvinout nad rámec svého pilotního statusu a poskytnout skutečnou přidanou hodnotu v rámci EU.</w:t>
      </w:r>
    </w:p>
    <w:p>
      <w:pPr>
        <w:pStyle w:val="ManualHeading3"/>
        <w:rPr>
          <w:noProof/>
        </w:rPr>
      </w:pPr>
      <w:r>
        <w:t>1.4.4.</w:t>
      </w:r>
      <w:r>
        <w:tab/>
      </w:r>
      <w:r>
        <w:rPr>
          <w:noProof/>
        </w:rPr>
        <w:t>Soulad a možná synergie s dalšími vhodnými nástroji</w:t>
      </w:r>
    </w:p>
    <w:p>
      <w:pPr>
        <w:pStyle w:val="Text1"/>
        <w:rPr>
          <w:noProof/>
        </w:rPr>
      </w:pPr>
      <w:r>
        <w:rPr>
          <w:noProof/>
        </w:rPr>
        <w:t>Cílem iniciativy je podpořit digitalizaci seznamu právních aktů přijatých v oblasti justiční spolupráce, a to tím, že pomůže vytvořit zabezpečený komunikační kanál mezi příslušnými orgány zapojenými do jejich uplatňování.</w:t>
      </w:r>
    </w:p>
    <w:p>
      <w:pPr>
        <w:pStyle w:val="Text1"/>
        <w:rPr>
          <w:noProof/>
        </w:rPr>
      </w:pPr>
      <w:r>
        <w:rPr>
          <w:noProof/>
        </w:rPr>
        <w:t>Systém e-CODEX je jednou z klíčových složek politiky Komise v oblasti e-justice, jejímž cílem je zlepšit přístup ke spravedlnosti a účinnost soudnictví v členských státech i mezi nimi, a je zahrnut do akčního plánu v oblasti evropské e-justice na období 2019–2023</w:t>
      </w:r>
      <w:r>
        <w:rPr>
          <w:rStyle w:val="FootnoteReference"/>
          <w:noProof/>
        </w:rPr>
        <w:footnoteReference w:id="41"/>
      </w:r>
      <w:r>
        <w:rPr>
          <w:noProof/>
        </w:rPr>
        <w:t>. V souvislosti s jednotným digitálním trhem, jehož cílem je poskytovat vysokorychlostní, bezpečné a důvěryhodné infrastruktury a služby, byla řešení na podporu e-justice součástí akčního plánu pro „eGovernment“ z roku 2016</w:t>
      </w:r>
      <w:r>
        <w:rPr>
          <w:rStyle w:val="FootnoteReference"/>
          <w:noProof/>
        </w:rPr>
        <w:footnoteReference w:id="42"/>
      </w:r>
      <w:r>
        <w:rPr>
          <w:noProof/>
        </w:rPr>
        <w:t>. Portál e-justice, jednotné kontaktní místo pro justiční informace v EU, nabízí občanům členských států, v nichž je elektronický přenos povolen, možnost podávat malé nároky na evropské platební rozkazy elektronicky prostřednictvím systému e-CODEX.</w:t>
      </w:r>
    </w:p>
    <w:p>
      <w:pPr>
        <w:pStyle w:val="Text1"/>
        <w:rPr>
          <w:noProof/>
        </w:rPr>
      </w:pPr>
      <w:r>
        <w:rPr>
          <w:noProof/>
        </w:rPr>
        <w:t>Systém e-CODEX je jednou z infrastruktur digitálních služeb e-justice v rámci programu Nástroj pro propojení Evropy</w:t>
      </w:r>
      <w:r>
        <w:rPr>
          <w:rStyle w:val="FootnoteReference"/>
          <w:noProof/>
        </w:rPr>
        <w:footnoteReference w:id="43"/>
      </w:r>
      <w:r>
        <w:rPr>
          <w:noProof/>
        </w:rPr>
        <w:t xml:space="preserve">. </w:t>
      </w:r>
    </w:p>
    <w:p>
      <w:pPr>
        <w:pStyle w:val="Text1"/>
        <w:rPr>
          <w:noProof/>
        </w:rPr>
      </w:pPr>
      <w:r>
        <w:rPr>
          <w:noProof/>
        </w:rPr>
        <w:t>Kromě toho Komise převzala a udržovala jednu ze složek systému e-CODEX jako součást stavebního prvku eDelivery v rámci Nástroje pro propojení Evropy, což dokládá, že se jedná o užitečný systém nejen pro spravedlnost, ale i pro jiné oblasti.</w:t>
      </w:r>
    </w:p>
    <w:p>
      <w:pPr>
        <w:pStyle w:val="Text1"/>
        <w:rPr>
          <w:noProof/>
        </w:rPr>
      </w:pPr>
      <w:r>
        <w:rPr>
          <w:noProof/>
        </w:rPr>
        <w:t>Systém e-CODEX byl dosud vyvíjen a udržován financováním nebo spolufinancováním ze strany EU. Po přijetí tohoto návrhu již nebude nutné další financování prostřednictvím grantů, což povede k úsporám nákladů pro rozpočet EU.</w:t>
      </w:r>
    </w:p>
    <w:p>
      <w:pPr>
        <w:pStyle w:val="Text1"/>
        <w:rPr>
          <w:noProof/>
          <w:color w:val="0000FF"/>
        </w:rPr>
      </w:pPr>
      <w:r>
        <w:rPr>
          <w:noProof/>
        </w:rPr>
        <w:t>Pokud jde o synergie, tento návrh zajistí, že členské státy EU budou moci těžit z investic, které již byly vynaloženy na vytvoření systému e-CODEX, a rovněž zabrání dalším nákladům na vývoj jiného systému, který by v oblasti soudnictví plnil stejné obchodní potřeby.</w:t>
      </w:r>
    </w:p>
    <w:p>
      <w:pPr>
        <w:pStyle w:val="ManualHeading2"/>
        <w:rPr>
          <w:noProof/>
        </w:rPr>
      </w:pPr>
      <w:r>
        <w:rPr>
          <w:noProof/>
        </w:rPr>
        <w:br w:type="page"/>
      </w:r>
      <w:r>
        <w:t>1.5.</w:t>
      </w:r>
      <w:r>
        <w:tab/>
      </w:r>
      <w:r>
        <w:rPr>
          <w:noProof/>
        </w:rPr>
        <w:t xml:space="preserve">Doba trvání akce a finanční dopad </w:t>
      </w:r>
    </w:p>
    <w:p>
      <w:pPr>
        <w:pStyle w:val="Text1"/>
        <w:rPr>
          <w:b/>
          <w:noProof/>
        </w:rPr>
      </w:pPr>
      <w:r>
        <w:rPr>
          <w:noProof/>
        </w:rPr>
        <w:sym w:font="Wingdings" w:char="F0A8"/>
      </w:r>
      <w:r>
        <w:rPr>
          <w:b/>
          <w:i/>
          <w:noProof/>
        </w:rPr>
        <w:t xml:space="preserve"> </w:t>
      </w:r>
      <w:r>
        <w:rPr>
          <w:b/>
          <w:noProof/>
        </w:rPr>
        <w:t xml:space="preserve">časově omezená doba trvání </w:t>
      </w:r>
    </w:p>
    <w:p>
      <w:pPr>
        <w:pStyle w:val="ListDash2"/>
        <w:rPr>
          <w:noProof/>
        </w:rPr>
      </w:pPr>
      <w:r>
        <w:rPr>
          <w:noProof/>
        </w:rPr>
        <w:sym w:font="Wingdings" w:char="F0A8"/>
      </w:r>
      <w:r>
        <w:rPr>
          <w:noProof/>
        </w:rPr>
        <w:tab/>
        <w:t xml:space="preserve">s platností od [DD.MM.]RRRR do [DD.MM.]RRRR </w:t>
      </w:r>
    </w:p>
    <w:p>
      <w:pPr>
        <w:pStyle w:val="ListDash2"/>
        <w:rPr>
          <w:noProof/>
        </w:rPr>
      </w:pPr>
      <w:r>
        <w:rPr>
          <w:noProof/>
        </w:rPr>
        <w:sym w:font="Wingdings" w:char="F0A8"/>
      </w:r>
      <w:r>
        <w:rPr>
          <w:noProof/>
        </w:rPr>
        <w:tab/>
        <w:t xml:space="preserve">finanční dopad od RRRR do RRRR u prostředků na závazky a od RRRR do RRRR u prostředků na platby. </w:t>
      </w:r>
    </w:p>
    <w:p>
      <w:pPr>
        <w:pStyle w:val="Text1"/>
        <w:rPr>
          <w:b/>
          <w:noProof/>
        </w:rPr>
      </w:pPr>
      <w:r>
        <w:rPr>
          <w:noProof/>
        </w:rPr>
        <w:sym w:font="Wingdings" w:char="F078"/>
      </w:r>
      <w:r>
        <w:rPr>
          <w:b/>
          <w:noProof/>
        </w:rPr>
        <w:t xml:space="preserve"> časově neomezená doba trvání</w:t>
      </w:r>
    </w:p>
    <w:p>
      <w:pPr>
        <w:pStyle w:val="ListDash2"/>
        <w:rPr>
          <w:noProof/>
        </w:rPr>
      </w:pPr>
      <w:r>
        <w:rPr>
          <w:noProof/>
        </w:rPr>
        <w:t>Provádění s obdobím rozběhu od roku 2022 do roku 2023,</w:t>
      </w:r>
    </w:p>
    <w:p>
      <w:pPr>
        <w:pStyle w:val="ListDash2"/>
        <w:rPr>
          <w:noProof/>
        </w:rPr>
      </w:pPr>
      <w:r>
        <w:rPr>
          <w:noProof/>
        </w:rPr>
        <w:t>poté plné fungování.</w:t>
      </w:r>
    </w:p>
    <w:p>
      <w:pPr>
        <w:pStyle w:val="ManualHeading2"/>
        <w:rPr>
          <w:noProof/>
        </w:rPr>
      </w:pPr>
      <w:r>
        <w:t>1.6.</w:t>
      </w:r>
      <w:r>
        <w:tab/>
      </w:r>
      <w:r>
        <w:rPr>
          <w:noProof/>
        </w:rPr>
        <w:t>Předpokládaný způsob řízení</w:t>
      </w:r>
      <w:r>
        <w:rPr>
          <w:rStyle w:val="FootnoteReference"/>
          <w:noProof/>
        </w:rPr>
        <w:footnoteReference w:id="44"/>
      </w:r>
      <w:r>
        <w:rPr>
          <w:noProof/>
          <w:vertAlign w:val="superscript"/>
        </w:rPr>
        <w:t xml:space="preserve"> </w:t>
      </w:r>
    </w:p>
    <w:p>
      <w:pPr>
        <w:pStyle w:val="Text1"/>
        <w:rPr>
          <w:noProof/>
        </w:rPr>
      </w:pPr>
      <w:r>
        <w:rPr>
          <w:noProof/>
        </w:rPr>
        <w:sym w:font="Wingdings" w:char="F0A8"/>
      </w:r>
      <w:r>
        <w:rPr>
          <w:i/>
          <w:noProof/>
        </w:rPr>
        <w:t xml:space="preserve"> </w:t>
      </w:r>
      <w:r>
        <w:rPr>
          <w:b/>
          <w:noProof/>
        </w:rPr>
        <w:t>Přímé řízení</w:t>
      </w:r>
      <w:r>
        <w:rPr>
          <w:noProof/>
        </w:rPr>
        <w:t xml:space="preserve"> Komisí</w:t>
      </w:r>
    </w:p>
    <w:p>
      <w:pPr>
        <w:pStyle w:val="ListDash2"/>
        <w:rPr>
          <w:rFonts w:cs="EUAlbertina"/>
          <w:noProof/>
        </w:rPr>
      </w:pPr>
      <w:r>
        <w:rPr>
          <w:noProof/>
        </w:rPr>
        <w:sym w:font="Wingdings" w:char="F0A8"/>
      </w:r>
      <w:r>
        <w:rPr>
          <w:noProof/>
        </w:rPr>
        <w:t xml:space="preserve"> prostřednictvím jejích útvarů, včetně jejích zaměstnanců v delegacích Unie, </w:t>
      </w:r>
    </w:p>
    <w:p>
      <w:pPr>
        <w:pStyle w:val="ListDash2"/>
        <w:rPr>
          <w:noProof/>
        </w:rPr>
      </w:pPr>
      <w:r>
        <w:rPr>
          <w:noProof/>
        </w:rPr>
        <w:sym w:font="Wingdings" w:char="F0A8"/>
      </w:r>
      <w:r>
        <w:rPr>
          <w:noProof/>
        </w:rPr>
        <w:tab/>
        <w:t xml:space="preserve">prostřednictvím výkonných agentur. </w:t>
      </w:r>
    </w:p>
    <w:p>
      <w:pPr>
        <w:pStyle w:val="Text1"/>
        <w:rPr>
          <w:noProof/>
        </w:rPr>
      </w:pPr>
      <w:r>
        <w:rPr>
          <w:noProof/>
        </w:rPr>
        <w:sym w:font="Wingdings" w:char="F0A8"/>
      </w:r>
      <w:r>
        <w:rPr>
          <w:b/>
          <w:i/>
          <w:noProof/>
        </w:rPr>
        <w:t xml:space="preserve"> </w:t>
      </w:r>
      <w:r>
        <w:rPr>
          <w:b/>
          <w:noProof/>
        </w:rPr>
        <w:t>Sdílené řízení</w:t>
      </w:r>
      <w:r>
        <w:rPr>
          <w:noProof/>
        </w:rPr>
        <w:t xml:space="preserve"> s členskými státy </w:t>
      </w:r>
    </w:p>
    <w:p>
      <w:pPr>
        <w:pStyle w:val="Text1"/>
        <w:rPr>
          <w:noProof/>
        </w:rPr>
      </w:pPr>
      <w:r>
        <w:rPr>
          <w:noProof/>
        </w:rPr>
        <w:sym w:font="Wingdings" w:char="F078"/>
      </w:r>
      <w:r>
        <w:rPr>
          <w:i/>
          <w:noProof/>
        </w:rPr>
        <w:t xml:space="preserve"> </w:t>
      </w:r>
      <w:r>
        <w:rPr>
          <w:b/>
          <w:noProof/>
        </w:rPr>
        <w:t>Nepřímé řízení</w:t>
      </w:r>
      <w:r>
        <w:rPr>
          <w:noProof/>
        </w:rPr>
        <w:t>, při kterém jsou úkoly souvisejícími s plněním rozpočtu pověřeny:</w:t>
      </w:r>
    </w:p>
    <w:p>
      <w:pPr>
        <w:pStyle w:val="ListDash2"/>
        <w:rPr>
          <w:noProof/>
        </w:rPr>
      </w:pPr>
      <w:r>
        <w:rPr>
          <w:noProof/>
        </w:rPr>
        <w:sym w:font="Wingdings" w:char="F0A8"/>
      </w:r>
      <w:r>
        <w:rPr>
          <w:noProof/>
        </w:rPr>
        <w:t xml:space="preserve"> třetí země nebo subjekty určené těmito zeměmi,</w:t>
      </w:r>
    </w:p>
    <w:p>
      <w:pPr>
        <w:pStyle w:val="ListDash2"/>
        <w:rPr>
          <w:noProof/>
        </w:rPr>
      </w:pPr>
      <w:r>
        <w:rPr>
          <w:noProof/>
        </w:rPr>
        <w:sym w:font="Wingdings" w:char="F0A8"/>
      </w:r>
      <w:r>
        <w:rPr>
          <w:noProof/>
        </w:rPr>
        <w:t xml:space="preserve"> mezinárodní organizace a jejich agentury (upřesněte),</w:t>
      </w:r>
    </w:p>
    <w:p>
      <w:pPr>
        <w:pStyle w:val="ListDash2"/>
        <w:rPr>
          <w:noProof/>
        </w:rPr>
      </w:pPr>
      <w:r>
        <w:rPr>
          <w:noProof/>
        </w:rPr>
        <w:sym w:font="Wingdings" w:char="F0A8"/>
      </w:r>
      <w:r>
        <w:rPr>
          <w:noProof/>
        </w:rPr>
        <w:t xml:space="preserve"> EIB a Evropský investiční fond,</w:t>
      </w:r>
    </w:p>
    <w:p>
      <w:pPr>
        <w:pStyle w:val="ListDash2"/>
        <w:rPr>
          <w:noProof/>
        </w:rPr>
      </w:pPr>
      <w:r>
        <w:rPr>
          <w:noProof/>
        </w:rPr>
        <w:sym w:font="Wingdings" w:char="F078"/>
      </w:r>
      <w:r>
        <w:rPr>
          <w:noProof/>
        </w:rPr>
        <w:t xml:space="preserve"> subjekty uvedené v článcích 70 a 71 finančního nařízení,</w:t>
      </w:r>
    </w:p>
    <w:p>
      <w:pPr>
        <w:pStyle w:val="ListDash2"/>
        <w:rPr>
          <w:noProof/>
        </w:rPr>
      </w:pPr>
      <w:r>
        <w:rPr>
          <w:noProof/>
        </w:rPr>
        <w:sym w:font="Wingdings" w:char="F0A8"/>
      </w:r>
      <w:r>
        <w:rPr>
          <w:noProof/>
        </w:rPr>
        <w:t xml:space="preserve"> veřejnoprávní subjekty,</w:t>
      </w:r>
    </w:p>
    <w:p>
      <w:pPr>
        <w:pStyle w:val="ListDash2"/>
        <w:rPr>
          <w:noProof/>
        </w:rPr>
      </w:pPr>
      <w:r>
        <w:rPr>
          <w:noProof/>
        </w:rPr>
        <w:sym w:font="Wingdings" w:char="F0A8"/>
      </w:r>
      <w:r>
        <w:rPr>
          <w:noProof/>
        </w:rPr>
        <w:t xml:space="preserve"> soukromoprávní subjekty pověřené výkonem veřejné služby v rozsahu, v jakém poskytují dostatečné finanční záruky,</w:t>
      </w:r>
    </w:p>
    <w:p>
      <w:pPr>
        <w:pStyle w:val="ListDash2"/>
        <w:rPr>
          <w:noProof/>
        </w:rPr>
      </w:pPr>
      <w:r>
        <w:rPr>
          <w:noProof/>
        </w:rPr>
        <w:sym w:font="Wingdings" w:char="F0A8"/>
      </w:r>
      <w:r>
        <w:rPr>
          <w:noProof/>
        </w:rPr>
        <w:t xml:space="preserve"> soukromoprávní subjekty členského státu pověřené uskutečňováním partnerství soukromého a veřejného sektoru a poskytující dostatečné finanční záruky,</w:t>
      </w:r>
    </w:p>
    <w:p>
      <w:pPr>
        <w:pStyle w:val="ListDash2"/>
        <w:rPr>
          <w:noProof/>
        </w:rPr>
      </w:pPr>
      <w:r>
        <w:rPr>
          <w:noProof/>
        </w:rPr>
        <w:sym w:font="Wingdings" w:char="F0A8"/>
      </w:r>
      <w:r>
        <w:rPr>
          <w:noProof/>
        </w:rPr>
        <w:t xml:space="preserve"> osoby pověřené prováděním specifických akcí v rámci společné zahraniční a bezpečnostní politiky podle hlavy V Smlouvy o EU a určené v příslušném základním právním aktu.</w:t>
      </w:r>
    </w:p>
    <w:p>
      <w:pPr>
        <w:pStyle w:val="ListDash2"/>
        <w:rPr>
          <w:i/>
          <w:noProof/>
          <w:sz w:val="18"/>
          <w:szCs w:val="18"/>
          <w:u w:val="single"/>
        </w:rPr>
      </w:pPr>
      <w:r>
        <w:rPr>
          <w:i/>
          <w:noProof/>
          <w:sz w:val="18"/>
          <w:szCs w:val="18"/>
        </w:rPr>
        <w:t>Pokud vyberete více způsobů řízení, upřesněte je v části „Poznámky“.</w:t>
      </w:r>
    </w:p>
    <w:p>
      <w:pPr>
        <w:rPr>
          <w:noProof/>
        </w:rPr>
      </w:pPr>
      <w:r>
        <w:rPr>
          <w:noProof/>
        </w:rPr>
        <w:t xml:space="preserve">Poznámky </w:t>
      </w:r>
    </w:p>
    <w:p>
      <w:pPr>
        <w:pBdr>
          <w:top w:val="single" w:sz="4" w:space="1" w:color="auto"/>
          <w:left w:val="single" w:sz="4" w:space="4" w:color="auto"/>
          <w:bottom w:val="single" w:sz="4" w:space="1" w:color="auto"/>
          <w:right w:val="single" w:sz="4" w:space="4" w:color="auto"/>
        </w:pBdr>
        <w:rPr>
          <w:noProof/>
        </w:rPr>
      </w:pPr>
      <w:r>
        <w:rPr>
          <w:noProof/>
        </w:rPr>
        <w:t>Agentura eu-LISA zajistí provozní řízení systému e-CODEX ve smyslu článku 6 tohoto nařízení.</w:t>
      </w:r>
    </w:p>
    <w:p>
      <w:pPr>
        <w:rPr>
          <w:noProof/>
        </w:rPr>
        <w:sectPr>
          <w:pgSz w:w="11907" w:h="16840" w:code="9"/>
          <w:pgMar w:top="1134" w:right="1418" w:bottom="1134" w:left="1418" w:header="709" w:footer="709" w:gutter="0"/>
          <w:cols w:space="708"/>
          <w:docGrid w:linePitch="360"/>
        </w:sectPr>
      </w:pPr>
    </w:p>
    <w:p>
      <w:pPr>
        <w:pStyle w:val="ManualHeading1"/>
        <w:rPr>
          <w:noProof/>
        </w:rPr>
      </w:pPr>
      <w:r>
        <w:t>2.</w:t>
      </w:r>
      <w:r>
        <w:tab/>
      </w:r>
      <w:r>
        <w:rPr>
          <w:noProof/>
        </w:rPr>
        <w:t xml:space="preserve">SPRÁVNÍ OPATŘENÍ </w:t>
      </w:r>
    </w:p>
    <w:p>
      <w:pPr>
        <w:pStyle w:val="ManualHeading2"/>
        <w:rPr>
          <w:noProof/>
        </w:rPr>
      </w:pPr>
      <w:r>
        <w:t>2.1.</w:t>
      </w:r>
      <w:r>
        <w:tab/>
      </w:r>
      <w:r>
        <w:rPr>
          <w:noProof/>
        </w:rPr>
        <w:t xml:space="preserve">Pravidla pro sledování a podávání zpráv </w:t>
      </w:r>
    </w:p>
    <w:p>
      <w:pPr>
        <w:pStyle w:val="Text1"/>
        <w:rPr>
          <w:i/>
          <w:noProof/>
          <w:sz w:val="20"/>
          <w:szCs w:val="20"/>
          <w:u w:val="single"/>
        </w:rPr>
      </w:pPr>
      <w:r>
        <w:rPr>
          <w:i/>
          <w:noProof/>
          <w:sz w:val="20"/>
          <w:szCs w:val="20"/>
        </w:rPr>
        <w:t>Upřesněte četnost a podmínky.</w:t>
      </w:r>
    </w:p>
    <w:p>
      <w:pPr>
        <w:pStyle w:val="Text1"/>
        <w:rPr>
          <w:noProof/>
        </w:rPr>
      </w:pPr>
      <w:r>
        <w:rPr>
          <w:noProof/>
        </w:rPr>
        <w:t>Článek 15 nařízení – Monitorování a podávání zpráv – stanoví povinnost agentury podávat Komisi zprávy o svých činnostech souvisejících se systémem e-CODEX.</w:t>
      </w:r>
    </w:p>
    <w:p>
      <w:pPr>
        <w:pStyle w:val="Text1"/>
        <w:rPr>
          <w:noProof/>
        </w:rPr>
      </w:pPr>
      <w:r>
        <w:rPr>
          <w:noProof/>
        </w:rPr>
        <w:t xml:space="preserve">Tento specifický nástroj doplňuje stávající mechanismy stanovené v článku 39 nařízení (EU) 2018/1726, kterým se agentura zřizuje. </w:t>
      </w:r>
    </w:p>
    <w:p>
      <w:pPr>
        <w:pStyle w:val="ManualHeading2"/>
        <w:rPr>
          <w:noProof/>
        </w:rPr>
      </w:pPr>
      <w:r>
        <w:t>2.2.</w:t>
      </w:r>
      <w:r>
        <w:tab/>
      </w:r>
      <w:r>
        <w:rPr>
          <w:noProof/>
        </w:rPr>
        <w:t xml:space="preserve">Systémy řízení a kontroly </w:t>
      </w:r>
    </w:p>
    <w:p>
      <w:pPr>
        <w:pStyle w:val="ManualHeading3"/>
        <w:rPr>
          <w:noProof/>
        </w:rPr>
      </w:pPr>
      <w:r>
        <w:t>2.2.1.</w:t>
      </w:r>
      <w:r>
        <w:tab/>
      </w:r>
      <w:r>
        <w:rPr>
          <w:noProof/>
        </w:rPr>
        <w:t>Odůvodnění navrhovaných způsobů řízení, mechanismů provádění financování, způsobů plateb a kontrolní strategie</w:t>
      </w:r>
    </w:p>
    <w:p>
      <w:pPr>
        <w:pStyle w:val="Text1"/>
        <w:rPr>
          <w:noProof/>
        </w:rPr>
      </w:pPr>
      <w:r>
        <w:rPr>
          <w:noProof/>
        </w:rPr>
        <w:t>Tímto nařízením nejsou dotčeny stávající způsoby řízení, pokud jde o agenturu.</w:t>
      </w:r>
    </w:p>
    <w:p>
      <w:pPr>
        <w:pStyle w:val="ManualHeading3"/>
        <w:rPr>
          <w:noProof/>
        </w:rPr>
      </w:pPr>
      <w:r>
        <w:t>2.2.2.</w:t>
      </w:r>
      <w:r>
        <w:tab/>
      </w:r>
      <w:r>
        <w:rPr>
          <w:noProof/>
        </w:rPr>
        <w:t>Informace o zjištěných rizicích a systémech vnitřní kontroly zřízených k jejich zmírnění</w:t>
      </w:r>
    </w:p>
    <w:p>
      <w:pPr>
        <w:pStyle w:val="Text1"/>
        <w:rPr>
          <w:noProof/>
        </w:rPr>
      </w:pPr>
      <w:r>
        <w:rPr>
          <w:noProof/>
        </w:rPr>
        <w:t>Hlavním rizikem v krátkodobém horizontu je to, zda je agentura eu-LISA schopna včas plnit další úkoly vyplývající z tohoto nařízení s ohledem na její současné přednostní úkoly týkající se vývoje a správy Systému vstupu/výstupu (EES), evropského systému pro cestovní informace a povolení (ETIAS), Evropského informačního systému rejstříků trestů pro státní příslušníky třetích zemí (ECRIS-TCN), modernizovaného Schengenského informačního systému (SIS), Vízového informačního systému (VIS) a Eurodacu.</w:t>
      </w:r>
    </w:p>
    <w:p>
      <w:pPr>
        <w:pStyle w:val="Text1"/>
        <w:rPr>
          <w:noProof/>
        </w:rPr>
      </w:pPr>
      <w:r>
        <w:rPr>
          <w:noProof/>
        </w:rPr>
        <w:t>Toto riziko je zmírněno odložením ukončení fáze předání systému e-CODEX agentuře eu-LISA do 1. července 2023 a tím, že rozsah předání navržený podle tohoto nařízení je poměrně malý a zdroje nejsou sdíleny s těmi, které se týkají jiných probíhajících právních návrhů, a jsou na nich nezávislé.</w:t>
      </w:r>
    </w:p>
    <w:p>
      <w:pPr>
        <w:pStyle w:val="ManualHeading3"/>
        <w:rPr>
          <w:noProof/>
        </w:rPr>
      </w:pPr>
      <w:r>
        <w:t>2.2.3.</w:t>
      </w:r>
      <w:r>
        <w:tab/>
      </w:r>
      <w:r>
        <w:rPr>
          <w:noProof/>
        </w:rPr>
        <w:t>Předpokládané metody kontroly</w:t>
      </w:r>
    </w:p>
    <w:p>
      <w:pPr>
        <w:pStyle w:val="Text1"/>
        <w:rPr>
          <w:noProof/>
        </w:rPr>
      </w:pPr>
      <w:r>
        <w:rPr>
          <w:noProof/>
        </w:rPr>
        <w:t>Jako agentura Unie uplatňuje agentura eu-LISA odpovídající horizontální kontrolní metody decentralizovaných agentur.</w:t>
      </w:r>
    </w:p>
    <w:p>
      <w:pPr>
        <w:pStyle w:val="Text1"/>
        <w:rPr>
          <w:noProof/>
        </w:rPr>
      </w:pPr>
      <w:r>
        <w:rPr>
          <w:noProof/>
        </w:rPr>
        <w:t>Finanční předpisy pro agenturu eu-LISA, které jsou založeny na rámcovém finančním nařízení pro agentury, stanoví jmenování vnitřního auditora a požadavky na vnitřní audit.</w:t>
      </w:r>
    </w:p>
    <w:p>
      <w:pPr>
        <w:pStyle w:val="Text1"/>
        <w:rPr>
          <w:noProof/>
        </w:rPr>
      </w:pPr>
      <w:r>
        <w:rPr>
          <w:noProof/>
        </w:rPr>
        <w:t>Každý prováděcí akt, kterým se rozšiřují soudní řízení, na něž se vztahuje e-CODEX, zahrnuje revidovaný legislativní finanční výkaz, který zajistí přidělení řádných finančních a lidských zdrojů agentuře eu-LISA.</w:t>
      </w:r>
    </w:p>
    <w:p>
      <w:pPr>
        <w:pStyle w:val="Text1"/>
        <w:rPr>
          <w:noProof/>
        </w:rPr>
      </w:pPr>
      <w:r>
        <w:rPr>
          <w:noProof/>
        </w:rPr>
        <w:t>Agentura eu-LISA provádí rámec vnitřní kontroly založený na rámci vnitřní kontroly Evropské komise a na integrovaném rámci vnitřní kontroly Výboru sponzorských organizací. Jednotný programový dokument musí poskytovat informace o systémech vnitřní kontroly, zatímco souhrnná výroční zpráva o činnosti musí obsahovat informace o účinnosti a účelnosti systémů vnitřní kontroly, a to i pokud jde o posouzení rizik.</w:t>
      </w:r>
    </w:p>
    <w:p>
      <w:pPr>
        <w:pStyle w:val="Text1"/>
        <w:rPr>
          <w:noProof/>
        </w:rPr>
      </w:pPr>
      <w:r>
        <w:rPr>
          <w:noProof/>
        </w:rPr>
        <w:t>Interní dohled zajišťuje rovněž oddělení interního auditu agentury eu-LISA, a to na základě ročního plánu auditu, zejména s přihlédnutím k posouzení rizik v agentuře.</w:t>
      </w:r>
    </w:p>
    <w:p>
      <w:pPr>
        <w:pStyle w:val="ManualHeading3"/>
        <w:rPr>
          <w:noProof/>
        </w:rPr>
      </w:pPr>
      <w:r>
        <w:t>2.2.4.</w:t>
      </w:r>
      <w:r>
        <w:tab/>
      </w:r>
      <w:r>
        <w:rPr>
          <w:noProof/>
        </w:rPr>
        <w:t xml:space="preserve">Odhad a odůvodnění nákladové efektivnosti kontrol (poměr „náklady na kontroly ÷ hodnota souvisejících spravovaných finančních prostředků“) a posouzení očekávané míry rizika výskytu chyb (při platbě a při uzávěrce) </w:t>
      </w:r>
    </w:p>
    <w:p>
      <w:pPr>
        <w:pStyle w:val="Text1"/>
        <w:rPr>
          <w:noProof/>
        </w:rPr>
      </w:pPr>
      <w:r>
        <w:rPr>
          <w:noProof/>
        </w:rPr>
        <w:t>Toto nařízení nemá vliv na nákladovou efektivnost stávajících kontrol, pokud jde o agenturu.</w:t>
      </w:r>
    </w:p>
    <w:p>
      <w:pPr>
        <w:pStyle w:val="ManualHeading2"/>
        <w:rPr>
          <w:noProof/>
        </w:rPr>
      </w:pPr>
      <w:r>
        <w:t>2.3.</w:t>
      </w:r>
      <w:r>
        <w:tab/>
      </w:r>
      <w:r>
        <w:rPr>
          <w:noProof/>
        </w:rPr>
        <w:t xml:space="preserve">Opatření k zamezení podvodů a nesrovnalostí </w:t>
      </w:r>
    </w:p>
    <w:p>
      <w:pPr>
        <w:pStyle w:val="Text1"/>
        <w:rPr>
          <w:i/>
          <w:noProof/>
          <w:sz w:val="20"/>
          <w:szCs w:val="20"/>
        </w:rPr>
      </w:pPr>
      <w:r>
        <w:rPr>
          <w:i/>
          <w:noProof/>
          <w:sz w:val="20"/>
          <w:szCs w:val="20"/>
        </w:rPr>
        <w:t>Upřesněte stávající či předpokládaná preventivní a ochranná opatření, např. opatření uvedená ve strategii pro boj proti podvodům.</w:t>
      </w:r>
    </w:p>
    <w:p>
      <w:pPr>
        <w:pStyle w:val="Text1"/>
        <w:rPr>
          <w:noProof/>
        </w:rPr>
      </w:pPr>
      <w:r>
        <w:rPr>
          <w:noProof/>
        </w:rPr>
        <w:t xml:space="preserve">Jako agentura Unie uplatňuje agentura eu-LISA odpovídající horizontální opatření k předcházení podvodům, </w:t>
      </w:r>
      <w:r>
        <w:rPr>
          <w:noProof/>
          <w:color w:val="000000"/>
          <w:shd w:val="clear" w:color="auto" w:fill="FFFFFF"/>
        </w:rPr>
        <w:t>korupci a jiným protiprávním činnostem</w:t>
      </w:r>
      <w:r>
        <w:rPr>
          <w:noProof/>
        </w:rPr>
        <w:t>, jak je stanoveno v článku 50 nařízení (EU) 2018/1726.</w:t>
      </w:r>
    </w:p>
    <w:p>
      <w:pPr>
        <w:pStyle w:val="ManualHeading1"/>
        <w:rPr>
          <w:noProof/>
        </w:rPr>
      </w:pPr>
      <w:r>
        <w:t>3.</w:t>
      </w:r>
      <w:r>
        <w:tab/>
      </w:r>
      <w:r>
        <w:rPr>
          <w:noProof/>
        </w:rPr>
        <w:t xml:space="preserve">ODHADOVANÝ FINANČNÍ DOPAD NÁVRHU/PODNĚTU </w:t>
      </w:r>
    </w:p>
    <w:p>
      <w:pPr>
        <w:pStyle w:val="ManualHeading2"/>
        <w:rPr>
          <w:noProof/>
        </w:rPr>
      </w:pPr>
      <w:r>
        <w:t>3.1.</w:t>
      </w:r>
      <w:r>
        <w:tab/>
      </w:r>
      <w:r>
        <w:rPr>
          <w:noProof/>
        </w:rPr>
        <w:t xml:space="preserve">Okruh víceletého finančního rámce a nově navržené výdajové rozpočtové položky </w:t>
      </w:r>
    </w:p>
    <w:tbl>
      <w:tblPr>
        <w:tblW w:w="101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8"/>
        <w:gridCol w:w="3808"/>
        <w:gridCol w:w="1038"/>
        <w:gridCol w:w="919"/>
        <w:gridCol w:w="1038"/>
        <w:gridCol w:w="919"/>
        <w:gridCol w:w="1393"/>
      </w:tblGrid>
      <w:tr>
        <w:trPr>
          <w:trHeight w:val="421"/>
        </w:trPr>
        <w:tc>
          <w:tcPr>
            <w:tcW w:w="1038" w:type="dxa"/>
            <w:vMerge w:val="restart"/>
            <w:vAlign w:val="center"/>
          </w:tcPr>
          <w:p>
            <w:pPr>
              <w:spacing w:before="60" w:after="60"/>
              <w:jc w:val="center"/>
              <w:rPr>
                <w:noProof/>
              </w:rPr>
            </w:pPr>
            <w:r>
              <w:rPr>
                <w:noProof/>
                <w:sz w:val="18"/>
                <w:szCs w:val="18"/>
              </w:rPr>
              <w:t>Okruh víceletého finančního rámce</w:t>
            </w:r>
          </w:p>
        </w:tc>
        <w:tc>
          <w:tcPr>
            <w:tcW w:w="3808" w:type="dxa"/>
            <w:vAlign w:val="center"/>
          </w:tcPr>
          <w:p>
            <w:pPr>
              <w:spacing w:before="60" w:after="60"/>
              <w:jc w:val="center"/>
              <w:rPr>
                <w:noProof/>
              </w:rPr>
            </w:pPr>
            <w:r>
              <w:rPr>
                <w:noProof/>
                <w:sz w:val="20"/>
                <w:szCs w:val="20"/>
              </w:rPr>
              <w:t>Rozpočtová položka</w:t>
            </w:r>
          </w:p>
        </w:tc>
        <w:tc>
          <w:tcPr>
            <w:tcW w:w="1038" w:type="dxa"/>
            <w:vAlign w:val="center"/>
          </w:tcPr>
          <w:p>
            <w:pPr>
              <w:spacing w:before="60" w:after="60"/>
              <w:jc w:val="center"/>
              <w:rPr>
                <w:noProof/>
              </w:rPr>
            </w:pPr>
            <w:r>
              <w:rPr>
                <w:noProof/>
                <w:sz w:val="18"/>
                <w:szCs w:val="18"/>
              </w:rPr>
              <w:t>Type of Druh výdajů</w:t>
            </w:r>
          </w:p>
        </w:tc>
        <w:tc>
          <w:tcPr>
            <w:tcW w:w="4269" w:type="dxa"/>
            <w:gridSpan w:val="4"/>
            <w:vAlign w:val="center"/>
          </w:tcPr>
          <w:p>
            <w:pPr>
              <w:spacing w:before="60" w:after="60"/>
              <w:jc w:val="center"/>
              <w:rPr>
                <w:noProof/>
              </w:rPr>
            </w:pPr>
            <w:r>
              <w:rPr>
                <w:noProof/>
                <w:sz w:val="20"/>
                <w:szCs w:val="20"/>
              </w:rPr>
              <w:t xml:space="preserve">Příspěvek </w:t>
            </w:r>
          </w:p>
        </w:tc>
      </w:tr>
      <w:tr>
        <w:trPr>
          <w:trHeight w:val="1060"/>
        </w:trPr>
        <w:tc>
          <w:tcPr>
            <w:tcW w:w="1038" w:type="dxa"/>
            <w:vMerge/>
            <w:vAlign w:val="center"/>
          </w:tcPr>
          <w:p>
            <w:pPr>
              <w:jc w:val="center"/>
              <w:rPr>
                <w:noProof/>
              </w:rPr>
            </w:pPr>
          </w:p>
        </w:tc>
        <w:tc>
          <w:tcPr>
            <w:tcW w:w="3808" w:type="dxa"/>
            <w:vAlign w:val="center"/>
          </w:tcPr>
          <w:p>
            <w:pPr>
              <w:rPr>
                <w:noProof/>
              </w:rPr>
            </w:pPr>
            <w:r>
              <w:rPr>
                <w:noProof/>
                <w:sz w:val="20"/>
                <w:szCs w:val="20"/>
              </w:rPr>
              <w:t xml:space="preserve">Číslo </w:t>
            </w:r>
            <w:r>
              <w:rPr>
                <w:noProof/>
                <w:sz w:val="22"/>
              </w:rPr>
              <w:br/>
              <w:t>[…]</w:t>
            </w:r>
            <w:r>
              <w:rPr>
                <w:noProof/>
                <w:sz w:val="20"/>
                <w:szCs w:val="20"/>
              </w:rPr>
              <w:t>[Okruh………………………...……………]</w:t>
            </w:r>
          </w:p>
        </w:tc>
        <w:tc>
          <w:tcPr>
            <w:tcW w:w="1038" w:type="dxa"/>
            <w:vAlign w:val="center"/>
          </w:tcPr>
          <w:p>
            <w:pPr>
              <w:jc w:val="center"/>
              <w:rPr>
                <w:noProof/>
              </w:rPr>
            </w:pPr>
            <w:r>
              <w:rPr>
                <w:noProof/>
                <w:sz w:val="18"/>
                <w:szCs w:val="18"/>
              </w:rPr>
              <w:t>RP/NRP</w:t>
            </w:r>
            <w:r>
              <w:rPr>
                <w:rStyle w:val="FootnoteReference"/>
                <w:noProof/>
              </w:rPr>
              <w:footnoteReference w:id="45"/>
            </w:r>
          </w:p>
        </w:tc>
        <w:tc>
          <w:tcPr>
            <w:tcW w:w="919" w:type="dxa"/>
            <w:vAlign w:val="center"/>
          </w:tcPr>
          <w:p>
            <w:pPr>
              <w:jc w:val="center"/>
              <w:rPr>
                <w:noProof/>
              </w:rPr>
            </w:pPr>
            <w:r>
              <w:rPr>
                <w:noProof/>
                <w:sz w:val="18"/>
                <w:szCs w:val="18"/>
              </w:rPr>
              <w:t>zemí ESVO</w:t>
            </w:r>
            <w:r>
              <w:rPr>
                <w:rStyle w:val="FootnoteReference"/>
                <w:noProof/>
              </w:rPr>
              <w:footnoteReference w:id="46"/>
            </w:r>
          </w:p>
          <w:p>
            <w:pPr>
              <w:spacing w:before="0" w:after="0"/>
              <w:jc w:val="center"/>
              <w:rPr>
                <w:b/>
                <w:noProof/>
                <w:sz w:val="18"/>
              </w:rPr>
            </w:pPr>
          </w:p>
        </w:tc>
        <w:tc>
          <w:tcPr>
            <w:tcW w:w="1038" w:type="dxa"/>
            <w:vAlign w:val="center"/>
          </w:tcPr>
          <w:p>
            <w:pPr>
              <w:jc w:val="center"/>
              <w:rPr>
                <w:noProof/>
              </w:rPr>
            </w:pPr>
            <w:r>
              <w:rPr>
                <w:noProof/>
                <w:sz w:val="18"/>
                <w:szCs w:val="18"/>
              </w:rPr>
              <w:t>kandidátských zemí</w:t>
            </w:r>
            <w:r>
              <w:rPr>
                <w:rStyle w:val="FootnoteReference"/>
                <w:noProof/>
              </w:rPr>
              <w:footnoteReference w:id="47"/>
            </w:r>
          </w:p>
          <w:p>
            <w:pPr>
              <w:spacing w:before="0" w:after="0"/>
              <w:jc w:val="center"/>
              <w:rPr>
                <w:noProof/>
                <w:sz w:val="18"/>
              </w:rPr>
            </w:pPr>
          </w:p>
        </w:tc>
        <w:tc>
          <w:tcPr>
            <w:tcW w:w="919" w:type="dxa"/>
            <w:vAlign w:val="center"/>
          </w:tcPr>
          <w:p>
            <w:pPr>
              <w:jc w:val="center"/>
              <w:rPr>
                <w:noProof/>
                <w:sz w:val="18"/>
                <w:szCs w:val="18"/>
              </w:rPr>
            </w:pPr>
            <w:r>
              <w:rPr>
                <w:noProof/>
                <w:sz w:val="18"/>
                <w:szCs w:val="18"/>
              </w:rPr>
              <w:t>třetích zemí</w:t>
            </w:r>
          </w:p>
        </w:tc>
        <w:tc>
          <w:tcPr>
            <w:tcW w:w="1392" w:type="dxa"/>
            <w:vAlign w:val="center"/>
          </w:tcPr>
          <w:p>
            <w:pPr>
              <w:jc w:val="center"/>
              <w:rPr>
                <w:noProof/>
              </w:rPr>
            </w:pPr>
            <w:r>
              <w:rPr>
                <w:noProof/>
                <w:sz w:val="16"/>
                <w:szCs w:val="16"/>
              </w:rPr>
              <w:t xml:space="preserve">ve smyslu čl. [21 odst. 2 písm. b)] finančního nařízení </w:t>
            </w:r>
          </w:p>
        </w:tc>
      </w:tr>
      <w:tr>
        <w:trPr>
          <w:trHeight w:val="673"/>
        </w:trPr>
        <w:tc>
          <w:tcPr>
            <w:tcW w:w="1038" w:type="dxa"/>
            <w:vAlign w:val="center"/>
          </w:tcPr>
          <w:p>
            <w:pPr>
              <w:jc w:val="center"/>
              <w:rPr>
                <w:noProof/>
              </w:rPr>
            </w:pPr>
            <w:r>
              <w:rPr>
                <w:noProof/>
              </w:rPr>
              <w:t>2</w:t>
            </w:r>
          </w:p>
        </w:tc>
        <w:tc>
          <w:tcPr>
            <w:tcW w:w="3808" w:type="dxa"/>
            <w:vAlign w:val="center"/>
          </w:tcPr>
          <w:p>
            <w:pPr>
              <w:spacing w:before="60"/>
              <w:rPr>
                <w:noProof/>
              </w:rPr>
            </w:pPr>
            <w:r>
              <w:rPr>
                <w:noProof/>
              </w:rPr>
              <w:t>07 07</w:t>
            </w:r>
          </w:p>
          <w:p>
            <w:pPr>
              <w:spacing w:before="60"/>
              <w:rPr>
                <w:noProof/>
              </w:rPr>
            </w:pPr>
            <w:r>
              <w:rPr>
                <w:noProof/>
              </w:rPr>
              <w:t>Spravedlnost</w:t>
            </w:r>
          </w:p>
        </w:tc>
        <w:tc>
          <w:tcPr>
            <w:tcW w:w="1038" w:type="dxa"/>
            <w:vAlign w:val="center"/>
          </w:tcPr>
          <w:p>
            <w:pPr>
              <w:jc w:val="center"/>
              <w:rPr>
                <w:noProof/>
                <w:color w:val="0000FF"/>
              </w:rPr>
            </w:pPr>
            <w:r>
              <w:rPr>
                <w:noProof/>
                <w:sz w:val="22"/>
              </w:rPr>
              <w:t>NRP</w:t>
            </w:r>
          </w:p>
        </w:tc>
        <w:tc>
          <w:tcPr>
            <w:tcW w:w="919" w:type="dxa"/>
            <w:vAlign w:val="center"/>
          </w:tcPr>
          <w:p>
            <w:pPr>
              <w:jc w:val="center"/>
              <w:rPr>
                <w:noProof/>
              </w:rPr>
            </w:pPr>
            <w:r>
              <w:rPr>
                <w:noProof/>
                <w:sz w:val="22"/>
              </w:rPr>
              <w:t>NE</w:t>
            </w:r>
          </w:p>
        </w:tc>
        <w:tc>
          <w:tcPr>
            <w:tcW w:w="1038" w:type="dxa"/>
            <w:vAlign w:val="center"/>
          </w:tcPr>
          <w:p>
            <w:pPr>
              <w:jc w:val="center"/>
              <w:rPr>
                <w:noProof/>
              </w:rPr>
            </w:pPr>
            <w:r>
              <w:rPr>
                <w:noProof/>
                <w:sz w:val="22"/>
              </w:rPr>
              <w:t>NE</w:t>
            </w:r>
          </w:p>
        </w:tc>
        <w:tc>
          <w:tcPr>
            <w:tcW w:w="919" w:type="dxa"/>
            <w:vAlign w:val="center"/>
          </w:tcPr>
          <w:p>
            <w:pPr>
              <w:jc w:val="center"/>
              <w:rPr>
                <w:noProof/>
              </w:rPr>
            </w:pPr>
            <w:r>
              <w:rPr>
                <w:noProof/>
                <w:sz w:val="22"/>
              </w:rPr>
              <w:t>NE</w:t>
            </w:r>
          </w:p>
        </w:tc>
        <w:tc>
          <w:tcPr>
            <w:tcW w:w="1392" w:type="dxa"/>
            <w:vAlign w:val="center"/>
          </w:tcPr>
          <w:p>
            <w:pPr>
              <w:jc w:val="center"/>
              <w:rPr>
                <w:noProof/>
              </w:rPr>
            </w:pPr>
            <w:r>
              <w:rPr>
                <w:noProof/>
                <w:sz w:val="22"/>
              </w:rPr>
              <w:t>NE</w:t>
            </w:r>
          </w:p>
        </w:tc>
      </w:tr>
      <w:tr>
        <w:trPr>
          <w:trHeight w:val="908"/>
        </w:trPr>
        <w:tc>
          <w:tcPr>
            <w:tcW w:w="1038" w:type="dxa"/>
            <w:vAlign w:val="center"/>
          </w:tcPr>
          <w:p>
            <w:pPr>
              <w:jc w:val="center"/>
              <w:rPr>
                <w:noProof/>
              </w:rPr>
            </w:pPr>
            <w:r>
              <w:rPr>
                <w:noProof/>
              </w:rPr>
              <w:t>7</w:t>
            </w:r>
          </w:p>
        </w:tc>
        <w:tc>
          <w:tcPr>
            <w:tcW w:w="3808" w:type="dxa"/>
            <w:vAlign w:val="center"/>
          </w:tcPr>
          <w:p>
            <w:pPr>
              <w:spacing w:before="60"/>
              <w:rPr>
                <w:noProof/>
              </w:rPr>
            </w:pPr>
            <w:r>
              <w:rPr>
                <w:noProof/>
              </w:rPr>
              <w:t>20 01</w:t>
            </w:r>
          </w:p>
          <w:p>
            <w:pPr>
              <w:spacing w:before="60"/>
              <w:rPr>
                <w:noProof/>
              </w:rPr>
            </w:pPr>
            <w:r>
              <w:rPr>
                <w:noProof/>
              </w:rPr>
              <w:t>Správní výdaje Komise</w:t>
            </w:r>
          </w:p>
        </w:tc>
        <w:tc>
          <w:tcPr>
            <w:tcW w:w="1038" w:type="dxa"/>
            <w:vAlign w:val="center"/>
          </w:tcPr>
          <w:p>
            <w:pPr>
              <w:jc w:val="center"/>
              <w:rPr>
                <w:noProof/>
                <w:sz w:val="22"/>
              </w:rPr>
            </w:pPr>
            <w:r>
              <w:rPr>
                <w:noProof/>
                <w:sz w:val="22"/>
              </w:rPr>
              <w:t>NRP</w:t>
            </w:r>
          </w:p>
        </w:tc>
        <w:tc>
          <w:tcPr>
            <w:tcW w:w="919" w:type="dxa"/>
            <w:vAlign w:val="center"/>
          </w:tcPr>
          <w:p>
            <w:pPr>
              <w:jc w:val="center"/>
              <w:rPr>
                <w:noProof/>
                <w:sz w:val="22"/>
              </w:rPr>
            </w:pPr>
            <w:r>
              <w:rPr>
                <w:noProof/>
                <w:sz w:val="22"/>
              </w:rPr>
              <w:t>NE</w:t>
            </w:r>
          </w:p>
        </w:tc>
        <w:tc>
          <w:tcPr>
            <w:tcW w:w="1038" w:type="dxa"/>
            <w:vAlign w:val="center"/>
          </w:tcPr>
          <w:p>
            <w:pPr>
              <w:jc w:val="center"/>
              <w:rPr>
                <w:noProof/>
                <w:sz w:val="22"/>
              </w:rPr>
            </w:pPr>
            <w:r>
              <w:rPr>
                <w:noProof/>
                <w:sz w:val="22"/>
              </w:rPr>
              <w:t>NE</w:t>
            </w:r>
          </w:p>
        </w:tc>
        <w:tc>
          <w:tcPr>
            <w:tcW w:w="919" w:type="dxa"/>
            <w:vAlign w:val="center"/>
          </w:tcPr>
          <w:p>
            <w:pPr>
              <w:jc w:val="center"/>
              <w:rPr>
                <w:noProof/>
                <w:sz w:val="22"/>
              </w:rPr>
            </w:pPr>
            <w:r>
              <w:rPr>
                <w:noProof/>
                <w:sz w:val="22"/>
              </w:rPr>
              <w:t>NE</w:t>
            </w:r>
          </w:p>
        </w:tc>
        <w:tc>
          <w:tcPr>
            <w:tcW w:w="1392" w:type="dxa"/>
            <w:vAlign w:val="center"/>
          </w:tcPr>
          <w:p>
            <w:pPr>
              <w:jc w:val="center"/>
              <w:rPr>
                <w:noProof/>
                <w:sz w:val="22"/>
              </w:rPr>
            </w:pPr>
            <w:r>
              <w:rPr>
                <w:noProof/>
                <w:sz w:val="22"/>
              </w:rPr>
              <w:t>NE</w:t>
            </w:r>
          </w:p>
        </w:tc>
      </w:tr>
    </w:tbl>
    <w:p>
      <w:pPr>
        <w:rPr>
          <w:noProof/>
        </w:rPr>
        <w:sectPr>
          <w:pgSz w:w="11907" w:h="16840" w:code="1"/>
          <w:pgMar w:top="1134" w:right="1418" w:bottom="1134" w:left="1418" w:header="709" w:footer="709" w:gutter="0"/>
          <w:cols w:space="708"/>
          <w:docGrid w:linePitch="360"/>
        </w:sectPr>
      </w:pPr>
    </w:p>
    <w:p>
      <w:pPr>
        <w:pStyle w:val="ManualHeading2"/>
        <w:rPr>
          <w:noProof/>
        </w:rPr>
      </w:pPr>
      <w:r>
        <w:t>3.2.</w:t>
      </w:r>
      <w:r>
        <w:tab/>
      </w:r>
      <w:r>
        <w:rPr>
          <w:noProof/>
        </w:rPr>
        <w:t xml:space="preserve">Odhadovaný dopad na výdaje </w:t>
      </w:r>
    </w:p>
    <w:p>
      <w:pPr>
        <w:pStyle w:val="ManualHeading3"/>
        <w:rPr>
          <w:bCs/>
          <w:noProof/>
          <w:u w:val="single"/>
        </w:rPr>
      </w:pPr>
      <w:r>
        <w:t>3.2.1.</w:t>
      </w:r>
      <w:r>
        <w:tab/>
      </w:r>
      <w:r>
        <w:rPr>
          <w:noProof/>
        </w:rPr>
        <w:t xml:space="preserve">Odhadovaný souhrnný dopad na výdaje </w:t>
      </w:r>
    </w:p>
    <w:p>
      <w:pPr>
        <w:jc w:val="right"/>
        <w:rPr>
          <w:noProof/>
          <w:sz w:val="20"/>
          <w:szCs w:val="20"/>
        </w:rPr>
      </w:pPr>
      <w:r>
        <w:rPr>
          <w:noProof/>
          <w:sz w:val="20"/>
          <w:szCs w:val="20"/>
        </w:rPr>
        <w:t>v milionech EUR (zaokrouhleno na tři desetinná místa)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clear" w:color="auto" w:fill="auto"/>
            <w:vAlign w:val="center"/>
          </w:tcPr>
          <w:p>
            <w:pPr>
              <w:spacing w:before="60" w:after="60"/>
              <w:jc w:val="center"/>
              <w:rPr>
                <w:b/>
                <w:noProof/>
              </w:rPr>
            </w:pPr>
            <w:r>
              <w:rPr>
                <w:b/>
                <w:noProof/>
                <w:sz w:val="22"/>
              </w:rPr>
              <w:t xml:space="preserve">Okruh víceletého finančního </w:t>
            </w:r>
            <w:r>
              <w:rPr>
                <w:noProof/>
                <w:sz w:val="22"/>
              </w:rPr>
              <w:br/>
            </w:r>
            <w:r>
              <w:rPr>
                <w:b/>
                <w:noProof/>
                <w:sz w:val="22"/>
              </w:rPr>
              <w:t xml:space="preserve">rámce </w:t>
            </w:r>
          </w:p>
        </w:tc>
        <w:tc>
          <w:tcPr>
            <w:tcW w:w="1080" w:type="dxa"/>
            <w:vAlign w:val="center"/>
          </w:tcPr>
          <w:p>
            <w:pPr>
              <w:spacing w:before="60" w:after="60"/>
              <w:jc w:val="center"/>
              <w:rPr>
                <w:noProof/>
              </w:rPr>
            </w:pPr>
            <w:r>
              <w:rPr>
                <w:b/>
                <w:noProof/>
                <w:sz w:val="22"/>
              </w:rPr>
              <w:t>2</w:t>
            </w:r>
          </w:p>
        </w:tc>
        <w:tc>
          <w:tcPr>
            <w:tcW w:w="7817" w:type="dxa"/>
            <w:vAlign w:val="center"/>
          </w:tcPr>
          <w:p>
            <w:pPr>
              <w:spacing w:before="60" w:after="60"/>
              <w:rPr>
                <w:noProof/>
              </w:rPr>
            </w:pPr>
            <w:r>
              <w:rPr>
                <w:noProof/>
                <w:sz w:val="22"/>
              </w:rPr>
              <w:t>„Soudržnost a hodnoty“</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szCs w:val="20"/>
              </w:rPr>
            </w:pPr>
            <w:r>
              <w:rPr>
                <w:b/>
                <w:noProof/>
                <w:sz w:val="20"/>
                <w:szCs w:val="20"/>
              </w:rPr>
              <w:t>eu-LISA</w:t>
            </w:r>
          </w:p>
        </w:tc>
        <w:tc>
          <w:tcPr>
            <w:tcW w:w="868" w:type="dxa"/>
            <w:tcBorders>
              <w:left w:val="single" w:sz="4" w:space="0" w:color="auto"/>
            </w:tcBorders>
            <w:vAlign w:val="center"/>
          </w:tcPr>
          <w:p>
            <w:pPr>
              <w:jc w:val="center"/>
              <w:rPr>
                <w:b/>
                <w:noProof/>
                <w:sz w:val="20"/>
                <w:szCs w:val="20"/>
              </w:rPr>
            </w:pPr>
            <w:r>
              <w:rPr>
                <w:b/>
                <w:noProof/>
                <w:sz w:val="20"/>
                <w:szCs w:val="20"/>
              </w:rPr>
              <w:t>2021</w:t>
            </w:r>
          </w:p>
        </w:tc>
        <w:tc>
          <w:tcPr>
            <w:tcW w:w="868" w:type="dxa"/>
            <w:vAlign w:val="center"/>
          </w:tcPr>
          <w:p>
            <w:pPr>
              <w:jc w:val="center"/>
              <w:rPr>
                <w:b/>
                <w:noProof/>
                <w:sz w:val="20"/>
                <w:szCs w:val="20"/>
              </w:rPr>
            </w:pPr>
            <w:r>
              <w:rPr>
                <w:b/>
                <w:noProof/>
                <w:sz w:val="20"/>
                <w:szCs w:val="20"/>
              </w:rPr>
              <w:t>2022</w:t>
            </w:r>
          </w:p>
        </w:tc>
        <w:tc>
          <w:tcPr>
            <w:tcW w:w="868" w:type="dxa"/>
            <w:vAlign w:val="center"/>
          </w:tcPr>
          <w:p>
            <w:pPr>
              <w:jc w:val="center"/>
              <w:rPr>
                <w:b/>
                <w:noProof/>
                <w:sz w:val="20"/>
                <w:szCs w:val="20"/>
              </w:rPr>
            </w:pPr>
            <w:r>
              <w:rPr>
                <w:b/>
                <w:noProof/>
                <w:sz w:val="20"/>
                <w:szCs w:val="20"/>
              </w:rPr>
              <w:t>2023</w:t>
            </w:r>
          </w:p>
        </w:tc>
        <w:tc>
          <w:tcPr>
            <w:tcW w:w="868" w:type="dxa"/>
            <w:vAlign w:val="center"/>
          </w:tcPr>
          <w:p>
            <w:pPr>
              <w:jc w:val="center"/>
              <w:rPr>
                <w:b/>
                <w:noProof/>
                <w:sz w:val="20"/>
                <w:szCs w:val="20"/>
              </w:rPr>
            </w:pPr>
            <w:r>
              <w:rPr>
                <w:b/>
                <w:noProof/>
                <w:sz w:val="20"/>
                <w:szCs w:val="20"/>
              </w:rPr>
              <w:t>2024</w:t>
            </w:r>
          </w:p>
        </w:tc>
        <w:tc>
          <w:tcPr>
            <w:tcW w:w="868" w:type="dxa"/>
            <w:vAlign w:val="center"/>
          </w:tcPr>
          <w:p>
            <w:pPr>
              <w:jc w:val="center"/>
              <w:rPr>
                <w:b/>
                <w:noProof/>
                <w:sz w:val="18"/>
                <w:szCs w:val="18"/>
              </w:rPr>
            </w:pPr>
            <w:r>
              <w:rPr>
                <w:b/>
                <w:noProof/>
                <w:sz w:val="18"/>
                <w:szCs w:val="18"/>
              </w:rPr>
              <w:t>2025</w:t>
            </w:r>
          </w:p>
        </w:tc>
        <w:tc>
          <w:tcPr>
            <w:tcW w:w="868" w:type="dxa"/>
            <w:vAlign w:val="center"/>
          </w:tcPr>
          <w:p>
            <w:pPr>
              <w:jc w:val="center"/>
              <w:rPr>
                <w:b/>
                <w:noProof/>
                <w:sz w:val="18"/>
                <w:szCs w:val="18"/>
              </w:rPr>
            </w:pPr>
            <w:r>
              <w:rPr>
                <w:b/>
                <w:noProof/>
                <w:sz w:val="18"/>
                <w:szCs w:val="18"/>
              </w:rPr>
              <w:t>2026</w:t>
            </w:r>
          </w:p>
        </w:tc>
        <w:tc>
          <w:tcPr>
            <w:tcW w:w="868" w:type="dxa"/>
            <w:vAlign w:val="center"/>
          </w:tcPr>
          <w:p>
            <w:pPr>
              <w:jc w:val="center"/>
              <w:rPr>
                <w:b/>
                <w:noProof/>
                <w:sz w:val="18"/>
                <w:szCs w:val="18"/>
              </w:rPr>
            </w:pPr>
            <w:r>
              <w:rPr>
                <w:b/>
                <w:noProof/>
                <w:sz w:val="18"/>
                <w:szCs w:val="18"/>
              </w:rPr>
              <w:t>2027</w:t>
            </w:r>
          </w:p>
        </w:tc>
        <w:tc>
          <w:tcPr>
            <w:tcW w:w="909" w:type="dxa"/>
          </w:tcPr>
          <w:p>
            <w:pPr>
              <w:jc w:val="center"/>
              <w:rPr>
                <w:b/>
                <w:i/>
                <w:noProof/>
                <w:sz w:val="20"/>
                <w:szCs w:val="20"/>
              </w:rPr>
            </w:pPr>
            <w:r>
              <w:rPr>
                <w:b/>
                <w:i/>
                <w:noProof/>
                <w:sz w:val="20"/>
                <w:szCs w:val="20"/>
              </w:rPr>
              <w:t>Po roce 2027</w:t>
            </w:r>
          </w:p>
        </w:tc>
        <w:tc>
          <w:tcPr>
            <w:tcW w:w="1289" w:type="dxa"/>
            <w:vAlign w:val="center"/>
          </w:tcPr>
          <w:p>
            <w:pPr>
              <w:jc w:val="center"/>
              <w:rPr>
                <w:b/>
                <w:noProof/>
                <w:sz w:val="20"/>
                <w:szCs w:val="20"/>
              </w:rPr>
            </w:pPr>
            <w:r>
              <w:rPr>
                <w:b/>
                <w:noProof/>
                <w:sz w:val="20"/>
                <w:szCs w:val="20"/>
              </w:rPr>
              <w:t>CELKEM</w:t>
            </w:r>
          </w:p>
        </w:tc>
      </w:tr>
      <w:tr>
        <w:trPr>
          <w:trHeight w:val="433"/>
          <w:jc w:val="center"/>
        </w:trPr>
        <w:tc>
          <w:tcPr>
            <w:tcW w:w="4103" w:type="dxa"/>
            <w:vMerge w:val="restart"/>
            <w:vAlign w:val="center"/>
          </w:tcPr>
          <w:p>
            <w:pPr>
              <w:rPr>
                <w:noProof/>
              </w:rPr>
            </w:pPr>
            <w:r>
              <w:rPr>
                <w:noProof/>
                <w:sz w:val="18"/>
                <w:szCs w:val="18"/>
              </w:rPr>
              <w:t>SPECIFICKÝ CÍL č. 1: Udržování a další vývoj systému e-CODEX</w:t>
            </w:r>
          </w:p>
        </w:tc>
        <w:tc>
          <w:tcPr>
            <w:tcW w:w="1440" w:type="dxa"/>
            <w:vAlign w:val="center"/>
          </w:tcPr>
          <w:p>
            <w:pPr>
              <w:spacing w:before="20" w:after="20"/>
              <w:jc w:val="left"/>
              <w:rPr>
                <w:noProof/>
                <w:sz w:val="18"/>
                <w:szCs w:val="18"/>
              </w:rPr>
            </w:pPr>
            <w:r>
              <w:rPr>
                <w:noProof/>
                <w:sz w:val="18"/>
                <w:szCs w:val="18"/>
              </w:rPr>
              <w:t>Závazky</w:t>
            </w:r>
          </w:p>
        </w:tc>
        <w:tc>
          <w:tcPr>
            <w:tcW w:w="654" w:type="dxa"/>
            <w:vAlign w:val="center"/>
          </w:tcPr>
          <w:p>
            <w:pPr>
              <w:spacing w:before="20" w:after="20"/>
              <w:jc w:val="center"/>
              <w:rPr>
                <w:noProof/>
                <w:sz w:val="14"/>
                <w:szCs w:val="14"/>
              </w:rPr>
            </w:pPr>
            <w:r>
              <w:rPr>
                <w:noProof/>
                <w:sz w:val="14"/>
                <w:szCs w:val="14"/>
              </w:rPr>
              <w:t>1)</w:t>
            </w:r>
          </w:p>
        </w:tc>
        <w:tc>
          <w:tcPr>
            <w:tcW w:w="868" w:type="dxa"/>
            <w:vAlign w:val="center"/>
          </w:tcPr>
          <w:p>
            <w:pPr>
              <w:spacing w:before="20" w:after="20"/>
              <w:jc w:val="right"/>
              <w:rPr>
                <w:noProof/>
                <w:sz w:val="20"/>
                <w:szCs w:val="20"/>
              </w:rPr>
            </w:pPr>
            <w:r>
              <w:rPr>
                <w:b/>
                <w:noProof/>
                <w:sz w:val="20"/>
                <w:szCs w:val="20"/>
              </w:rPr>
              <w:t>0</w:t>
            </w:r>
          </w:p>
        </w:tc>
        <w:tc>
          <w:tcPr>
            <w:tcW w:w="868" w:type="dxa"/>
            <w:vAlign w:val="center"/>
          </w:tcPr>
          <w:p>
            <w:pPr>
              <w:spacing w:before="20" w:after="20"/>
              <w:jc w:val="right"/>
              <w:rPr>
                <w:noProof/>
                <w:sz w:val="20"/>
                <w:szCs w:val="20"/>
              </w:rPr>
            </w:pPr>
            <w:r>
              <w:rPr>
                <w:b/>
                <w:noProof/>
                <w:sz w:val="20"/>
                <w:szCs w:val="20"/>
              </w:rPr>
              <w:t>0,053</w:t>
            </w:r>
          </w:p>
        </w:tc>
        <w:tc>
          <w:tcPr>
            <w:tcW w:w="868" w:type="dxa"/>
            <w:vAlign w:val="center"/>
          </w:tcPr>
          <w:p>
            <w:pPr>
              <w:spacing w:before="20" w:after="20"/>
              <w:jc w:val="right"/>
              <w:rPr>
                <w:rFonts w:eastAsia="Times New Roman"/>
                <w:b/>
                <w:noProof/>
                <w:sz w:val="20"/>
                <w:szCs w:val="20"/>
              </w:rPr>
            </w:pPr>
            <w:r>
              <w:rPr>
                <w:b/>
                <w:noProof/>
                <w:sz w:val="20"/>
                <w:szCs w:val="20"/>
              </w:rPr>
              <w:t>1,430</w:t>
            </w:r>
          </w:p>
        </w:tc>
        <w:tc>
          <w:tcPr>
            <w:tcW w:w="868" w:type="dxa"/>
            <w:vAlign w:val="center"/>
          </w:tcPr>
          <w:p>
            <w:pPr>
              <w:spacing w:before="20" w:after="20"/>
              <w:jc w:val="right"/>
              <w:rPr>
                <w:noProof/>
                <w:sz w:val="20"/>
                <w:szCs w:val="20"/>
              </w:rPr>
            </w:pPr>
            <w:r>
              <w:rPr>
                <w:b/>
                <w:noProof/>
                <w:sz w:val="20"/>
                <w:szCs w:val="20"/>
              </w:rPr>
              <w:t>1,831</w:t>
            </w:r>
          </w:p>
        </w:tc>
        <w:tc>
          <w:tcPr>
            <w:tcW w:w="868" w:type="dxa"/>
            <w:vAlign w:val="center"/>
          </w:tcPr>
          <w:p>
            <w:pPr>
              <w:spacing w:before="20" w:after="20"/>
              <w:jc w:val="right"/>
              <w:rPr>
                <w:noProof/>
                <w:sz w:val="20"/>
                <w:szCs w:val="20"/>
              </w:rPr>
            </w:pPr>
            <w:r>
              <w:rPr>
                <w:b/>
                <w:noProof/>
                <w:sz w:val="20"/>
                <w:szCs w:val="20"/>
              </w:rPr>
              <w:t>1,831</w:t>
            </w:r>
          </w:p>
        </w:tc>
        <w:tc>
          <w:tcPr>
            <w:tcW w:w="868" w:type="dxa"/>
            <w:vAlign w:val="center"/>
          </w:tcPr>
          <w:p>
            <w:pPr>
              <w:spacing w:before="20" w:after="20"/>
              <w:jc w:val="right"/>
              <w:rPr>
                <w:noProof/>
                <w:sz w:val="20"/>
                <w:szCs w:val="20"/>
              </w:rPr>
            </w:pPr>
            <w:r>
              <w:rPr>
                <w:b/>
                <w:noProof/>
                <w:sz w:val="20"/>
                <w:szCs w:val="20"/>
              </w:rPr>
              <w:t>1,789</w:t>
            </w:r>
          </w:p>
        </w:tc>
        <w:tc>
          <w:tcPr>
            <w:tcW w:w="868" w:type="dxa"/>
            <w:vAlign w:val="center"/>
          </w:tcPr>
          <w:p>
            <w:pPr>
              <w:spacing w:before="20" w:after="20"/>
              <w:jc w:val="right"/>
              <w:rPr>
                <w:b/>
                <w:noProof/>
                <w:sz w:val="20"/>
                <w:szCs w:val="20"/>
              </w:rPr>
            </w:pPr>
            <w:r>
              <w:rPr>
                <w:b/>
                <w:noProof/>
                <w:sz w:val="20"/>
                <w:szCs w:val="20"/>
              </w:rPr>
              <w:t>1,789</w:t>
            </w:r>
          </w:p>
        </w:tc>
        <w:tc>
          <w:tcPr>
            <w:tcW w:w="909" w:type="dxa"/>
            <w:shd w:val="clear" w:color="auto" w:fill="A6A6A6" w:themeFill="background1" w:themeFillShade="A6"/>
            <w:vAlign w:val="center"/>
          </w:tcPr>
          <w:p>
            <w:pPr>
              <w:spacing w:before="20" w:after="20"/>
              <w:jc w:val="right"/>
              <w:rPr>
                <w:b/>
                <w:noProof/>
                <w:sz w:val="20"/>
                <w:szCs w:val="20"/>
              </w:rPr>
            </w:pPr>
            <w:r>
              <w:rPr>
                <w:b/>
                <w:noProof/>
                <w:sz w:val="20"/>
                <w:szCs w:val="20"/>
              </w:rPr>
              <w:t>1,789</w:t>
            </w:r>
          </w:p>
        </w:tc>
        <w:tc>
          <w:tcPr>
            <w:tcW w:w="1289" w:type="dxa"/>
            <w:vAlign w:val="center"/>
          </w:tcPr>
          <w:p>
            <w:pPr>
              <w:spacing w:before="20" w:after="20"/>
              <w:jc w:val="right"/>
              <w:rPr>
                <w:b/>
                <w:noProof/>
                <w:sz w:val="20"/>
                <w:szCs w:val="20"/>
              </w:rPr>
            </w:pPr>
            <w:r>
              <w:rPr>
                <w:b/>
                <w:noProof/>
                <w:sz w:val="20"/>
                <w:szCs w:val="20"/>
              </w:rPr>
              <w:t>8,723</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szCs w:val="18"/>
              </w:rPr>
            </w:pPr>
            <w:r>
              <w:rPr>
                <w:noProof/>
                <w:sz w:val="18"/>
                <w:szCs w:val="18"/>
              </w:rPr>
              <w:t>Platby</w:t>
            </w:r>
          </w:p>
        </w:tc>
        <w:tc>
          <w:tcPr>
            <w:tcW w:w="654" w:type="dxa"/>
            <w:vAlign w:val="center"/>
          </w:tcPr>
          <w:p>
            <w:pPr>
              <w:spacing w:before="20" w:after="20"/>
              <w:jc w:val="center"/>
              <w:rPr>
                <w:noProof/>
                <w:sz w:val="14"/>
                <w:szCs w:val="14"/>
              </w:rPr>
            </w:pPr>
            <w:r>
              <w:rPr>
                <w:noProof/>
                <w:sz w:val="14"/>
                <w:szCs w:val="14"/>
              </w:rPr>
              <w:t>2)</w:t>
            </w:r>
          </w:p>
        </w:tc>
        <w:tc>
          <w:tcPr>
            <w:tcW w:w="868" w:type="dxa"/>
            <w:vAlign w:val="center"/>
          </w:tcPr>
          <w:p>
            <w:pPr>
              <w:spacing w:before="20" w:after="20"/>
              <w:jc w:val="right"/>
              <w:rPr>
                <w:noProof/>
                <w:sz w:val="20"/>
                <w:szCs w:val="20"/>
              </w:rPr>
            </w:pPr>
            <w:r>
              <w:rPr>
                <w:b/>
                <w:noProof/>
                <w:sz w:val="20"/>
                <w:szCs w:val="20"/>
              </w:rPr>
              <w:t>0</w:t>
            </w:r>
          </w:p>
        </w:tc>
        <w:tc>
          <w:tcPr>
            <w:tcW w:w="868" w:type="dxa"/>
            <w:vAlign w:val="center"/>
          </w:tcPr>
          <w:p>
            <w:pPr>
              <w:spacing w:before="20" w:after="20"/>
              <w:jc w:val="right"/>
              <w:rPr>
                <w:noProof/>
                <w:sz w:val="20"/>
                <w:szCs w:val="20"/>
              </w:rPr>
            </w:pPr>
            <w:r>
              <w:rPr>
                <w:b/>
                <w:noProof/>
                <w:sz w:val="20"/>
                <w:szCs w:val="20"/>
              </w:rPr>
              <w:t>0,053</w:t>
            </w:r>
          </w:p>
        </w:tc>
        <w:tc>
          <w:tcPr>
            <w:tcW w:w="868" w:type="dxa"/>
            <w:vAlign w:val="center"/>
          </w:tcPr>
          <w:p>
            <w:pPr>
              <w:spacing w:before="20" w:after="20"/>
              <w:jc w:val="right"/>
              <w:rPr>
                <w:noProof/>
                <w:sz w:val="20"/>
                <w:szCs w:val="20"/>
              </w:rPr>
            </w:pPr>
            <w:r>
              <w:rPr>
                <w:b/>
                <w:noProof/>
                <w:sz w:val="20"/>
                <w:szCs w:val="20"/>
              </w:rPr>
              <w:t>1,430</w:t>
            </w:r>
          </w:p>
        </w:tc>
        <w:tc>
          <w:tcPr>
            <w:tcW w:w="868" w:type="dxa"/>
            <w:vAlign w:val="center"/>
          </w:tcPr>
          <w:p>
            <w:pPr>
              <w:spacing w:before="20" w:after="20"/>
              <w:jc w:val="right"/>
              <w:rPr>
                <w:noProof/>
                <w:sz w:val="20"/>
                <w:szCs w:val="20"/>
              </w:rPr>
            </w:pPr>
            <w:r>
              <w:rPr>
                <w:b/>
                <w:noProof/>
                <w:sz w:val="20"/>
                <w:szCs w:val="20"/>
              </w:rPr>
              <w:t>1,831</w:t>
            </w:r>
          </w:p>
        </w:tc>
        <w:tc>
          <w:tcPr>
            <w:tcW w:w="868" w:type="dxa"/>
            <w:vAlign w:val="center"/>
          </w:tcPr>
          <w:p>
            <w:pPr>
              <w:spacing w:before="20" w:after="20"/>
              <w:jc w:val="right"/>
              <w:rPr>
                <w:noProof/>
                <w:sz w:val="20"/>
                <w:szCs w:val="20"/>
              </w:rPr>
            </w:pPr>
            <w:r>
              <w:rPr>
                <w:b/>
                <w:noProof/>
                <w:sz w:val="20"/>
                <w:szCs w:val="20"/>
              </w:rPr>
              <w:t>1,831</w:t>
            </w:r>
          </w:p>
        </w:tc>
        <w:tc>
          <w:tcPr>
            <w:tcW w:w="868" w:type="dxa"/>
            <w:vAlign w:val="center"/>
          </w:tcPr>
          <w:p>
            <w:pPr>
              <w:spacing w:before="20" w:after="20"/>
              <w:jc w:val="right"/>
              <w:rPr>
                <w:noProof/>
                <w:sz w:val="20"/>
                <w:szCs w:val="20"/>
              </w:rPr>
            </w:pPr>
            <w:r>
              <w:rPr>
                <w:b/>
                <w:noProof/>
                <w:sz w:val="20"/>
                <w:szCs w:val="20"/>
              </w:rPr>
              <w:t>1,789</w:t>
            </w:r>
          </w:p>
        </w:tc>
        <w:tc>
          <w:tcPr>
            <w:tcW w:w="868" w:type="dxa"/>
            <w:vAlign w:val="center"/>
          </w:tcPr>
          <w:p>
            <w:pPr>
              <w:spacing w:before="20" w:after="20"/>
              <w:jc w:val="right"/>
              <w:rPr>
                <w:b/>
                <w:noProof/>
                <w:sz w:val="20"/>
                <w:szCs w:val="20"/>
              </w:rPr>
            </w:pPr>
            <w:r>
              <w:rPr>
                <w:b/>
                <w:noProof/>
                <w:sz w:val="20"/>
                <w:szCs w:val="20"/>
              </w:rPr>
              <w:t>1,789</w:t>
            </w:r>
          </w:p>
        </w:tc>
        <w:tc>
          <w:tcPr>
            <w:tcW w:w="909" w:type="dxa"/>
            <w:shd w:val="clear" w:color="auto" w:fill="A6A6A6" w:themeFill="background1" w:themeFillShade="A6"/>
            <w:vAlign w:val="center"/>
          </w:tcPr>
          <w:p>
            <w:pPr>
              <w:spacing w:before="20" w:after="20"/>
              <w:jc w:val="right"/>
              <w:rPr>
                <w:b/>
                <w:noProof/>
                <w:sz w:val="20"/>
                <w:szCs w:val="20"/>
              </w:rPr>
            </w:pPr>
            <w:r>
              <w:rPr>
                <w:b/>
                <w:noProof/>
                <w:sz w:val="20"/>
                <w:szCs w:val="20"/>
              </w:rPr>
              <w:t>1,789</w:t>
            </w:r>
          </w:p>
        </w:tc>
        <w:tc>
          <w:tcPr>
            <w:tcW w:w="1289" w:type="dxa"/>
            <w:vAlign w:val="center"/>
          </w:tcPr>
          <w:p>
            <w:pPr>
              <w:spacing w:before="20" w:after="20"/>
              <w:jc w:val="right"/>
              <w:rPr>
                <w:b/>
                <w:noProof/>
                <w:sz w:val="20"/>
                <w:szCs w:val="20"/>
              </w:rPr>
            </w:pPr>
            <w:r>
              <w:rPr>
                <w:b/>
                <w:noProof/>
                <w:sz w:val="20"/>
                <w:szCs w:val="20"/>
              </w:rPr>
              <w:t>8,723</w:t>
            </w:r>
          </w:p>
        </w:tc>
      </w:tr>
      <w:tr>
        <w:trPr>
          <w:jc w:val="center"/>
        </w:trPr>
        <w:tc>
          <w:tcPr>
            <w:tcW w:w="4103" w:type="dxa"/>
            <w:vMerge w:val="restart"/>
            <w:vAlign w:val="center"/>
          </w:tcPr>
          <w:p>
            <w:pPr>
              <w:jc w:val="left"/>
              <w:rPr>
                <w:b/>
                <w:noProof/>
              </w:rPr>
            </w:pPr>
            <w:r>
              <w:rPr>
                <w:b/>
                <w:noProof/>
                <w:sz w:val="22"/>
              </w:rPr>
              <w:t>Prostředky na OKRUH 2 víceletého finančního rámce CELKEM</w:t>
            </w:r>
          </w:p>
        </w:tc>
        <w:tc>
          <w:tcPr>
            <w:tcW w:w="1440" w:type="dxa"/>
            <w:vAlign w:val="center"/>
          </w:tcPr>
          <w:p>
            <w:pPr>
              <w:jc w:val="left"/>
              <w:rPr>
                <w:noProof/>
                <w:sz w:val="18"/>
                <w:szCs w:val="18"/>
              </w:rPr>
            </w:pPr>
            <w:r>
              <w:rPr>
                <w:noProof/>
                <w:sz w:val="18"/>
                <w:szCs w:val="18"/>
              </w:rPr>
              <w:t>Závazky</w:t>
            </w:r>
          </w:p>
        </w:tc>
        <w:tc>
          <w:tcPr>
            <w:tcW w:w="654" w:type="dxa"/>
            <w:vAlign w:val="center"/>
          </w:tcPr>
          <w:p>
            <w:pPr>
              <w:jc w:val="center"/>
              <w:rPr>
                <w:noProof/>
                <w:sz w:val="14"/>
                <w:szCs w:val="14"/>
              </w:rPr>
            </w:pPr>
            <w:r>
              <w:rPr>
                <w:noProof/>
                <w:sz w:val="14"/>
                <w:szCs w:val="14"/>
              </w:rPr>
              <w:t>=1+1a+3a</w:t>
            </w:r>
          </w:p>
        </w:tc>
        <w:tc>
          <w:tcPr>
            <w:tcW w:w="868" w:type="dxa"/>
            <w:vAlign w:val="center"/>
          </w:tcPr>
          <w:p>
            <w:pPr>
              <w:spacing w:before="20" w:after="20"/>
              <w:jc w:val="right"/>
              <w:rPr>
                <w:noProof/>
                <w:sz w:val="20"/>
                <w:szCs w:val="20"/>
              </w:rPr>
            </w:pPr>
            <w:r>
              <w:rPr>
                <w:b/>
                <w:noProof/>
                <w:sz w:val="20"/>
                <w:szCs w:val="20"/>
              </w:rPr>
              <w:t>0</w:t>
            </w:r>
          </w:p>
        </w:tc>
        <w:tc>
          <w:tcPr>
            <w:tcW w:w="868" w:type="dxa"/>
            <w:vAlign w:val="center"/>
          </w:tcPr>
          <w:p>
            <w:pPr>
              <w:spacing w:before="20" w:after="20"/>
              <w:jc w:val="right"/>
              <w:rPr>
                <w:noProof/>
                <w:sz w:val="20"/>
                <w:szCs w:val="20"/>
              </w:rPr>
            </w:pPr>
            <w:r>
              <w:rPr>
                <w:b/>
                <w:noProof/>
                <w:sz w:val="20"/>
                <w:szCs w:val="20"/>
              </w:rPr>
              <w:t>0,053</w:t>
            </w:r>
          </w:p>
        </w:tc>
        <w:tc>
          <w:tcPr>
            <w:tcW w:w="868" w:type="dxa"/>
            <w:vAlign w:val="center"/>
          </w:tcPr>
          <w:p>
            <w:pPr>
              <w:spacing w:before="20" w:after="20"/>
              <w:jc w:val="right"/>
              <w:rPr>
                <w:noProof/>
                <w:sz w:val="20"/>
                <w:szCs w:val="20"/>
              </w:rPr>
            </w:pPr>
            <w:r>
              <w:rPr>
                <w:b/>
                <w:noProof/>
                <w:sz w:val="20"/>
                <w:szCs w:val="20"/>
              </w:rPr>
              <w:t>1,430</w:t>
            </w:r>
          </w:p>
        </w:tc>
        <w:tc>
          <w:tcPr>
            <w:tcW w:w="868" w:type="dxa"/>
            <w:vAlign w:val="center"/>
          </w:tcPr>
          <w:p>
            <w:pPr>
              <w:spacing w:before="20" w:after="20"/>
              <w:jc w:val="right"/>
              <w:rPr>
                <w:noProof/>
                <w:sz w:val="20"/>
                <w:szCs w:val="20"/>
              </w:rPr>
            </w:pPr>
            <w:r>
              <w:rPr>
                <w:b/>
                <w:noProof/>
                <w:sz w:val="20"/>
                <w:szCs w:val="20"/>
              </w:rPr>
              <w:t>1,831</w:t>
            </w:r>
          </w:p>
        </w:tc>
        <w:tc>
          <w:tcPr>
            <w:tcW w:w="868" w:type="dxa"/>
            <w:vAlign w:val="center"/>
          </w:tcPr>
          <w:p>
            <w:pPr>
              <w:spacing w:before="20" w:after="20"/>
              <w:jc w:val="right"/>
              <w:rPr>
                <w:noProof/>
                <w:sz w:val="20"/>
                <w:szCs w:val="20"/>
              </w:rPr>
            </w:pPr>
            <w:r>
              <w:rPr>
                <w:b/>
                <w:noProof/>
                <w:sz w:val="20"/>
                <w:szCs w:val="20"/>
              </w:rPr>
              <w:t>1,831</w:t>
            </w:r>
          </w:p>
        </w:tc>
        <w:tc>
          <w:tcPr>
            <w:tcW w:w="868" w:type="dxa"/>
            <w:vAlign w:val="center"/>
          </w:tcPr>
          <w:p>
            <w:pPr>
              <w:spacing w:before="20" w:after="20"/>
              <w:jc w:val="right"/>
              <w:rPr>
                <w:noProof/>
                <w:sz w:val="20"/>
                <w:szCs w:val="20"/>
              </w:rPr>
            </w:pPr>
            <w:r>
              <w:rPr>
                <w:b/>
                <w:noProof/>
                <w:sz w:val="20"/>
                <w:szCs w:val="20"/>
              </w:rPr>
              <w:t>1,789</w:t>
            </w:r>
          </w:p>
        </w:tc>
        <w:tc>
          <w:tcPr>
            <w:tcW w:w="868" w:type="dxa"/>
            <w:vAlign w:val="center"/>
          </w:tcPr>
          <w:p>
            <w:pPr>
              <w:spacing w:before="20" w:after="20"/>
              <w:jc w:val="right"/>
              <w:rPr>
                <w:b/>
                <w:noProof/>
                <w:sz w:val="20"/>
                <w:szCs w:val="20"/>
              </w:rPr>
            </w:pPr>
            <w:r>
              <w:rPr>
                <w:b/>
                <w:noProof/>
                <w:sz w:val="20"/>
                <w:szCs w:val="20"/>
              </w:rPr>
              <w:t>1,789</w:t>
            </w:r>
          </w:p>
        </w:tc>
        <w:tc>
          <w:tcPr>
            <w:tcW w:w="909" w:type="dxa"/>
            <w:shd w:val="clear" w:color="auto" w:fill="A6A6A6" w:themeFill="background1" w:themeFillShade="A6"/>
            <w:vAlign w:val="center"/>
          </w:tcPr>
          <w:p>
            <w:pPr>
              <w:spacing w:before="20" w:after="20"/>
              <w:jc w:val="right"/>
              <w:rPr>
                <w:b/>
                <w:noProof/>
                <w:sz w:val="20"/>
                <w:szCs w:val="20"/>
              </w:rPr>
            </w:pPr>
            <w:r>
              <w:rPr>
                <w:b/>
                <w:noProof/>
                <w:sz w:val="20"/>
                <w:szCs w:val="20"/>
              </w:rPr>
              <w:t>1,789</w:t>
            </w:r>
          </w:p>
        </w:tc>
        <w:tc>
          <w:tcPr>
            <w:tcW w:w="1289" w:type="dxa"/>
            <w:vAlign w:val="center"/>
          </w:tcPr>
          <w:p>
            <w:pPr>
              <w:spacing w:before="20" w:after="20"/>
              <w:jc w:val="right"/>
              <w:rPr>
                <w:b/>
                <w:noProof/>
                <w:sz w:val="20"/>
                <w:szCs w:val="20"/>
              </w:rPr>
            </w:pPr>
            <w:r>
              <w:rPr>
                <w:b/>
                <w:noProof/>
                <w:sz w:val="20"/>
                <w:szCs w:val="20"/>
              </w:rPr>
              <w:t>8,723</w:t>
            </w:r>
          </w:p>
        </w:tc>
      </w:tr>
      <w:tr>
        <w:trPr>
          <w:jc w:val="center"/>
        </w:trPr>
        <w:tc>
          <w:tcPr>
            <w:tcW w:w="4103" w:type="dxa"/>
            <w:vMerge/>
          </w:tcPr>
          <w:p>
            <w:pPr>
              <w:rPr>
                <w:noProof/>
                <w:sz w:val="20"/>
              </w:rPr>
            </w:pPr>
          </w:p>
        </w:tc>
        <w:tc>
          <w:tcPr>
            <w:tcW w:w="1440" w:type="dxa"/>
            <w:vAlign w:val="center"/>
          </w:tcPr>
          <w:p>
            <w:pPr>
              <w:jc w:val="left"/>
              <w:rPr>
                <w:noProof/>
                <w:sz w:val="18"/>
                <w:szCs w:val="18"/>
              </w:rPr>
            </w:pPr>
            <w:r>
              <w:rPr>
                <w:noProof/>
                <w:sz w:val="18"/>
                <w:szCs w:val="18"/>
              </w:rPr>
              <w:t>Platby</w:t>
            </w:r>
          </w:p>
        </w:tc>
        <w:tc>
          <w:tcPr>
            <w:tcW w:w="654" w:type="dxa"/>
            <w:vAlign w:val="center"/>
          </w:tcPr>
          <w:p>
            <w:pPr>
              <w:jc w:val="center"/>
              <w:rPr>
                <w:noProof/>
                <w:sz w:val="14"/>
                <w:szCs w:val="14"/>
              </w:rPr>
            </w:pPr>
            <w:r>
              <w:rPr>
                <w:noProof/>
                <w:sz w:val="14"/>
                <w:szCs w:val="14"/>
              </w:rPr>
              <w:t>=2+2a+3a</w:t>
            </w:r>
          </w:p>
        </w:tc>
        <w:tc>
          <w:tcPr>
            <w:tcW w:w="868" w:type="dxa"/>
            <w:vAlign w:val="center"/>
          </w:tcPr>
          <w:p>
            <w:pPr>
              <w:spacing w:before="20" w:after="20"/>
              <w:jc w:val="right"/>
              <w:rPr>
                <w:noProof/>
                <w:sz w:val="20"/>
                <w:szCs w:val="20"/>
              </w:rPr>
            </w:pPr>
            <w:r>
              <w:rPr>
                <w:b/>
                <w:noProof/>
                <w:sz w:val="20"/>
                <w:szCs w:val="20"/>
              </w:rPr>
              <w:t>0</w:t>
            </w:r>
          </w:p>
        </w:tc>
        <w:tc>
          <w:tcPr>
            <w:tcW w:w="868" w:type="dxa"/>
            <w:vAlign w:val="center"/>
          </w:tcPr>
          <w:p>
            <w:pPr>
              <w:spacing w:before="20" w:after="20"/>
              <w:jc w:val="right"/>
              <w:rPr>
                <w:noProof/>
                <w:sz w:val="20"/>
                <w:szCs w:val="20"/>
              </w:rPr>
            </w:pPr>
            <w:r>
              <w:rPr>
                <w:b/>
                <w:noProof/>
                <w:sz w:val="20"/>
                <w:szCs w:val="20"/>
              </w:rPr>
              <w:t>0,053</w:t>
            </w:r>
          </w:p>
        </w:tc>
        <w:tc>
          <w:tcPr>
            <w:tcW w:w="868" w:type="dxa"/>
            <w:vAlign w:val="center"/>
          </w:tcPr>
          <w:p>
            <w:pPr>
              <w:spacing w:before="20" w:after="20"/>
              <w:jc w:val="right"/>
              <w:rPr>
                <w:noProof/>
                <w:sz w:val="20"/>
                <w:szCs w:val="20"/>
              </w:rPr>
            </w:pPr>
            <w:r>
              <w:rPr>
                <w:b/>
                <w:noProof/>
                <w:sz w:val="20"/>
                <w:szCs w:val="20"/>
              </w:rPr>
              <w:t>1,430</w:t>
            </w:r>
          </w:p>
        </w:tc>
        <w:tc>
          <w:tcPr>
            <w:tcW w:w="868" w:type="dxa"/>
            <w:vAlign w:val="center"/>
          </w:tcPr>
          <w:p>
            <w:pPr>
              <w:spacing w:before="20" w:after="20"/>
              <w:jc w:val="right"/>
              <w:rPr>
                <w:noProof/>
                <w:sz w:val="20"/>
                <w:szCs w:val="20"/>
              </w:rPr>
            </w:pPr>
            <w:r>
              <w:rPr>
                <w:b/>
                <w:noProof/>
                <w:sz w:val="20"/>
                <w:szCs w:val="20"/>
              </w:rPr>
              <w:t>1,831</w:t>
            </w:r>
          </w:p>
        </w:tc>
        <w:tc>
          <w:tcPr>
            <w:tcW w:w="868" w:type="dxa"/>
            <w:vAlign w:val="center"/>
          </w:tcPr>
          <w:p>
            <w:pPr>
              <w:spacing w:before="20" w:after="20"/>
              <w:jc w:val="right"/>
              <w:rPr>
                <w:noProof/>
                <w:sz w:val="20"/>
                <w:szCs w:val="20"/>
              </w:rPr>
            </w:pPr>
            <w:r>
              <w:rPr>
                <w:b/>
                <w:noProof/>
                <w:sz w:val="20"/>
                <w:szCs w:val="20"/>
              </w:rPr>
              <w:t>1,831</w:t>
            </w:r>
          </w:p>
        </w:tc>
        <w:tc>
          <w:tcPr>
            <w:tcW w:w="868" w:type="dxa"/>
            <w:vAlign w:val="center"/>
          </w:tcPr>
          <w:p>
            <w:pPr>
              <w:spacing w:before="20" w:after="20"/>
              <w:jc w:val="right"/>
              <w:rPr>
                <w:noProof/>
                <w:sz w:val="20"/>
                <w:szCs w:val="20"/>
              </w:rPr>
            </w:pPr>
            <w:r>
              <w:rPr>
                <w:b/>
                <w:noProof/>
                <w:sz w:val="20"/>
                <w:szCs w:val="20"/>
              </w:rPr>
              <w:t>1,789</w:t>
            </w:r>
          </w:p>
        </w:tc>
        <w:tc>
          <w:tcPr>
            <w:tcW w:w="868" w:type="dxa"/>
            <w:vAlign w:val="center"/>
          </w:tcPr>
          <w:p>
            <w:pPr>
              <w:spacing w:before="20" w:after="20"/>
              <w:jc w:val="right"/>
              <w:rPr>
                <w:b/>
                <w:noProof/>
                <w:sz w:val="20"/>
                <w:szCs w:val="20"/>
              </w:rPr>
            </w:pPr>
            <w:r>
              <w:rPr>
                <w:b/>
                <w:noProof/>
                <w:sz w:val="20"/>
                <w:szCs w:val="20"/>
              </w:rPr>
              <w:t>1,789</w:t>
            </w:r>
          </w:p>
        </w:tc>
        <w:tc>
          <w:tcPr>
            <w:tcW w:w="909" w:type="dxa"/>
            <w:shd w:val="clear" w:color="auto" w:fill="A6A6A6" w:themeFill="background1" w:themeFillShade="A6"/>
            <w:vAlign w:val="center"/>
          </w:tcPr>
          <w:p>
            <w:pPr>
              <w:spacing w:before="20" w:after="20"/>
              <w:jc w:val="right"/>
              <w:rPr>
                <w:b/>
                <w:noProof/>
                <w:sz w:val="20"/>
                <w:szCs w:val="20"/>
              </w:rPr>
            </w:pPr>
            <w:r>
              <w:rPr>
                <w:b/>
                <w:noProof/>
                <w:sz w:val="20"/>
                <w:szCs w:val="20"/>
              </w:rPr>
              <w:t>1,789</w:t>
            </w:r>
          </w:p>
        </w:tc>
        <w:tc>
          <w:tcPr>
            <w:tcW w:w="1289" w:type="dxa"/>
            <w:vAlign w:val="center"/>
          </w:tcPr>
          <w:p>
            <w:pPr>
              <w:spacing w:before="20" w:after="20"/>
              <w:jc w:val="right"/>
              <w:rPr>
                <w:b/>
                <w:noProof/>
                <w:sz w:val="20"/>
                <w:szCs w:val="20"/>
              </w:rPr>
            </w:pPr>
            <w:r>
              <w:rPr>
                <w:b/>
                <w:noProof/>
                <w:sz w:val="20"/>
                <w:szCs w:val="20"/>
              </w:rPr>
              <w:t>8,723</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clear" w:color="auto" w:fill="auto"/>
            <w:vAlign w:val="center"/>
          </w:tcPr>
          <w:p>
            <w:pPr>
              <w:spacing w:before="60" w:after="60"/>
              <w:jc w:val="center"/>
              <w:rPr>
                <w:b/>
                <w:noProof/>
              </w:rPr>
            </w:pPr>
            <w:r>
              <w:rPr>
                <w:noProof/>
              </w:rPr>
              <w:br w:type="page"/>
            </w:r>
            <w:r>
              <w:rPr>
                <w:b/>
                <w:noProof/>
                <w:sz w:val="22"/>
              </w:rPr>
              <w:t xml:space="preserve">Okruh víceletého finančního </w:t>
            </w:r>
            <w:r>
              <w:rPr>
                <w:noProof/>
                <w:sz w:val="22"/>
              </w:rPr>
              <w:br/>
            </w:r>
            <w:r>
              <w:rPr>
                <w:b/>
                <w:noProof/>
                <w:sz w:val="22"/>
              </w:rPr>
              <w:t xml:space="preserve">rámce </w:t>
            </w:r>
          </w:p>
        </w:tc>
        <w:tc>
          <w:tcPr>
            <w:tcW w:w="1080" w:type="dxa"/>
            <w:shd w:val="clear" w:color="auto" w:fill="auto"/>
            <w:vAlign w:val="center"/>
          </w:tcPr>
          <w:p>
            <w:pPr>
              <w:spacing w:before="60" w:after="60"/>
              <w:jc w:val="center"/>
              <w:rPr>
                <w:b/>
                <w:noProof/>
                <w:sz w:val="22"/>
              </w:rPr>
            </w:pPr>
            <w:r>
              <w:rPr>
                <w:b/>
                <w:noProof/>
                <w:sz w:val="22"/>
              </w:rPr>
              <w:t>7</w:t>
            </w:r>
          </w:p>
        </w:tc>
        <w:tc>
          <w:tcPr>
            <w:tcW w:w="7817" w:type="dxa"/>
            <w:vAlign w:val="center"/>
          </w:tcPr>
          <w:p>
            <w:pPr>
              <w:spacing w:before="60" w:after="60"/>
              <w:rPr>
                <w:noProof/>
              </w:rPr>
            </w:pPr>
            <w:r>
              <w:rPr>
                <w:noProof/>
                <w:sz w:val="22"/>
              </w:rPr>
              <w:t>„Správní výdaje Komise“</w:t>
            </w:r>
          </w:p>
        </w:tc>
      </w:tr>
    </w:tbl>
    <w:p>
      <w:pPr>
        <w:jc w:val="right"/>
        <w:rPr>
          <w:noProof/>
          <w:sz w:val="20"/>
        </w:rPr>
      </w:pPr>
    </w:p>
    <w:p>
      <w:pPr>
        <w:jc w:val="right"/>
        <w:rPr>
          <w:noProof/>
          <w:sz w:val="20"/>
          <w:szCs w:val="20"/>
        </w:rPr>
      </w:pPr>
      <w:r>
        <w:rPr>
          <w:noProof/>
          <w:sz w:val="20"/>
          <w:szCs w:val="20"/>
        </w:rPr>
        <w:t>v milionech EUR (zaokrouhleno na tři desetinná místa)</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b/>
                <w:noProof/>
                <w:sz w:val="20"/>
                <w:szCs w:val="20"/>
              </w:rPr>
            </w:pPr>
            <w:r>
              <w:rPr>
                <w:b/>
                <w:noProof/>
                <w:sz w:val="20"/>
                <w:szCs w:val="20"/>
              </w:rPr>
              <w:t>GŘ pro spravedlnost a spotřebitele</w:t>
            </w:r>
          </w:p>
        </w:tc>
        <w:tc>
          <w:tcPr>
            <w:tcW w:w="868" w:type="dxa"/>
            <w:vAlign w:val="center"/>
          </w:tcPr>
          <w:p>
            <w:pPr>
              <w:jc w:val="center"/>
              <w:rPr>
                <w:b/>
                <w:noProof/>
                <w:sz w:val="20"/>
                <w:szCs w:val="20"/>
              </w:rPr>
            </w:pPr>
            <w:r>
              <w:rPr>
                <w:b/>
                <w:noProof/>
                <w:sz w:val="20"/>
                <w:szCs w:val="20"/>
              </w:rPr>
              <w:t>2021</w:t>
            </w:r>
          </w:p>
        </w:tc>
        <w:tc>
          <w:tcPr>
            <w:tcW w:w="868" w:type="dxa"/>
            <w:vAlign w:val="center"/>
          </w:tcPr>
          <w:p>
            <w:pPr>
              <w:jc w:val="center"/>
              <w:rPr>
                <w:b/>
                <w:noProof/>
                <w:sz w:val="20"/>
                <w:szCs w:val="20"/>
              </w:rPr>
            </w:pPr>
            <w:r>
              <w:rPr>
                <w:b/>
                <w:noProof/>
                <w:sz w:val="20"/>
                <w:szCs w:val="20"/>
              </w:rPr>
              <w:t>2022</w:t>
            </w:r>
          </w:p>
        </w:tc>
        <w:tc>
          <w:tcPr>
            <w:tcW w:w="868" w:type="dxa"/>
            <w:vAlign w:val="center"/>
          </w:tcPr>
          <w:p>
            <w:pPr>
              <w:jc w:val="center"/>
              <w:rPr>
                <w:b/>
                <w:noProof/>
                <w:sz w:val="20"/>
                <w:szCs w:val="20"/>
              </w:rPr>
            </w:pPr>
            <w:r>
              <w:rPr>
                <w:b/>
                <w:noProof/>
                <w:sz w:val="20"/>
                <w:szCs w:val="20"/>
              </w:rPr>
              <w:t>2023</w:t>
            </w:r>
          </w:p>
        </w:tc>
        <w:tc>
          <w:tcPr>
            <w:tcW w:w="868" w:type="dxa"/>
            <w:vAlign w:val="center"/>
          </w:tcPr>
          <w:p>
            <w:pPr>
              <w:jc w:val="center"/>
              <w:rPr>
                <w:b/>
                <w:noProof/>
                <w:sz w:val="20"/>
                <w:szCs w:val="20"/>
              </w:rPr>
            </w:pPr>
            <w:r>
              <w:rPr>
                <w:b/>
                <w:noProof/>
                <w:sz w:val="20"/>
                <w:szCs w:val="20"/>
              </w:rPr>
              <w:t>2024</w:t>
            </w:r>
          </w:p>
        </w:tc>
        <w:tc>
          <w:tcPr>
            <w:tcW w:w="868" w:type="dxa"/>
            <w:vAlign w:val="center"/>
          </w:tcPr>
          <w:p>
            <w:pPr>
              <w:jc w:val="center"/>
              <w:rPr>
                <w:b/>
                <w:noProof/>
                <w:sz w:val="18"/>
                <w:szCs w:val="18"/>
              </w:rPr>
            </w:pPr>
            <w:r>
              <w:rPr>
                <w:b/>
                <w:noProof/>
                <w:sz w:val="18"/>
                <w:szCs w:val="18"/>
              </w:rPr>
              <w:t>2025</w:t>
            </w:r>
          </w:p>
        </w:tc>
        <w:tc>
          <w:tcPr>
            <w:tcW w:w="868" w:type="dxa"/>
            <w:vAlign w:val="center"/>
          </w:tcPr>
          <w:p>
            <w:pPr>
              <w:jc w:val="center"/>
              <w:rPr>
                <w:b/>
                <w:noProof/>
                <w:sz w:val="18"/>
                <w:szCs w:val="18"/>
              </w:rPr>
            </w:pPr>
            <w:r>
              <w:rPr>
                <w:b/>
                <w:noProof/>
                <w:sz w:val="18"/>
                <w:szCs w:val="18"/>
              </w:rPr>
              <w:t>2026</w:t>
            </w:r>
          </w:p>
        </w:tc>
        <w:tc>
          <w:tcPr>
            <w:tcW w:w="868" w:type="dxa"/>
            <w:vAlign w:val="center"/>
          </w:tcPr>
          <w:p>
            <w:pPr>
              <w:jc w:val="center"/>
              <w:rPr>
                <w:b/>
                <w:noProof/>
                <w:sz w:val="18"/>
                <w:szCs w:val="18"/>
              </w:rPr>
            </w:pPr>
            <w:r>
              <w:rPr>
                <w:b/>
                <w:noProof/>
                <w:sz w:val="18"/>
                <w:szCs w:val="18"/>
              </w:rPr>
              <w:t>2027</w:t>
            </w:r>
          </w:p>
        </w:tc>
        <w:tc>
          <w:tcPr>
            <w:tcW w:w="887" w:type="dxa"/>
          </w:tcPr>
          <w:p>
            <w:pPr>
              <w:jc w:val="center"/>
              <w:rPr>
                <w:b/>
                <w:noProof/>
                <w:sz w:val="20"/>
                <w:szCs w:val="20"/>
              </w:rPr>
            </w:pPr>
            <w:r>
              <w:rPr>
                <w:b/>
                <w:i/>
                <w:noProof/>
                <w:sz w:val="20"/>
                <w:szCs w:val="20"/>
              </w:rPr>
              <w:t>Po roce 2027</w:t>
            </w:r>
          </w:p>
        </w:tc>
        <w:tc>
          <w:tcPr>
            <w:tcW w:w="1291" w:type="dxa"/>
            <w:vAlign w:val="center"/>
          </w:tcPr>
          <w:p>
            <w:pPr>
              <w:jc w:val="center"/>
              <w:rPr>
                <w:b/>
                <w:noProof/>
                <w:sz w:val="20"/>
                <w:szCs w:val="20"/>
              </w:rPr>
            </w:pPr>
            <w:r>
              <w:rPr>
                <w:b/>
                <w:noProof/>
                <w:sz w:val="20"/>
                <w:szCs w:val="20"/>
              </w:rPr>
              <w:t>CELKEM</w:t>
            </w:r>
          </w:p>
        </w:tc>
      </w:tr>
      <w:tr>
        <w:trPr>
          <w:trHeight w:val="313"/>
          <w:jc w:val="center"/>
        </w:trPr>
        <w:tc>
          <w:tcPr>
            <w:tcW w:w="6245" w:type="dxa"/>
            <w:gridSpan w:val="2"/>
            <w:vAlign w:val="center"/>
          </w:tcPr>
          <w:p>
            <w:pPr>
              <w:spacing w:before="20" w:after="20"/>
              <w:rPr>
                <w:noProof/>
              </w:rPr>
            </w:pPr>
            <w:r>
              <w:rPr>
                <w:noProof/>
                <w:sz w:val="22"/>
              </w:rPr>
              <w:t xml:space="preserve">Lidské zdroje </w:t>
            </w:r>
          </w:p>
        </w:tc>
        <w:tc>
          <w:tcPr>
            <w:tcW w:w="868" w:type="dxa"/>
            <w:vAlign w:val="center"/>
          </w:tcPr>
          <w:p>
            <w:pPr>
              <w:spacing w:before="20" w:after="20"/>
              <w:jc w:val="right"/>
              <w:rPr>
                <w:noProof/>
                <w:sz w:val="20"/>
                <w:szCs w:val="20"/>
              </w:rPr>
            </w:pPr>
            <w:r>
              <w:rPr>
                <w:noProof/>
                <w:sz w:val="16"/>
                <w:szCs w:val="16"/>
              </w:rPr>
              <w:t>0</w:t>
            </w:r>
          </w:p>
        </w:tc>
        <w:tc>
          <w:tcPr>
            <w:tcW w:w="868" w:type="dxa"/>
            <w:vAlign w:val="center"/>
          </w:tcPr>
          <w:p>
            <w:pPr>
              <w:spacing w:before="20" w:after="20"/>
              <w:jc w:val="right"/>
              <w:rPr>
                <w:noProof/>
                <w:sz w:val="20"/>
                <w:szCs w:val="20"/>
              </w:rPr>
            </w:pPr>
            <w:r>
              <w:rPr>
                <w:noProof/>
                <w:sz w:val="16"/>
                <w:szCs w:val="16"/>
              </w:rPr>
              <w:t>0,075</w:t>
            </w:r>
          </w:p>
        </w:tc>
        <w:tc>
          <w:tcPr>
            <w:tcW w:w="868" w:type="dxa"/>
            <w:vAlign w:val="center"/>
          </w:tcPr>
          <w:p>
            <w:pPr>
              <w:spacing w:before="20" w:after="20"/>
              <w:jc w:val="right"/>
              <w:rPr>
                <w:noProof/>
                <w:sz w:val="20"/>
                <w:szCs w:val="20"/>
              </w:rPr>
            </w:pPr>
            <w:r>
              <w:rPr>
                <w:noProof/>
                <w:sz w:val="16"/>
                <w:szCs w:val="16"/>
              </w:rPr>
              <w:t>0,150</w:t>
            </w:r>
          </w:p>
        </w:tc>
        <w:tc>
          <w:tcPr>
            <w:tcW w:w="868" w:type="dxa"/>
            <w:vAlign w:val="center"/>
          </w:tcPr>
          <w:p>
            <w:pPr>
              <w:spacing w:before="20" w:after="20"/>
              <w:jc w:val="right"/>
              <w:rPr>
                <w:noProof/>
                <w:sz w:val="20"/>
                <w:szCs w:val="20"/>
              </w:rPr>
            </w:pPr>
            <w:r>
              <w:rPr>
                <w:noProof/>
                <w:sz w:val="16"/>
                <w:szCs w:val="16"/>
              </w:rPr>
              <w:t>0,150</w:t>
            </w:r>
          </w:p>
        </w:tc>
        <w:tc>
          <w:tcPr>
            <w:tcW w:w="868" w:type="dxa"/>
            <w:vAlign w:val="center"/>
          </w:tcPr>
          <w:p>
            <w:pPr>
              <w:spacing w:before="20" w:after="20"/>
              <w:jc w:val="right"/>
              <w:rPr>
                <w:noProof/>
                <w:sz w:val="20"/>
                <w:szCs w:val="20"/>
              </w:rPr>
            </w:pPr>
            <w:r>
              <w:rPr>
                <w:noProof/>
                <w:sz w:val="16"/>
                <w:szCs w:val="16"/>
              </w:rPr>
              <w:t>0,150</w:t>
            </w:r>
          </w:p>
        </w:tc>
        <w:tc>
          <w:tcPr>
            <w:tcW w:w="868" w:type="dxa"/>
            <w:vAlign w:val="center"/>
          </w:tcPr>
          <w:p>
            <w:pPr>
              <w:spacing w:before="20" w:after="20"/>
              <w:jc w:val="right"/>
              <w:rPr>
                <w:noProof/>
                <w:sz w:val="20"/>
                <w:szCs w:val="20"/>
              </w:rPr>
            </w:pPr>
            <w:r>
              <w:rPr>
                <w:noProof/>
                <w:sz w:val="16"/>
                <w:szCs w:val="16"/>
              </w:rPr>
              <w:t>0,150</w:t>
            </w:r>
          </w:p>
        </w:tc>
        <w:tc>
          <w:tcPr>
            <w:tcW w:w="868" w:type="dxa"/>
            <w:vAlign w:val="center"/>
          </w:tcPr>
          <w:p>
            <w:pPr>
              <w:spacing w:before="20" w:after="20"/>
              <w:jc w:val="right"/>
              <w:rPr>
                <w:b/>
                <w:noProof/>
                <w:sz w:val="20"/>
                <w:szCs w:val="20"/>
              </w:rPr>
            </w:pPr>
            <w:r>
              <w:rPr>
                <w:noProof/>
                <w:sz w:val="16"/>
                <w:szCs w:val="16"/>
              </w:rPr>
              <w:t>0,150</w:t>
            </w:r>
          </w:p>
        </w:tc>
        <w:tc>
          <w:tcPr>
            <w:tcW w:w="887" w:type="dxa"/>
            <w:shd w:val="clear" w:color="auto" w:fill="A6A6A6" w:themeFill="background1" w:themeFillShade="A6"/>
            <w:vAlign w:val="center"/>
          </w:tcPr>
          <w:p>
            <w:pPr>
              <w:spacing w:before="20" w:after="20"/>
              <w:jc w:val="right"/>
              <w:rPr>
                <w:b/>
                <w:i/>
                <w:noProof/>
                <w:sz w:val="20"/>
                <w:szCs w:val="20"/>
              </w:rPr>
            </w:pPr>
            <w:r>
              <w:rPr>
                <w:noProof/>
                <w:sz w:val="16"/>
                <w:szCs w:val="16"/>
              </w:rPr>
              <w:t>0,150</w:t>
            </w:r>
          </w:p>
        </w:tc>
        <w:tc>
          <w:tcPr>
            <w:tcW w:w="1291" w:type="dxa"/>
            <w:vAlign w:val="center"/>
          </w:tcPr>
          <w:p>
            <w:pPr>
              <w:spacing w:before="20" w:after="20"/>
              <w:jc w:val="right"/>
              <w:rPr>
                <w:b/>
                <w:noProof/>
                <w:sz w:val="20"/>
                <w:szCs w:val="20"/>
              </w:rPr>
            </w:pPr>
            <w:r>
              <w:rPr>
                <w:b/>
                <w:noProof/>
                <w:sz w:val="16"/>
                <w:szCs w:val="16"/>
              </w:rPr>
              <w:t>0,825</w:t>
            </w:r>
          </w:p>
        </w:tc>
      </w:tr>
      <w:tr>
        <w:trPr>
          <w:trHeight w:val="351"/>
          <w:jc w:val="center"/>
        </w:trPr>
        <w:tc>
          <w:tcPr>
            <w:tcW w:w="6245" w:type="dxa"/>
            <w:gridSpan w:val="2"/>
            <w:vAlign w:val="center"/>
          </w:tcPr>
          <w:p>
            <w:pPr>
              <w:spacing w:before="20" w:after="20"/>
              <w:rPr>
                <w:noProof/>
              </w:rPr>
            </w:pPr>
            <w:r>
              <w:rPr>
                <w:noProof/>
                <w:sz w:val="22"/>
              </w:rPr>
              <w:t xml:space="preserve">Ostatní správní výdaje </w:t>
            </w:r>
          </w:p>
        </w:tc>
        <w:tc>
          <w:tcPr>
            <w:tcW w:w="868" w:type="dxa"/>
            <w:vAlign w:val="center"/>
          </w:tcPr>
          <w:p>
            <w:pPr>
              <w:spacing w:before="20" w:after="20"/>
              <w:jc w:val="right"/>
              <w:rPr>
                <w:b/>
                <w:noProof/>
                <w:sz w:val="20"/>
                <w:szCs w:val="20"/>
              </w:rPr>
            </w:pPr>
            <w:r>
              <w:rPr>
                <w:noProof/>
                <w:sz w:val="16"/>
                <w:szCs w:val="16"/>
              </w:rPr>
              <w:t>0</w:t>
            </w:r>
          </w:p>
        </w:tc>
        <w:tc>
          <w:tcPr>
            <w:tcW w:w="868" w:type="dxa"/>
            <w:vAlign w:val="center"/>
          </w:tcPr>
          <w:p>
            <w:pPr>
              <w:spacing w:before="20" w:after="20"/>
              <w:jc w:val="right"/>
              <w:rPr>
                <w:b/>
                <w:noProof/>
                <w:sz w:val="20"/>
                <w:szCs w:val="20"/>
              </w:rPr>
            </w:pPr>
            <w:r>
              <w:rPr>
                <w:noProof/>
                <w:sz w:val="16"/>
                <w:szCs w:val="16"/>
              </w:rPr>
              <w:t>0,084</w:t>
            </w:r>
          </w:p>
        </w:tc>
        <w:tc>
          <w:tcPr>
            <w:tcW w:w="868" w:type="dxa"/>
            <w:vAlign w:val="center"/>
          </w:tcPr>
          <w:p>
            <w:pPr>
              <w:spacing w:before="20" w:after="20"/>
              <w:jc w:val="right"/>
              <w:rPr>
                <w:b/>
                <w:noProof/>
                <w:sz w:val="20"/>
                <w:szCs w:val="20"/>
              </w:rPr>
            </w:pPr>
            <w:r>
              <w:rPr>
                <w:noProof/>
                <w:sz w:val="16"/>
                <w:szCs w:val="16"/>
              </w:rPr>
              <w:t>0,007</w:t>
            </w:r>
          </w:p>
        </w:tc>
        <w:tc>
          <w:tcPr>
            <w:tcW w:w="868" w:type="dxa"/>
            <w:vAlign w:val="center"/>
          </w:tcPr>
          <w:p>
            <w:pPr>
              <w:spacing w:before="20" w:after="20"/>
              <w:jc w:val="right"/>
              <w:rPr>
                <w:b/>
                <w:noProof/>
                <w:sz w:val="20"/>
                <w:szCs w:val="20"/>
              </w:rPr>
            </w:pPr>
            <w:r>
              <w:rPr>
                <w:noProof/>
                <w:sz w:val="16"/>
                <w:szCs w:val="16"/>
              </w:rPr>
              <w:t>0,007</w:t>
            </w:r>
          </w:p>
        </w:tc>
        <w:tc>
          <w:tcPr>
            <w:tcW w:w="868" w:type="dxa"/>
            <w:vAlign w:val="center"/>
          </w:tcPr>
          <w:p>
            <w:pPr>
              <w:spacing w:before="20" w:after="20"/>
              <w:jc w:val="right"/>
              <w:rPr>
                <w:b/>
                <w:noProof/>
                <w:sz w:val="20"/>
                <w:szCs w:val="20"/>
              </w:rPr>
            </w:pPr>
            <w:r>
              <w:rPr>
                <w:noProof/>
                <w:sz w:val="16"/>
                <w:szCs w:val="16"/>
              </w:rPr>
              <w:t>0,007</w:t>
            </w:r>
          </w:p>
        </w:tc>
        <w:tc>
          <w:tcPr>
            <w:tcW w:w="868" w:type="dxa"/>
            <w:vAlign w:val="center"/>
          </w:tcPr>
          <w:p>
            <w:pPr>
              <w:spacing w:before="20" w:after="20"/>
              <w:jc w:val="right"/>
              <w:rPr>
                <w:b/>
                <w:noProof/>
                <w:sz w:val="20"/>
                <w:szCs w:val="20"/>
              </w:rPr>
            </w:pPr>
            <w:r>
              <w:rPr>
                <w:noProof/>
                <w:sz w:val="16"/>
                <w:szCs w:val="16"/>
              </w:rPr>
              <w:t>0,007</w:t>
            </w:r>
          </w:p>
        </w:tc>
        <w:tc>
          <w:tcPr>
            <w:tcW w:w="868" w:type="dxa"/>
            <w:vAlign w:val="center"/>
          </w:tcPr>
          <w:p>
            <w:pPr>
              <w:spacing w:before="20" w:after="20"/>
              <w:jc w:val="right"/>
              <w:rPr>
                <w:b/>
                <w:noProof/>
                <w:sz w:val="20"/>
                <w:szCs w:val="20"/>
              </w:rPr>
            </w:pPr>
            <w:r>
              <w:rPr>
                <w:noProof/>
                <w:sz w:val="16"/>
                <w:szCs w:val="16"/>
              </w:rPr>
              <w:t>0,007</w:t>
            </w:r>
          </w:p>
        </w:tc>
        <w:tc>
          <w:tcPr>
            <w:tcW w:w="887" w:type="dxa"/>
            <w:shd w:val="clear" w:color="auto" w:fill="A6A6A6" w:themeFill="background1" w:themeFillShade="A6"/>
            <w:vAlign w:val="center"/>
          </w:tcPr>
          <w:p>
            <w:pPr>
              <w:spacing w:before="20" w:after="20"/>
              <w:jc w:val="right"/>
              <w:rPr>
                <w:b/>
                <w:noProof/>
                <w:sz w:val="20"/>
                <w:szCs w:val="20"/>
              </w:rPr>
            </w:pPr>
            <w:r>
              <w:rPr>
                <w:noProof/>
                <w:sz w:val="16"/>
                <w:szCs w:val="16"/>
              </w:rPr>
              <w:t>0,007</w:t>
            </w:r>
          </w:p>
        </w:tc>
        <w:tc>
          <w:tcPr>
            <w:tcW w:w="1291" w:type="dxa"/>
            <w:vAlign w:val="center"/>
          </w:tcPr>
          <w:p>
            <w:pPr>
              <w:spacing w:before="20" w:after="20"/>
              <w:jc w:val="right"/>
              <w:rPr>
                <w:b/>
                <w:noProof/>
                <w:sz w:val="20"/>
                <w:szCs w:val="20"/>
              </w:rPr>
            </w:pPr>
            <w:r>
              <w:rPr>
                <w:b/>
                <w:noProof/>
                <w:sz w:val="16"/>
                <w:szCs w:val="16"/>
              </w:rPr>
              <w:t>0,119</w:t>
            </w:r>
          </w:p>
        </w:tc>
      </w:tr>
      <w:tr>
        <w:trPr>
          <w:trHeight w:val="351"/>
          <w:jc w:val="center"/>
        </w:trPr>
        <w:tc>
          <w:tcPr>
            <w:tcW w:w="4199" w:type="dxa"/>
            <w:vAlign w:val="center"/>
          </w:tcPr>
          <w:p>
            <w:pPr>
              <w:spacing w:before="20" w:after="20"/>
              <w:jc w:val="left"/>
              <w:rPr>
                <w:b/>
                <w:noProof/>
                <w:sz w:val="22"/>
              </w:rPr>
            </w:pPr>
            <w:r>
              <w:rPr>
                <w:b/>
                <w:noProof/>
                <w:sz w:val="22"/>
              </w:rPr>
              <w:t>Prostředky na OKRUH 7 víceletého finančního rámce CELKEM</w:t>
            </w:r>
          </w:p>
        </w:tc>
        <w:tc>
          <w:tcPr>
            <w:tcW w:w="2046" w:type="dxa"/>
            <w:vAlign w:val="center"/>
          </w:tcPr>
          <w:p>
            <w:pPr>
              <w:spacing w:before="20" w:after="20"/>
              <w:rPr>
                <w:noProof/>
                <w:sz w:val="22"/>
              </w:rPr>
            </w:pPr>
            <w:r>
              <w:rPr>
                <w:noProof/>
                <w:sz w:val="18"/>
                <w:szCs w:val="18"/>
              </w:rPr>
              <w:t>(Závazky celkem = platby celkem)</w:t>
            </w:r>
          </w:p>
        </w:tc>
        <w:tc>
          <w:tcPr>
            <w:tcW w:w="868" w:type="dxa"/>
            <w:vAlign w:val="center"/>
          </w:tcPr>
          <w:p>
            <w:pPr>
              <w:spacing w:before="20" w:after="20"/>
              <w:jc w:val="right"/>
              <w:rPr>
                <w:b/>
                <w:noProof/>
                <w:sz w:val="20"/>
                <w:szCs w:val="20"/>
              </w:rPr>
            </w:pPr>
            <w:r>
              <w:rPr>
                <w:b/>
                <w:noProof/>
                <w:sz w:val="16"/>
                <w:szCs w:val="16"/>
              </w:rPr>
              <w:t>0</w:t>
            </w:r>
          </w:p>
        </w:tc>
        <w:tc>
          <w:tcPr>
            <w:tcW w:w="868" w:type="dxa"/>
            <w:vAlign w:val="center"/>
          </w:tcPr>
          <w:p>
            <w:pPr>
              <w:spacing w:before="20" w:after="20"/>
              <w:jc w:val="right"/>
              <w:rPr>
                <w:b/>
                <w:noProof/>
                <w:sz w:val="20"/>
                <w:szCs w:val="20"/>
              </w:rPr>
            </w:pPr>
            <w:r>
              <w:rPr>
                <w:b/>
                <w:noProof/>
                <w:sz w:val="16"/>
                <w:szCs w:val="16"/>
              </w:rPr>
              <w:t>0,159</w:t>
            </w:r>
          </w:p>
        </w:tc>
        <w:tc>
          <w:tcPr>
            <w:tcW w:w="868" w:type="dxa"/>
            <w:vAlign w:val="center"/>
          </w:tcPr>
          <w:p>
            <w:pPr>
              <w:spacing w:before="20" w:after="20"/>
              <w:jc w:val="right"/>
              <w:rPr>
                <w:b/>
                <w:noProof/>
                <w:sz w:val="20"/>
                <w:szCs w:val="20"/>
              </w:rPr>
            </w:pPr>
            <w:r>
              <w:rPr>
                <w:b/>
                <w:noProof/>
                <w:sz w:val="16"/>
                <w:szCs w:val="16"/>
              </w:rPr>
              <w:t>0,157</w:t>
            </w:r>
          </w:p>
        </w:tc>
        <w:tc>
          <w:tcPr>
            <w:tcW w:w="868" w:type="dxa"/>
            <w:vAlign w:val="center"/>
          </w:tcPr>
          <w:p>
            <w:pPr>
              <w:spacing w:before="20" w:after="20"/>
              <w:jc w:val="right"/>
              <w:rPr>
                <w:b/>
                <w:noProof/>
                <w:sz w:val="20"/>
                <w:szCs w:val="20"/>
              </w:rPr>
            </w:pPr>
            <w:r>
              <w:rPr>
                <w:b/>
                <w:noProof/>
                <w:sz w:val="16"/>
                <w:szCs w:val="16"/>
              </w:rPr>
              <w:t>0,157</w:t>
            </w:r>
          </w:p>
        </w:tc>
        <w:tc>
          <w:tcPr>
            <w:tcW w:w="868" w:type="dxa"/>
            <w:vAlign w:val="center"/>
          </w:tcPr>
          <w:p>
            <w:pPr>
              <w:spacing w:before="20" w:after="20"/>
              <w:jc w:val="right"/>
              <w:rPr>
                <w:b/>
                <w:noProof/>
                <w:sz w:val="20"/>
                <w:szCs w:val="20"/>
              </w:rPr>
            </w:pPr>
            <w:r>
              <w:rPr>
                <w:b/>
                <w:noProof/>
                <w:sz w:val="16"/>
                <w:szCs w:val="16"/>
              </w:rPr>
              <w:t>0,157</w:t>
            </w:r>
          </w:p>
        </w:tc>
        <w:tc>
          <w:tcPr>
            <w:tcW w:w="868" w:type="dxa"/>
            <w:vAlign w:val="center"/>
          </w:tcPr>
          <w:p>
            <w:pPr>
              <w:spacing w:before="20" w:after="20"/>
              <w:jc w:val="right"/>
              <w:rPr>
                <w:b/>
                <w:noProof/>
                <w:sz w:val="20"/>
                <w:szCs w:val="20"/>
              </w:rPr>
            </w:pPr>
            <w:r>
              <w:rPr>
                <w:b/>
                <w:noProof/>
                <w:sz w:val="16"/>
                <w:szCs w:val="16"/>
              </w:rPr>
              <w:t>0,157</w:t>
            </w:r>
          </w:p>
        </w:tc>
        <w:tc>
          <w:tcPr>
            <w:tcW w:w="868" w:type="dxa"/>
            <w:vAlign w:val="center"/>
          </w:tcPr>
          <w:p>
            <w:pPr>
              <w:spacing w:before="20" w:after="20"/>
              <w:jc w:val="right"/>
              <w:rPr>
                <w:b/>
                <w:noProof/>
                <w:sz w:val="20"/>
                <w:szCs w:val="20"/>
              </w:rPr>
            </w:pPr>
            <w:r>
              <w:rPr>
                <w:b/>
                <w:noProof/>
                <w:sz w:val="16"/>
                <w:szCs w:val="16"/>
              </w:rPr>
              <w:t>0,157</w:t>
            </w:r>
          </w:p>
        </w:tc>
        <w:tc>
          <w:tcPr>
            <w:tcW w:w="887" w:type="dxa"/>
            <w:shd w:val="clear" w:color="auto" w:fill="A6A6A6" w:themeFill="background1" w:themeFillShade="A6"/>
            <w:vAlign w:val="center"/>
          </w:tcPr>
          <w:p>
            <w:pPr>
              <w:spacing w:before="20" w:after="20"/>
              <w:jc w:val="right"/>
              <w:rPr>
                <w:b/>
                <w:noProof/>
                <w:sz w:val="20"/>
                <w:szCs w:val="20"/>
              </w:rPr>
            </w:pPr>
            <w:r>
              <w:rPr>
                <w:b/>
                <w:noProof/>
                <w:sz w:val="16"/>
                <w:szCs w:val="16"/>
              </w:rPr>
              <w:t>0,157</w:t>
            </w:r>
          </w:p>
        </w:tc>
        <w:tc>
          <w:tcPr>
            <w:tcW w:w="1291" w:type="dxa"/>
            <w:vAlign w:val="center"/>
          </w:tcPr>
          <w:p>
            <w:pPr>
              <w:spacing w:before="20" w:after="20"/>
              <w:jc w:val="right"/>
              <w:rPr>
                <w:b/>
                <w:noProof/>
                <w:sz w:val="20"/>
                <w:szCs w:val="20"/>
              </w:rPr>
            </w:pPr>
            <w:r>
              <w:rPr>
                <w:b/>
                <w:noProof/>
                <w:sz w:val="16"/>
                <w:szCs w:val="16"/>
              </w:rPr>
              <w:t>0,944</w:t>
            </w:r>
          </w:p>
        </w:tc>
      </w:tr>
    </w:tbl>
    <w:p>
      <w:pPr>
        <w:jc w:val="right"/>
        <w:rPr>
          <w:noProof/>
          <w:sz w:val="20"/>
          <w:szCs w:val="20"/>
        </w:rPr>
      </w:pPr>
      <w:r>
        <w:rPr>
          <w:noProof/>
          <w:sz w:val="20"/>
          <w:szCs w:val="20"/>
        </w:rPr>
        <w:t>v milionech EUR (zaokrouhleno na tři desetinná místa)</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szCs w:val="20"/>
              </w:rPr>
            </w:pPr>
            <w:r>
              <w:rPr>
                <w:b/>
                <w:noProof/>
                <w:sz w:val="20"/>
                <w:szCs w:val="20"/>
              </w:rPr>
              <w:t>2021</w:t>
            </w:r>
          </w:p>
        </w:tc>
        <w:tc>
          <w:tcPr>
            <w:tcW w:w="868" w:type="dxa"/>
            <w:vAlign w:val="center"/>
          </w:tcPr>
          <w:p>
            <w:pPr>
              <w:jc w:val="center"/>
              <w:rPr>
                <w:noProof/>
                <w:sz w:val="20"/>
                <w:szCs w:val="20"/>
              </w:rPr>
            </w:pPr>
            <w:r>
              <w:rPr>
                <w:b/>
                <w:noProof/>
                <w:sz w:val="20"/>
                <w:szCs w:val="20"/>
              </w:rPr>
              <w:t>2022</w:t>
            </w:r>
          </w:p>
        </w:tc>
        <w:tc>
          <w:tcPr>
            <w:tcW w:w="868" w:type="dxa"/>
            <w:vAlign w:val="center"/>
          </w:tcPr>
          <w:p>
            <w:pPr>
              <w:jc w:val="center"/>
              <w:rPr>
                <w:noProof/>
                <w:sz w:val="20"/>
                <w:szCs w:val="20"/>
              </w:rPr>
            </w:pPr>
            <w:r>
              <w:rPr>
                <w:b/>
                <w:noProof/>
                <w:sz w:val="20"/>
                <w:szCs w:val="20"/>
              </w:rPr>
              <w:t>2023</w:t>
            </w:r>
          </w:p>
        </w:tc>
        <w:tc>
          <w:tcPr>
            <w:tcW w:w="868" w:type="dxa"/>
            <w:vAlign w:val="center"/>
          </w:tcPr>
          <w:p>
            <w:pPr>
              <w:jc w:val="center"/>
              <w:rPr>
                <w:noProof/>
                <w:sz w:val="20"/>
                <w:szCs w:val="20"/>
              </w:rPr>
            </w:pPr>
            <w:r>
              <w:rPr>
                <w:b/>
                <w:noProof/>
                <w:sz w:val="20"/>
                <w:szCs w:val="20"/>
              </w:rPr>
              <w:t>2024</w:t>
            </w:r>
          </w:p>
        </w:tc>
        <w:tc>
          <w:tcPr>
            <w:tcW w:w="868" w:type="dxa"/>
            <w:vAlign w:val="center"/>
          </w:tcPr>
          <w:p>
            <w:pPr>
              <w:jc w:val="center"/>
              <w:rPr>
                <w:b/>
                <w:noProof/>
                <w:sz w:val="18"/>
                <w:szCs w:val="18"/>
              </w:rPr>
            </w:pPr>
            <w:r>
              <w:rPr>
                <w:b/>
                <w:noProof/>
                <w:sz w:val="18"/>
                <w:szCs w:val="18"/>
              </w:rPr>
              <w:t>2025</w:t>
            </w:r>
          </w:p>
        </w:tc>
        <w:tc>
          <w:tcPr>
            <w:tcW w:w="868" w:type="dxa"/>
            <w:vAlign w:val="center"/>
          </w:tcPr>
          <w:p>
            <w:pPr>
              <w:jc w:val="center"/>
              <w:rPr>
                <w:b/>
                <w:noProof/>
                <w:sz w:val="18"/>
                <w:szCs w:val="18"/>
              </w:rPr>
            </w:pPr>
            <w:r>
              <w:rPr>
                <w:b/>
                <w:noProof/>
                <w:sz w:val="18"/>
                <w:szCs w:val="18"/>
              </w:rPr>
              <w:t>2026</w:t>
            </w:r>
          </w:p>
        </w:tc>
        <w:tc>
          <w:tcPr>
            <w:tcW w:w="868" w:type="dxa"/>
            <w:vAlign w:val="center"/>
          </w:tcPr>
          <w:p>
            <w:pPr>
              <w:jc w:val="center"/>
              <w:rPr>
                <w:b/>
                <w:noProof/>
                <w:sz w:val="18"/>
                <w:szCs w:val="18"/>
              </w:rPr>
            </w:pPr>
            <w:r>
              <w:rPr>
                <w:b/>
                <w:noProof/>
                <w:sz w:val="18"/>
                <w:szCs w:val="18"/>
              </w:rPr>
              <w:t>2027</w:t>
            </w:r>
          </w:p>
        </w:tc>
        <w:tc>
          <w:tcPr>
            <w:tcW w:w="877" w:type="dxa"/>
          </w:tcPr>
          <w:p>
            <w:pPr>
              <w:jc w:val="center"/>
              <w:rPr>
                <w:b/>
                <w:noProof/>
                <w:sz w:val="20"/>
                <w:szCs w:val="20"/>
              </w:rPr>
            </w:pPr>
            <w:r>
              <w:rPr>
                <w:b/>
                <w:i/>
                <w:noProof/>
                <w:sz w:val="20"/>
                <w:szCs w:val="20"/>
              </w:rPr>
              <w:t>Po roce 2027</w:t>
            </w:r>
          </w:p>
        </w:tc>
        <w:tc>
          <w:tcPr>
            <w:tcW w:w="1292" w:type="dxa"/>
            <w:vAlign w:val="center"/>
          </w:tcPr>
          <w:p>
            <w:pPr>
              <w:jc w:val="center"/>
              <w:rPr>
                <w:b/>
                <w:noProof/>
                <w:sz w:val="20"/>
                <w:szCs w:val="20"/>
              </w:rPr>
            </w:pPr>
            <w:r>
              <w:rPr>
                <w:b/>
                <w:noProof/>
                <w:sz w:val="20"/>
                <w:szCs w:val="20"/>
              </w:rPr>
              <w:t>CELKEM</w:t>
            </w:r>
          </w:p>
        </w:tc>
      </w:tr>
      <w:tr>
        <w:trPr>
          <w:jc w:val="center"/>
        </w:trPr>
        <w:tc>
          <w:tcPr>
            <w:tcW w:w="4173" w:type="dxa"/>
            <w:vMerge w:val="restart"/>
            <w:shd w:val="clear" w:color="auto" w:fill="C0C0C0"/>
            <w:vAlign w:val="center"/>
          </w:tcPr>
          <w:p>
            <w:pPr>
              <w:jc w:val="center"/>
              <w:rPr>
                <w:b/>
                <w:noProof/>
              </w:rPr>
            </w:pPr>
            <w:r>
              <w:rPr>
                <w:b/>
                <w:noProof/>
                <w:sz w:val="22"/>
              </w:rPr>
              <w:t xml:space="preserve">Prostředky CELKEM </w:t>
            </w:r>
            <w:r>
              <w:rPr>
                <w:noProof/>
                <w:sz w:val="22"/>
              </w:rPr>
              <w:br/>
            </w:r>
            <w:r>
              <w:rPr>
                <w:b/>
                <w:noProof/>
                <w:sz w:val="22"/>
              </w:rPr>
              <w:t xml:space="preserve">Napříč OKRUHY </w:t>
            </w:r>
            <w:r>
              <w:rPr>
                <w:noProof/>
                <w:sz w:val="22"/>
              </w:rPr>
              <w:br/>
              <w:t>víceletého finančního rámce</w:t>
            </w:r>
            <w:r>
              <w:rPr>
                <w:b/>
                <w:noProof/>
                <w:sz w:val="22"/>
              </w:rPr>
              <w:t xml:space="preserve"> </w:t>
            </w:r>
          </w:p>
        </w:tc>
        <w:tc>
          <w:tcPr>
            <w:tcW w:w="2094" w:type="dxa"/>
            <w:gridSpan w:val="2"/>
            <w:vAlign w:val="center"/>
          </w:tcPr>
          <w:p>
            <w:pPr>
              <w:rPr>
                <w:noProof/>
                <w:sz w:val="14"/>
                <w:szCs w:val="14"/>
              </w:rPr>
            </w:pPr>
            <w:r>
              <w:rPr>
                <w:noProof/>
                <w:sz w:val="18"/>
                <w:szCs w:val="18"/>
              </w:rPr>
              <w:t>Závazky</w:t>
            </w:r>
          </w:p>
        </w:tc>
        <w:tc>
          <w:tcPr>
            <w:tcW w:w="868" w:type="dxa"/>
            <w:vAlign w:val="center"/>
          </w:tcPr>
          <w:p>
            <w:pPr>
              <w:spacing w:before="60" w:after="60"/>
              <w:jc w:val="right"/>
              <w:rPr>
                <w:noProof/>
                <w:sz w:val="20"/>
                <w:szCs w:val="20"/>
              </w:rPr>
            </w:pPr>
            <w:r>
              <w:rPr>
                <w:noProof/>
                <w:sz w:val="16"/>
                <w:szCs w:val="16"/>
              </w:rPr>
              <w:t>0</w:t>
            </w:r>
          </w:p>
        </w:tc>
        <w:tc>
          <w:tcPr>
            <w:tcW w:w="868" w:type="dxa"/>
            <w:vAlign w:val="center"/>
          </w:tcPr>
          <w:p>
            <w:pPr>
              <w:spacing w:before="60" w:after="60"/>
              <w:jc w:val="right"/>
              <w:rPr>
                <w:noProof/>
                <w:sz w:val="20"/>
                <w:szCs w:val="20"/>
              </w:rPr>
            </w:pPr>
            <w:r>
              <w:rPr>
                <w:noProof/>
                <w:sz w:val="16"/>
                <w:szCs w:val="16"/>
              </w:rPr>
              <w:t>0,212</w:t>
            </w:r>
          </w:p>
        </w:tc>
        <w:tc>
          <w:tcPr>
            <w:tcW w:w="868" w:type="dxa"/>
            <w:vAlign w:val="center"/>
          </w:tcPr>
          <w:p>
            <w:pPr>
              <w:spacing w:before="60" w:after="60"/>
              <w:jc w:val="right"/>
              <w:rPr>
                <w:noProof/>
                <w:sz w:val="20"/>
                <w:szCs w:val="20"/>
              </w:rPr>
            </w:pPr>
            <w:r>
              <w:rPr>
                <w:noProof/>
                <w:sz w:val="20"/>
                <w:szCs w:val="20"/>
              </w:rPr>
              <w:t>1,587</w:t>
            </w:r>
          </w:p>
        </w:tc>
        <w:tc>
          <w:tcPr>
            <w:tcW w:w="868" w:type="dxa"/>
            <w:vAlign w:val="center"/>
          </w:tcPr>
          <w:p>
            <w:pPr>
              <w:spacing w:before="60" w:after="60"/>
              <w:jc w:val="right"/>
              <w:rPr>
                <w:noProof/>
                <w:sz w:val="20"/>
                <w:szCs w:val="20"/>
              </w:rPr>
            </w:pPr>
            <w:r>
              <w:rPr>
                <w:noProof/>
                <w:sz w:val="16"/>
                <w:szCs w:val="16"/>
              </w:rPr>
              <w:t>1,988</w:t>
            </w:r>
          </w:p>
        </w:tc>
        <w:tc>
          <w:tcPr>
            <w:tcW w:w="868" w:type="dxa"/>
            <w:vAlign w:val="center"/>
          </w:tcPr>
          <w:p>
            <w:pPr>
              <w:spacing w:before="60" w:after="60"/>
              <w:jc w:val="right"/>
              <w:rPr>
                <w:noProof/>
                <w:sz w:val="20"/>
                <w:szCs w:val="20"/>
              </w:rPr>
            </w:pPr>
            <w:r>
              <w:rPr>
                <w:noProof/>
                <w:sz w:val="16"/>
                <w:szCs w:val="16"/>
              </w:rPr>
              <w:t>1,988</w:t>
            </w:r>
          </w:p>
        </w:tc>
        <w:tc>
          <w:tcPr>
            <w:tcW w:w="868" w:type="dxa"/>
            <w:vAlign w:val="center"/>
          </w:tcPr>
          <w:p>
            <w:pPr>
              <w:spacing w:before="60" w:after="60"/>
              <w:jc w:val="right"/>
              <w:rPr>
                <w:noProof/>
                <w:sz w:val="20"/>
                <w:szCs w:val="20"/>
              </w:rPr>
            </w:pPr>
            <w:r>
              <w:rPr>
                <w:noProof/>
                <w:sz w:val="16"/>
                <w:szCs w:val="16"/>
              </w:rPr>
              <w:t>1,946</w:t>
            </w:r>
          </w:p>
        </w:tc>
        <w:tc>
          <w:tcPr>
            <w:tcW w:w="868" w:type="dxa"/>
            <w:vAlign w:val="center"/>
          </w:tcPr>
          <w:p>
            <w:pPr>
              <w:spacing w:before="60" w:after="60"/>
              <w:jc w:val="right"/>
              <w:rPr>
                <w:b/>
                <w:noProof/>
                <w:sz w:val="20"/>
                <w:szCs w:val="20"/>
              </w:rPr>
            </w:pPr>
            <w:r>
              <w:rPr>
                <w:noProof/>
                <w:sz w:val="16"/>
                <w:szCs w:val="16"/>
              </w:rPr>
              <w:t>1,946</w:t>
            </w:r>
          </w:p>
        </w:tc>
        <w:tc>
          <w:tcPr>
            <w:tcW w:w="877" w:type="dxa"/>
            <w:shd w:val="clear" w:color="auto" w:fill="A6A6A6" w:themeFill="background1" w:themeFillShade="A6"/>
            <w:vAlign w:val="center"/>
          </w:tcPr>
          <w:p>
            <w:pPr>
              <w:spacing w:before="60" w:after="60"/>
              <w:jc w:val="right"/>
              <w:rPr>
                <w:b/>
                <w:noProof/>
                <w:sz w:val="20"/>
                <w:szCs w:val="20"/>
              </w:rPr>
            </w:pPr>
            <w:r>
              <w:rPr>
                <w:noProof/>
                <w:sz w:val="16"/>
                <w:szCs w:val="16"/>
              </w:rPr>
              <w:t>1,946</w:t>
            </w:r>
          </w:p>
        </w:tc>
        <w:tc>
          <w:tcPr>
            <w:tcW w:w="1292" w:type="dxa"/>
            <w:vAlign w:val="center"/>
          </w:tcPr>
          <w:p>
            <w:pPr>
              <w:spacing w:before="60" w:after="60"/>
              <w:jc w:val="right"/>
              <w:rPr>
                <w:b/>
                <w:noProof/>
                <w:sz w:val="20"/>
                <w:szCs w:val="20"/>
              </w:rPr>
            </w:pPr>
            <w:r>
              <w:rPr>
                <w:b/>
                <w:noProof/>
                <w:sz w:val="20"/>
                <w:szCs w:val="20"/>
              </w:rPr>
              <w:t>9,667</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szCs w:val="14"/>
              </w:rPr>
            </w:pPr>
            <w:r>
              <w:rPr>
                <w:noProof/>
                <w:sz w:val="18"/>
                <w:szCs w:val="18"/>
              </w:rPr>
              <w:t>Platby</w:t>
            </w:r>
          </w:p>
        </w:tc>
        <w:tc>
          <w:tcPr>
            <w:tcW w:w="868" w:type="dxa"/>
            <w:vAlign w:val="center"/>
          </w:tcPr>
          <w:p>
            <w:pPr>
              <w:spacing w:before="60" w:after="60"/>
              <w:jc w:val="right"/>
              <w:rPr>
                <w:noProof/>
                <w:sz w:val="20"/>
                <w:szCs w:val="20"/>
              </w:rPr>
            </w:pPr>
            <w:r>
              <w:rPr>
                <w:noProof/>
                <w:sz w:val="16"/>
                <w:szCs w:val="16"/>
              </w:rPr>
              <w:t>0</w:t>
            </w:r>
          </w:p>
        </w:tc>
        <w:tc>
          <w:tcPr>
            <w:tcW w:w="868" w:type="dxa"/>
            <w:vAlign w:val="center"/>
          </w:tcPr>
          <w:p>
            <w:pPr>
              <w:spacing w:before="60" w:after="60"/>
              <w:jc w:val="right"/>
              <w:rPr>
                <w:noProof/>
                <w:sz w:val="20"/>
                <w:szCs w:val="20"/>
              </w:rPr>
            </w:pPr>
            <w:r>
              <w:rPr>
                <w:noProof/>
                <w:sz w:val="16"/>
                <w:szCs w:val="16"/>
              </w:rPr>
              <w:t>0,212</w:t>
            </w:r>
          </w:p>
        </w:tc>
        <w:tc>
          <w:tcPr>
            <w:tcW w:w="868" w:type="dxa"/>
            <w:vAlign w:val="center"/>
          </w:tcPr>
          <w:p>
            <w:pPr>
              <w:spacing w:before="60" w:after="60"/>
              <w:jc w:val="right"/>
              <w:rPr>
                <w:noProof/>
                <w:sz w:val="20"/>
                <w:szCs w:val="20"/>
              </w:rPr>
            </w:pPr>
            <w:r>
              <w:rPr>
                <w:noProof/>
                <w:sz w:val="20"/>
                <w:szCs w:val="20"/>
              </w:rPr>
              <w:t>1,587</w:t>
            </w:r>
          </w:p>
        </w:tc>
        <w:tc>
          <w:tcPr>
            <w:tcW w:w="868" w:type="dxa"/>
            <w:vAlign w:val="center"/>
          </w:tcPr>
          <w:p>
            <w:pPr>
              <w:spacing w:before="60" w:after="60"/>
              <w:jc w:val="right"/>
              <w:rPr>
                <w:noProof/>
                <w:sz w:val="20"/>
                <w:szCs w:val="20"/>
              </w:rPr>
            </w:pPr>
            <w:r>
              <w:rPr>
                <w:noProof/>
                <w:sz w:val="16"/>
                <w:szCs w:val="16"/>
              </w:rPr>
              <w:t>1,988</w:t>
            </w:r>
          </w:p>
        </w:tc>
        <w:tc>
          <w:tcPr>
            <w:tcW w:w="868" w:type="dxa"/>
            <w:vAlign w:val="center"/>
          </w:tcPr>
          <w:p>
            <w:pPr>
              <w:spacing w:before="60" w:after="60"/>
              <w:jc w:val="right"/>
              <w:rPr>
                <w:noProof/>
                <w:sz w:val="20"/>
                <w:szCs w:val="20"/>
              </w:rPr>
            </w:pPr>
            <w:r>
              <w:rPr>
                <w:noProof/>
                <w:sz w:val="16"/>
                <w:szCs w:val="16"/>
              </w:rPr>
              <w:t>1,988</w:t>
            </w:r>
          </w:p>
        </w:tc>
        <w:tc>
          <w:tcPr>
            <w:tcW w:w="868" w:type="dxa"/>
            <w:vAlign w:val="center"/>
          </w:tcPr>
          <w:p>
            <w:pPr>
              <w:spacing w:before="60" w:after="60"/>
              <w:jc w:val="right"/>
              <w:rPr>
                <w:noProof/>
                <w:sz w:val="20"/>
                <w:szCs w:val="20"/>
              </w:rPr>
            </w:pPr>
            <w:r>
              <w:rPr>
                <w:noProof/>
                <w:sz w:val="16"/>
                <w:szCs w:val="16"/>
              </w:rPr>
              <w:t>1,946</w:t>
            </w:r>
          </w:p>
        </w:tc>
        <w:tc>
          <w:tcPr>
            <w:tcW w:w="868" w:type="dxa"/>
            <w:vAlign w:val="center"/>
          </w:tcPr>
          <w:p>
            <w:pPr>
              <w:spacing w:before="60" w:after="60"/>
              <w:jc w:val="right"/>
              <w:rPr>
                <w:b/>
                <w:noProof/>
                <w:sz w:val="20"/>
                <w:szCs w:val="20"/>
              </w:rPr>
            </w:pPr>
            <w:r>
              <w:rPr>
                <w:noProof/>
                <w:sz w:val="16"/>
                <w:szCs w:val="16"/>
              </w:rPr>
              <w:t>1,946</w:t>
            </w:r>
          </w:p>
        </w:tc>
        <w:tc>
          <w:tcPr>
            <w:tcW w:w="877" w:type="dxa"/>
            <w:shd w:val="clear" w:color="auto" w:fill="A6A6A6" w:themeFill="background1" w:themeFillShade="A6"/>
            <w:vAlign w:val="center"/>
          </w:tcPr>
          <w:p>
            <w:pPr>
              <w:spacing w:before="60" w:after="60"/>
              <w:jc w:val="right"/>
              <w:rPr>
                <w:b/>
                <w:noProof/>
                <w:sz w:val="20"/>
                <w:szCs w:val="20"/>
              </w:rPr>
            </w:pPr>
            <w:r>
              <w:rPr>
                <w:noProof/>
                <w:sz w:val="16"/>
                <w:szCs w:val="16"/>
              </w:rPr>
              <w:t>1,946</w:t>
            </w:r>
          </w:p>
        </w:tc>
        <w:tc>
          <w:tcPr>
            <w:tcW w:w="1292" w:type="dxa"/>
            <w:vAlign w:val="center"/>
          </w:tcPr>
          <w:p>
            <w:pPr>
              <w:spacing w:before="60" w:after="60"/>
              <w:jc w:val="right"/>
              <w:rPr>
                <w:b/>
                <w:noProof/>
                <w:sz w:val="20"/>
                <w:szCs w:val="20"/>
              </w:rPr>
            </w:pPr>
            <w:r>
              <w:rPr>
                <w:b/>
                <w:noProof/>
                <w:sz w:val="20"/>
                <w:szCs w:val="20"/>
              </w:rPr>
              <w:t>9,667</w:t>
            </w:r>
          </w:p>
        </w:tc>
      </w:tr>
    </w:tbl>
    <w:p>
      <w:pPr>
        <w:rPr>
          <w:noProof/>
        </w:rPr>
        <w:sectPr>
          <w:headerReference w:type="default" r:id="rId16"/>
          <w:footerReference w:type="default" r:id="rId17"/>
          <w:headerReference w:type="first" r:id="rId18"/>
          <w:footerReference w:type="first" r:id="rId19"/>
          <w:pgSz w:w="16840" w:h="11907" w:orient="landscape" w:code="9"/>
          <w:pgMar w:top="1134" w:right="1418" w:bottom="1134" w:left="1418" w:header="709" w:footer="709" w:gutter="0"/>
          <w:cols w:space="708"/>
          <w:docGrid w:linePitch="360"/>
        </w:sectPr>
      </w:pPr>
    </w:p>
    <w:p>
      <w:pPr>
        <w:pStyle w:val="ManualHeading3"/>
        <w:rPr>
          <w:noProof/>
        </w:rPr>
      </w:pPr>
      <w:r>
        <w:t>3.2.2.</w:t>
      </w:r>
      <w:r>
        <w:tab/>
      </w:r>
      <w:r>
        <w:rPr>
          <w:noProof/>
        </w:rPr>
        <w:t>Odhadovaný dopad na prostředky agentury eu-LISA</w:t>
      </w:r>
    </w:p>
    <w:p>
      <w:pPr>
        <w:pStyle w:val="ListDash1"/>
        <w:rPr>
          <w:noProof/>
        </w:rPr>
      </w:pPr>
      <w:r>
        <w:rPr>
          <w:noProof/>
        </w:rPr>
        <w:sym w:font="Wingdings" w:char="F0A8"/>
      </w:r>
      <w:r>
        <w:rPr>
          <w:noProof/>
        </w:rPr>
        <w:tab/>
        <w:t xml:space="preserve">Návrh/podnět nevyžaduje využití prostředků správní povahy. </w:t>
      </w:r>
    </w:p>
    <w:p>
      <w:pPr>
        <w:pStyle w:val="ListDash1"/>
        <w:rPr>
          <w:noProof/>
        </w:rPr>
      </w:pPr>
      <w:r>
        <w:rPr>
          <w:noProof/>
        </w:rPr>
        <w:sym w:font="Wingdings" w:char="F078"/>
      </w:r>
      <w:r>
        <w:rPr>
          <w:noProof/>
        </w:rPr>
        <w:tab/>
        <w:t>Návrh/podnět vyžaduje využití prostředků správní povahy, jak je vysvětleno dále:</w:t>
      </w:r>
    </w:p>
    <w:p>
      <w:pPr>
        <w:rPr>
          <w:noProof/>
          <w:sz w:val="20"/>
          <w:szCs w:val="20"/>
        </w:rPr>
      </w:pPr>
      <w:r>
        <w:rPr>
          <w:noProof/>
          <w:sz w:val="20"/>
          <w:szCs w:val="20"/>
        </w:rPr>
        <w:t>v milionech EUR (zaokrouhleno na tři desetinná místa)</w:t>
      </w:r>
    </w:p>
    <w:tbl>
      <w:tblPr>
        <w:tblW w:w="13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560"/>
        <w:gridCol w:w="574"/>
        <w:gridCol w:w="669"/>
        <w:gridCol w:w="780"/>
        <w:gridCol w:w="669"/>
        <w:gridCol w:w="780"/>
        <w:gridCol w:w="669"/>
        <w:gridCol w:w="839"/>
        <w:gridCol w:w="596"/>
        <w:gridCol w:w="780"/>
        <w:gridCol w:w="360"/>
        <w:gridCol w:w="780"/>
        <w:gridCol w:w="360"/>
        <w:gridCol w:w="780"/>
        <w:gridCol w:w="360"/>
        <w:gridCol w:w="840"/>
        <w:gridCol w:w="596"/>
        <w:gridCol w:w="1320"/>
      </w:tblGrid>
      <w:tr>
        <w:trPr>
          <w:jc w:val="center"/>
        </w:trPr>
        <w:tc>
          <w:tcPr>
            <w:tcW w:w="1240"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szCs w:val="18"/>
              </w:rPr>
              <w:t xml:space="preserve">Uveďte cíle a výstupy </w:t>
            </w:r>
          </w:p>
          <w:p>
            <w:pPr>
              <w:keepNext/>
              <w:ind w:right="-29"/>
              <w:jc w:val="center"/>
              <w:rPr>
                <w:b/>
                <w:noProof/>
                <w:sz w:val="18"/>
                <w:szCs w:val="18"/>
              </w:rPr>
            </w:pPr>
            <w:r>
              <w:rPr>
                <w:b/>
                <w:noProof/>
                <w:sz w:val="18"/>
                <w:szCs w:val="18"/>
              </w:rPr>
              <w:t>eu-LISA</w:t>
            </w:r>
          </w:p>
          <w:p>
            <w:pPr>
              <w:keepNext/>
              <w:ind w:right="-29"/>
              <w:jc w:val="center"/>
              <w:rPr>
                <w:noProof/>
                <w:sz w:val="18"/>
              </w:rPr>
            </w:pPr>
            <w:r>
              <w:rPr>
                <w:noProof/>
                <w:sz w:val="18"/>
              </w:rPr>
              <w:sym w:font="Wingdings" w:char="F0F2"/>
            </w:r>
          </w:p>
        </w:tc>
        <w:tc>
          <w:tcPr>
            <w:tcW w:w="560" w:type="dxa"/>
            <w:tcBorders>
              <w:top w:val="single" w:sz="12" w:space="0" w:color="auto"/>
            </w:tcBorders>
            <w:vAlign w:val="center"/>
          </w:tcPr>
          <w:p>
            <w:pPr>
              <w:keepNext/>
              <w:ind w:right="-29"/>
              <w:jc w:val="center"/>
              <w:rPr>
                <w:noProof/>
                <w:sz w:val="18"/>
              </w:rPr>
            </w:pPr>
          </w:p>
        </w:tc>
        <w:tc>
          <w:tcPr>
            <w:tcW w:w="574" w:type="dxa"/>
            <w:tcBorders>
              <w:top w:val="single" w:sz="12" w:space="0" w:color="auto"/>
            </w:tcBorders>
            <w:vAlign w:val="center"/>
          </w:tcPr>
          <w:p>
            <w:pPr>
              <w:keepNext/>
              <w:ind w:right="-29"/>
              <w:jc w:val="center"/>
              <w:rPr>
                <w:noProof/>
                <w:sz w:val="18"/>
              </w:rPr>
            </w:pPr>
          </w:p>
        </w:tc>
        <w:tc>
          <w:tcPr>
            <w:tcW w:w="1449" w:type="dxa"/>
            <w:gridSpan w:val="2"/>
            <w:tcBorders>
              <w:top w:val="single" w:sz="12" w:space="0" w:color="auto"/>
            </w:tcBorders>
            <w:vAlign w:val="center"/>
          </w:tcPr>
          <w:p>
            <w:pPr>
              <w:keepNext/>
              <w:ind w:right="-29"/>
              <w:jc w:val="center"/>
              <w:rPr>
                <w:noProof/>
                <w:sz w:val="18"/>
                <w:szCs w:val="18"/>
              </w:rPr>
            </w:pPr>
            <w:r>
              <w:rPr>
                <w:b/>
                <w:noProof/>
                <w:sz w:val="18"/>
                <w:szCs w:val="18"/>
              </w:rPr>
              <w:t>2021</w:t>
            </w:r>
          </w:p>
        </w:tc>
        <w:tc>
          <w:tcPr>
            <w:tcW w:w="1449" w:type="dxa"/>
            <w:gridSpan w:val="2"/>
            <w:tcBorders>
              <w:top w:val="single" w:sz="12" w:space="0" w:color="auto"/>
            </w:tcBorders>
            <w:vAlign w:val="center"/>
          </w:tcPr>
          <w:p>
            <w:pPr>
              <w:keepNext/>
              <w:ind w:right="-29"/>
              <w:jc w:val="center"/>
              <w:rPr>
                <w:noProof/>
                <w:sz w:val="18"/>
                <w:szCs w:val="18"/>
              </w:rPr>
            </w:pPr>
            <w:r>
              <w:rPr>
                <w:b/>
                <w:noProof/>
                <w:sz w:val="18"/>
                <w:szCs w:val="18"/>
              </w:rPr>
              <w:t>2022</w:t>
            </w:r>
          </w:p>
        </w:tc>
        <w:tc>
          <w:tcPr>
            <w:tcW w:w="1508" w:type="dxa"/>
            <w:gridSpan w:val="2"/>
            <w:tcBorders>
              <w:top w:val="single" w:sz="12" w:space="0" w:color="auto"/>
            </w:tcBorders>
            <w:vAlign w:val="center"/>
          </w:tcPr>
          <w:p>
            <w:pPr>
              <w:keepNext/>
              <w:jc w:val="center"/>
              <w:rPr>
                <w:noProof/>
                <w:sz w:val="18"/>
                <w:szCs w:val="18"/>
              </w:rPr>
            </w:pPr>
            <w:r>
              <w:rPr>
                <w:b/>
                <w:noProof/>
                <w:sz w:val="18"/>
                <w:szCs w:val="18"/>
              </w:rPr>
              <w:t>2023</w:t>
            </w:r>
          </w:p>
        </w:tc>
        <w:tc>
          <w:tcPr>
            <w:tcW w:w="1376" w:type="dxa"/>
            <w:gridSpan w:val="2"/>
            <w:tcBorders>
              <w:top w:val="single" w:sz="12" w:space="0" w:color="auto"/>
            </w:tcBorders>
            <w:vAlign w:val="center"/>
          </w:tcPr>
          <w:p>
            <w:pPr>
              <w:keepNext/>
              <w:jc w:val="center"/>
              <w:rPr>
                <w:noProof/>
                <w:sz w:val="18"/>
                <w:szCs w:val="18"/>
              </w:rPr>
            </w:pPr>
            <w:r>
              <w:rPr>
                <w:b/>
                <w:noProof/>
                <w:sz w:val="18"/>
                <w:szCs w:val="18"/>
              </w:rPr>
              <w:t>2024</w:t>
            </w:r>
          </w:p>
        </w:tc>
        <w:tc>
          <w:tcPr>
            <w:tcW w:w="1140" w:type="dxa"/>
            <w:gridSpan w:val="2"/>
            <w:tcBorders>
              <w:top w:val="single" w:sz="12" w:space="0" w:color="auto"/>
            </w:tcBorders>
            <w:vAlign w:val="center"/>
          </w:tcPr>
          <w:p>
            <w:pPr>
              <w:keepNext/>
              <w:jc w:val="center"/>
              <w:rPr>
                <w:noProof/>
                <w:sz w:val="18"/>
                <w:szCs w:val="18"/>
              </w:rPr>
            </w:pPr>
            <w:r>
              <w:rPr>
                <w:b/>
                <w:noProof/>
                <w:sz w:val="18"/>
                <w:szCs w:val="18"/>
              </w:rPr>
              <w:t>2025</w:t>
            </w:r>
          </w:p>
        </w:tc>
        <w:tc>
          <w:tcPr>
            <w:tcW w:w="1140" w:type="dxa"/>
            <w:gridSpan w:val="2"/>
            <w:tcBorders>
              <w:top w:val="single" w:sz="12" w:space="0" w:color="auto"/>
            </w:tcBorders>
          </w:tcPr>
          <w:p>
            <w:pPr>
              <w:keepNext/>
              <w:ind w:right="-29"/>
              <w:jc w:val="center"/>
              <w:rPr>
                <w:b/>
                <w:noProof/>
                <w:sz w:val="18"/>
                <w:szCs w:val="18"/>
              </w:rPr>
            </w:pPr>
            <w:r>
              <w:rPr>
                <w:b/>
                <w:noProof/>
                <w:sz w:val="18"/>
                <w:szCs w:val="18"/>
              </w:rPr>
              <w:t>2026</w:t>
            </w:r>
          </w:p>
        </w:tc>
        <w:tc>
          <w:tcPr>
            <w:tcW w:w="1200" w:type="dxa"/>
            <w:gridSpan w:val="2"/>
            <w:tcBorders>
              <w:top w:val="single" w:sz="12" w:space="0" w:color="auto"/>
              <w:right w:val="nil"/>
            </w:tcBorders>
          </w:tcPr>
          <w:p>
            <w:pPr>
              <w:keepNext/>
              <w:ind w:right="-29"/>
              <w:jc w:val="center"/>
              <w:rPr>
                <w:b/>
                <w:noProof/>
                <w:sz w:val="18"/>
                <w:szCs w:val="18"/>
              </w:rPr>
            </w:pPr>
            <w:r>
              <w:rPr>
                <w:b/>
                <w:noProof/>
                <w:sz w:val="18"/>
                <w:szCs w:val="18"/>
              </w:rPr>
              <w:t>2027</w:t>
            </w:r>
          </w:p>
        </w:tc>
        <w:tc>
          <w:tcPr>
            <w:tcW w:w="1916"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szCs w:val="18"/>
              </w:rPr>
              <w:t>CELKEM</w:t>
            </w:r>
          </w:p>
        </w:tc>
      </w:tr>
      <w:tr>
        <w:trPr>
          <w:cantSplit/>
          <w:trHeight w:val="454"/>
          <w:jc w:val="center"/>
        </w:trPr>
        <w:tc>
          <w:tcPr>
            <w:tcW w:w="1240" w:type="dxa"/>
            <w:vMerge/>
            <w:tcBorders>
              <w:left w:val="single" w:sz="12" w:space="0" w:color="auto"/>
            </w:tcBorders>
            <w:vAlign w:val="center"/>
          </w:tcPr>
          <w:p>
            <w:pPr>
              <w:rPr>
                <w:noProof/>
                <w:sz w:val="18"/>
              </w:rPr>
            </w:pPr>
          </w:p>
        </w:tc>
        <w:tc>
          <w:tcPr>
            <w:tcW w:w="12312" w:type="dxa"/>
            <w:gridSpan w:val="18"/>
            <w:tcBorders>
              <w:right w:val="single" w:sz="12" w:space="0" w:color="auto"/>
            </w:tcBorders>
            <w:vAlign w:val="center"/>
          </w:tcPr>
          <w:p>
            <w:pPr>
              <w:jc w:val="center"/>
              <w:rPr>
                <w:b/>
                <w:noProof/>
                <w:sz w:val="18"/>
                <w:szCs w:val="18"/>
              </w:rPr>
            </w:pPr>
            <w:r>
              <w:rPr>
                <w:b/>
                <w:noProof/>
                <w:sz w:val="18"/>
                <w:szCs w:val="18"/>
              </w:rPr>
              <w:t>VÝSTUPY</w:t>
            </w:r>
          </w:p>
        </w:tc>
      </w:tr>
      <w:tr>
        <w:trPr>
          <w:cantSplit/>
          <w:trHeight w:val="1134"/>
          <w:jc w:val="center"/>
        </w:trPr>
        <w:tc>
          <w:tcPr>
            <w:tcW w:w="1240" w:type="dxa"/>
            <w:vMerge/>
            <w:tcBorders>
              <w:left w:val="single" w:sz="12" w:space="0" w:color="auto"/>
            </w:tcBorders>
            <w:vAlign w:val="center"/>
          </w:tcPr>
          <w:p>
            <w:pPr>
              <w:rPr>
                <w:noProof/>
                <w:sz w:val="18"/>
              </w:rPr>
            </w:pPr>
          </w:p>
        </w:tc>
        <w:tc>
          <w:tcPr>
            <w:tcW w:w="560" w:type="dxa"/>
            <w:vAlign w:val="center"/>
          </w:tcPr>
          <w:p>
            <w:pPr>
              <w:jc w:val="center"/>
              <w:rPr>
                <w:noProof/>
                <w:sz w:val="18"/>
                <w:szCs w:val="18"/>
              </w:rPr>
            </w:pPr>
            <w:r>
              <w:rPr>
                <w:noProof/>
                <w:sz w:val="18"/>
                <w:szCs w:val="18"/>
              </w:rPr>
              <w:t>Druh</w:t>
            </w:r>
            <w:r>
              <w:rPr>
                <w:rStyle w:val="FootnoteReference"/>
                <w:noProof/>
              </w:rPr>
              <w:footnoteReference w:id="48"/>
            </w:r>
          </w:p>
          <w:p>
            <w:pPr>
              <w:spacing w:before="0" w:after="0"/>
              <w:jc w:val="center"/>
              <w:rPr>
                <w:noProof/>
                <w:sz w:val="18"/>
              </w:rPr>
            </w:pPr>
          </w:p>
        </w:tc>
        <w:tc>
          <w:tcPr>
            <w:tcW w:w="574" w:type="dxa"/>
            <w:tcBorders>
              <w:right w:val="single" w:sz="4" w:space="0" w:color="auto"/>
            </w:tcBorders>
            <w:vAlign w:val="center"/>
          </w:tcPr>
          <w:p>
            <w:pPr>
              <w:jc w:val="center"/>
              <w:rPr>
                <w:noProof/>
                <w:sz w:val="18"/>
                <w:szCs w:val="18"/>
              </w:rPr>
            </w:pPr>
            <w:r>
              <w:rPr>
                <w:noProof/>
                <w:sz w:val="18"/>
                <w:szCs w:val="18"/>
              </w:rPr>
              <w:t>Průměrné náklady</w:t>
            </w:r>
          </w:p>
        </w:tc>
        <w:tc>
          <w:tcPr>
            <w:tcW w:w="669" w:type="dxa"/>
            <w:tcBorders>
              <w:right w:val="dashSmallGap" w:sz="4" w:space="0" w:color="auto"/>
            </w:tcBorders>
            <w:shd w:val="clear" w:color="auto" w:fill="auto"/>
            <w:textDirection w:val="btLr"/>
            <w:vAlign w:val="center"/>
          </w:tcPr>
          <w:p>
            <w:pPr>
              <w:ind w:left="113" w:right="113"/>
              <w:jc w:val="center"/>
              <w:rPr>
                <w:noProof/>
                <w:sz w:val="18"/>
                <w:szCs w:val="18"/>
              </w:rPr>
            </w:pPr>
            <w:r>
              <w:rPr>
                <w:noProof/>
                <w:sz w:val="18"/>
                <w:szCs w:val="18"/>
              </w:rPr>
              <w:t>Ne</w:t>
            </w:r>
          </w:p>
        </w:tc>
        <w:tc>
          <w:tcPr>
            <w:tcW w:w="780" w:type="dxa"/>
            <w:tcBorders>
              <w:left w:val="dashSmallGap" w:sz="4" w:space="0" w:color="auto"/>
            </w:tcBorders>
            <w:shd w:val="clear" w:color="auto" w:fill="auto"/>
            <w:vAlign w:val="center"/>
          </w:tcPr>
          <w:p>
            <w:pPr>
              <w:jc w:val="center"/>
              <w:rPr>
                <w:noProof/>
                <w:sz w:val="18"/>
                <w:szCs w:val="18"/>
              </w:rPr>
            </w:pPr>
            <w:r>
              <w:rPr>
                <w:noProof/>
                <w:sz w:val="18"/>
                <w:szCs w:val="18"/>
              </w:rPr>
              <w:t>Náklady</w:t>
            </w:r>
          </w:p>
        </w:tc>
        <w:tc>
          <w:tcPr>
            <w:tcW w:w="669" w:type="dxa"/>
            <w:tcBorders>
              <w:right w:val="dashSmallGap" w:sz="4" w:space="0" w:color="auto"/>
            </w:tcBorders>
            <w:shd w:val="clear" w:color="auto" w:fill="auto"/>
            <w:textDirection w:val="btLr"/>
            <w:vAlign w:val="center"/>
          </w:tcPr>
          <w:p>
            <w:pPr>
              <w:ind w:left="113" w:right="113"/>
              <w:jc w:val="center"/>
              <w:rPr>
                <w:noProof/>
                <w:sz w:val="18"/>
                <w:szCs w:val="18"/>
              </w:rPr>
            </w:pPr>
            <w:r>
              <w:rPr>
                <w:noProof/>
                <w:sz w:val="18"/>
                <w:szCs w:val="18"/>
              </w:rPr>
              <w:t>Ne</w:t>
            </w:r>
          </w:p>
        </w:tc>
        <w:tc>
          <w:tcPr>
            <w:tcW w:w="780" w:type="dxa"/>
            <w:tcBorders>
              <w:left w:val="dashSmallGap" w:sz="4" w:space="0" w:color="auto"/>
            </w:tcBorders>
            <w:shd w:val="clear" w:color="auto" w:fill="auto"/>
            <w:vAlign w:val="center"/>
          </w:tcPr>
          <w:p>
            <w:pPr>
              <w:jc w:val="center"/>
              <w:rPr>
                <w:noProof/>
                <w:sz w:val="18"/>
                <w:szCs w:val="18"/>
              </w:rPr>
            </w:pPr>
            <w:r>
              <w:rPr>
                <w:noProof/>
                <w:sz w:val="18"/>
                <w:szCs w:val="18"/>
              </w:rPr>
              <w:t>Náklady</w:t>
            </w:r>
          </w:p>
        </w:tc>
        <w:tc>
          <w:tcPr>
            <w:tcW w:w="669" w:type="dxa"/>
            <w:tcBorders>
              <w:right w:val="dashSmallGap" w:sz="4" w:space="0" w:color="auto"/>
            </w:tcBorders>
            <w:shd w:val="clear" w:color="auto" w:fill="auto"/>
            <w:textDirection w:val="btLr"/>
            <w:vAlign w:val="center"/>
          </w:tcPr>
          <w:p>
            <w:pPr>
              <w:ind w:left="113" w:right="113"/>
              <w:jc w:val="center"/>
              <w:rPr>
                <w:noProof/>
                <w:sz w:val="18"/>
                <w:szCs w:val="18"/>
              </w:rPr>
            </w:pPr>
            <w:r>
              <w:rPr>
                <w:noProof/>
                <w:sz w:val="18"/>
                <w:szCs w:val="18"/>
              </w:rPr>
              <w:t>Ne</w:t>
            </w:r>
          </w:p>
        </w:tc>
        <w:tc>
          <w:tcPr>
            <w:tcW w:w="839" w:type="dxa"/>
            <w:tcBorders>
              <w:left w:val="dashSmallGap" w:sz="4" w:space="0" w:color="auto"/>
            </w:tcBorders>
            <w:shd w:val="clear" w:color="auto" w:fill="auto"/>
            <w:vAlign w:val="center"/>
          </w:tcPr>
          <w:p>
            <w:pPr>
              <w:jc w:val="center"/>
              <w:rPr>
                <w:noProof/>
                <w:sz w:val="18"/>
                <w:szCs w:val="18"/>
              </w:rPr>
            </w:pPr>
            <w:r>
              <w:rPr>
                <w:noProof/>
                <w:sz w:val="18"/>
                <w:szCs w:val="18"/>
              </w:rPr>
              <w:t>Náklady</w:t>
            </w:r>
          </w:p>
        </w:tc>
        <w:tc>
          <w:tcPr>
            <w:tcW w:w="596" w:type="dxa"/>
            <w:tcBorders>
              <w:right w:val="dashSmallGap" w:sz="4" w:space="0" w:color="auto"/>
            </w:tcBorders>
            <w:shd w:val="clear" w:color="auto" w:fill="auto"/>
            <w:textDirection w:val="btLr"/>
            <w:vAlign w:val="center"/>
          </w:tcPr>
          <w:p>
            <w:pPr>
              <w:ind w:left="113" w:right="113"/>
              <w:jc w:val="center"/>
              <w:rPr>
                <w:noProof/>
                <w:sz w:val="18"/>
                <w:szCs w:val="18"/>
              </w:rPr>
            </w:pPr>
            <w:r>
              <w:rPr>
                <w:noProof/>
                <w:sz w:val="18"/>
                <w:szCs w:val="18"/>
              </w:rPr>
              <w:t>Ne</w:t>
            </w:r>
          </w:p>
        </w:tc>
        <w:tc>
          <w:tcPr>
            <w:tcW w:w="780" w:type="dxa"/>
            <w:tcBorders>
              <w:left w:val="dashSmallGap" w:sz="4" w:space="0" w:color="auto"/>
            </w:tcBorders>
            <w:shd w:val="clear" w:color="auto" w:fill="auto"/>
            <w:vAlign w:val="center"/>
          </w:tcPr>
          <w:p>
            <w:pPr>
              <w:jc w:val="center"/>
              <w:rPr>
                <w:noProof/>
                <w:sz w:val="18"/>
                <w:szCs w:val="18"/>
              </w:rPr>
            </w:pPr>
            <w:r>
              <w:rPr>
                <w:noProof/>
                <w:sz w:val="18"/>
                <w:szCs w:val="18"/>
              </w:rPr>
              <w:t>Náklady</w:t>
            </w:r>
          </w:p>
        </w:tc>
        <w:tc>
          <w:tcPr>
            <w:tcW w:w="360" w:type="dxa"/>
            <w:tcBorders>
              <w:right w:val="dashSmallGap" w:sz="4" w:space="0" w:color="auto"/>
            </w:tcBorders>
            <w:shd w:val="clear" w:color="auto" w:fill="auto"/>
            <w:textDirection w:val="btLr"/>
            <w:vAlign w:val="center"/>
          </w:tcPr>
          <w:p>
            <w:pPr>
              <w:ind w:left="113" w:right="113"/>
              <w:jc w:val="center"/>
              <w:rPr>
                <w:noProof/>
                <w:sz w:val="18"/>
                <w:szCs w:val="18"/>
              </w:rPr>
            </w:pPr>
            <w:r>
              <w:rPr>
                <w:noProof/>
                <w:sz w:val="18"/>
                <w:szCs w:val="18"/>
              </w:rPr>
              <w:t>Ne</w:t>
            </w:r>
          </w:p>
        </w:tc>
        <w:tc>
          <w:tcPr>
            <w:tcW w:w="780" w:type="dxa"/>
            <w:tcBorders>
              <w:left w:val="dashSmallGap" w:sz="4" w:space="0" w:color="auto"/>
            </w:tcBorders>
            <w:shd w:val="clear" w:color="auto" w:fill="auto"/>
            <w:vAlign w:val="center"/>
          </w:tcPr>
          <w:p>
            <w:pPr>
              <w:jc w:val="center"/>
              <w:rPr>
                <w:noProof/>
                <w:sz w:val="18"/>
                <w:szCs w:val="18"/>
              </w:rPr>
            </w:pPr>
            <w:r>
              <w:rPr>
                <w:noProof/>
                <w:sz w:val="18"/>
                <w:szCs w:val="18"/>
              </w:rPr>
              <w:t>Náklady</w:t>
            </w:r>
          </w:p>
        </w:tc>
        <w:tc>
          <w:tcPr>
            <w:tcW w:w="360" w:type="dxa"/>
            <w:tcBorders>
              <w:right w:val="dashSmallGap" w:sz="4" w:space="0" w:color="auto"/>
            </w:tcBorders>
            <w:shd w:val="clear" w:color="auto" w:fill="auto"/>
            <w:textDirection w:val="btLr"/>
            <w:vAlign w:val="center"/>
          </w:tcPr>
          <w:p>
            <w:pPr>
              <w:ind w:left="113" w:right="113"/>
              <w:jc w:val="center"/>
              <w:rPr>
                <w:noProof/>
                <w:sz w:val="18"/>
                <w:szCs w:val="18"/>
              </w:rPr>
            </w:pPr>
            <w:r>
              <w:rPr>
                <w:noProof/>
                <w:sz w:val="18"/>
                <w:szCs w:val="18"/>
              </w:rPr>
              <w:t>Ne</w:t>
            </w:r>
          </w:p>
        </w:tc>
        <w:tc>
          <w:tcPr>
            <w:tcW w:w="780" w:type="dxa"/>
            <w:tcBorders>
              <w:left w:val="dashSmallGap" w:sz="4" w:space="0" w:color="auto"/>
            </w:tcBorders>
            <w:shd w:val="clear" w:color="auto" w:fill="auto"/>
            <w:vAlign w:val="center"/>
          </w:tcPr>
          <w:p>
            <w:pPr>
              <w:jc w:val="center"/>
              <w:rPr>
                <w:noProof/>
                <w:sz w:val="18"/>
                <w:szCs w:val="18"/>
              </w:rPr>
            </w:pPr>
            <w:r>
              <w:rPr>
                <w:noProof/>
                <w:sz w:val="18"/>
                <w:szCs w:val="18"/>
              </w:rPr>
              <w:t>Náklady</w:t>
            </w:r>
          </w:p>
        </w:tc>
        <w:tc>
          <w:tcPr>
            <w:tcW w:w="360" w:type="dxa"/>
            <w:tcBorders>
              <w:right w:val="dashSmallGap" w:sz="4" w:space="0" w:color="auto"/>
            </w:tcBorders>
            <w:shd w:val="clear" w:color="auto" w:fill="auto"/>
            <w:textDirection w:val="btLr"/>
            <w:vAlign w:val="center"/>
          </w:tcPr>
          <w:p>
            <w:pPr>
              <w:ind w:left="113" w:right="113"/>
              <w:jc w:val="center"/>
              <w:rPr>
                <w:noProof/>
                <w:sz w:val="18"/>
                <w:szCs w:val="18"/>
              </w:rPr>
            </w:pPr>
            <w:r>
              <w:rPr>
                <w:noProof/>
                <w:sz w:val="18"/>
                <w:szCs w:val="18"/>
              </w:rPr>
              <w:t>Ne</w:t>
            </w:r>
          </w:p>
        </w:tc>
        <w:tc>
          <w:tcPr>
            <w:tcW w:w="840" w:type="dxa"/>
            <w:tcBorders>
              <w:left w:val="dashSmallGap" w:sz="4" w:space="0" w:color="auto"/>
            </w:tcBorders>
            <w:shd w:val="clear" w:color="auto" w:fill="auto"/>
            <w:vAlign w:val="center"/>
          </w:tcPr>
          <w:p>
            <w:pPr>
              <w:jc w:val="center"/>
              <w:rPr>
                <w:noProof/>
                <w:sz w:val="18"/>
                <w:szCs w:val="18"/>
              </w:rPr>
            </w:pPr>
            <w:r>
              <w:rPr>
                <w:noProof/>
                <w:sz w:val="18"/>
                <w:szCs w:val="18"/>
              </w:rPr>
              <w:t>Náklady</w:t>
            </w:r>
          </w:p>
        </w:tc>
        <w:tc>
          <w:tcPr>
            <w:tcW w:w="596" w:type="dxa"/>
            <w:tcBorders>
              <w:right w:val="dashSmallGap" w:sz="4" w:space="0" w:color="auto"/>
            </w:tcBorders>
            <w:shd w:val="clear" w:color="auto" w:fill="auto"/>
            <w:textDirection w:val="btLr"/>
            <w:vAlign w:val="center"/>
          </w:tcPr>
          <w:p>
            <w:pPr>
              <w:ind w:left="113" w:right="113"/>
              <w:jc w:val="center"/>
              <w:rPr>
                <w:noProof/>
                <w:sz w:val="18"/>
                <w:szCs w:val="18"/>
              </w:rPr>
            </w:pPr>
            <w:r>
              <w:rPr>
                <w:noProof/>
                <w:sz w:val="18"/>
                <w:szCs w:val="18"/>
              </w:rPr>
              <w:t>Celkový počet</w:t>
            </w:r>
          </w:p>
        </w:tc>
        <w:tc>
          <w:tcPr>
            <w:tcW w:w="1320" w:type="dxa"/>
            <w:tcBorders>
              <w:left w:val="dashSmallGap" w:sz="4" w:space="0" w:color="auto"/>
              <w:right w:val="single" w:sz="12" w:space="0" w:color="auto"/>
            </w:tcBorders>
            <w:shd w:val="clear" w:color="auto" w:fill="auto"/>
            <w:vAlign w:val="center"/>
          </w:tcPr>
          <w:p>
            <w:pPr>
              <w:jc w:val="center"/>
              <w:rPr>
                <w:noProof/>
                <w:sz w:val="18"/>
                <w:szCs w:val="18"/>
              </w:rPr>
            </w:pPr>
            <w:r>
              <w:rPr>
                <w:noProof/>
                <w:sz w:val="18"/>
                <w:szCs w:val="18"/>
              </w:rPr>
              <w:t>Náklady celkem</w:t>
            </w:r>
          </w:p>
        </w:tc>
      </w:tr>
      <w:tr>
        <w:trPr>
          <w:trHeight w:hRule="exact" w:val="850"/>
          <w:jc w:val="center"/>
        </w:trPr>
        <w:tc>
          <w:tcPr>
            <w:tcW w:w="2374" w:type="dxa"/>
            <w:gridSpan w:val="3"/>
            <w:tcBorders>
              <w:left w:val="single" w:sz="12" w:space="0" w:color="auto"/>
            </w:tcBorders>
          </w:tcPr>
          <w:p>
            <w:pPr>
              <w:ind w:right="-29"/>
              <w:jc w:val="center"/>
              <w:rPr>
                <w:noProof/>
                <w:sz w:val="18"/>
                <w:szCs w:val="18"/>
              </w:rPr>
            </w:pPr>
            <w:r>
              <w:rPr>
                <w:noProof/>
                <w:sz w:val="18"/>
                <w:szCs w:val="18"/>
              </w:rPr>
              <w:t>SPECIFICKÝ CÍL č. 1: Udržování a další vývoj systému e-CODEX</w:t>
            </w:r>
          </w:p>
        </w:tc>
        <w:tc>
          <w:tcPr>
            <w:tcW w:w="11178" w:type="dxa"/>
            <w:gridSpan w:val="16"/>
            <w:tcBorders>
              <w:right w:val="single" w:sz="12" w:space="0" w:color="auto"/>
            </w:tcBorders>
          </w:tcPr>
          <w:p>
            <w:pPr>
              <w:ind w:right="-29"/>
              <w:jc w:val="center"/>
              <w:rPr>
                <w:noProof/>
                <w:sz w:val="20"/>
              </w:rPr>
            </w:pPr>
          </w:p>
        </w:tc>
      </w:tr>
      <w:tr>
        <w:trPr>
          <w:trHeight w:hRule="exact" w:val="1357"/>
          <w:jc w:val="center"/>
        </w:trPr>
        <w:tc>
          <w:tcPr>
            <w:tcW w:w="1240" w:type="dxa"/>
            <w:tcBorders>
              <w:left w:val="single" w:sz="12" w:space="0" w:color="auto"/>
            </w:tcBorders>
          </w:tcPr>
          <w:p>
            <w:pPr>
              <w:ind w:right="-29"/>
              <w:jc w:val="center"/>
              <w:rPr>
                <w:rFonts w:eastAsia="Times New Roman"/>
                <w:noProof/>
                <w:sz w:val="20"/>
                <w:szCs w:val="20"/>
              </w:rPr>
            </w:pPr>
            <w:r>
              <w:rPr>
                <w:noProof/>
                <w:sz w:val="20"/>
                <w:szCs w:val="20"/>
              </w:rPr>
              <w:t>Interní zaměstnanci – dočasní zaměstnanci</w:t>
            </w:r>
          </w:p>
        </w:tc>
        <w:tc>
          <w:tcPr>
            <w:tcW w:w="1134" w:type="dxa"/>
            <w:gridSpan w:val="2"/>
          </w:tcPr>
          <w:p>
            <w:pPr>
              <w:ind w:right="-29"/>
              <w:jc w:val="center"/>
              <w:rPr>
                <w:noProof/>
                <w:sz w:val="18"/>
                <w:szCs w:val="18"/>
              </w:rPr>
            </w:pPr>
            <w:r>
              <w:rPr>
                <w:noProof/>
                <w:sz w:val="18"/>
                <w:szCs w:val="18"/>
              </w:rPr>
              <w:t>DZ 0,150/rok</w:t>
            </w:r>
          </w:p>
        </w:tc>
        <w:tc>
          <w:tcPr>
            <w:tcW w:w="669" w:type="dxa"/>
            <w:tcBorders>
              <w:right w:val="dashSmallGap" w:sz="4" w:space="0" w:color="auto"/>
            </w:tcBorders>
          </w:tcPr>
          <w:p>
            <w:pPr>
              <w:ind w:right="-29"/>
              <w:jc w:val="center"/>
              <w:rPr>
                <w:noProof/>
                <w:sz w:val="20"/>
              </w:rPr>
            </w:pPr>
          </w:p>
        </w:tc>
        <w:tc>
          <w:tcPr>
            <w:tcW w:w="780" w:type="dxa"/>
            <w:tcBorders>
              <w:left w:val="dashSmallGap" w:sz="4" w:space="0" w:color="auto"/>
            </w:tcBorders>
          </w:tcPr>
          <w:p>
            <w:pPr>
              <w:ind w:right="-29"/>
              <w:jc w:val="center"/>
              <w:rPr>
                <w:noProof/>
                <w:sz w:val="20"/>
              </w:rPr>
            </w:pPr>
          </w:p>
        </w:tc>
        <w:tc>
          <w:tcPr>
            <w:tcW w:w="669" w:type="dxa"/>
            <w:tcBorders>
              <w:right w:val="dashSmallGap" w:sz="4" w:space="0" w:color="auto"/>
            </w:tcBorders>
          </w:tcPr>
          <w:p>
            <w:pPr>
              <w:ind w:right="-29"/>
              <w:jc w:val="center"/>
              <w:rPr>
                <w:noProof/>
                <w:sz w:val="20"/>
              </w:rPr>
            </w:pPr>
          </w:p>
        </w:tc>
        <w:tc>
          <w:tcPr>
            <w:tcW w:w="780" w:type="dxa"/>
            <w:tcBorders>
              <w:left w:val="dashSmallGap" w:sz="4" w:space="0" w:color="auto"/>
            </w:tcBorders>
          </w:tcPr>
          <w:p>
            <w:pPr>
              <w:ind w:right="-29"/>
              <w:jc w:val="center"/>
              <w:rPr>
                <w:noProof/>
                <w:sz w:val="20"/>
              </w:rPr>
            </w:pPr>
          </w:p>
        </w:tc>
        <w:tc>
          <w:tcPr>
            <w:tcW w:w="669" w:type="dxa"/>
            <w:tcBorders>
              <w:right w:val="dashSmallGap" w:sz="4" w:space="0" w:color="auto"/>
            </w:tcBorders>
          </w:tcPr>
          <w:p>
            <w:pPr>
              <w:ind w:right="-29"/>
              <w:jc w:val="center"/>
              <w:rPr>
                <w:noProof/>
                <w:sz w:val="20"/>
                <w:szCs w:val="20"/>
              </w:rPr>
            </w:pPr>
            <w:r>
              <w:rPr>
                <w:noProof/>
                <w:sz w:val="20"/>
                <w:szCs w:val="20"/>
              </w:rPr>
              <w:t>2</w:t>
            </w:r>
          </w:p>
        </w:tc>
        <w:tc>
          <w:tcPr>
            <w:tcW w:w="839" w:type="dxa"/>
            <w:tcBorders>
              <w:left w:val="dashSmallGap" w:sz="4" w:space="0" w:color="auto"/>
            </w:tcBorders>
          </w:tcPr>
          <w:p>
            <w:pPr>
              <w:ind w:right="-29"/>
              <w:jc w:val="center"/>
              <w:rPr>
                <w:noProof/>
                <w:sz w:val="20"/>
                <w:szCs w:val="20"/>
              </w:rPr>
            </w:pPr>
            <w:r>
              <w:rPr>
                <w:noProof/>
                <w:sz w:val="20"/>
                <w:szCs w:val="20"/>
              </w:rPr>
              <w:t>0,300</w:t>
            </w:r>
          </w:p>
        </w:tc>
        <w:tc>
          <w:tcPr>
            <w:tcW w:w="596" w:type="dxa"/>
            <w:tcBorders>
              <w:right w:val="dashSmallGap" w:sz="4" w:space="0" w:color="auto"/>
            </w:tcBorders>
          </w:tcPr>
          <w:p>
            <w:pPr>
              <w:ind w:right="-29"/>
              <w:jc w:val="center"/>
              <w:rPr>
                <w:noProof/>
                <w:sz w:val="20"/>
                <w:szCs w:val="20"/>
              </w:rPr>
            </w:pPr>
            <w:r>
              <w:rPr>
                <w:noProof/>
                <w:sz w:val="20"/>
                <w:szCs w:val="20"/>
              </w:rPr>
              <w:t>2</w:t>
            </w:r>
          </w:p>
        </w:tc>
        <w:tc>
          <w:tcPr>
            <w:tcW w:w="780" w:type="dxa"/>
            <w:tcBorders>
              <w:left w:val="dashSmallGap" w:sz="4" w:space="0" w:color="auto"/>
            </w:tcBorders>
          </w:tcPr>
          <w:p>
            <w:pPr>
              <w:ind w:right="-29"/>
              <w:jc w:val="center"/>
              <w:rPr>
                <w:noProof/>
                <w:sz w:val="20"/>
                <w:szCs w:val="20"/>
              </w:rPr>
            </w:pPr>
            <w:r>
              <w:rPr>
                <w:noProof/>
                <w:sz w:val="20"/>
                <w:szCs w:val="20"/>
              </w:rPr>
              <w:t>0,300</w:t>
            </w:r>
          </w:p>
        </w:tc>
        <w:tc>
          <w:tcPr>
            <w:tcW w:w="360" w:type="dxa"/>
            <w:tcBorders>
              <w:right w:val="dashSmallGap" w:sz="4" w:space="0" w:color="auto"/>
            </w:tcBorders>
          </w:tcPr>
          <w:p>
            <w:pPr>
              <w:ind w:right="-29"/>
              <w:jc w:val="center"/>
              <w:rPr>
                <w:noProof/>
                <w:sz w:val="20"/>
                <w:szCs w:val="20"/>
              </w:rPr>
            </w:pPr>
            <w:r>
              <w:rPr>
                <w:noProof/>
                <w:sz w:val="20"/>
                <w:szCs w:val="20"/>
              </w:rPr>
              <w:t>2</w:t>
            </w:r>
          </w:p>
        </w:tc>
        <w:tc>
          <w:tcPr>
            <w:tcW w:w="780" w:type="dxa"/>
            <w:tcBorders>
              <w:left w:val="dashSmallGap" w:sz="4" w:space="0" w:color="auto"/>
            </w:tcBorders>
          </w:tcPr>
          <w:p>
            <w:pPr>
              <w:ind w:right="-29"/>
              <w:rPr>
                <w:noProof/>
                <w:sz w:val="20"/>
                <w:szCs w:val="20"/>
              </w:rPr>
            </w:pPr>
            <w:r>
              <w:rPr>
                <w:noProof/>
                <w:sz w:val="20"/>
                <w:szCs w:val="20"/>
              </w:rPr>
              <w:t>0,300</w:t>
            </w:r>
          </w:p>
        </w:tc>
        <w:tc>
          <w:tcPr>
            <w:tcW w:w="360" w:type="dxa"/>
            <w:tcBorders>
              <w:right w:val="dashSmallGap" w:sz="4" w:space="0" w:color="auto"/>
            </w:tcBorders>
          </w:tcPr>
          <w:p>
            <w:pPr>
              <w:ind w:right="-29"/>
              <w:jc w:val="center"/>
              <w:rPr>
                <w:noProof/>
                <w:sz w:val="20"/>
                <w:szCs w:val="20"/>
              </w:rPr>
            </w:pPr>
            <w:r>
              <w:rPr>
                <w:noProof/>
                <w:sz w:val="20"/>
                <w:szCs w:val="20"/>
              </w:rPr>
              <w:t>2</w:t>
            </w:r>
          </w:p>
        </w:tc>
        <w:tc>
          <w:tcPr>
            <w:tcW w:w="780" w:type="dxa"/>
            <w:tcBorders>
              <w:left w:val="dashSmallGap" w:sz="4" w:space="0" w:color="auto"/>
            </w:tcBorders>
          </w:tcPr>
          <w:p>
            <w:pPr>
              <w:ind w:right="-29"/>
              <w:jc w:val="center"/>
              <w:rPr>
                <w:noProof/>
                <w:sz w:val="20"/>
                <w:szCs w:val="20"/>
              </w:rPr>
            </w:pPr>
            <w:r>
              <w:rPr>
                <w:noProof/>
                <w:sz w:val="20"/>
                <w:szCs w:val="20"/>
              </w:rPr>
              <w:t>0,300</w:t>
            </w:r>
          </w:p>
        </w:tc>
        <w:tc>
          <w:tcPr>
            <w:tcW w:w="360" w:type="dxa"/>
            <w:tcBorders>
              <w:right w:val="dashSmallGap" w:sz="4" w:space="0" w:color="auto"/>
            </w:tcBorders>
          </w:tcPr>
          <w:p>
            <w:pPr>
              <w:ind w:right="-29"/>
              <w:jc w:val="center"/>
              <w:rPr>
                <w:noProof/>
                <w:sz w:val="20"/>
                <w:szCs w:val="20"/>
              </w:rPr>
            </w:pPr>
            <w:r>
              <w:rPr>
                <w:noProof/>
                <w:sz w:val="20"/>
                <w:szCs w:val="20"/>
              </w:rPr>
              <w:t>2</w:t>
            </w:r>
          </w:p>
        </w:tc>
        <w:tc>
          <w:tcPr>
            <w:tcW w:w="840" w:type="dxa"/>
            <w:tcBorders>
              <w:left w:val="dashSmallGap" w:sz="4" w:space="0" w:color="auto"/>
              <w:bottom w:val="single" w:sz="4" w:space="0" w:color="auto"/>
            </w:tcBorders>
          </w:tcPr>
          <w:p>
            <w:pPr>
              <w:ind w:right="-29"/>
              <w:jc w:val="center"/>
              <w:rPr>
                <w:noProof/>
                <w:sz w:val="20"/>
                <w:szCs w:val="20"/>
              </w:rPr>
            </w:pPr>
            <w:r>
              <w:rPr>
                <w:noProof/>
                <w:sz w:val="20"/>
                <w:szCs w:val="20"/>
              </w:rPr>
              <w:t>0,300</w:t>
            </w:r>
          </w:p>
        </w:tc>
        <w:tc>
          <w:tcPr>
            <w:tcW w:w="596" w:type="dxa"/>
            <w:tcBorders>
              <w:right w:val="dashSmallGap" w:sz="4" w:space="0" w:color="auto"/>
            </w:tcBorders>
          </w:tcPr>
          <w:p>
            <w:pPr>
              <w:ind w:right="-29"/>
              <w:jc w:val="center"/>
              <w:rPr>
                <w:noProof/>
                <w:sz w:val="20"/>
                <w:szCs w:val="20"/>
              </w:rPr>
            </w:pPr>
            <w:r>
              <w:rPr>
                <w:noProof/>
                <w:sz w:val="20"/>
                <w:szCs w:val="20"/>
              </w:rPr>
              <w:t>10</w:t>
            </w:r>
          </w:p>
        </w:tc>
        <w:tc>
          <w:tcPr>
            <w:tcW w:w="1320"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szCs w:val="20"/>
              </w:rPr>
              <w:t>1,500</w:t>
            </w:r>
          </w:p>
        </w:tc>
      </w:tr>
      <w:tr>
        <w:trPr>
          <w:trHeight w:hRule="exact" w:val="1357"/>
          <w:jc w:val="center"/>
        </w:trPr>
        <w:tc>
          <w:tcPr>
            <w:tcW w:w="1240" w:type="dxa"/>
            <w:tcBorders>
              <w:left w:val="single" w:sz="12" w:space="0" w:color="auto"/>
            </w:tcBorders>
          </w:tcPr>
          <w:p>
            <w:pPr>
              <w:ind w:right="-29"/>
              <w:jc w:val="center"/>
              <w:rPr>
                <w:rFonts w:eastAsia="Times New Roman"/>
                <w:noProof/>
                <w:sz w:val="20"/>
                <w:szCs w:val="20"/>
              </w:rPr>
            </w:pPr>
            <w:r>
              <w:rPr>
                <w:noProof/>
                <w:sz w:val="20"/>
                <w:szCs w:val="20"/>
              </w:rPr>
              <w:t>Interní zaměstnanci – SZ</w:t>
            </w:r>
          </w:p>
        </w:tc>
        <w:tc>
          <w:tcPr>
            <w:tcW w:w="1134" w:type="dxa"/>
            <w:gridSpan w:val="2"/>
          </w:tcPr>
          <w:p>
            <w:pPr>
              <w:ind w:right="-29"/>
              <w:jc w:val="center"/>
              <w:rPr>
                <w:noProof/>
                <w:sz w:val="18"/>
                <w:szCs w:val="18"/>
              </w:rPr>
            </w:pPr>
            <w:r>
              <w:rPr>
                <w:noProof/>
                <w:sz w:val="18"/>
                <w:szCs w:val="18"/>
              </w:rPr>
              <w:t>SZ FV IV / 0,08 / rok</w:t>
            </w:r>
          </w:p>
        </w:tc>
        <w:tc>
          <w:tcPr>
            <w:tcW w:w="669" w:type="dxa"/>
            <w:tcBorders>
              <w:right w:val="dashSmallGap" w:sz="4" w:space="0" w:color="auto"/>
            </w:tcBorders>
          </w:tcPr>
          <w:p>
            <w:pPr>
              <w:ind w:right="-29"/>
              <w:jc w:val="center"/>
              <w:rPr>
                <w:noProof/>
                <w:sz w:val="20"/>
              </w:rPr>
            </w:pPr>
          </w:p>
        </w:tc>
        <w:tc>
          <w:tcPr>
            <w:tcW w:w="780" w:type="dxa"/>
            <w:tcBorders>
              <w:left w:val="dashSmallGap" w:sz="4" w:space="0" w:color="auto"/>
            </w:tcBorders>
          </w:tcPr>
          <w:p>
            <w:pPr>
              <w:ind w:right="-29"/>
              <w:jc w:val="center"/>
              <w:rPr>
                <w:noProof/>
                <w:sz w:val="20"/>
              </w:rPr>
            </w:pPr>
          </w:p>
        </w:tc>
        <w:tc>
          <w:tcPr>
            <w:tcW w:w="669" w:type="dxa"/>
            <w:tcBorders>
              <w:right w:val="dashSmallGap" w:sz="4" w:space="0" w:color="auto"/>
            </w:tcBorders>
          </w:tcPr>
          <w:p>
            <w:pPr>
              <w:ind w:right="-29"/>
              <w:jc w:val="center"/>
              <w:rPr>
                <w:noProof/>
                <w:sz w:val="20"/>
                <w:szCs w:val="20"/>
              </w:rPr>
            </w:pPr>
            <w:r>
              <w:rPr>
                <w:noProof/>
                <w:sz w:val="20"/>
                <w:szCs w:val="20"/>
              </w:rPr>
              <w:t>2</w:t>
            </w:r>
          </w:p>
        </w:tc>
        <w:tc>
          <w:tcPr>
            <w:tcW w:w="780" w:type="dxa"/>
            <w:tcBorders>
              <w:left w:val="dashSmallGap" w:sz="4" w:space="0" w:color="auto"/>
            </w:tcBorders>
          </w:tcPr>
          <w:p>
            <w:pPr>
              <w:ind w:right="-29"/>
              <w:jc w:val="center"/>
              <w:rPr>
                <w:noProof/>
                <w:sz w:val="20"/>
                <w:szCs w:val="20"/>
              </w:rPr>
            </w:pPr>
            <w:r>
              <w:rPr>
                <w:noProof/>
                <w:sz w:val="20"/>
                <w:szCs w:val="20"/>
              </w:rPr>
              <w:t>0,053</w:t>
            </w:r>
          </w:p>
        </w:tc>
        <w:tc>
          <w:tcPr>
            <w:tcW w:w="669" w:type="dxa"/>
            <w:tcBorders>
              <w:right w:val="dashSmallGap" w:sz="4" w:space="0" w:color="auto"/>
            </w:tcBorders>
          </w:tcPr>
          <w:p>
            <w:pPr>
              <w:ind w:right="-29"/>
              <w:jc w:val="center"/>
              <w:rPr>
                <w:noProof/>
                <w:sz w:val="20"/>
                <w:szCs w:val="20"/>
              </w:rPr>
            </w:pPr>
            <w:r>
              <w:rPr>
                <w:noProof/>
                <w:sz w:val="20"/>
                <w:szCs w:val="20"/>
              </w:rPr>
              <w:t>3</w:t>
            </w:r>
          </w:p>
        </w:tc>
        <w:tc>
          <w:tcPr>
            <w:tcW w:w="839" w:type="dxa"/>
            <w:tcBorders>
              <w:left w:val="dashSmallGap" w:sz="4" w:space="0" w:color="auto"/>
            </w:tcBorders>
          </w:tcPr>
          <w:p>
            <w:pPr>
              <w:ind w:right="-29"/>
              <w:jc w:val="center"/>
              <w:rPr>
                <w:noProof/>
                <w:sz w:val="20"/>
                <w:szCs w:val="20"/>
              </w:rPr>
            </w:pPr>
            <w:r>
              <w:rPr>
                <w:noProof/>
                <w:sz w:val="20"/>
                <w:szCs w:val="20"/>
              </w:rPr>
              <w:t>0,240</w:t>
            </w:r>
          </w:p>
        </w:tc>
        <w:tc>
          <w:tcPr>
            <w:tcW w:w="596" w:type="dxa"/>
            <w:tcBorders>
              <w:right w:val="dashSmallGap" w:sz="4" w:space="0" w:color="auto"/>
            </w:tcBorders>
          </w:tcPr>
          <w:p>
            <w:pPr>
              <w:ind w:right="-29"/>
              <w:jc w:val="center"/>
              <w:rPr>
                <w:noProof/>
                <w:sz w:val="20"/>
                <w:szCs w:val="20"/>
              </w:rPr>
            </w:pPr>
            <w:r>
              <w:rPr>
                <w:noProof/>
                <w:sz w:val="20"/>
                <w:szCs w:val="20"/>
              </w:rPr>
              <w:t>3</w:t>
            </w:r>
          </w:p>
        </w:tc>
        <w:tc>
          <w:tcPr>
            <w:tcW w:w="780" w:type="dxa"/>
            <w:tcBorders>
              <w:left w:val="dashSmallGap" w:sz="4" w:space="0" w:color="auto"/>
            </w:tcBorders>
          </w:tcPr>
          <w:p>
            <w:pPr>
              <w:ind w:right="-29"/>
              <w:jc w:val="center"/>
              <w:rPr>
                <w:noProof/>
                <w:sz w:val="20"/>
                <w:szCs w:val="20"/>
              </w:rPr>
            </w:pPr>
            <w:r>
              <w:rPr>
                <w:noProof/>
                <w:sz w:val="20"/>
                <w:szCs w:val="20"/>
              </w:rPr>
              <w:t>0,240</w:t>
            </w:r>
          </w:p>
        </w:tc>
        <w:tc>
          <w:tcPr>
            <w:tcW w:w="360" w:type="dxa"/>
            <w:tcBorders>
              <w:right w:val="dashSmallGap" w:sz="4" w:space="0" w:color="auto"/>
            </w:tcBorders>
          </w:tcPr>
          <w:p>
            <w:pPr>
              <w:ind w:right="-29"/>
              <w:jc w:val="center"/>
              <w:rPr>
                <w:noProof/>
                <w:sz w:val="20"/>
                <w:szCs w:val="20"/>
              </w:rPr>
            </w:pPr>
            <w:r>
              <w:rPr>
                <w:noProof/>
                <w:sz w:val="20"/>
                <w:szCs w:val="20"/>
              </w:rPr>
              <w:t>3</w:t>
            </w:r>
          </w:p>
        </w:tc>
        <w:tc>
          <w:tcPr>
            <w:tcW w:w="780" w:type="dxa"/>
            <w:tcBorders>
              <w:left w:val="dashSmallGap" w:sz="4" w:space="0" w:color="auto"/>
            </w:tcBorders>
          </w:tcPr>
          <w:p>
            <w:pPr>
              <w:ind w:right="-29"/>
              <w:rPr>
                <w:noProof/>
                <w:sz w:val="20"/>
                <w:szCs w:val="20"/>
              </w:rPr>
            </w:pPr>
            <w:r>
              <w:rPr>
                <w:noProof/>
                <w:sz w:val="20"/>
                <w:szCs w:val="20"/>
              </w:rPr>
              <w:t>0,240</w:t>
            </w:r>
          </w:p>
        </w:tc>
        <w:tc>
          <w:tcPr>
            <w:tcW w:w="360" w:type="dxa"/>
            <w:tcBorders>
              <w:right w:val="dashSmallGap" w:sz="4" w:space="0" w:color="auto"/>
            </w:tcBorders>
          </w:tcPr>
          <w:p>
            <w:pPr>
              <w:ind w:right="-29"/>
              <w:jc w:val="center"/>
              <w:rPr>
                <w:noProof/>
                <w:sz w:val="20"/>
                <w:szCs w:val="20"/>
              </w:rPr>
            </w:pPr>
            <w:r>
              <w:rPr>
                <w:noProof/>
                <w:sz w:val="20"/>
                <w:szCs w:val="20"/>
              </w:rPr>
              <w:t>3</w:t>
            </w:r>
          </w:p>
        </w:tc>
        <w:tc>
          <w:tcPr>
            <w:tcW w:w="780" w:type="dxa"/>
            <w:tcBorders>
              <w:left w:val="dashSmallGap" w:sz="4" w:space="0" w:color="auto"/>
            </w:tcBorders>
          </w:tcPr>
          <w:p>
            <w:pPr>
              <w:ind w:right="-29"/>
              <w:jc w:val="center"/>
              <w:rPr>
                <w:noProof/>
                <w:sz w:val="20"/>
                <w:szCs w:val="20"/>
              </w:rPr>
            </w:pPr>
            <w:r>
              <w:rPr>
                <w:noProof/>
                <w:sz w:val="20"/>
                <w:szCs w:val="20"/>
              </w:rPr>
              <w:t>0,240</w:t>
            </w:r>
          </w:p>
        </w:tc>
        <w:tc>
          <w:tcPr>
            <w:tcW w:w="360" w:type="dxa"/>
            <w:tcBorders>
              <w:right w:val="dashSmallGap" w:sz="4" w:space="0" w:color="auto"/>
            </w:tcBorders>
          </w:tcPr>
          <w:p>
            <w:pPr>
              <w:ind w:right="-29"/>
              <w:jc w:val="center"/>
              <w:rPr>
                <w:noProof/>
                <w:sz w:val="20"/>
                <w:szCs w:val="20"/>
              </w:rPr>
            </w:pPr>
            <w:r>
              <w:rPr>
                <w:noProof/>
                <w:sz w:val="20"/>
                <w:szCs w:val="20"/>
              </w:rPr>
              <w:t>3</w:t>
            </w:r>
          </w:p>
        </w:tc>
        <w:tc>
          <w:tcPr>
            <w:tcW w:w="840" w:type="dxa"/>
            <w:tcBorders>
              <w:left w:val="dashSmallGap" w:sz="4" w:space="0" w:color="auto"/>
              <w:bottom w:val="single" w:sz="4" w:space="0" w:color="auto"/>
            </w:tcBorders>
          </w:tcPr>
          <w:p>
            <w:pPr>
              <w:ind w:right="-29"/>
              <w:jc w:val="center"/>
              <w:rPr>
                <w:noProof/>
                <w:sz w:val="20"/>
                <w:szCs w:val="20"/>
              </w:rPr>
            </w:pPr>
            <w:r>
              <w:rPr>
                <w:noProof/>
                <w:sz w:val="20"/>
                <w:szCs w:val="20"/>
              </w:rPr>
              <w:t>0,240</w:t>
            </w:r>
          </w:p>
        </w:tc>
        <w:tc>
          <w:tcPr>
            <w:tcW w:w="596" w:type="dxa"/>
            <w:tcBorders>
              <w:right w:val="dashSmallGap" w:sz="4" w:space="0" w:color="auto"/>
            </w:tcBorders>
          </w:tcPr>
          <w:p>
            <w:pPr>
              <w:ind w:right="-29"/>
              <w:jc w:val="center"/>
              <w:rPr>
                <w:noProof/>
                <w:sz w:val="20"/>
                <w:szCs w:val="20"/>
              </w:rPr>
            </w:pPr>
            <w:r>
              <w:rPr>
                <w:noProof/>
                <w:sz w:val="20"/>
                <w:szCs w:val="20"/>
              </w:rPr>
              <w:t>15</w:t>
            </w:r>
          </w:p>
        </w:tc>
        <w:tc>
          <w:tcPr>
            <w:tcW w:w="1320"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szCs w:val="20"/>
              </w:rPr>
              <w:t>1,253</w:t>
            </w:r>
          </w:p>
        </w:tc>
      </w:tr>
      <w:tr>
        <w:trPr>
          <w:trHeight w:hRule="exact" w:val="1357"/>
          <w:jc w:val="center"/>
        </w:trPr>
        <w:tc>
          <w:tcPr>
            <w:tcW w:w="1240" w:type="dxa"/>
            <w:tcBorders>
              <w:left w:val="single" w:sz="12" w:space="0" w:color="auto"/>
            </w:tcBorders>
          </w:tcPr>
          <w:p>
            <w:pPr>
              <w:ind w:right="-29"/>
              <w:jc w:val="center"/>
              <w:rPr>
                <w:noProof/>
                <w:sz w:val="20"/>
                <w:szCs w:val="20"/>
              </w:rPr>
            </w:pPr>
            <w:r>
              <w:rPr>
                <w:noProof/>
                <w:sz w:val="20"/>
                <w:szCs w:val="20"/>
              </w:rPr>
              <w:t>Zadávání veřejných zakázek – externě zajišťované služby</w:t>
            </w:r>
          </w:p>
        </w:tc>
        <w:tc>
          <w:tcPr>
            <w:tcW w:w="1134" w:type="dxa"/>
            <w:gridSpan w:val="2"/>
          </w:tcPr>
          <w:p>
            <w:pPr>
              <w:ind w:right="-29"/>
              <w:jc w:val="center"/>
              <w:rPr>
                <w:noProof/>
                <w:sz w:val="18"/>
                <w:szCs w:val="18"/>
              </w:rPr>
            </w:pPr>
            <w:r>
              <w:rPr>
                <w:noProof/>
                <w:sz w:val="18"/>
                <w:szCs w:val="18"/>
              </w:rPr>
              <w:t>8 interních (intra muros) poskytovatelů služeb 0,120/rok</w:t>
            </w:r>
          </w:p>
        </w:tc>
        <w:tc>
          <w:tcPr>
            <w:tcW w:w="669" w:type="dxa"/>
            <w:tcBorders>
              <w:right w:val="dashSmallGap" w:sz="4" w:space="0" w:color="auto"/>
            </w:tcBorders>
          </w:tcPr>
          <w:p>
            <w:pPr>
              <w:ind w:right="-29"/>
              <w:jc w:val="center"/>
              <w:rPr>
                <w:noProof/>
                <w:sz w:val="20"/>
              </w:rPr>
            </w:pPr>
          </w:p>
        </w:tc>
        <w:tc>
          <w:tcPr>
            <w:tcW w:w="780" w:type="dxa"/>
            <w:tcBorders>
              <w:left w:val="dashSmallGap" w:sz="4" w:space="0" w:color="auto"/>
            </w:tcBorders>
          </w:tcPr>
          <w:p>
            <w:pPr>
              <w:ind w:right="-29"/>
              <w:jc w:val="center"/>
              <w:rPr>
                <w:noProof/>
                <w:sz w:val="20"/>
              </w:rPr>
            </w:pPr>
          </w:p>
        </w:tc>
        <w:tc>
          <w:tcPr>
            <w:tcW w:w="669" w:type="dxa"/>
            <w:tcBorders>
              <w:right w:val="dashSmallGap" w:sz="4" w:space="0" w:color="auto"/>
            </w:tcBorders>
          </w:tcPr>
          <w:p>
            <w:pPr>
              <w:ind w:right="-29"/>
              <w:jc w:val="center"/>
              <w:rPr>
                <w:noProof/>
                <w:sz w:val="20"/>
              </w:rPr>
            </w:pPr>
          </w:p>
        </w:tc>
        <w:tc>
          <w:tcPr>
            <w:tcW w:w="780" w:type="dxa"/>
            <w:tcBorders>
              <w:left w:val="dashSmallGap" w:sz="4" w:space="0" w:color="auto"/>
            </w:tcBorders>
          </w:tcPr>
          <w:p>
            <w:pPr>
              <w:ind w:right="-29"/>
              <w:jc w:val="center"/>
              <w:rPr>
                <w:noProof/>
                <w:sz w:val="20"/>
              </w:rPr>
            </w:pPr>
          </w:p>
        </w:tc>
        <w:tc>
          <w:tcPr>
            <w:tcW w:w="669" w:type="dxa"/>
            <w:tcBorders>
              <w:right w:val="dashSmallGap" w:sz="4" w:space="0" w:color="auto"/>
            </w:tcBorders>
          </w:tcPr>
          <w:p>
            <w:pPr>
              <w:ind w:right="-29"/>
              <w:jc w:val="center"/>
              <w:rPr>
                <w:noProof/>
                <w:sz w:val="20"/>
                <w:szCs w:val="20"/>
              </w:rPr>
            </w:pPr>
            <w:r>
              <w:rPr>
                <w:noProof/>
                <w:sz w:val="20"/>
                <w:szCs w:val="20"/>
              </w:rPr>
              <w:t>4</w:t>
            </w:r>
          </w:p>
        </w:tc>
        <w:tc>
          <w:tcPr>
            <w:tcW w:w="839" w:type="dxa"/>
            <w:tcBorders>
              <w:left w:val="dashSmallGap" w:sz="4" w:space="0" w:color="auto"/>
            </w:tcBorders>
          </w:tcPr>
          <w:p>
            <w:pPr>
              <w:ind w:right="-29"/>
              <w:jc w:val="center"/>
              <w:rPr>
                <w:noProof/>
                <w:sz w:val="20"/>
                <w:szCs w:val="20"/>
              </w:rPr>
            </w:pPr>
            <w:r>
              <w:rPr>
                <w:noProof/>
                <w:sz w:val="20"/>
                <w:szCs w:val="20"/>
              </w:rPr>
              <w:t>0,480</w:t>
            </w:r>
          </w:p>
        </w:tc>
        <w:tc>
          <w:tcPr>
            <w:tcW w:w="596" w:type="dxa"/>
            <w:tcBorders>
              <w:right w:val="dashSmallGap" w:sz="4" w:space="0" w:color="auto"/>
            </w:tcBorders>
          </w:tcPr>
          <w:p>
            <w:pPr>
              <w:ind w:right="-29"/>
              <w:jc w:val="center"/>
              <w:rPr>
                <w:noProof/>
                <w:sz w:val="20"/>
                <w:szCs w:val="20"/>
              </w:rPr>
            </w:pPr>
            <w:r>
              <w:rPr>
                <w:noProof/>
                <w:sz w:val="20"/>
                <w:szCs w:val="20"/>
              </w:rPr>
              <w:t>8</w:t>
            </w:r>
          </w:p>
        </w:tc>
        <w:tc>
          <w:tcPr>
            <w:tcW w:w="780" w:type="dxa"/>
            <w:tcBorders>
              <w:left w:val="dashSmallGap" w:sz="4" w:space="0" w:color="auto"/>
            </w:tcBorders>
          </w:tcPr>
          <w:p>
            <w:pPr>
              <w:ind w:right="-29"/>
              <w:jc w:val="center"/>
              <w:rPr>
                <w:noProof/>
                <w:sz w:val="20"/>
                <w:szCs w:val="20"/>
              </w:rPr>
            </w:pPr>
            <w:r>
              <w:rPr>
                <w:noProof/>
                <w:sz w:val="20"/>
                <w:szCs w:val="20"/>
              </w:rPr>
              <w:t>0.960</w:t>
            </w:r>
          </w:p>
        </w:tc>
        <w:tc>
          <w:tcPr>
            <w:tcW w:w="360" w:type="dxa"/>
            <w:tcBorders>
              <w:right w:val="dashSmallGap" w:sz="4" w:space="0" w:color="auto"/>
            </w:tcBorders>
          </w:tcPr>
          <w:p>
            <w:pPr>
              <w:ind w:right="-29"/>
              <w:jc w:val="center"/>
              <w:rPr>
                <w:noProof/>
                <w:sz w:val="20"/>
                <w:szCs w:val="20"/>
              </w:rPr>
            </w:pPr>
            <w:r>
              <w:rPr>
                <w:noProof/>
                <w:sz w:val="20"/>
                <w:szCs w:val="20"/>
              </w:rPr>
              <w:t>8</w:t>
            </w:r>
          </w:p>
        </w:tc>
        <w:tc>
          <w:tcPr>
            <w:tcW w:w="780" w:type="dxa"/>
            <w:tcBorders>
              <w:left w:val="dashSmallGap" w:sz="4" w:space="0" w:color="auto"/>
            </w:tcBorders>
          </w:tcPr>
          <w:p>
            <w:pPr>
              <w:ind w:right="-29"/>
              <w:rPr>
                <w:noProof/>
                <w:sz w:val="20"/>
                <w:szCs w:val="20"/>
              </w:rPr>
            </w:pPr>
            <w:r>
              <w:rPr>
                <w:noProof/>
                <w:sz w:val="20"/>
                <w:szCs w:val="20"/>
              </w:rPr>
              <w:t>0.960</w:t>
            </w:r>
          </w:p>
        </w:tc>
        <w:tc>
          <w:tcPr>
            <w:tcW w:w="360" w:type="dxa"/>
            <w:tcBorders>
              <w:right w:val="dashSmallGap" w:sz="4" w:space="0" w:color="auto"/>
            </w:tcBorders>
          </w:tcPr>
          <w:p>
            <w:pPr>
              <w:ind w:right="-29"/>
              <w:jc w:val="center"/>
              <w:rPr>
                <w:noProof/>
                <w:sz w:val="20"/>
                <w:szCs w:val="20"/>
              </w:rPr>
            </w:pPr>
            <w:r>
              <w:rPr>
                <w:noProof/>
                <w:sz w:val="20"/>
                <w:szCs w:val="20"/>
              </w:rPr>
              <w:t>8</w:t>
            </w:r>
          </w:p>
        </w:tc>
        <w:tc>
          <w:tcPr>
            <w:tcW w:w="780" w:type="dxa"/>
            <w:tcBorders>
              <w:left w:val="dashSmallGap" w:sz="4" w:space="0" w:color="auto"/>
            </w:tcBorders>
          </w:tcPr>
          <w:p>
            <w:pPr>
              <w:ind w:right="-29"/>
              <w:jc w:val="center"/>
              <w:rPr>
                <w:noProof/>
                <w:sz w:val="20"/>
                <w:szCs w:val="20"/>
              </w:rPr>
            </w:pPr>
            <w:r>
              <w:rPr>
                <w:noProof/>
                <w:sz w:val="20"/>
                <w:szCs w:val="20"/>
              </w:rPr>
              <w:t>0.960</w:t>
            </w:r>
          </w:p>
        </w:tc>
        <w:tc>
          <w:tcPr>
            <w:tcW w:w="360" w:type="dxa"/>
            <w:tcBorders>
              <w:right w:val="dashSmallGap" w:sz="4" w:space="0" w:color="auto"/>
            </w:tcBorders>
          </w:tcPr>
          <w:p>
            <w:pPr>
              <w:ind w:right="-29"/>
              <w:jc w:val="center"/>
              <w:rPr>
                <w:noProof/>
                <w:sz w:val="20"/>
                <w:szCs w:val="20"/>
              </w:rPr>
            </w:pPr>
            <w:r>
              <w:rPr>
                <w:noProof/>
                <w:sz w:val="20"/>
                <w:szCs w:val="20"/>
              </w:rPr>
              <w:t>8</w:t>
            </w:r>
          </w:p>
        </w:tc>
        <w:tc>
          <w:tcPr>
            <w:tcW w:w="840" w:type="dxa"/>
            <w:tcBorders>
              <w:left w:val="dashSmallGap" w:sz="4" w:space="0" w:color="auto"/>
              <w:bottom w:val="single" w:sz="4" w:space="0" w:color="auto"/>
            </w:tcBorders>
          </w:tcPr>
          <w:p>
            <w:pPr>
              <w:ind w:right="-29"/>
              <w:jc w:val="center"/>
              <w:rPr>
                <w:noProof/>
                <w:sz w:val="20"/>
                <w:szCs w:val="20"/>
              </w:rPr>
            </w:pPr>
            <w:r>
              <w:rPr>
                <w:noProof/>
                <w:sz w:val="20"/>
                <w:szCs w:val="20"/>
              </w:rPr>
              <w:t>0.960</w:t>
            </w:r>
          </w:p>
        </w:tc>
        <w:tc>
          <w:tcPr>
            <w:tcW w:w="596" w:type="dxa"/>
            <w:tcBorders>
              <w:right w:val="dashSmallGap" w:sz="4" w:space="0" w:color="auto"/>
            </w:tcBorders>
          </w:tcPr>
          <w:p>
            <w:pPr>
              <w:ind w:right="-29"/>
              <w:jc w:val="center"/>
              <w:rPr>
                <w:noProof/>
                <w:sz w:val="20"/>
                <w:szCs w:val="20"/>
              </w:rPr>
            </w:pPr>
            <w:r>
              <w:rPr>
                <w:noProof/>
                <w:sz w:val="20"/>
                <w:szCs w:val="20"/>
              </w:rPr>
              <w:t>36</w:t>
            </w:r>
          </w:p>
        </w:tc>
        <w:tc>
          <w:tcPr>
            <w:tcW w:w="1320"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szCs w:val="20"/>
              </w:rPr>
              <w:t>4,320</w:t>
            </w:r>
          </w:p>
        </w:tc>
      </w:tr>
      <w:tr>
        <w:trPr>
          <w:trHeight w:hRule="exact" w:val="964"/>
          <w:jc w:val="center"/>
        </w:trPr>
        <w:tc>
          <w:tcPr>
            <w:tcW w:w="1240" w:type="dxa"/>
            <w:tcBorders>
              <w:left w:val="single" w:sz="12" w:space="0" w:color="auto"/>
            </w:tcBorders>
          </w:tcPr>
          <w:p>
            <w:pPr>
              <w:ind w:right="-29"/>
              <w:jc w:val="center"/>
              <w:rPr>
                <w:noProof/>
                <w:sz w:val="20"/>
                <w:szCs w:val="20"/>
              </w:rPr>
            </w:pPr>
            <w:r>
              <w:rPr>
                <w:noProof/>
                <w:sz w:val="20"/>
                <w:szCs w:val="20"/>
              </w:rPr>
              <w:t>Zasedání poradní skupiny</w:t>
            </w:r>
          </w:p>
        </w:tc>
        <w:tc>
          <w:tcPr>
            <w:tcW w:w="1134" w:type="dxa"/>
            <w:gridSpan w:val="2"/>
          </w:tcPr>
          <w:p>
            <w:pPr>
              <w:ind w:right="-29"/>
              <w:jc w:val="center"/>
              <w:rPr>
                <w:noProof/>
                <w:sz w:val="18"/>
                <w:szCs w:val="18"/>
              </w:rPr>
            </w:pPr>
            <w:r>
              <w:rPr>
                <w:noProof/>
                <w:sz w:val="18"/>
                <w:szCs w:val="18"/>
              </w:rPr>
              <w:t>0,021 na zasedání</w:t>
            </w:r>
          </w:p>
        </w:tc>
        <w:tc>
          <w:tcPr>
            <w:tcW w:w="669" w:type="dxa"/>
            <w:tcBorders>
              <w:right w:val="dashSmallGap" w:sz="4" w:space="0" w:color="auto"/>
            </w:tcBorders>
          </w:tcPr>
          <w:p>
            <w:pPr>
              <w:ind w:right="-29"/>
              <w:jc w:val="center"/>
              <w:rPr>
                <w:noProof/>
                <w:sz w:val="20"/>
              </w:rPr>
            </w:pPr>
          </w:p>
        </w:tc>
        <w:tc>
          <w:tcPr>
            <w:tcW w:w="780" w:type="dxa"/>
            <w:tcBorders>
              <w:left w:val="dashSmallGap" w:sz="4" w:space="0" w:color="auto"/>
            </w:tcBorders>
          </w:tcPr>
          <w:p>
            <w:pPr>
              <w:ind w:right="-29"/>
              <w:jc w:val="center"/>
              <w:rPr>
                <w:noProof/>
                <w:sz w:val="20"/>
              </w:rPr>
            </w:pPr>
          </w:p>
        </w:tc>
        <w:tc>
          <w:tcPr>
            <w:tcW w:w="669" w:type="dxa"/>
            <w:tcBorders>
              <w:right w:val="dashSmallGap" w:sz="4" w:space="0" w:color="auto"/>
            </w:tcBorders>
          </w:tcPr>
          <w:p>
            <w:pPr>
              <w:ind w:right="-29"/>
              <w:jc w:val="center"/>
              <w:rPr>
                <w:noProof/>
                <w:sz w:val="20"/>
              </w:rPr>
            </w:pPr>
          </w:p>
        </w:tc>
        <w:tc>
          <w:tcPr>
            <w:tcW w:w="780" w:type="dxa"/>
            <w:tcBorders>
              <w:left w:val="dashSmallGap" w:sz="4" w:space="0" w:color="auto"/>
            </w:tcBorders>
          </w:tcPr>
          <w:p>
            <w:pPr>
              <w:ind w:right="-29"/>
              <w:jc w:val="center"/>
              <w:rPr>
                <w:noProof/>
                <w:sz w:val="20"/>
              </w:rPr>
            </w:pPr>
          </w:p>
        </w:tc>
        <w:tc>
          <w:tcPr>
            <w:tcW w:w="669" w:type="dxa"/>
            <w:tcBorders>
              <w:right w:val="dashSmallGap" w:sz="4" w:space="0" w:color="auto"/>
            </w:tcBorders>
          </w:tcPr>
          <w:p>
            <w:pPr>
              <w:ind w:right="-29"/>
              <w:jc w:val="center"/>
              <w:rPr>
                <w:noProof/>
                <w:sz w:val="20"/>
                <w:szCs w:val="20"/>
              </w:rPr>
            </w:pPr>
            <w:r>
              <w:rPr>
                <w:noProof/>
                <w:sz w:val="20"/>
                <w:szCs w:val="20"/>
              </w:rPr>
              <w:t>6</w:t>
            </w:r>
          </w:p>
        </w:tc>
        <w:tc>
          <w:tcPr>
            <w:tcW w:w="839" w:type="dxa"/>
            <w:tcBorders>
              <w:left w:val="dashSmallGap" w:sz="4" w:space="0" w:color="auto"/>
            </w:tcBorders>
          </w:tcPr>
          <w:p>
            <w:pPr>
              <w:ind w:right="-29"/>
              <w:jc w:val="center"/>
              <w:rPr>
                <w:noProof/>
                <w:sz w:val="20"/>
                <w:szCs w:val="20"/>
              </w:rPr>
            </w:pPr>
            <w:r>
              <w:rPr>
                <w:noProof/>
                <w:sz w:val="20"/>
                <w:szCs w:val="20"/>
              </w:rPr>
              <w:t>0,126</w:t>
            </w:r>
          </w:p>
        </w:tc>
        <w:tc>
          <w:tcPr>
            <w:tcW w:w="596" w:type="dxa"/>
            <w:tcBorders>
              <w:right w:val="dashSmallGap" w:sz="4" w:space="0" w:color="auto"/>
            </w:tcBorders>
          </w:tcPr>
          <w:p>
            <w:pPr>
              <w:ind w:right="-29"/>
              <w:jc w:val="center"/>
              <w:rPr>
                <w:noProof/>
                <w:sz w:val="20"/>
                <w:szCs w:val="20"/>
              </w:rPr>
            </w:pPr>
            <w:r>
              <w:rPr>
                <w:noProof/>
                <w:sz w:val="20"/>
                <w:szCs w:val="20"/>
              </w:rPr>
              <w:t>4</w:t>
            </w:r>
          </w:p>
        </w:tc>
        <w:tc>
          <w:tcPr>
            <w:tcW w:w="780" w:type="dxa"/>
            <w:tcBorders>
              <w:left w:val="dashSmallGap" w:sz="4" w:space="0" w:color="auto"/>
            </w:tcBorders>
          </w:tcPr>
          <w:p>
            <w:pPr>
              <w:ind w:right="-29"/>
              <w:jc w:val="center"/>
              <w:rPr>
                <w:noProof/>
                <w:sz w:val="20"/>
                <w:szCs w:val="20"/>
              </w:rPr>
            </w:pPr>
            <w:r>
              <w:rPr>
                <w:noProof/>
                <w:sz w:val="20"/>
                <w:szCs w:val="20"/>
              </w:rPr>
              <w:t>0,084</w:t>
            </w:r>
          </w:p>
        </w:tc>
        <w:tc>
          <w:tcPr>
            <w:tcW w:w="360" w:type="dxa"/>
            <w:tcBorders>
              <w:right w:val="dashSmallGap" w:sz="4" w:space="0" w:color="auto"/>
            </w:tcBorders>
          </w:tcPr>
          <w:p>
            <w:pPr>
              <w:ind w:right="-29"/>
              <w:jc w:val="center"/>
              <w:rPr>
                <w:noProof/>
                <w:sz w:val="20"/>
                <w:szCs w:val="20"/>
              </w:rPr>
            </w:pPr>
            <w:r>
              <w:rPr>
                <w:noProof/>
                <w:sz w:val="20"/>
                <w:szCs w:val="20"/>
              </w:rPr>
              <w:t>4</w:t>
            </w:r>
          </w:p>
        </w:tc>
        <w:tc>
          <w:tcPr>
            <w:tcW w:w="780" w:type="dxa"/>
            <w:tcBorders>
              <w:left w:val="dashSmallGap" w:sz="4" w:space="0" w:color="auto"/>
            </w:tcBorders>
          </w:tcPr>
          <w:p>
            <w:pPr>
              <w:ind w:right="-29"/>
              <w:jc w:val="center"/>
              <w:rPr>
                <w:noProof/>
                <w:sz w:val="20"/>
                <w:szCs w:val="20"/>
              </w:rPr>
            </w:pPr>
            <w:r>
              <w:rPr>
                <w:noProof/>
                <w:sz w:val="20"/>
                <w:szCs w:val="20"/>
              </w:rPr>
              <w:t>0,084</w:t>
            </w:r>
          </w:p>
        </w:tc>
        <w:tc>
          <w:tcPr>
            <w:tcW w:w="360" w:type="dxa"/>
            <w:tcBorders>
              <w:right w:val="dashSmallGap" w:sz="4" w:space="0" w:color="auto"/>
            </w:tcBorders>
          </w:tcPr>
          <w:p>
            <w:pPr>
              <w:ind w:right="-29"/>
              <w:jc w:val="center"/>
              <w:rPr>
                <w:noProof/>
                <w:sz w:val="20"/>
                <w:szCs w:val="20"/>
              </w:rPr>
            </w:pPr>
            <w:r>
              <w:rPr>
                <w:noProof/>
                <w:sz w:val="20"/>
                <w:szCs w:val="20"/>
              </w:rPr>
              <w:t>4</w:t>
            </w:r>
          </w:p>
        </w:tc>
        <w:tc>
          <w:tcPr>
            <w:tcW w:w="780" w:type="dxa"/>
            <w:tcBorders>
              <w:left w:val="dashSmallGap" w:sz="4" w:space="0" w:color="auto"/>
            </w:tcBorders>
          </w:tcPr>
          <w:p>
            <w:pPr>
              <w:ind w:right="-29"/>
              <w:jc w:val="center"/>
              <w:rPr>
                <w:noProof/>
                <w:sz w:val="20"/>
                <w:szCs w:val="20"/>
              </w:rPr>
            </w:pPr>
            <w:r>
              <w:rPr>
                <w:noProof/>
                <w:sz w:val="20"/>
                <w:szCs w:val="20"/>
              </w:rPr>
              <w:t>0,084</w:t>
            </w:r>
          </w:p>
        </w:tc>
        <w:tc>
          <w:tcPr>
            <w:tcW w:w="360" w:type="dxa"/>
            <w:tcBorders>
              <w:right w:val="dashSmallGap" w:sz="4" w:space="0" w:color="auto"/>
            </w:tcBorders>
          </w:tcPr>
          <w:p>
            <w:pPr>
              <w:ind w:right="-29"/>
              <w:jc w:val="center"/>
              <w:rPr>
                <w:noProof/>
                <w:sz w:val="20"/>
                <w:szCs w:val="20"/>
              </w:rPr>
            </w:pPr>
            <w:r>
              <w:rPr>
                <w:noProof/>
                <w:sz w:val="20"/>
                <w:szCs w:val="20"/>
              </w:rPr>
              <w:t>4</w:t>
            </w:r>
          </w:p>
        </w:tc>
        <w:tc>
          <w:tcPr>
            <w:tcW w:w="840" w:type="dxa"/>
            <w:tcBorders>
              <w:left w:val="dashSmallGap" w:sz="4" w:space="0" w:color="auto"/>
              <w:bottom w:val="single" w:sz="4" w:space="0" w:color="auto"/>
            </w:tcBorders>
          </w:tcPr>
          <w:p>
            <w:pPr>
              <w:ind w:right="-29"/>
              <w:jc w:val="center"/>
              <w:rPr>
                <w:noProof/>
                <w:sz w:val="20"/>
                <w:szCs w:val="20"/>
              </w:rPr>
            </w:pPr>
            <w:r>
              <w:rPr>
                <w:noProof/>
                <w:sz w:val="20"/>
                <w:szCs w:val="20"/>
              </w:rPr>
              <w:t>0,084</w:t>
            </w:r>
          </w:p>
        </w:tc>
        <w:tc>
          <w:tcPr>
            <w:tcW w:w="596" w:type="dxa"/>
            <w:tcBorders>
              <w:right w:val="dashSmallGap" w:sz="4" w:space="0" w:color="auto"/>
            </w:tcBorders>
          </w:tcPr>
          <w:p>
            <w:pPr>
              <w:ind w:right="-29"/>
              <w:jc w:val="center"/>
              <w:rPr>
                <w:noProof/>
                <w:sz w:val="20"/>
                <w:szCs w:val="20"/>
              </w:rPr>
            </w:pPr>
            <w:r>
              <w:rPr>
                <w:noProof/>
                <w:sz w:val="20"/>
                <w:szCs w:val="20"/>
              </w:rPr>
              <w:t>22</w:t>
            </w:r>
          </w:p>
        </w:tc>
        <w:tc>
          <w:tcPr>
            <w:tcW w:w="1320"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szCs w:val="20"/>
              </w:rPr>
              <w:t>0,462</w:t>
            </w:r>
          </w:p>
        </w:tc>
      </w:tr>
      <w:tr>
        <w:trPr>
          <w:trHeight w:hRule="exact" w:val="1244"/>
          <w:jc w:val="center"/>
        </w:trPr>
        <w:tc>
          <w:tcPr>
            <w:tcW w:w="1240" w:type="dxa"/>
            <w:tcBorders>
              <w:left w:val="single" w:sz="12" w:space="0" w:color="auto"/>
            </w:tcBorders>
          </w:tcPr>
          <w:p>
            <w:pPr>
              <w:ind w:right="-29"/>
              <w:jc w:val="center"/>
              <w:rPr>
                <w:noProof/>
                <w:sz w:val="20"/>
                <w:szCs w:val="20"/>
              </w:rPr>
            </w:pPr>
            <w:r>
              <w:rPr>
                <w:noProof/>
                <w:sz w:val="20"/>
                <w:szCs w:val="20"/>
              </w:rPr>
              <w:t>Zasedání rady pro řízení programu</w:t>
            </w:r>
          </w:p>
        </w:tc>
        <w:tc>
          <w:tcPr>
            <w:tcW w:w="1134" w:type="dxa"/>
            <w:gridSpan w:val="2"/>
          </w:tcPr>
          <w:p>
            <w:pPr>
              <w:ind w:right="-29"/>
              <w:jc w:val="center"/>
              <w:rPr>
                <w:noProof/>
                <w:sz w:val="18"/>
                <w:szCs w:val="18"/>
              </w:rPr>
            </w:pPr>
            <w:r>
              <w:rPr>
                <w:noProof/>
                <w:sz w:val="18"/>
                <w:szCs w:val="18"/>
              </w:rPr>
              <w:t>0,021 na zasedání</w:t>
            </w:r>
          </w:p>
        </w:tc>
        <w:tc>
          <w:tcPr>
            <w:tcW w:w="669" w:type="dxa"/>
            <w:tcBorders>
              <w:right w:val="dashSmallGap" w:sz="4" w:space="0" w:color="auto"/>
            </w:tcBorders>
          </w:tcPr>
          <w:p>
            <w:pPr>
              <w:ind w:right="-29"/>
              <w:jc w:val="center"/>
              <w:rPr>
                <w:noProof/>
                <w:sz w:val="20"/>
              </w:rPr>
            </w:pPr>
          </w:p>
        </w:tc>
        <w:tc>
          <w:tcPr>
            <w:tcW w:w="780" w:type="dxa"/>
            <w:tcBorders>
              <w:left w:val="dashSmallGap" w:sz="4" w:space="0" w:color="auto"/>
            </w:tcBorders>
          </w:tcPr>
          <w:p>
            <w:pPr>
              <w:ind w:right="-29"/>
              <w:jc w:val="center"/>
              <w:rPr>
                <w:noProof/>
                <w:sz w:val="20"/>
              </w:rPr>
            </w:pPr>
          </w:p>
        </w:tc>
        <w:tc>
          <w:tcPr>
            <w:tcW w:w="669" w:type="dxa"/>
            <w:tcBorders>
              <w:right w:val="dashSmallGap" w:sz="4" w:space="0" w:color="auto"/>
            </w:tcBorders>
          </w:tcPr>
          <w:p>
            <w:pPr>
              <w:ind w:right="-29"/>
              <w:jc w:val="center"/>
              <w:rPr>
                <w:noProof/>
                <w:sz w:val="20"/>
              </w:rPr>
            </w:pPr>
          </w:p>
        </w:tc>
        <w:tc>
          <w:tcPr>
            <w:tcW w:w="780" w:type="dxa"/>
            <w:tcBorders>
              <w:left w:val="dashSmallGap" w:sz="4" w:space="0" w:color="auto"/>
            </w:tcBorders>
          </w:tcPr>
          <w:p>
            <w:pPr>
              <w:ind w:right="-29"/>
              <w:jc w:val="center"/>
              <w:rPr>
                <w:noProof/>
                <w:sz w:val="20"/>
              </w:rPr>
            </w:pPr>
          </w:p>
        </w:tc>
        <w:tc>
          <w:tcPr>
            <w:tcW w:w="669" w:type="dxa"/>
            <w:tcBorders>
              <w:right w:val="dashSmallGap" w:sz="4" w:space="0" w:color="auto"/>
            </w:tcBorders>
          </w:tcPr>
          <w:p>
            <w:pPr>
              <w:ind w:right="-29"/>
              <w:jc w:val="center"/>
              <w:rPr>
                <w:noProof/>
                <w:sz w:val="20"/>
                <w:szCs w:val="20"/>
              </w:rPr>
            </w:pPr>
            <w:r>
              <w:rPr>
                <w:noProof/>
                <w:sz w:val="20"/>
                <w:szCs w:val="20"/>
              </w:rPr>
              <w:t>6</w:t>
            </w:r>
          </w:p>
        </w:tc>
        <w:tc>
          <w:tcPr>
            <w:tcW w:w="839" w:type="dxa"/>
            <w:tcBorders>
              <w:left w:val="dashSmallGap" w:sz="4" w:space="0" w:color="auto"/>
            </w:tcBorders>
          </w:tcPr>
          <w:p>
            <w:pPr>
              <w:ind w:right="-29"/>
              <w:jc w:val="center"/>
              <w:rPr>
                <w:noProof/>
                <w:sz w:val="20"/>
                <w:szCs w:val="20"/>
              </w:rPr>
            </w:pPr>
            <w:r>
              <w:rPr>
                <w:noProof/>
                <w:sz w:val="20"/>
                <w:szCs w:val="20"/>
              </w:rPr>
              <w:t>0,126</w:t>
            </w:r>
          </w:p>
        </w:tc>
        <w:tc>
          <w:tcPr>
            <w:tcW w:w="596" w:type="dxa"/>
            <w:tcBorders>
              <w:right w:val="dashSmallGap" w:sz="4" w:space="0" w:color="auto"/>
            </w:tcBorders>
          </w:tcPr>
          <w:p>
            <w:pPr>
              <w:ind w:right="-29"/>
              <w:jc w:val="center"/>
              <w:rPr>
                <w:noProof/>
                <w:sz w:val="20"/>
                <w:szCs w:val="20"/>
              </w:rPr>
            </w:pPr>
            <w:r>
              <w:rPr>
                <w:noProof/>
                <w:sz w:val="20"/>
                <w:szCs w:val="20"/>
              </w:rPr>
              <w:t>4</w:t>
            </w:r>
          </w:p>
        </w:tc>
        <w:tc>
          <w:tcPr>
            <w:tcW w:w="780" w:type="dxa"/>
            <w:tcBorders>
              <w:left w:val="dashSmallGap" w:sz="4" w:space="0" w:color="auto"/>
            </w:tcBorders>
          </w:tcPr>
          <w:p>
            <w:pPr>
              <w:ind w:right="-29"/>
              <w:jc w:val="center"/>
              <w:rPr>
                <w:noProof/>
                <w:sz w:val="20"/>
                <w:szCs w:val="20"/>
              </w:rPr>
            </w:pPr>
            <w:r>
              <w:rPr>
                <w:noProof/>
                <w:sz w:val="20"/>
                <w:szCs w:val="20"/>
              </w:rPr>
              <w:t>0,084</w:t>
            </w:r>
          </w:p>
        </w:tc>
        <w:tc>
          <w:tcPr>
            <w:tcW w:w="360" w:type="dxa"/>
            <w:tcBorders>
              <w:right w:val="dashSmallGap" w:sz="4" w:space="0" w:color="auto"/>
            </w:tcBorders>
          </w:tcPr>
          <w:p>
            <w:pPr>
              <w:ind w:right="-29"/>
              <w:jc w:val="center"/>
              <w:rPr>
                <w:noProof/>
                <w:sz w:val="20"/>
                <w:szCs w:val="20"/>
              </w:rPr>
            </w:pPr>
            <w:r>
              <w:rPr>
                <w:noProof/>
                <w:sz w:val="20"/>
                <w:szCs w:val="20"/>
              </w:rPr>
              <w:t>4</w:t>
            </w:r>
          </w:p>
        </w:tc>
        <w:tc>
          <w:tcPr>
            <w:tcW w:w="780" w:type="dxa"/>
            <w:tcBorders>
              <w:left w:val="dashSmallGap" w:sz="4" w:space="0" w:color="auto"/>
            </w:tcBorders>
          </w:tcPr>
          <w:p>
            <w:pPr>
              <w:ind w:right="-29"/>
              <w:jc w:val="center"/>
              <w:rPr>
                <w:noProof/>
                <w:sz w:val="20"/>
                <w:szCs w:val="20"/>
              </w:rPr>
            </w:pPr>
            <w:r>
              <w:rPr>
                <w:noProof/>
                <w:sz w:val="20"/>
                <w:szCs w:val="20"/>
              </w:rPr>
              <w:t>0,084</w:t>
            </w:r>
          </w:p>
        </w:tc>
        <w:tc>
          <w:tcPr>
            <w:tcW w:w="360" w:type="dxa"/>
            <w:tcBorders>
              <w:right w:val="dashSmallGap" w:sz="4" w:space="0" w:color="auto"/>
            </w:tcBorders>
          </w:tcPr>
          <w:p>
            <w:pPr>
              <w:ind w:right="-29"/>
              <w:jc w:val="center"/>
              <w:rPr>
                <w:noProof/>
                <w:sz w:val="20"/>
                <w:szCs w:val="20"/>
              </w:rPr>
            </w:pPr>
            <w:r>
              <w:rPr>
                <w:noProof/>
                <w:sz w:val="20"/>
                <w:szCs w:val="20"/>
              </w:rPr>
              <w:t>4</w:t>
            </w:r>
          </w:p>
        </w:tc>
        <w:tc>
          <w:tcPr>
            <w:tcW w:w="780" w:type="dxa"/>
            <w:tcBorders>
              <w:left w:val="dashSmallGap" w:sz="4" w:space="0" w:color="auto"/>
            </w:tcBorders>
          </w:tcPr>
          <w:p>
            <w:pPr>
              <w:ind w:right="-29"/>
              <w:jc w:val="center"/>
              <w:rPr>
                <w:noProof/>
                <w:sz w:val="20"/>
                <w:szCs w:val="20"/>
              </w:rPr>
            </w:pPr>
            <w:r>
              <w:rPr>
                <w:noProof/>
                <w:sz w:val="20"/>
                <w:szCs w:val="20"/>
              </w:rPr>
              <w:t>0,084</w:t>
            </w:r>
          </w:p>
        </w:tc>
        <w:tc>
          <w:tcPr>
            <w:tcW w:w="360" w:type="dxa"/>
            <w:tcBorders>
              <w:right w:val="dashSmallGap" w:sz="4" w:space="0" w:color="auto"/>
            </w:tcBorders>
          </w:tcPr>
          <w:p>
            <w:pPr>
              <w:ind w:right="-29"/>
              <w:jc w:val="center"/>
              <w:rPr>
                <w:noProof/>
                <w:sz w:val="20"/>
                <w:szCs w:val="20"/>
              </w:rPr>
            </w:pPr>
            <w:r>
              <w:rPr>
                <w:noProof/>
                <w:sz w:val="20"/>
                <w:szCs w:val="20"/>
              </w:rPr>
              <w:t>4</w:t>
            </w:r>
          </w:p>
        </w:tc>
        <w:tc>
          <w:tcPr>
            <w:tcW w:w="840" w:type="dxa"/>
            <w:tcBorders>
              <w:left w:val="dashSmallGap" w:sz="4" w:space="0" w:color="auto"/>
              <w:bottom w:val="single" w:sz="4" w:space="0" w:color="auto"/>
            </w:tcBorders>
          </w:tcPr>
          <w:p>
            <w:pPr>
              <w:ind w:right="-29"/>
              <w:jc w:val="center"/>
              <w:rPr>
                <w:noProof/>
                <w:sz w:val="20"/>
                <w:szCs w:val="20"/>
              </w:rPr>
            </w:pPr>
            <w:r>
              <w:rPr>
                <w:noProof/>
                <w:sz w:val="20"/>
                <w:szCs w:val="20"/>
              </w:rPr>
              <w:t>0,084</w:t>
            </w:r>
          </w:p>
        </w:tc>
        <w:tc>
          <w:tcPr>
            <w:tcW w:w="596" w:type="dxa"/>
            <w:tcBorders>
              <w:right w:val="dashSmallGap" w:sz="4" w:space="0" w:color="auto"/>
            </w:tcBorders>
          </w:tcPr>
          <w:p>
            <w:pPr>
              <w:ind w:right="-29"/>
              <w:jc w:val="center"/>
              <w:rPr>
                <w:noProof/>
                <w:sz w:val="20"/>
                <w:szCs w:val="20"/>
              </w:rPr>
            </w:pPr>
            <w:r>
              <w:rPr>
                <w:noProof/>
                <w:sz w:val="20"/>
                <w:szCs w:val="20"/>
              </w:rPr>
              <w:t>22</w:t>
            </w:r>
          </w:p>
        </w:tc>
        <w:tc>
          <w:tcPr>
            <w:tcW w:w="1320"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szCs w:val="20"/>
              </w:rPr>
              <w:t>0,462</w:t>
            </w:r>
          </w:p>
        </w:tc>
      </w:tr>
      <w:tr>
        <w:trPr>
          <w:trHeight w:hRule="exact" w:val="964"/>
          <w:jc w:val="center"/>
        </w:trPr>
        <w:tc>
          <w:tcPr>
            <w:tcW w:w="1240" w:type="dxa"/>
            <w:tcBorders>
              <w:left w:val="single" w:sz="12" w:space="0" w:color="auto"/>
            </w:tcBorders>
          </w:tcPr>
          <w:p>
            <w:pPr>
              <w:ind w:right="-29"/>
              <w:jc w:val="center"/>
              <w:rPr>
                <w:noProof/>
                <w:sz w:val="20"/>
                <w:szCs w:val="20"/>
              </w:rPr>
            </w:pPr>
            <w:r>
              <w:rPr>
                <w:noProof/>
                <w:sz w:val="20"/>
                <w:szCs w:val="20"/>
              </w:rPr>
              <w:t>Zasedání věnovaná zprávám o pokroku</w:t>
            </w:r>
          </w:p>
        </w:tc>
        <w:tc>
          <w:tcPr>
            <w:tcW w:w="1134" w:type="dxa"/>
            <w:gridSpan w:val="2"/>
          </w:tcPr>
          <w:p>
            <w:pPr>
              <w:ind w:right="-29"/>
              <w:jc w:val="center"/>
              <w:rPr>
                <w:noProof/>
                <w:sz w:val="18"/>
                <w:szCs w:val="18"/>
              </w:rPr>
            </w:pPr>
            <w:r>
              <w:rPr>
                <w:noProof/>
                <w:sz w:val="18"/>
                <w:szCs w:val="18"/>
              </w:rPr>
              <w:t>0,021 na zasedání</w:t>
            </w:r>
          </w:p>
        </w:tc>
        <w:tc>
          <w:tcPr>
            <w:tcW w:w="669" w:type="dxa"/>
            <w:tcBorders>
              <w:right w:val="dashSmallGap" w:sz="4" w:space="0" w:color="auto"/>
            </w:tcBorders>
          </w:tcPr>
          <w:p>
            <w:pPr>
              <w:ind w:right="-29"/>
              <w:jc w:val="center"/>
              <w:rPr>
                <w:noProof/>
                <w:sz w:val="20"/>
              </w:rPr>
            </w:pPr>
          </w:p>
        </w:tc>
        <w:tc>
          <w:tcPr>
            <w:tcW w:w="780" w:type="dxa"/>
            <w:tcBorders>
              <w:left w:val="dashSmallGap" w:sz="4" w:space="0" w:color="auto"/>
            </w:tcBorders>
          </w:tcPr>
          <w:p>
            <w:pPr>
              <w:ind w:right="-29"/>
              <w:jc w:val="center"/>
              <w:rPr>
                <w:noProof/>
                <w:sz w:val="20"/>
              </w:rPr>
            </w:pPr>
          </w:p>
        </w:tc>
        <w:tc>
          <w:tcPr>
            <w:tcW w:w="669" w:type="dxa"/>
            <w:tcBorders>
              <w:right w:val="dashSmallGap" w:sz="4" w:space="0" w:color="auto"/>
            </w:tcBorders>
          </w:tcPr>
          <w:p>
            <w:pPr>
              <w:ind w:right="-29"/>
              <w:jc w:val="center"/>
              <w:rPr>
                <w:noProof/>
                <w:sz w:val="20"/>
              </w:rPr>
            </w:pPr>
          </w:p>
        </w:tc>
        <w:tc>
          <w:tcPr>
            <w:tcW w:w="780" w:type="dxa"/>
            <w:tcBorders>
              <w:left w:val="dashSmallGap" w:sz="4" w:space="0" w:color="auto"/>
            </w:tcBorders>
          </w:tcPr>
          <w:p>
            <w:pPr>
              <w:ind w:right="-29"/>
              <w:jc w:val="center"/>
              <w:rPr>
                <w:noProof/>
                <w:sz w:val="20"/>
              </w:rPr>
            </w:pPr>
          </w:p>
        </w:tc>
        <w:tc>
          <w:tcPr>
            <w:tcW w:w="669" w:type="dxa"/>
            <w:tcBorders>
              <w:right w:val="dashSmallGap" w:sz="4" w:space="0" w:color="auto"/>
            </w:tcBorders>
          </w:tcPr>
          <w:p>
            <w:pPr>
              <w:ind w:right="-29"/>
              <w:jc w:val="center"/>
              <w:rPr>
                <w:noProof/>
                <w:sz w:val="20"/>
                <w:szCs w:val="20"/>
              </w:rPr>
            </w:pPr>
            <w:r>
              <w:rPr>
                <w:noProof/>
                <w:sz w:val="20"/>
                <w:szCs w:val="20"/>
              </w:rPr>
              <w:t>2</w:t>
            </w:r>
          </w:p>
        </w:tc>
        <w:tc>
          <w:tcPr>
            <w:tcW w:w="839" w:type="dxa"/>
            <w:tcBorders>
              <w:left w:val="dashSmallGap" w:sz="4" w:space="0" w:color="auto"/>
            </w:tcBorders>
          </w:tcPr>
          <w:p>
            <w:pPr>
              <w:ind w:right="-29"/>
              <w:jc w:val="center"/>
              <w:rPr>
                <w:noProof/>
                <w:sz w:val="20"/>
                <w:szCs w:val="20"/>
              </w:rPr>
            </w:pPr>
            <w:r>
              <w:rPr>
                <w:noProof/>
                <w:sz w:val="20"/>
                <w:szCs w:val="20"/>
              </w:rPr>
              <w:t>0,042</w:t>
            </w:r>
          </w:p>
        </w:tc>
        <w:tc>
          <w:tcPr>
            <w:tcW w:w="596" w:type="dxa"/>
            <w:tcBorders>
              <w:right w:val="dashSmallGap" w:sz="4" w:space="0" w:color="auto"/>
            </w:tcBorders>
          </w:tcPr>
          <w:p>
            <w:pPr>
              <w:ind w:right="-29"/>
              <w:jc w:val="center"/>
              <w:rPr>
                <w:noProof/>
                <w:sz w:val="20"/>
                <w:szCs w:val="20"/>
              </w:rPr>
            </w:pPr>
            <w:r>
              <w:rPr>
                <w:noProof/>
                <w:sz w:val="20"/>
                <w:szCs w:val="20"/>
              </w:rPr>
              <w:t>4</w:t>
            </w:r>
          </w:p>
        </w:tc>
        <w:tc>
          <w:tcPr>
            <w:tcW w:w="780" w:type="dxa"/>
            <w:tcBorders>
              <w:left w:val="dashSmallGap" w:sz="4" w:space="0" w:color="auto"/>
            </w:tcBorders>
          </w:tcPr>
          <w:p>
            <w:pPr>
              <w:ind w:right="-29"/>
              <w:jc w:val="center"/>
              <w:rPr>
                <w:noProof/>
                <w:sz w:val="20"/>
                <w:szCs w:val="20"/>
              </w:rPr>
            </w:pPr>
            <w:r>
              <w:rPr>
                <w:noProof/>
                <w:sz w:val="20"/>
                <w:szCs w:val="20"/>
              </w:rPr>
              <w:t>0,084</w:t>
            </w:r>
          </w:p>
        </w:tc>
        <w:tc>
          <w:tcPr>
            <w:tcW w:w="360" w:type="dxa"/>
            <w:tcBorders>
              <w:right w:val="dashSmallGap" w:sz="4" w:space="0" w:color="auto"/>
            </w:tcBorders>
          </w:tcPr>
          <w:p>
            <w:pPr>
              <w:ind w:right="-29"/>
              <w:jc w:val="center"/>
              <w:rPr>
                <w:noProof/>
                <w:sz w:val="20"/>
                <w:szCs w:val="20"/>
              </w:rPr>
            </w:pPr>
            <w:r>
              <w:rPr>
                <w:noProof/>
                <w:sz w:val="20"/>
                <w:szCs w:val="20"/>
              </w:rPr>
              <w:t>4</w:t>
            </w:r>
          </w:p>
        </w:tc>
        <w:tc>
          <w:tcPr>
            <w:tcW w:w="780" w:type="dxa"/>
            <w:tcBorders>
              <w:left w:val="dashSmallGap" w:sz="4" w:space="0" w:color="auto"/>
            </w:tcBorders>
          </w:tcPr>
          <w:p>
            <w:pPr>
              <w:ind w:right="-29"/>
              <w:jc w:val="center"/>
              <w:rPr>
                <w:noProof/>
                <w:sz w:val="20"/>
                <w:szCs w:val="20"/>
              </w:rPr>
            </w:pPr>
            <w:r>
              <w:rPr>
                <w:noProof/>
                <w:sz w:val="20"/>
                <w:szCs w:val="20"/>
              </w:rPr>
              <w:t>0,084</w:t>
            </w:r>
          </w:p>
        </w:tc>
        <w:tc>
          <w:tcPr>
            <w:tcW w:w="360" w:type="dxa"/>
            <w:tcBorders>
              <w:right w:val="dashSmallGap" w:sz="4" w:space="0" w:color="auto"/>
            </w:tcBorders>
          </w:tcPr>
          <w:p>
            <w:pPr>
              <w:ind w:right="-29"/>
              <w:jc w:val="center"/>
              <w:rPr>
                <w:noProof/>
                <w:sz w:val="20"/>
                <w:szCs w:val="20"/>
              </w:rPr>
            </w:pPr>
            <w:r>
              <w:rPr>
                <w:noProof/>
                <w:sz w:val="20"/>
                <w:szCs w:val="20"/>
              </w:rPr>
              <w:t>2</w:t>
            </w:r>
          </w:p>
        </w:tc>
        <w:tc>
          <w:tcPr>
            <w:tcW w:w="780" w:type="dxa"/>
            <w:tcBorders>
              <w:left w:val="dashSmallGap" w:sz="4" w:space="0" w:color="auto"/>
            </w:tcBorders>
          </w:tcPr>
          <w:p>
            <w:pPr>
              <w:ind w:right="-29"/>
              <w:jc w:val="center"/>
              <w:rPr>
                <w:noProof/>
                <w:sz w:val="20"/>
                <w:szCs w:val="20"/>
              </w:rPr>
            </w:pPr>
            <w:r>
              <w:rPr>
                <w:noProof/>
                <w:sz w:val="20"/>
                <w:szCs w:val="20"/>
              </w:rPr>
              <w:t>0,042</w:t>
            </w:r>
          </w:p>
        </w:tc>
        <w:tc>
          <w:tcPr>
            <w:tcW w:w="360" w:type="dxa"/>
            <w:tcBorders>
              <w:right w:val="dashSmallGap" w:sz="4" w:space="0" w:color="auto"/>
            </w:tcBorders>
          </w:tcPr>
          <w:p>
            <w:pPr>
              <w:ind w:right="-29"/>
              <w:jc w:val="center"/>
              <w:rPr>
                <w:noProof/>
                <w:sz w:val="20"/>
                <w:szCs w:val="20"/>
              </w:rPr>
            </w:pPr>
            <w:r>
              <w:rPr>
                <w:noProof/>
                <w:sz w:val="20"/>
                <w:szCs w:val="20"/>
              </w:rPr>
              <w:t>2</w:t>
            </w:r>
          </w:p>
        </w:tc>
        <w:tc>
          <w:tcPr>
            <w:tcW w:w="840" w:type="dxa"/>
            <w:tcBorders>
              <w:left w:val="dashSmallGap" w:sz="4" w:space="0" w:color="auto"/>
              <w:bottom w:val="single" w:sz="4" w:space="0" w:color="auto"/>
            </w:tcBorders>
          </w:tcPr>
          <w:p>
            <w:pPr>
              <w:ind w:right="-29"/>
              <w:jc w:val="center"/>
              <w:rPr>
                <w:noProof/>
                <w:sz w:val="20"/>
                <w:szCs w:val="20"/>
              </w:rPr>
            </w:pPr>
            <w:r>
              <w:rPr>
                <w:noProof/>
                <w:sz w:val="20"/>
                <w:szCs w:val="20"/>
              </w:rPr>
              <w:t>0,042</w:t>
            </w:r>
          </w:p>
        </w:tc>
        <w:tc>
          <w:tcPr>
            <w:tcW w:w="596" w:type="dxa"/>
            <w:tcBorders>
              <w:right w:val="dashSmallGap" w:sz="4" w:space="0" w:color="auto"/>
            </w:tcBorders>
          </w:tcPr>
          <w:p>
            <w:pPr>
              <w:ind w:right="-29"/>
              <w:jc w:val="center"/>
              <w:rPr>
                <w:noProof/>
                <w:sz w:val="20"/>
                <w:szCs w:val="20"/>
              </w:rPr>
            </w:pPr>
            <w:r>
              <w:rPr>
                <w:noProof/>
                <w:sz w:val="20"/>
                <w:szCs w:val="20"/>
              </w:rPr>
              <w:t>14</w:t>
            </w:r>
          </w:p>
        </w:tc>
        <w:tc>
          <w:tcPr>
            <w:tcW w:w="1320"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szCs w:val="20"/>
              </w:rPr>
              <w:t>0,294</w:t>
            </w:r>
          </w:p>
        </w:tc>
      </w:tr>
      <w:tr>
        <w:trPr>
          <w:trHeight w:hRule="exact" w:val="964"/>
          <w:jc w:val="center"/>
        </w:trPr>
        <w:tc>
          <w:tcPr>
            <w:tcW w:w="1240" w:type="dxa"/>
            <w:tcBorders>
              <w:left w:val="single" w:sz="12" w:space="0" w:color="auto"/>
            </w:tcBorders>
          </w:tcPr>
          <w:p>
            <w:pPr>
              <w:ind w:right="-29"/>
              <w:jc w:val="center"/>
              <w:rPr>
                <w:noProof/>
                <w:sz w:val="20"/>
                <w:szCs w:val="20"/>
              </w:rPr>
            </w:pPr>
            <w:r>
              <w:rPr>
                <w:noProof/>
                <w:sz w:val="20"/>
                <w:szCs w:val="20"/>
              </w:rPr>
              <w:t>Workshopy zaměřené na obchodní modely</w:t>
            </w:r>
          </w:p>
        </w:tc>
        <w:tc>
          <w:tcPr>
            <w:tcW w:w="1134" w:type="dxa"/>
            <w:gridSpan w:val="2"/>
          </w:tcPr>
          <w:p>
            <w:pPr>
              <w:ind w:right="-29"/>
              <w:jc w:val="center"/>
              <w:rPr>
                <w:noProof/>
                <w:sz w:val="18"/>
                <w:szCs w:val="18"/>
              </w:rPr>
            </w:pPr>
            <w:r>
              <w:rPr>
                <w:noProof/>
                <w:sz w:val="18"/>
                <w:szCs w:val="18"/>
              </w:rPr>
              <w:t>0,021 na workshop</w:t>
            </w:r>
          </w:p>
        </w:tc>
        <w:tc>
          <w:tcPr>
            <w:tcW w:w="669" w:type="dxa"/>
            <w:tcBorders>
              <w:right w:val="dashSmallGap" w:sz="4" w:space="0" w:color="auto"/>
            </w:tcBorders>
          </w:tcPr>
          <w:p>
            <w:pPr>
              <w:ind w:right="-29"/>
              <w:jc w:val="center"/>
              <w:rPr>
                <w:noProof/>
                <w:sz w:val="20"/>
              </w:rPr>
            </w:pPr>
          </w:p>
        </w:tc>
        <w:tc>
          <w:tcPr>
            <w:tcW w:w="780" w:type="dxa"/>
            <w:tcBorders>
              <w:left w:val="dashSmallGap" w:sz="4" w:space="0" w:color="auto"/>
            </w:tcBorders>
          </w:tcPr>
          <w:p>
            <w:pPr>
              <w:ind w:right="-29"/>
              <w:jc w:val="center"/>
              <w:rPr>
                <w:noProof/>
                <w:sz w:val="20"/>
              </w:rPr>
            </w:pPr>
          </w:p>
        </w:tc>
        <w:tc>
          <w:tcPr>
            <w:tcW w:w="669" w:type="dxa"/>
            <w:tcBorders>
              <w:right w:val="dashSmallGap" w:sz="4" w:space="0" w:color="auto"/>
            </w:tcBorders>
          </w:tcPr>
          <w:p>
            <w:pPr>
              <w:ind w:right="-29"/>
              <w:jc w:val="center"/>
              <w:rPr>
                <w:noProof/>
                <w:sz w:val="20"/>
              </w:rPr>
            </w:pPr>
          </w:p>
        </w:tc>
        <w:tc>
          <w:tcPr>
            <w:tcW w:w="780" w:type="dxa"/>
            <w:tcBorders>
              <w:left w:val="dashSmallGap" w:sz="4" w:space="0" w:color="auto"/>
            </w:tcBorders>
          </w:tcPr>
          <w:p>
            <w:pPr>
              <w:ind w:right="-29"/>
              <w:jc w:val="center"/>
              <w:rPr>
                <w:noProof/>
                <w:sz w:val="20"/>
              </w:rPr>
            </w:pPr>
          </w:p>
        </w:tc>
        <w:tc>
          <w:tcPr>
            <w:tcW w:w="669" w:type="dxa"/>
            <w:tcBorders>
              <w:right w:val="dashSmallGap" w:sz="4" w:space="0" w:color="auto"/>
            </w:tcBorders>
          </w:tcPr>
          <w:p>
            <w:pPr>
              <w:ind w:right="-29"/>
              <w:jc w:val="center"/>
              <w:rPr>
                <w:noProof/>
                <w:sz w:val="20"/>
                <w:szCs w:val="20"/>
              </w:rPr>
            </w:pPr>
            <w:r>
              <w:rPr>
                <w:noProof/>
                <w:sz w:val="20"/>
                <w:szCs w:val="20"/>
              </w:rPr>
              <w:t>3</w:t>
            </w:r>
          </w:p>
        </w:tc>
        <w:tc>
          <w:tcPr>
            <w:tcW w:w="839" w:type="dxa"/>
            <w:tcBorders>
              <w:left w:val="dashSmallGap" w:sz="4" w:space="0" w:color="auto"/>
            </w:tcBorders>
          </w:tcPr>
          <w:p>
            <w:pPr>
              <w:ind w:right="-29"/>
              <w:jc w:val="center"/>
              <w:rPr>
                <w:noProof/>
                <w:sz w:val="20"/>
                <w:szCs w:val="20"/>
              </w:rPr>
            </w:pPr>
            <w:r>
              <w:rPr>
                <w:noProof/>
                <w:sz w:val="20"/>
                <w:szCs w:val="20"/>
              </w:rPr>
              <w:t>0,063</w:t>
            </w:r>
          </w:p>
        </w:tc>
        <w:tc>
          <w:tcPr>
            <w:tcW w:w="596" w:type="dxa"/>
            <w:tcBorders>
              <w:right w:val="dashSmallGap" w:sz="4" w:space="0" w:color="auto"/>
            </w:tcBorders>
          </w:tcPr>
          <w:p>
            <w:pPr>
              <w:ind w:right="-29"/>
              <w:jc w:val="center"/>
              <w:rPr>
                <w:noProof/>
                <w:sz w:val="20"/>
                <w:szCs w:val="20"/>
              </w:rPr>
            </w:pPr>
            <w:r>
              <w:rPr>
                <w:noProof/>
                <w:sz w:val="20"/>
                <w:szCs w:val="20"/>
              </w:rPr>
              <w:t>3</w:t>
            </w:r>
          </w:p>
        </w:tc>
        <w:tc>
          <w:tcPr>
            <w:tcW w:w="780" w:type="dxa"/>
            <w:tcBorders>
              <w:left w:val="dashSmallGap" w:sz="4" w:space="0" w:color="auto"/>
            </w:tcBorders>
          </w:tcPr>
          <w:p>
            <w:pPr>
              <w:ind w:right="-29"/>
              <w:jc w:val="center"/>
              <w:rPr>
                <w:noProof/>
                <w:sz w:val="20"/>
                <w:szCs w:val="20"/>
              </w:rPr>
            </w:pPr>
            <w:r>
              <w:rPr>
                <w:noProof/>
                <w:sz w:val="20"/>
                <w:szCs w:val="20"/>
              </w:rPr>
              <w:t>0,063</w:t>
            </w:r>
          </w:p>
        </w:tc>
        <w:tc>
          <w:tcPr>
            <w:tcW w:w="360" w:type="dxa"/>
            <w:tcBorders>
              <w:right w:val="dashSmallGap" w:sz="4" w:space="0" w:color="auto"/>
            </w:tcBorders>
          </w:tcPr>
          <w:p>
            <w:pPr>
              <w:ind w:right="-29"/>
              <w:jc w:val="center"/>
              <w:rPr>
                <w:noProof/>
                <w:sz w:val="20"/>
                <w:szCs w:val="20"/>
              </w:rPr>
            </w:pPr>
            <w:r>
              <w:rPr>
                <w:noProof/>
                <w:sz w:val="20"/>
                <w:szCs w:val="20"/>
              </w:rPr>
              <w:t>3</w:t>
            </w:r>
          </w:p>
        </w:tc>
        <w:tc>
          <w:tcPr>
            <w:tcW w:w="780" w:type="dxa"/>
            <w:tcBorders>
              <w:left w:val="dashSmallGap" w:sz="4" w:space="0" w:color="auto"/>
            </w:tcBorders>
          </w:tcPr>
          <w:p>
            <w:pPr>
              <w:ind w:right="-29"/>
              <w:jc w:val="center"/>
              <w:rPr>
                <w:noProof/>
                <w:sz w:val="20"/>
                <w:szCs w:val="20"/>
              </w:rPr>
            </w:pPr>
            <w:r>
              <w:rPr>
                <w:noProof/>
                <w:sz w:val="20"/>
                <w:szCs w:val="20"/>
              </w:rPr>
              <w:t>0,063</w:t>
            </w:r>
          </w:p>
        </w:tc>
        <w:tc>
          <w:tcPr>
            <w:tcW w:w="360" w:type="dxa"/>
            <w:tcBorders>
              <w:right w:val="dashSmallGap" w:sz="4" w:space="0" w:color="auto"/>
            </w:tcBorders>
          </w:tcPr>
          <w:p>
            <w:pPr>
              <w:ind w:right="-29"/>
              <w:jc w:val="center"/>
              <w:rPr>
                <w:noProof/>
                <w:sz w:val="20"/>
                <w:szCs w:val="20"/>
              </w:rPr>
            </w:pPr>
            <w:r>
              <w:rPr>
                <w:noProof/>
                <w:sz w:val="20"/>
                <w:szCs w:val="20"/>
              </w:rPr>
              <w:t>3</w:t>
            </w:r>
          </w:p>
        </w:tc>
        <w:tc>
          <w:tcPr>
            <w:tcW w:w="780" w:type="dxa"/>
            <w:tcBorders>
              <w:left w:val="dashSmallGap" w:sz="4" w:space="0" w:color="auto"/>
            </w:tcBorders>
          </w:tcPr>
          <w:p>
            <w:pPr>
              <w:ind w:right="-29"/>
              <w:jc w:val="center"/>
              <w:rPr>
                <w:noProof/>
                <w:sz w:val="20"/>
                <w:szCs w:val="20"/>
              </w:rPr>
            </w:pPr>
            <w:r>
              <w:rPr>
                <w:noProof/>
                <w:sz w:val="20"/>
                <w:szCs w:val="20"/>
              </w:rPr>
              <w:t>0,063</w:t>
            </w:r>
          </w:p>
        </w:tc>
        <w:tc>
          <w:tcPr>
            <w:tcW w:w="360" w:type="dxa"/>
            <w:tcBorders>
              <w:right w:val="dashSmallGap" w:sz="4" w:space="0" w:color="auto"/>
            </w:tcBorders>
          </w:tcPr>
          <w:p>
            <w:pPr>
              <w:ind w:right="-29"/>
              <w:jc w:val="center"/>
              <w:rPr>
                <w:noProof/>
                <w:sz w:val="20"/>
                <w:szCs w:val="20"/>
              </w:rPr>
            </w:pPr>
            <w:r>
              <w:rPr>
                <w:noProof/>
                <w:sz w:val="20"/>
                <w:szCs w:val="20"/>
              </w:rPr>
              <w:t>3</w:t>
            </w:r>
          </w:p>
        </w:tc>
        <w:tc>
          <w:tcPr>
            <w:tcW w:w="840" w:type="dxa"/>
            <w:tcBorders>
              <w:left w:val="dashSmallGap" w:sz="4" w:space="0" w:color="auto"/>
              <w:bottom w:val="single" w:sz="4" w:space="0" w:color="auto"/>
            </w:tcBorders>
          </w:tcPr>
          <w:p>
            <w:pPr>
              <w:ind w:right="-29"/>
              <w:jc w:val="center"/>
              <w:rPr>
                <w:noProof/>
              </w:rPr>
            </w:pPr>
            <w:r>
              <w:rPr>
                <w:noProof/>
                <w:sz w:val="20"/>
                <w:szCs w:val="20"/>
              </w:rPr>
              <w:t>0,063</w:t>
            </w:r>
          </w:p>
        </w:tc>
        <w:tc>
          <w:tcPr>
            <w:tcW w:w="596" w:type="dxa"/>
            <w:tcBorders>
              <w:right w:val="dashSmallGap" w:sz="4" w:space="0" w:color="auto"/>
            </w:tcBorders>
          </w:tcPr>
          <w:p>
            <w:pPr>
              <w:ind w:right="-29"/>
              <w:jc w:val="center"/>
              <w:rPr>
                <w:noProof/>
                <w:sz w:val="20"/>
                <w:szCs w:val="20"/>
              </w:rPr>
            </w:pPr>
            <w:r>
              <w:rPr>
                <w:noProof/>
                <w:sz w:val="20"/>
                <w:szCs w:val="20"/>
              </w:rPr>
              <w:t>15</w:t>
            </w:r>
          </w:p>
        </w:tc>
        <w:tc>
          <w:tcPr>
            <w:tcW w:w="1320"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szCs w:val="20"/>
              </w:rPr>
              <w:t>0,315</w:t>
            </w:r>
          </w:p>
        </w:tc>
      </w:tr>
      <w:tr>
        <w:trPr>
          <w:trHeight w:hRule="exact" w:val="964"/>
          <w:jc w:val="center"/>
        </w:trPr>
        <w:tc>
          <w:tcPr>
            <w:tcW w:w="1240" w:type="dxa"/>
            <w:tcBorders>
              <w:left w:val="single" w:sz="12" w:space="0" w:color="auto"/>
            </w:tcBorders>
          </w:tcPr>
          <w:p>
            <w:pPr>
              <w:ind w:right="-29"/>
              <w:jc w:val="center"/>
              <w:rPr>
                <w:noProof/>
                <w:sz w:val="20"/>
                <w:szCs w:val="20"/>
              </w:rPr>
            </w:pPr>
            <w:r>
              <w:rPr>
                <w:noProof/>
                <w:sz w:val="20"/>
                <w:szCs w:val="20"/>
              </w:rPr>
              <w:t>Služební cesty</w:t>
            </w:r>
          </w:p>
        </w:tc>
        <w:tc>
          <w:tcPr>
            <w:tcW w:w="1134" w:type="dxa"/>
            <w:gridSpan w:val="2"/>
          </w:tcPr>
          <w:p>
            <w:pPr>
              <w:ind w:right="-29"/>
              <w:jc w:val="center"/>
              <w:rPr>
                <w:noProof/>
                <w:sz w:val="18"/>
                <w:szCs w:val="18"/>
              </w:rPr>
            </w:pPr>
            <w:r>
              <w:rPr>
                <w:noProof/>
                <w:sz w:val="18"/>
                <w:szCs w:val="18"/>
              </w:rPr>
              <w:t>0,007 na služební cestu</w:t>
            </w:r>
          </w:p>
        </w:tc>
        <w:tc>
          <w:tcPr>
            <w:tcW w:w="669" w:type="dxa"/>
            <w:tcBorders>
              <w:right w:val="dashSmallGap" w:sz="4" w:space="0" w:color="auto"/>
            </w:tcBorders>
          </w:tcPr>
          <w:p>
            <w:pPr>
              <w:ind w:right="-29"/>
              <w:jc w:val="center"/>
              <w:rPr>
                <w:noProof/>
                <w:sz w:val="20"/>
              </w:rPr>
            </w:pPr>
          </w:p>
        </w:tc>
        <w:tc>
          <w:tcPr>
            <w:tcW w:w="780" w:type="dxa"/>
            <w:tcBorders>
              <w:left w:val="dashSmallGap" w:sz="4" w:space="0" w:color="auto"/>
            </w:tcBorders>
          </w:tcPr>
          <w:p>
            <w:pPr>
              <w:ind w:right="-29"/>
              <w:jc w:val="center"/>
              <w:rPr>
                <w:noProof/>
                <w:sz w:val="20"/>
              </w:rPr>
            </w:pPr>
          </w:p>
        </w:tc>
        <w:tc>
          <w:tcPr>
            <w:tcW w:w="669" w:type="dxa"/>
            <w:tcBorders>
              <w:right w:val="dashSmallGap" w:sz="4" w:space="0" w:color="auto"/>
            </w:tcBorders>
          </w:tcPr>
          <w:p>
            <w:pPr>
              <w:ind w:right="-29"/>
              <w:jc w:val="center"/>
              <w:rPr>
                <w:noProof/>
                <w:sz w:val="20"/>
              </w:rPr>
            </w:pPr>
          </w:p>
        </w:tc>
        <w:tc>
          <w:tcPr>
            <w:tcW w:w="780" w:type="dxa"/>
            <w:tcBorders>
              <w:left w:val="dashSmallGap" w:sz="4" w:space="0" w:color="auto"/>
            </w:tcBorders>
          </w:tcPr>
          <w:p>
            <w:pPr>
              <w:ind w:right="-29"/>
              <w:jc w:val="center"/>
              <w:rPr>
                <w:noProof/>
                <w:sz w:val="20"/>
              </w:rPr>
            </w:pPr>
          </w:p>
        </w:tc>
        <w:tc>
          <w:tcPr>
            <w:tcW w:w="669" w:type="dxa"/>
            <w:tcBorders>
              <w:right w:val="dashSmallGap" w:sz="4" w:space="0" w:color="auto"/>
            </w:tcBorders>
          </w:tcPr>
          <w:p>
            <w:pPr>
              <w:ind w:right="-29"/>
              <w:jc w:val="center"/>
              <w:rPr>
                <w:noProof/>
                <w:sz w:val="20"/>
                <w:szCs w:val="20"/>
              </w:rPr>
            </w:pPr>
            <w:r>
              <w:rPr>
                <w:noProof/>
                <w:sz w:val="20"/>
                <w:szCs w:val="20"/>
              </w:rPr>
              <w:t>4</w:t>
            </w:r>
          </w:p>
        </w:tc>
        <w:tc>
          <w:tcPr>
            <w:tcW w:w="839" w:type="dxa"/>
            <w:tcBorders>
              <w:left w:val="dashSmallGap" w:sz="4" w:space="0" w:color="auto"/>
            </w:tcBorders>
          </w:tcPr>
          <w:p>
            <w:pPr>
              <w:ind w:right="-29"/>
              <w:jc w:val="center"/>
              <w:rPr>
                <w:noProof/>
                <w:sz w:val="20"/>
                <w:szCs w:val="20"/>
              </w:rPr>
            </w:pPr>
            <w:r>
              <w:rPr>
                <w:noProof/>
                <w:sz w:val="20"/>
                <w:szCs w:val="20"/>
              </w:rPr>
              <w:t>0,003</w:t>
            </w:r>
          </w:p>
        </w:tc>
        <w:tc>
          <w:tcPr>
            <w:tcW w:w="596" w:type="dxa"/>
            <w:tcBorders>
              <w:right w:val="dashSmallGap" w:sz="4" w:space="0" w:color="auto"/>
            </w:tcBorders>
          </w:tcPr>
          <w:p>
            <w:pPr>
              <w:ind w:right="-29"/>
              <w:jc w:val="center"/>
              <w:rPr>
                <w:noProof/>
                <w:sz w:val="20"/>
                <w:szCs w:val="20"/>
              </w:rPr>
            </w:pPr>
            <w:r>
              <w:rPr>
                <w:noProof/>
                <w:sz w:val="20"/>
                <w:szCs w:val="20"/>
              </w:rPr>
              <w:t>8</w:t>
            </w:r>
          </w:p>
        </w:tc>
        <w:tc>
          <w:tcPr>
            <w:tcW w:w="780" w:type="dxa"/>
            <w:tcBorders>
              <w:left w:val="dashSmallGap" w:sz="4" w:space="0" w:color="auto"/>
            </w:tcBorders>
          </w:tcPr>
          <w:p>
            <w:pPr>
              <w:ind w:right="-29"/>
              <w:jc w:val="center"/>
              <w:rPr>
                <w:noProof/>
                <w:sz w:val="20"/>
                <w:szCs w:val="20"/>
              </w:rPr>
            </w:pPr>
            <w:r>
              <w:rPr>
                <w:noProof/>
                <w:sz w:val="20"/>
                <w:szCs w:val="20"/>
              </w:rPr>
              <w:t>0,006</w:t>
            </w:r>
          </w:p>
        </w:tc>
        <w:tc>
          <w:tcPr>
            <w:tcW w:w="360" w:type="dxa"/>
            <w:tcBorders>
              <w:right w:val="dashSmallGap" w:sz="4" w:space="0" w:color="auto"/>
            </w:tcBorders>
          </w:tcPr>
          <w:p>
            <w:pPr>
              <w:ind w:right="-29"/>
              <w:jc w:val="center"/>
              <w:rPr>
                <w:noProof/>
                <w:sz w:val="20"/>
                <w:szCs w:val="20"/>
              </w:rPr>
            </w:pPr>
            <w:r>
              <w:rPr>
                <w:noProof/>
                <w:sz w:val="20"/>
                <w:szCs w:val="20"/>
              </w:rPr>
              <w:t>8</w:t>
            </w:r>
          </w:p>
        </w:tc>
        <w:tc>
          <w:tcPr>
            <w:tcW w:w="780" w:type="dxa"/>
            <w:tcBorders>
              <w:left w:val="dashSmallGap" w:sz="4" w:space="0" w:color="auto"/>
            </w:tcBorders>
          </w:tcPr>
          <w:p>
            <w:pPr>
              <w:ind w:right="-29"/>
              <w:jc w:val="center"/>
              <w:rPr>
                <w:noProof/>
                <w:sz w:val="20"/>
                <w:szCs w:val="20"/>
              </w:rPr>
            </w:pPr>
            <w:r>
              <w:rPr>
                <w:noProof/>
                <w:sz w:val="20"/>
                <w:szCs w:val="20"/>
              </w:rPr>
              <w:t>0,006</w:t>
            </w:r>
          </w:p>
        </w:tc>
        <w:tc>
          <w:tcPr>
            <w:tcW w:w="360" w:type="dxa"/>
            <w:tcBorders>
              <w:right w:val="dashSmallGap" w:sz="4" w:space="0" w:color="auto"/>
            </w:tcBorders>
          </w:tcPr>
          <w:p>
            <w:pPr>
              <w:ind w:right="-29"/>
              <w:jc w:val="center"/>
              <w:rPr>
                <w:noProof/>
                <w:sz w:val="20"/>
                <w:szCs w:val="20"/>
              </w:rPr>
            </w:pPr>
            <w:r>
              <w:rPr>
                <w:noProof/>
                <w:sz w:val="20"/>
                <w:szCs w:val="20"/>
              </w:rPr>
              <w:t>8</w:t>
            </w:r>
          </w:p>
        </w:tc>
        <w:tc>
          <w:tcPr>
            <w:tcW w:w="780" w:type="dxa"/>
            <w:tcBorders>
              <w:left w:val="dashSmallGap" w:sz="4" w:space="0" w:color="auto"/>
            </w:tcBorders>
          </w:tcPr>
          <w:p>
            <w:pPr>
              <w:ind w:right="-29"/>
              <w:jc w:val="center"/>
              <w:rPr>
                <w:noProof/>
                <w:sz w:val="20"/>
                <w:szCs w:val="20"/>
              </w:rPr>
            </w:pPr>
            <w:r>
              <w:rPr>
                <w:noProof/>
                <w:sz w:val="20"/>
                <w:szCs w:val="20"/>
              </w:rPr>
              <w:t>0,006</w:t>
            </w:r>
          </w:p>
        </w:tc>
        <w:tc>
          <w:tcPr>
            <w:tcW w:w="360" w:type="dxa"/>
            <w:tcBorders>
              <w:right w:val="dashSmallGap" w:sz="4" w:space="0" w:color="auto"/>
            </w:tcBorders>
          </w:tcPr>
          <w:p>
            <w:pPr>
              <w:ind w:right="-29"/>
              <w:jc w:val="center"/>
              <w:rPr>
                <w:noProof/>
                <w:sz w:val="20"/>
                <w:szCs w:val="20"/>
              </w:rPr>
            </w:pPr>
            <w:r>
              <w:rPr>
                <w:noProof/>
                <w:sz w:val="20"/>
                <w:szCs w:val="20"/>
              </w:rPr>
              <w:t>8</w:t>
            </w:r>
          </w:p>
        </w:tc>
        <w:tc>
          <w:tcPr>
            <w:tcW w:w="840" w:type="dxa"/>
            <w:tcBorders>
              <w:left w:val="dashSmallGap" w:sz="4" w:space="0" w:color="auto"/>
              <w:bottom w:val="single" w:sz="4" w:space="0" w:color="auto"/>
            </w:tcBorders>
          </w:tcPr>
          <w:p>
            <w:pPr>
              <w:ind w:right="-29"/>
              <w:jc w:val="center"/>
              <w:rPr>
                <w:noProof/>
                <w:sz w:val="20"/>
                <w:szCs w:val="20"/>
              </w:rPr>
            </w:pPr>
            <w:r>
              <w:rPr>
                <w:noProof/>
                <w:sz w:val="20"/>
                <w:szCs w:val="20"/>
              </w:rPr>
              <w:t>0,006</w:t>
            </w:r>
          </w:p>
        </w:tc>
        <w:tc>
          <w:tcPr>
            <w:tcW w:w="596" w:type="dxa"/>
            <w:tcBorders>
              <w:right w:val="dashSmallGap" w:sz="4" w:space="0" w:color="auto"/>
            </w:tcBorders>
          </w:tcPr>
          <w:p>
            <w:pPr>
              <w:ind w:right="-29"/>
              <w:jc w:val="center"/>
              <w:rPr>
                <w:noProof/>
                <w:sz w:val="20"/>
                <w:szCs w:val="20"/>
              </w:rPr>
            </w:pPr>
            <w:r>
              <w:rPr>
                <w:noProof/>
                <w:sz w:val="20"/>
                <w:szCs w:val="20"/>
              </w:rPr>
              <w:t>36</w:t>
            </w:r>
          </w:p>
        </w:tc>
        <w:tc>
          <w:tcPr>
            <w:tcW w:w="1320"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szCs w:val="20"/>
              </w:rPr>
              <w:t>0,027</w:t>
            </w:r>
          </w:p>
        </w:tc>
      </w:tr>
      <w:tr>
        <w:trPr>
          <w:trHeight w:hRule="exact" w:val="964"/>
          <w:jc w:val="center"/>
        </w:trPr>
        <w:tc>
          <w:tcPr>
            <w:tcW w:w="1240" w:type="dxa"/>
            <w:tcBorders>
              <w:left w:val="single" w:sz="12" w:space="0" w:color="auto"/>
            </w:tcBorders>
          </w:tcPr>
          <w:p>
            <w:pPr>
              <w:ind w:right="-29"/>
              <w:jc w:val="center"/>
              <w:rPr>
                <w:noProof/>
                <w:sz w:val="20"/>
                <w:szCs w:val="20"/>
              </w:rPr>
            </w:pPr>
            <w:r>
              <w:rPr>
                <w:noProof/>
                <w:sz w:val="20"/>
                <w:szCs w:val="20"/>
              </w:rPr>
              <w:t>Hardwarové a softwarové produkty</w:t>
            </w:r>
          </w:p>
        </w:tc>
        <w:tc>
          <w:tcPr>
            <w:tcW w:w="1134" w:type="dxa"/>
            <w:gridSpan w:val="2"/>
          </w:tcPr>
          <w:p>
            <w:pPr>
              <w:ind w:right="-29"/>
              <w:jc w:val="center"/>
              <w:rPr>
                <w:noProof/>
                <w:sz w:val="18"/>
              </w:rPr>
            </w:pPr>
          </w:p>
        </w:tc>
        <w:tc>
          <w:tcPr>
            <w:tcW w:w="669" w:type="dxa"/>
            <w:tcBorders>
              <w:right w:val="dashSmallGap" w:sz="4" w:space="0" w:color="auto"/>
            </w:tcBorders>
          </w:tcPr>
          <w:p>
            <w:pPr>
              <w:ind w:right="-29"/>
              <w:jc w:val="center"/>
              <w:rPr>
                <w:noProof/>
                <w:sz w:val="20"/>
              </w:rPr>
            </w:pPr>
          </w:p>
        </w:tc>
        <w:tc>
          <w:tcPr>
            <w:tcW w:w="780" w:type="dxa"/>
            <w:tcBorders>
              <w:left w:val="dashSmallGap" w:sz="4" w:space="0" w:color="auto"/>
            </w:tcBorders>
          </w:tcPr>
          <w:p>
            <w:pPr>
              <w:ind w:right="-29"/>
              <w:jc w:val="center"/>
              <w:rPr>
                <w:noProof/>
                <w:sz w:val="20"/>
              </w:rPr>
            </w:pPr>
          </w:p>
        </w:tc>
        <w:tc>
          <w:tcPr>
            <w:tcW w:w="669" w:type="dxa"/>
            <w:tcBorders>
              <w:right w:val="dashSmallGap" w:sz="4" w:space="0" w:color="auto"/>
            </w:tcBorders>
          </w:tcPr>
          <w:p>
            <w:pPr>
              <w:ind w:right="-29"/>
              <w:jc w:val="center"/>
              <w:rPr>
                <w:noProof/>
                <w:sz w:val="20"/>
              </w:rPr>
            </w:pPr>
          </w:p>
        </w:tc>
        <w:tc>
          <w:tcPr>
            <w:tcW w:w="780" w:type="dxa"/>
            <w:tcBorders>
              <w:left w:val="dashSmallGap" w:sz="4" w:space="0" w:color="auto"/>
            </w:tcBorders>
          </w:tcPr>
          <w:p>
            <w:pPr>
              <w:ind w:right="-29"/>
              <w:jc w:val="center"/>
              <w:rPr>
                <w:noProof/>
                <w:sz w:val="20"/>
              </w:rPr>
            </w:pPr>
          </w:p>
        </w:tc>
        <w:tc>
          <w:tcPr>
            <w:tcW w:w="669" w:type="dxa"/>
            <w:tcBorders>
              <w:right w:val="dashSmallGap" w:sz="4" w:space="0" w:color="auto"/>
            </w:tcBorders>
          </w:tcPr>
          <w:p>
            <w:pPr>
              <w:ind w:right="-29"/>
              <w:jc w:val="center"/>
              <w:rPr>
                <w:noProof/>
                <w:sz w:val="20"/>
              </w:rPr>
            </w:pPr>
          </w:p>
        </w:tc>
        <w:tc>
          <w:tcPr>
            <w:tcW w:w="839" w:type="dxa"/>
            <w:tcBorders>
              <w:left w:val="dashSmallGap" w:sz="4" w:space="0" w:color="auto"/>
            </w:tcBorders>
          </w:tcPr>
          <w:p>
            <w:pPr>
              <w:ind w:right="-29"/>
              <w:jc w:val="center"/>
              <w:rPr>
                <w:noProof/>
                <w:sz w:val="20"/>
                <w:szCs w:val="20"/>
              </w:rPr>
            </w:pPr>
            <w:r>
              <w:rPr>
                <w:noProof/>
                <w:sz w:val="20"/>
                <w:szCs w:val="20"/>
              </w:rPr>
              <w:t>0,05</w:t>
            </w:r>
          </w:p>
        </w:tc>
        <w:tc>
          <w:tcPr>
            <w:tcW w:w="596" w:type="dxa"/>
            <w:tcBorders>
              <w:right w:val="dashSmallGap" w:sz="4" w:space="0" w:color="auto"/>
            </w:tcBorders>
          </w:tcPr>
          <w:p>
            <w:pPr>
              <w:ind w:right="-29"/>
              <w:jc w:val="center"/>
              <w:rPr>
                <w:noProof/>
                <w:sz w:val="20"/>
              </w:rPr>
            </w:pPr>
          </w:p>
        </w:tc>
        <w:tc>
          <w:tcPr>
            <w:tcW w:w="780" w:type="dxa"/>
            <w:tcBorders>
              <w:left w:val="dashSmallGap" w:sz="4" w:space="0" w:color="auto"/>
            </w:tcBorders>
          </w:tcPr>
          <w:p>
            <w:pPr>
              <w:ind w:right="-29"/>
              <w:jc w:val="center"/>
              <w:rPr>
                <w:noProof/>
                <w:sz w:val="20"/>
                <w:szCs w:val="20"/>
              </w:rPr>
            </w:pPr>
            <w:r>
              <w:rPr>
                <w:noProof/>
                <w:sz w:val="20"/>
                <w:szCs w:val="20"/>
              </w:rPr>
              <w:t>0,01</w:t>
            </w:r>
          </w:p>
        </w:tc>
        <w:tc>
          <w:tcPr>
            <w:tcW w:w="360" w:type="dxa"/>
            <w:tcBorders>
              <w:right w:val="dashSmallGap" w:sz="4" w:space="0" w:color="auto"/>
            </w:tcBorders>
          </w:tcPr>
          <w:p>
            <w:pPr>
              <w:ind w:right="-29"/>
              <w:jc w:val="center"/>
              <w:rPr>
                <w:noProof/>
                <w:sz w:val="20"/>
              </w:rPr>
            </w:pPr>
          </w:p>
        </w:tc>
        <w:tc>
          <w:tcPr>
            <w:tcW w:w="780" w:type="dxa"/>
            <w:tcBorders>
              <w:left w:val="dashSmallGap" w:sz="4" w:space="0" w:color="auto"/>
            </w:tcBorders>
          </w:tcPr>
          <w:p>
            <w:pPr>
              <w:ind w:right="-29"/>
              <w:jc w:val="center"/>
              <w:rPr>
                <w:noProof/>
                <w:sz w:val="20"/>
                <w:szCs w:val="20"/>
              </w:rPr>
            </w:pPr>
            <w:r>
              <w:rPr>
                <w:noProof/>
                <w:sz w:val="20"/>
                <w:szCs w:val="20"/>
              </w:rPr>
              <w:t>0,01</w:t>
            </w:r>
          </w:p>
        </w:tc>
        <w:tc>
          <w:tcPr>
            <w:tcW w:w="360" w:type="dxa"/>
            <w:tcBorders>
              <w:right w:val="dashSmallGap" w:sz="4" w:space="0" w:color="auto"/>
            </w:tcBorders>
          </w:tcPr>
          <w:p>
            <w:pPr>
              <w:ind w:right="-29"/>
              <w:jc w:val="center"/>
              <w:rPr>
                <w:noProof/>
                <w:sz w:val="20"/>
              </w:rPr>
            </w:pPr>
          </w:p>
        </w:tc>
        <w:tc>
          <w:tcPr>
            <w:tcW w:w="780" w:type="dxa"/>
            <w:tcBorders>
              <w:left w:val="dashSmallGap" w:sz="4" w:space="0" w:color="auto"/>
            </w:tcBorders>
          </w:tcPr>
          <w:p>
            <w:pPr>
              <w:ind w:right="-29"/>
              <w:jc w:val="center"/>
              <w:rPr>
                <w:noProof/>
                <w:sz w:val="20"/>
                <w:szCs w:val="20"/>
              </w:rPr>
            </w:pPr>
            <w:r>
              <w:rPr>
                <w:noProof/>
                <w:sz w:val="20"/>
                <w:szCs w:val="20"/>
              </w:rPr>
              <w:t>0,01</w:t>
            </w:r>
          </w:p>
        </w:tc>
        <w:tc>
          <w:tcPr>
            <w:tcW w:w="360" w:type="dxa"/>
            <w:tcBorders>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szCs w:val="20"/>
              </w:rPr>
              <w:t>0,01</w:t>
            </w:r>
          </w:p>
        </w:tc>
        <w:tc>
          <w:tcPr>
            <w:tcW w:w="596" w:type="dxa"/>
            <w:tcBorders>
              <w:right w:val="dashSmallGap" w:sz="4" w:space="0" w:color="auto"/>
            </w:tcBorders>
          </w:tcPr>
          <w:p>
            <w:pPr>
              <w:ind w:right="-29"/>
              <w:jc w:val="center"/>
              <w:rPr>
                <w:noProof/>
                <w:sz w:val="20"/>
              </w:rPr>
            </w:pPr>
          </w:p>
        </w:tc>
        <w:tc>
          <w:tcPr>
            <w:tcW w:w="1320"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szCs w:val="20"/>
              </w:rPr>
              <w:t>0,09</w:t>
            </w:r>
          </w:p>
        </w:tc>
      </w:tr>
      <w:tr>
        <w:trPr>
          <w:jc w:val="center"/>
        </w:trPr>
        <w:tc>
          <w:tcPr>
            <w:tcW w:w="2374" w:type="dxa"/>
            <w:gridSpan w:val="3"/>
            <w:tcBorders>
              <w:left w:val="single" w:sz="12" w:space="0" w:color="auto"/>
              <w:bottom w:val="single" w:sz="12" w:space="0" w:color="auto"/>
            </w:tcBorders>
            <w:vAlign w:val="center"/>
          </w:tcPr>
          <w:p>
            <w:pPr>
              <w:ind w:right="-29"/>
              <w:jc w:val="center"/>
              <w:rPr>
                <w:noProof/>
                <w:sz w:val="18"/>
                <w:szCs w:val="18"/>
              </w:rPr>
            </w:pPr>
            <w:r>
              <w:rPr>
                <w:noProof/>
                <w:sz w:val="18"/>
                <w:szCs w:val="18"/>
              </w:rPr>
              <w:t>Mezisoučet za specifický cíl č. 1</w:t>
            </w:r>
          </w:p>
        </w:tc>
        <w:tc>
          <w:tcPr>
            <w:tcW w:w="669" w:type="dxa"/>
            <w:tcBorders>
              <w:bottom w:val="single" w:sz="12" w:space="0" w:color="auto"/>
              <w:right w:val="dashSmallGap" w:sz="4" w:space="0" w:color="auto"/>
            </w:tcBorders>
          </w:tcPr>
          <w:p>
            <w:pPr>
              <w:ind w:right="-29"/>
              <w:jc w:val="center"/>
              <w:rPr>
                <w:noProof/>
                <w:sz w:val="20"/>
              </w:rPr>
            </w:pPr>
          </w:p>
        </w:tc>
        <w:tc>
          <w:tcPr>
            <w:tcW w:w="780" w:type="dxa"/>
            <w:tcBorders>
              <w:left w:val="dashSmallGap" w:sz="4" w:space="0" w:color="auto"/>
              <w:bottom w:val="single" w:sz="12" w:space="0" w:color="auto"/>
            </w:tcBorders>
          </w:tcPr>
          <w:p>
            <w:pPr>
              <w:ind w:right="-29"/>
              <w:jc w:val="center"/>
              <w:rPr>
                <w:b/>
                <w:noProof/>
                <w:sz w:val="20"/>
              </w:rPr>
            </w:pPr>
          </w:p>
        </w:tc>
        <w:tc>
          <w:tcPr>
            <w:tcW w:w="669" w:type="dxa"/>
            <w:tcBorders>
              <w:bottom w:val="single" w:sz="12" w:space="0" w:color="auto"/>
              <w:right w:val="dashSmallGap" w:sz="4" w:space="0" w:color="auto"/>
            </w:tcBorders>
          </w:tcPr>
          <w:p>
            <w:pPr>
              <w:ind w:right="-29"/>
              <w:jc w:val="center"/>
              <w:rPr>
                <w:noProof/>
                <w:sz w:val="20"/>
              </w:rPr>
            </w:pPr>
          </w:p>
        </w:tc>
        <w:tc>
          <w:tcPr>
            <w:tcW w:w="780" w:type="dxa"/>
            <w:tcBorders>
              <w:left w:val="dashSmallGap" w:sz="4" w:space="0" w:color="auto"/>
              <w:bottom w:val="single" w:sz="12" w:space="0" w:color="auto"/>
            </w:tcBorders>
          </w:tcPr>
          <w:p>
            <w:pPr>
              <w:ind w:right="-29"/>
              <w:jc w:val="center"/>
              <w:rPr>
                <w:b/>
                <w:noProof/>
                <w:sz w:val="20"/>
                <w:szCs w:val="20"/>
              </w:rPr>
            </w:pPr>
            <w:r>
              <w:rPr>
                <w:b/>
                <w:noProof/>
                <w:sz w:val="20"/>
                <w:szCs w:val="20"/>
              </w:rPr>
              <w:t>0,053</w:t>
            </w:r>
          </w:p>
        </w:tc>
        <w:tc>
          <w:tcPr>
            <w:tcW w:w="669" w:type="dxa"/>
            <w:tcBorders>
              <w:bottom w:val="single" w:sz="12" w:space="0" w:color="auto"/>
              <w:right w:val="dashSmallGap" w:sz="4" w:space="0" w:color="auto"/>
            </w:tcBorders>
          </w:tcPr>
          <w:p>
            <w:pPr>
              <w:ind w:right="-29"/>
              <w:jc w:val="center"/>
              <w:rPr>
                <w:b/>
                <w:noProof/>
                <w:sz w:val="20"/>
              </w:rPr>
            </w:pPr>
          </w:p>
        </w:tc>
        <w:tc>
          <w:tcPr>
            <w:tcW w:w="839" w:type="dxa"/>
            <w:tcBorders>
              <w:left w:val="dashSmallGap" w:sz="4" w:space="0" w:color="auto"/>
              <w:bottom w:val="single" w:sz="12" w:space="0" w:color="auto"/>
            </w:tcBorders>
          </w:tcPr>
          <w:p>
            <w:pPr>
              <w:ind w:right="-29"/>
              <w:jc w:val="center"/>
              <w:rPr>
                <w:b/>
                <w:noProof/>
                <w:sz w:val="20"/>
                <w:szCs w:val="20"/>
              </w:rPr>
            </w:pPr>
            <w:r>
              <w:rPr>
                <w:b/>
                <w:noProof/>
                <w:sz w:val="20"/>
                <w:szCs w:val="20"/>
              </w:rPr>
              <w:t>1,430</w:t>
            </w:r>
          </w:p>
        </w:tc>
        <w:tc>
          <w:tcPr>
            <w:tcW w:w="596" w:type="dxa"/>
            <w:tcBorders>
              <w:bottom w:val="single" w:sz="12" w:space="0" w:color="auto"/>
              <w:right w:val="dashSmallGap" w:sz="4" w:space="0" w:color="auto"/>
            </w:tcBorders>
          </w:tcPr>
          <w:p>
            <w:pPr>
              <w:ind w:right="-29"/>
              <w:jc w:val="center"/>
              <w:rPr>
                <w:b/>
                <w:noProof/>
                <w:sz w:val="20"/>
              </w:rPr>
            </w:pPr>
          </w:p>
        </w:tc>
        <w:tc>
          <w:tcPr>
            <w:tcW w:w="780" w:type="dxa"/>
            <w:tcBorders>
              <w:left w:val="dashSmallGap" w:sz="4" w:space="0" w:color="auto"/>
              <w:bottom w:val="single" w:sz="12" w:space="0" w:color="auto"/>
            </w:tcBorders>
          </w:tcPr>
          <w:p>
            <w:pPr>
              <w:ind w:right="-29"/>
              <w:jc w:val="center"/>
              <w:rPr>
                <w:b/>
                <w:noProof/>
                <w:sz w:val="20"/>
                <w:szCs w:val="20"/>
              </w:rPr>
            </w:pPr>
            <w:r>
              <w:rPr>
                <w:b/>
                <w:noProof/>
                <w:sz w:val="20"/>
                <w:szCs w:val="20"/>
              </w:rPr>
              <w:t>1,831</w:t>
            </w:r>
          </w:p>
        </w:tc>
        <w:tc>
          <w:tcPr>
            <w:tcW w:w="360" w:type="dxa"/>
            <w:tcBorders>
              <w:bottom w:val="single" w:sz="12" w:space="0" w:color="auto"/>
              <w:right w:val="dashSmallGap" w:sz="4" w:space="0" w:color="auto"/>
            </w:tcBorders>
          </w:tcPr>
          <w:p>
            <w:pPr>
              <w:ind w:right="-29"/>
              <w:jc w:val="center"/>
              <w:rPr>
                <w:b/>
                <w:noProof/>
                <w:sz w:val="20"/>
              </w:rPr>
            </w:pPr>
          </w:p>
        </w:tc>
        <w:tc>
          <w:tcPr>
            <w:tcW w:w="780" w:type="dxa"/>
            <w:tcBorders>
              <w:left w:val="dashSmallGap" w:sz="4" w:space="0" w:color="auto"/>
              <w:bottom w:val="single" w:sz="12" w:space="0" w:color="auto"/>
            </w:tcBorders>
          </w:tcPr>
          <w:p>
            <w:pPr>
              <w:ind w:right="-29"/>
              <w:jc w:val="center"/>
              <w:rPr>
                <w:b/>
                <w:noProof/>
                <w:sz w:val="20"/>
                <w:szCs w:val="20"/>
              </w:rPr>
            </w:pPr>
            <w:r>
              <w:rPr>
                <w:b/>
                <w:noProof/>
                <w:sz w:val="20"/>
                <w:szCs w:val="20"/>
              </w:rPr>
              <w:t>1,831</w:t>
            </w:r>
          </w:p>
        </w:tc>
        <w:tc>
          <w:tcPr>
            <w:tcW w:w="360" w:type="dxa"/>
            <w:tcBorders>
              <w:bottom w:val="single" w:sz="12" w:space="0" w:color="auto"/>
              <w:right w:val="dashSmallGap" w:sz="4" w:space="0" w:color="auto"/>
            </w:tcBorders>
          </w:tcPr>
          <w:p>
            <w:pPr>
              <w:ind w:right="-29"/>
              <w:jc w:val="center"/>
              <w:rPr>
                <w:b/>
                <w:noProof/>
                <w:sz w:val="20"/>
              </w:rPr>
            </w:pPr>
          </w:p>
        </w:tc>
        <w:tc>
          <w:tcPr>
            <w:tcW w:w="780" w:type="dxa"/>
            <w:tcBorders>
              <w:left w:val="dashSmallGap" w:sz="4" w:space="0" w:color="auto"/>
              <w:bottom w:val="single" w:sz="12" w:space="0" w:color="auto"/>
            </w:tcBorders>
          </w:tcPr>
          <w:p>
            <w:pPr>
              <w:ind w:right="-29"/>
              <w:jc w:val="center"/>
              <w:rPr>
                <w:b/>
                <w:noProof/>
                <w:sz w:val="20"/>
                <w:szCs w:val="20"/>
              </w:rPr>
            </w:pPr>
            <w:r>
              <w:rPr>
                <w:b/>
                <w:noProof/>
                <w:sz w:val="20"/>
                <w:szCs w:val="20"/>
              </w:rPr>
              <w:t>1,789</w:t>
            </w:r>
          </w:p>
        </w:tc>
        <w:tc>
          <w:tcPr>
            <w:tcW w:w="360" w:type="dxa"/>
            <w:tcBorders>
              <w:bottom w:val="single" w:sz="12" w:space="0" w:color="auto"/>
              <w:right w:val="dashSmallGap" w:sz="4" w:space="0" w:color="auto"/>
            </w:tcBorders>
          </w:tcPr>
          <w:p>
            <w:pPr>
              <w:ind w:right="-29"/>
              <w:jc w:val="center"/>
              <w:rPr>
                <w:b/>
                <w:noProof/>
                <w:sz w:val="20"/>
              </w:rPr>
            </w:pPr>
          </w:p>
        </w:tc>
        <w:tc>
          <w:tcPr>
            <w:tcW w:w="840" w:type="dxa"/>
            <w:tcBorders>
              <w:left w:val="dashSmallGap" w:sz="4" w:space="0" w:color="auto"/>
              <w:bottom w:val="single" w:sz="12" w:space="0" w:color="auto"/>
            </w:tcBorders>
          </w:tcPr>
          <w:p>
            <w:pPr>
              <w:ind w:right="-29"/>
              <w:jc w:val="center"/>
              <w:rPr>
                <w:b/>
                <w:noProof/>
                <w:sz w:val="20"/>
                <w:szCs w:val="20"/>
              </w:rPr>
            </w:pPr>
            <w:r>
              <w:rPr>
                <w:b/>
                <w:noProof/>
                <w:sz w:val="20"/>
                <w:szCs w:val="20"/>
              </w:rPr>
              <w:t>1,789</w:t>
            </w:r>
          </w:p>
        </w:tc>
        <w:tc>
          <w:tcPr>
            <w:tcW w:w="596" w:type="dxa"/>
            <w:tcBorders>
              <w:bottom w:val="single" w:sz="12" w:space="0" w:color="auto"/>
              <w:right w:val="dashSmallGap" w:sz="4" w:space="0" w:color="auto"/>
            </w:tcBorders>
          </w:tcPr>
          <w:p>
            <w:pPr>
              <w:ind w:right="-29"/>
              <w:jc w:val="center"/>
              <w:rPr>
                <w:b/>
                <w:noProof/>
                <w:sz w:val="20"/>
              </w:rPr>
            </w:pPr>
          </w:p>
        </w:tc>
        <w:tc>
          <w:tcPr>
            <w:tcW w:w="1320" w:type="dxa"/>
            <w:tcBorders>
              <w:left w:val="dashSmallGap" w:sz="4" w:space="0" w:color="auto"/>
              <w:bottom w:val="single" w:sz="12" w:space="0" w:color="auto"/>
              <w:right w:val="single" w:sz="12" w:space="0" w:color="auto"/>
            </w:tcBorders>
          </w:tcPr>
          <w:p>
            <w:pPr>
              <w:ind w:right="-29"/>
              <w:jc w:val="center"/>
              <w:rPr>
                <w:b/>
                <w:noProof/>
                <w:sz w:val="20"/>
                <w:szCs w:val="20"/>
              </w:rPr>
            </w:pPr>
            <w:r>
              <w:rPr>
                <w:b/>
                <w:noProof/>
                <w:sz w:val="20"/>
                <w:szCs w:val="20"/>
              </w:rPr>
              <w:t>8,723</w:t>
            </w:r>
          </w:p>
        </w:tc>
      </w:tr>
      <w:tr>
        <w:trPr>
          <w:trHeight w:hRule="exact" w:val="737"/>
          <w:jc w:val="center"/>
        </w:trPr>
        <w:tc>
          <w:tcPr>
            <w:tcW w:w="2374" w:type="dxa"/>
            <w:gridSpan w:val="3"/>
            <w:tcBorders>
              <w:left w:val="single" w:sz="12" w:space="0" w:color="auto"/>
            </w:tcBorders>
          </w:tcPr>
          <w:p>
            <w:pPr>
              <w:ind w:right="-29"/>
              <w:jc w:val="center"/>
              <w:rPr>
                <w:noProof/>
                <w:sz w:val="18"/>
                <w:szCs w:val="18"/>
              </w:rPr>
            </w:pPr>
            <w:r>
              <w:rPr>
                <w:noProof/>
                <w:sz w:val="18"/>
                <w:szCs w:val="18"/>
              </w:rPr>
              <w:t>SPECIFICKÝ CÍL č. 2:</w:t>
            </w:r>
          </w:p>
        </w:tc>
        <w:tc>
          <w:tcPr>
            <w:tcW w:w="669" w:type="dxa"/>
            <w:tcBorders>
              <w:right w:val="dashSmallGap" w:sz="4" w:space="0" w:color="auto"/>
            </w:tcBorders>
          </w:tcPr>
          <w:p>
            <w:pPr>
              <w:ind w:right="-29"/>
              <w:jc w:val="center"/>
              <w:rPr>
                <w:noProof/>
                <w:sz w:val="20"/>
              </w:rPr>
            </w:pPr>
          </w:p>
        </w:tc>
        <w:tc>
          <w:tcPr>
            <w:tcW w:w="780" w:type="dxa"/>
            <w:tcBorders>
              <w:left w:val="dashSmallGap" w:sz="4" w:space="0" w:color="auto"/>
            </w:tcBorders>
          </w:tcPr>
          <w:p>
            <w:pPr>
              <w:ind w:right="-29"/>
              <w:jc w:val="center"/>
              <w:rPr>
                <w:noProof/>
                <w:sz w:val="20"/>
              </w:rPr>
            </w:pPr>
          </w:p>
        </w:tc>
        <w:tc>
          <w:tcPr>
            <w:tcW w:w="669" w:type="dxa"/>
            <w:tcBorders>
              <w:right w:val="dashSmallGap" w:sz="4" w:space="0" w:color="auto"/>
            </w:tcBorders>
          </w:tcPr>
          <w:p>
            <w:pPr>
              <w:ind w:right="-29"/>
              <w:jc w:val="center"/>
              <w:rPr>
                <w:noProof/>
                <w:sz w:val="20"/>
              </w:rPr>
            </w:pPr>
          </w:p>
        </w:tc>
        <w:tc>
          <w:tcPr>
            <w:tcW w:w="780" w:type="dxa"/>
            <w:tcBorders>
              <w:left w:val="dashSmallGap" w:sz="4" w:space="0" w:color="auto"/>
            </w:tcBorders>
          </w:tcPr>
          <w:p>
            <w:pPr>
              <w:ind w:right="-29"/>
              <w:jc w:val="center"/>
              <w:rPr>
                <w:noProof/>
                <w:sz w:val="20"/>
              </w:rPr>
            </w:pPr>
          </w:p>
        </w:tc>
        <w:tc>
          <w:tcPr>
            <w:tcW w:w="669" w:type="dxa"/>
            <w:tcBorders>
              <w:right w:val="dashSmallGap" w:sz="4" w:space="0" w:color="auto"/>
            </w:tcBorders>
          </w:tcPr>
          <w:p>
            <w:pPr>
              <w:ind w:right="-29"/>
              <w:jc w:val="center"/>
              <w:rPr>
                <w:noProof/>
                <w:sz w:val="20"/>
              </w:rPr>
            </w:pPr>
          </w:p>
        </w:tc>
        <w:tc>
          <w:tcPr>
            <w:tcW w:w="839" w:type="dxa"/>
            <w:tcBorders>
              <w:left w:val="dashSmallGap" w:sz="4" w:space="0" w:color="auto"/>
            </w:tcBorders>
          </w:tcPr>
          <w:p>
            <w:pPr>
              <w:ind w:right="-29"/>
              <w:jc w:val="center"/>
              <w:rPr>
                <w:noProof/>
                <w:sz w:val="20"/>
              </w:rPr>
            </w:pPr>
          </w:p>
        </w:tc>
        <w:tc>
          <w:tcPr>
            <w:tcW w:w="596" w:type="dxa"/>
            <w:tcBorders>
              <w:right w:val="dashSmallGap" w:sz="4" w:space="0" w:color="auto"/>
            </w:tcBorders>
          </w:tcPr>
          <w:p>
            <w:pPr>
              <w:ind w:right="-29"/>
              <w:jc w:val="center"/>
              <w:rPr>
                <w:noProof/>
                <w:sz w:val="20"/>
              </w:rPr>
            </w:pPr>
          </w:p>
        </w:tc>
        <w:tc>
          <w:tcPr>
            <w:tcW w:w="780" w:type="dxa"/>
            <w:tcBorders>
              <w:left w:val="dashSmallGap" w:sz="4" w:space="0" w:color="auto"/>
            </w:tcBorders>
          </w:tcPr>
          <w:p>
            <w:pPr>
              <w:ind w:right="-29"/>
              <w:jc w:val="center"/>
              <w:rPr>
                <w:noProof/>
                <w:sz w:val="20"/>
              </w:rPr>
            </w:pPr>
          </w:p>
        </w:tc>
        <w:tc>
          <w:tcPr>
            <w:tcW w:w="360" w:type="dxa"/>
            <w:tcBorders>
              <w:right w:val="dashSmallGap" w:sz="4" w:space="0" w:color="auto"/>
            </w:tcBorders>
          </w:tcPr>
          <w:p>
            <w:pPr>
              <w:ind w:right="-29"/>
              <w:jc w:val="center"/>
              <w:rPr>
                <w:noProof/>
                <w:sz w:val="20"/>
              </w:rPr>
            </w:pPr>
          </w:p>
        </w:tc>
        <w:tc>
          <w:tcPr>
            <w:tcW w:w="780" w:type="dxa"/>
            <w:tcBorders>
              <w:left w:val="dashSmallGap" w:sz="4" w:space="0" w:color="auto"/>
            </w:tcBorders>
          </w:tcPr>
          <w:p>
            <w:pPr>
              <w:ind w:right="-29"/>
              <w:jc w:val="center"/>
              <w:rPr>
                <w:noProof/>
                <w:sz w:val="20"/>
              </w:rPr>
            </w:pPr>
          </w:p>
        </w:tc>
        <w:tc>
          <w:tcPr>
            <w:tcW w:w="360" w:type="dxa"/>
            <w:tcBorders>
              <w:right w:val="dashSmallGap" w:sz="4" w:space="0" w:color="auto"/>
            </w:tcBorders>
          </w:tcPr>
          <w:p>
            <w:pPr>
              <w:ind w:right="-29"/>
              <w:jc w:val="center"/>
              <w:rPr>
                <w:noProof/>
                <w:sz w:val="20"/>
              </w:rPr>
            </w:pPr>
          </w:p>
        </w:tc>
        <w:tc>
          <w:tcPr>
            <w:tcW w:w="780" w:type="dxa"/>
            <w:tcBorders>
              <w:left w:val="dashSmallGap" w:sz="4" w:space="0" w:color="auto"/>
            </w:tcBorders>
          </w:tcPr>
          <w:p>
            <w:pPr>
              <w:ind w:right="-29"/>
              <w:jc w:val="center"/>
              <w:rPr>
                <w:noProof/>
                <w:sz w:val="20"/>
              </w:rPr>
            </w:pPr>
          </w:p>
        </w:tc>
        <w:tc>
          <w:tcPr>
            <w:tcW w:w="360" w:type="dxa"/>
            <w:tcBorders>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p>
        </w:tc>
        <w:tc>
          <w:tcPr>
            <w:tcW w:w="596" w:type="dxa"/>
            <w:tcBorders>
              <w:right w:val="dashSmallGap" w:sz="4" w:space="0" w:color="auto"/>
            </w:tcBorders>
          </w:tcPr>
          <w:p>
            <w:pPr>
              <w:ind w:right="-29"/>
              <w:jc w:val="center"/>
              <w:rPr>
                <w:noProof/>
                <w:sz w:val="20"/>
              </w:rPr>
            </w:pPr>
          </w:p>
        </w:tc>
        <w:tc>
          <w:tcPr>
            <w:tcW w:w="1320" w:type="dxa"/>
            <w:tcBorders>
              <w:left w:val="dashSmallGap" w:sz="4" w:space="0" w:color="auto"/>
              <w:bottom w:val="single" w:sz="4" w:space="0" w:color="auto"/>
              <w:right w:val="single" w:sz="12" w:space="0" w:color="auto"/>
            </w:tcBorders>
          </w:tcPr>
          <w:p>
            <w:pPr>
              <w:ind w:right="-29"/>
              <w:jc w:val="center"/>
              <w:rPr>
                <w:noProof/>
                <w:sz w:val="20"/>
              </w:rPr>
            </w:pPr>
          </w:p>
        </w:tc>
      </w:tr>
      <w:tr>
        <w:trPr>
          <w:jc w:val="center"/>
        </w:trPr>
        <w:tc>
          <w:tcPr>
            <w:tcW w:w="2374" w:type="dxa"/>
            <w:gridSpan w:val="3"/>
            <w:tcBorders>
              <w:left w:val="single" w:sz="12" w:space="0" w:color="auto"/>
              <w:bottom w:val="single" w:sz="12" w:space="0" w:color="auto"/>
            </w:tcBorders>
            <w:vAlign w:val="center"/>
          </w:tcPr>
          <w:p>
            <w:pPr>
              <w:ind w:right="-29"/>
              <w:jc w:val="center"/>
              <w:rPr>
                <w:noProof/>
                <w:sz w:val="18"/>
                <w:szCs w:val="18"/>
              </w:rPr>
            </w:pPr>
            <w:r>
              <w:rPr>
                <w:noProof/>
                <w:sz w:val="18"/>
                <w:szCs w:val="18"/>
              </w:rPr>
              <w:t>Mezisoučet za specifický cíl č. 2</w:t>
            </w:r>
          </w:p>
        </w:tc>
        <w:tc>
          <w:tcPr>
            <w:tcW w:w="669" w:type="dxa"/>
            <w:tcBorders>
              <w:bottom w:val="single" w:sz="12" w:space="0" w:color="auto"/>
              <w:right w:val="dashSmallGap" w:sz="4" w:space="0" w:color="auto"/>
            </w:tcBorders>
          </w:tcPr>
          <w:p>
            <w:pPr>
              <w:ind w:right="-29"/>
              <w:jc w:val="center"/>
              <w:rPr>
                <w:noProof/>
                <w:sz w:val="20"/>
              </w:rPr>
            </w:pPr>
          </w:p>
        </w:tc>
        <w:tc>
          <w:tcPr>
            <w:tcW w:w="780" w:type="dxa"/>
            <w:tcBorders>
              <w:left w:val="dashSmallGap" w:sz="4" w:space="0" w:color="auto"/>
              <w:bottom w:val="single" w:sz="12" w:space="0" w:color="auto"/>
            </w:tcBorders>
          </w:tcPr>
          <w:p>
            <w:pPr>
              <w:ind w:right="-29"/>
              <w:jc w:val="center"/>
              <w:rPr>
                <w:b/>
                <w:noProof/>
                <w:sz w:val="20"/>
              </w:rPr>
            </w:pPr>
          </w:p>
        </w:tc>
        <w:tc>
          <w:tcPr>
            <w:tcW w:w="669" w:type="dxa"/>
            <w:tcBorders>
              <w:bottom w:val="single" w:sz="12" w:space="0" w:color="auto"/>
              <w:right w:val="dashSmallGap" w:sz="4" w:space="0" w:color="auto"/>
            </w:tcBorders>
          </w:tcPr>
          <w:p>
            <w:pPr>
              <w:ind w:right="-29"/>
              <w:jc w:val="center"/>
              <w:rPr>
                <w:noProof/>
                <w:sz w:val="20"/>
              </w:rPr>
            </w:pPr>
          </w:p>
        </w:tc>
        <w:tc>
          <w:tcPr>
            <w:tcW w:w="780" w:type="dxa"/>
            <w:tcBorders>
              <w:left w:val="dashSmallGap" w:sz="4" w:space="0" w:color="auto"/>
              <w:bottom w:val="single" w:sz="12" w:space="0" w:color="auto"/>
            </w:tcBorders>
          </w:tcPr>
          <w:p>
            <w:pPr>
              <w:ind w:right="-29"/>
              <w:jc w:val="center"/>
              <w:rPr>
                <w:b/>
                <w:noProof/>
                <w:sz w:val="20"/>
              </w:rPr>
            </w:pPr>
          </w:p>
        </w:tc>
        <w:tc>
          <w:tcPr>
            <w:tcW w:w="669" w:type="dxa"/>
            <w:tcBorders>
              <w:bottom w:val="single" w:sz="12" w:space="0" w:color="auto"/>
              <w:right w:val="dashSmallGap" w:sz="4" w:space="0" w:color="auto"/>
            </w:tcBorders>
          </w:tcPr>
          <w:p>
            <w:pPr>
              <w:ind w:right="-29"/>
              <w:jc w:val="center"/>
              <w:rPr>
                <w:noProof/>
                <w:sz w:val="20"/>
              </w:rPr>
            </w:pPr>
          </w:p>
        </w:tc>
        <w:tc>
          <w:tcPr>
            <w:tcW w:w="839" w:type="dxa"/>
            <w:tcBorders>
              <w:left w:val="dashSmallGap" w:sz="4" w:space="0" w:color="auto"/>
              <w:bottom w:val="single" w:sz="12" w:space="0" w:color="auto"/>
            </w:tcBorders>
          </w:tcPr>
          <w:p>
            <w:pPr>
              <w:ind w:right="-29"/>
              <w:rPr>
                <w:noProof/>
                <w:sz w:val="20"/>
              </w:rPr>
            </w:pPr>
          </w:p>
        </w:tc>
        <w:tc>
          <w:tcPr>
            <w:tcW w:w="596" w:type="dxa"/>
            <w:tcBorders>
              <w:bottom w:val="single" w:sz="12" w:space="0" w:color="auto"/>
              <w:right w:val="dashSmallGap" w:sz="4" w:space="0" w:color="auto"/>
            </w:tcBorders>
          </w:tcPr>
          <w:p>
            <w:pPr>
              <w:ind w:right="-29"/>
              <w:jc w:val="center"/>
              <w:rPr>
                <w:noProof/>
                <w:sz w:val="20"/>
              </w:rPr>
            </w:pPr>
          </w:p>
        </w:tc>
        <w:tc>
          <w:tcPr>
            <w:tcW w:w="780" w:type="dxa"/>
            <w:tcBorders>
              <w:left w:val="dashSmallGap" w:sz="4" w:space="0" w:color="auto"/>
              <w:bottom w:val="single" w:sz="12" w:space="0" w:color="auto"/>
            </w:tcBorders>
          </w:tcPr>
          <w:p>
            <w:pPr>
              <w:ind w:right="-29"/>
              <w:jc w:val="center"/>
              <w:rPr>
                <w:noProof/>
                <w:sz w:val="20"/>
              </w:rPr>
            </w:pPr>
          </w:p>
        </w:tc>
        <w:tc>
          <w:tcPr>
            <w:tcW w:w="360" w:type="dxa"/>
            <w:tcBorders>
              <w:bottom w:val="single" w:sz="12" w:space="0" w:color="auto"/>
              <w:right w:val="dashSmallGap" w:sz="4" w:space="0" w:color="auto"/>
            </w:tcBorders>
          </w:tcPr>
          <w:p>
            <w:pPr>
              <w:ind w:right="-29"/>
              <w:jc w:val="center"/>
              <w:rPr>
                <w:noProof/>
                <w:sz w:val="20"/>
              </w:rPr>
            </w:pPr>
          </w:p>
        </w:tc>
        <w:tc>
          <w:tcPr>
            <w:tcW w:w="780" w:type="dxa"/>
            <w:tcBorders>
              <w:left w:val="dashSmallGap" w:sz="4" w:space="0" w:color="auto"/>
              <w:bottom w:val="single" w:sz="12" w:space="0" w:color="auto"/>
            </w:tcBorders>
          </w:tcPr>
          <w:p>
            <w:pPr>
              <w:ind w:right="-29"/>
              <w:jc w:val="center"/>
              <w:rPr>
                <w:noProof/>
                <w:sz w:val="20"/>
              </w:rPr>
            </w:pPr>
          </w:p>
        </w:tc>
        <w:tc>
          <w:tcPr>
            <w:tcW w:w="360" w:type="dxa"/>
            <w:tcBorders>
              <w:bottom w:val="single" w:sz="12" w:space="0" w:color="auto"/>
              <w:right w:val="dashSmallGap" w:sz="4" w:space="0" w:color="auto"/>
            </w:tcBorders>
          </w:tcPr>
          <w:p>
            <w:pPr>
              <w:ind w:right="-29"/>
              <w:jc w:val="center"/>
              <w:rPr>
                <w:noProof/>
                <w:sz w:val="20"/>
              </w:rPr>
            </w:pPr>
          </w:p>
        </w:tc>
        <w:tc>
          <w:tcPr>
            <w:tcW w:w="780" w:type="dxa"/>
            <w:tcBorders>
              <w:left w:val="dashSmallGap" w:sz="4" w:space="0" w:color="auto"/>
              <w:bottom w:val="single" w:sz="12" w:space="0" w:color="auto"/>
            </w:tcBorders>
          </w:tcPr>
          <w:p>
            <w:pPr>
              <w:ind w:right="-29"/>
              <w:jc w:val="center"/>
              <w:rPr>
                <w:noProof/>
                <w:sz w:val="20"/>
              </w:rPr>
            </w:pPr>
          </w:p>
        </w:tc>
        <w:tc>
          <w:tcPr>
            <w:tcW w:w="360" w:type="dxa"/>
            <w:tcBorders>
              <w:bottom w:val="single" w:sz="12" w:space="0" w:color="auto"/>
              <w:right w:val="dashSmallGap" w:sz="4" w:space="0" w:color="auto"/>
            </w:tcBorders>
          </w:tcPr>
          <w:p>
            <w:pPr>
              <w:ind w:right="-29"/>
              <w:jc w:val="center"/>
              <w:rPr>
                <w:noProof/>
                <w:sz w:val="20"/>
              </w:rPr>
            </w:pPr>
          </w:p>
        </w:tc>
        <w:tc>
          <w:tcPr>
            <w:tcW w:w="840" w:type="dxa"/>
            <w:tcBorders>
              <w:left w:val="dashSmallGap" w:sz="4" w:space="0" w:color="auto"/>
              <w:bottom w:val="single" w:sz="12" w:space="0" w:color="auto"/>
            </w:tcBorders>
          </w:tcPr>
          <w:p>
            <w:pPr>
              <w:ind w:right="-29"/>
              <w:jc w:val="center"/>
              <w:rPr>
                <w:noProof/>
                <w:sz w:val="20"/>
              </w:rPr>
            </w:pPr>
          </w:p>
        </w:tc>
        <w:tc>
          <w:tcPr>
            <w:tcW w:w="596" w:type="dxa"/>
            <w:tcBorders>
              <w:bottom w:val="single" w:sz="12" w:space="0" w:color="auto"/>
              <w:right w:val="dashSmallGap" w:sz="4" w:space="0" w:color="auto"/>
            </w:tcBorders>
          </w:tcPr>
          <w:p>
            <w:pPr>
              <w:ind w:right="-29"/>
              <w:jc w:val="center"/>
              <w:rPr>
                <w:noProof/>
                <w:sz w:val="20"/>
              </w:rPr>
            </w:pPr>
          </w:p>
        </w:tc>
        <w:tc>
          <w:tcPr>
            <w:tcW w:w="1320" w:type="dxa"/>
            <w:tcBorders>
              <w:left w:val="dashSmallGap" w:sz="4" w:space="0" w:color="auto"/>
              <w:bottom w:val="single" w:sz="12" w:space="0" w:color="auto"/>
              <w:right w:val="single" w:sz="12" w:space="0" w:color="auto"/>
            </w:tcBorders>
          </w:tcPr>
          <w:p>
            <w:pPr>
              <w:ind w:right="-29"/>
              <w:jc w:val="center"/>
              <w:rPr>
                <w:b/>
                <w:noProof/>
                <w:sz w:val="20"/>
              </w:rPr>
            </w:pPr>
          </w:p>
        </w:tc>
      </w:tr>
    </w:tbl>
    <w:p>
      <w:pPr>
        <w:spacing w:before="0" w:after="200" w:line="276" w:lineRule="auto"/>
        <w:jc w:val="left"/>
        <w:rPr>
          <w:rFonts w:eastAsia="Times New Roman"/>
          <w:noProof/>
          <w:lang w:eastAsia="en-GB"/>
        </w:rPr>
      </w:pPr>
    </w:p>
    <w:p>
      <w:pPr>
        <w:pStyle w:val="Text1"/>
        <w:rPr>
          <w:rFonts w:eastAsia="Times New Roman"/>
          <w:noProof/>
        </w:rPr>
      </w:pPr>
      <w:r>
        <w:rPr>
          <w:noProof/>
        </w:rPr>
        <w:t>Celkový počet požadovaných interních zaměstnanců je pět plných pracovních úvazků:</w:t>
      </w:r>
    </w:p>
    <w:p>
      <w:pPr>
        <w:pStyle w:val="ListBullet1"/>
        <w:rPr>
          <w:noProof/>
        </w:rPr>
      </w:pPr>
      <w:r>
        <w:rPr>
          <w:noProof/>
        </w:rPr>
        <w:t>pět plných pracovních úvazků bude obsazeno novými interními zaměstnanci – dvěma dočasnými zaměstnanci (AD 5–7) a třemi smluvními zaměstnanci (FS IV),</w:t>
      </w:r>
    </w:p>
    <w:p>
      <w:pPr>
        <w:pStyle w:val="ListBullet1"/>
        <w:rPr>
          <w:noProof/>
        </w:rPr>
      </w:pPr>
      <w:r>
        <w:rPr>
          <w:noProof/>
        </w:rPr>
        <w:t>dva zaměstnanci na plné pracovní úvazky (2 SZ) budou přijati již od 1. září 2022, aby byl proces náboru zahájen a bylo zajištěno, že na začátku procesu převzetí (1. ledna 2023) bude k dispozici celý tým.</w:t>
      </w:r>
    </w:p>
    <w:p>
      <w:pPr>
        <w:pStyle w:val="Text1"/>
        <w:rPr>
          <w:rFonts w:eastAsia="Times New Roman"/>
          <w:noProof/>
        </w:rPr>
      </w:pPr>
      <w:r>
        <w:rPr>
          <w:noProof/>
        </w:rPr>
        <w:t>Technické služby budou zajištěny zadáváním zakázek na externí poskytovatele služeb (celkem osm po dokončení předání agentuře eu-LISA).</w:t>
      </w:r>
    </w:p>
    <w:p>
      <w:pPr>
        <w:pStyle w:val="Text1"/>
        <w:rPr>
          <w:rFonts w:eastAsia="Times New Roman"/>
          <w:noProof/>
        </w:rPr>
      </w:pPr>
      <w:r>
        <w:rPr>
          <w:noProof/>
        </w:rPr>
        <w:t>Další náklady se počítají na cestovní výdaje a diety pro jednoho zástupce z každého členského státu, který se zúčastní:</w:t>
      </w:r>
    </w:p>
    <w:p>
      <w:pPr>
        <w:pStyle w:val="ListBullet1"/>
        <w:rPr>
          <w:noProof/>
        </w:rPr>
      </w:pPr>
      <w:r>
        <w:rPr>
          <w:noProof/>
        </w:rPr>
        <w:t>čtyři zasedání poradní skupiny ročně</w:t>
      </w:r>
      <w:r>
        <w:rPr>
          <w:rStyle w:val="FootnoteReference"/>
          <w:noProof/>
        </w:rPr>
        <w:footnoteReference w:id="49"/>
      </w:r>
      <w:r>
        <w:rPr>
          <w:noProof/>
        </w:rPr>
        <w:t>,</w:t>
      </w:r>
    </w:p>
    <w:p>
      <w:pPr>
        <w:pStyle w:val="ListBullet1"/>
        <w:rPr>
          <w:noProof/>
        </w:rPr>
      </w:pPr>
      <w:r>
        <w:rPr>
          <w:noProof/>
        </w:rPr>
        <w:t>čtyři zasedání rady pro řízení programu ročně,</w:t>
      </w:r>
    </w:p>
    <w:p>
      <w:pPr>
        <w:pStyle w:val="ListBullet1"/>
        <w:rPr>
          <w:noProof/>
        </w:rPr>
      </w:pPr>
      <w:r>
        <w:rPr>
          <w:noProof/>
        </w:rPr>
        <w:t>čtyři zasedání ke zprávě o pokroku projektu ročně v prvních třech letech, následně počet snížen na 2,</w:t>
      </w:r>
    </w:p>
    <w:p>
      <w:pPr>
        <w:pStyle w:val="ListBullet1"/>
        <w:rPr>
          <w:noProof/>
        </w:rPr>
      </w:pPr>
      <w:r>
        <w:rPr>
          <w:noProof/>
        </w:rPr>
        <w:t>tři workshopy o obchodních modelech ročně.</w:t>
      </w:r>
    </w:p>
    <w:p>
      <w:pPr>
        <w:pStyle w:val="Text1"/>
        <w:rPr>
          <w:rFonts w:eastAsia="Times New Roman"/>
          <w:noProof/>
        </w:rPr>
      </w:pPr>
      <w:r>
        <w:rPr>
          <w:noProof/>
        </w:rPr>
        <w:t>Zahrnuty jsou náklady na služební cesty, aby se zaměstnanci agentury eu-LISA mohli účastnit schůzí výboru organizovaných za účelem přijetí prováděcích aktů podle článku 5 nařízení.</w:t>
      </w:r>
    </w:p>
    <w:p>
      <w:pPr>
        <w:pStyle w:val="Text1"/>
        <w:rPr>
          <w:noProof/>
        </w:rPr>
      </w:pPr>
      <w:r>
        <w:rPr>
          <w:noProof/>
        </w:rPr>
        <w:t xml:space="preserve">Náklady na hardwarové a softwarové produkty mají pokrýt provozní potřeby a doplnění stávající hardwarové infrastruktury v agentuře eu-LISA s ohledem na čl. 6 odst. 3 písm. a) tohoto nařízení. Po počáteční investici byla použita 20% sazba nákladů na údržbu (výměna hardwaru, softwarové licence atd.). Pokud jde o plochu datového centra, její využití je zanedbatelné vzhledem k tomu, že (případný) nový hardware tvoří pouze čtyři blade servery v hlavní lokalitě a to samé v záložní. </w:t>
      </w:r>
    </w:p>
    <w:p>
      <w:pPr>
        <w:rPr>
          <w:noProof/>
          <w:sz w:val="16"/>
          <w:szCs w:val="16"/>
        </w:rPr>
        <w:sectPr>
          <w:pgSz w:w="16840" w:h="11907" w:orient="landscape"/>
          <w:pgMar w:top="1418" w:right="1134" w:bottom="1418" w:left="1134" w:header="709" w:footer="709" w:gutter="0"/>
          <w:cols w:space="708"/>
          <w:docGrid w:linePitch="360"/>
        </w:sectPr>
      </w:pPr>
    </w:p>
    <w:p>
      <w:pPr>
        <w:pStyle w:val="ManualHeading3"/>
        <w:rPr>
          <w:noProof/>
        </w:rPr>
      </w:pPr>
      <w:r>
        <w:t>3.2.3.</w:t>
      </w:r>
      <w:r>
        <w:tab/>
      </w:r>
      <w:r>
        <w:rPr>
          <w:noProof/>
        </w:rPr>
        <w:t>Odhadovaný souhrnný dopad na prostředky správní povahy</w:t>
      </w:r>
    </w:p>
    <w:p>
      <w:pPr>
        <w:pStyle w:val="ListDash1"/>
        <w:rPr>
          <w:noProof/>
        </w:rPr>
      </w:pPr>
      <w:r>
        <w:rPr>
          <w:noProof/>
        </w:rPr>
        <w:sym w:font="Wingdings" w:char="F0A8"/>
      </w:r>
      <w:r>
        <w:rPr>
          <w:noProof/>
        </w:rPr>
        <w:tab/>
        <w:t xml:space="preserve">Návrh/podnět nevyžaduje využití prostředků správní povahy. </w:t>
      </w:r>
    </w:p>
    <w:p>
      <w:pPr>
        <w:pStyle w:val="ListDash1"/>
        <w:rPr>
          <w:noProof/>
        </w:rPr>
      </w:pPr>
      <w:r>
        <w:rPr>
          <w:noProof/>
        </w:rPr>
        <w:sym w:font="Wingdings" w:char="F078"/>
      </w:r>
      <w:r>
        <w:rPr>
          <w:noProof/>
        </w:rPr>
        <w:tab/>
        <w:t>Návrh/podnět vyžaduje využití prostředků správní povahy, jak je vysvětleno dále:</w:t>
      </w:r>
    </w:p>
    <w:p>
      <w:pPr>
        <w:rPr>
          <w:noProof/>
          <w:sz w:val="20"/>
          <w:szCs w:val="20"/>
        </w:rPr>
      </w:pPr>
      <w:r>
        <w:rPr>
          <w:noProof/>
          <w:sz w:val="20"/>
          <w:szCs w:val="20"/>
        </w:rPr>
        <w:t>v milionech EUR (zaokrouhleno na tři desetinná místa)</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20"/>
                <w:szCs w:val="20"/>
              </w:rPr>
            </w:pPr>
            <w:r>
              <w:rPr>
                <w:b/>
                <w:noProof/>
                <w:sz w:val="20"/>
                <w:szCs w:val="20"/>
              </w:rPr>
              <w:t>Roky</w:t>
            </w:r>
          </w:p>
        </w:tc>
        <w:tc>
          <w:tcPr>
            <w:tcW w:w="1080" w:type="dxa"/>
            <w:vAlign w:val="center"/>
          </w:tcPr>
          <w:p>
            <w:pPr>
              <w:spacing w:before="60" w:after="60" w:line="200" w:lineRule="exact"/>
              <w:jc w:val="center"/>
              <w:rPr>
                <w:noProof/>
                <w:sz w:val="20"/>
                <w:szCs w:val="20"/>
              </w:rPr>
            </w:pPr>
            <w:r>
              <w:rPr>
                <w:b/>
                <w:noProof/>
                <w:sz w:val="20"/>
                <w:szCs w:val="20"/>
              </w:rPr>
              <w:t>2021</w:t>
            </w:r>
          </w:p>
        </w:tc>
        <w:tc>
          <w:tcPr>
            <w:tcW w:w="1080" w:type="dxa"/>
            <w:vAlign w:val="center"/>
          </w:tcPr>
          <w:p>
            <w:pPr>
              <w:spacing w:before="60" w:after="60" w:line="200" w:lineRule="exact"/>
              <w:jc w:val="center"/>
              <w:rPr>
                <w:noProof/>
                <w:sz w:val="20"/>
                <w:szCs w:val="20"/>
              </w:rPr>
            </w:pPr>
            <w:r>
              <w:rPr>
                <w:b/>
                <w:noProof/>
                <w:sz w:val="20"/>
                <w:szCs w:val="20"/>
              </w:rPr>
              <w:t>2022</w:t>
            </w:r>
          </w:p>
        </w:tc>
        <w:tc>
          <w:tcPr>
            <w:tcW w:w="1080" w:type="dxa"/>
            <w:vAlign w:val="center"/>
          </w:tcPr>
          <w:p>
            <w:pPr>
              <w:spacing w:before="60" w:after="60" w:line="200" w:lineRule="exact"/>
              <w:jc w:val="center"/>
              <w:rPr>
                <w:noProof/>
                <w:sz w:val="20"/>
                <w:szCs w:val="20"/>
              </w:rPr>
            </w:pPr>
            <w:r>
              <w:rPr>
                <w:b/>
                <w:noProof/>
                <w:sz w:val="20"/>
                <w:szCs w:val="20"/>
              </w:rPr>
              <w:t>2023</w:t>
            </w:r>
          </w:p>
        </w:tc>
        <w:tc>
          <w:tcPr>
            <w:tcW w:w="1080" w:type="dxa"/>
            <w:vAlign w:val="center"/>
          </w:tcPr>
          <w:p>
            <w:pPr>
              <w:spacing w:before="60" w:after="60" w:line="200" w:lineRule="exact"/>
              <w:jc w:val="center"/>
              <w:rPr>
                <w:noProof/>
                <w:sz w:val="20"/>
                <w:szCs w:val="20"/>
              </w:rPr>
            </w:pPr>
            <w:r>
              <w:rPr>
                <w:b/>
                <w:noProof/>
                <w:sz w:val="20"/>
                <w:szCs w:val="20"/>
              </w:rPr>
              <w:t>2024</w:t>
            </w:r>
          </w:p>
        </w:tc>
        <w:tc>
          <w:tcPr>
            <w:tcW w:w="1080" w:type="dxa"/>
            <w:vAlign w:val="center"/>
          </w:tcPr>
          <w:p>
            <w:pPr>
              <w:spacing w:line="200" w:lineRule="exact"/>
              <w:jc w:val="center"/>
              <w:rPr>
                <w:b/>
                <w:noProof/>
                <w:sz w:val="20"/>
                <w:szCs w:val="20"/>
              </w:rPr>
            </w:pPr>
            <w:r>
              <w:rPr>
                <w:b/>
                <w:noProof/>
                <w:sz w:val="20"/>
                <w:szCs w:val="20"/>
              </w:rPr>
              <w:t>2025</w:t>
            </w:r>
          </w:p>
        </w:tc>
        <w:tc>
          <w:tcPr>
            <w:tcW w:w="1080" w:type="dxa"/>
            <w:vAlign w:val="center"/>
          </w:tcPr>
          <w:p>
            <w:pPr>
              <w:spacing w:line="200" w:lineRule="exact"/>
              <w:jc w:val="center"/>
              <w:rPr>
                <w:b/>
                <w:noProof/>
                <w:sz w:val="20"/>
                <w:szCs w:val="20"/>
              </w:rPr>
            </w:pPr>
            <w:r>
              <w:rPr>
                <w:b/>
                <w:noProof/>
                <w:sz w:val="20"/>
                <w:szCs w:val="20"/>
              </w:rPr>
              <w:t>2026</w:t>
            </w:r>
          </w:p>
        </w:tc>
        <w:tc>
          <w:tcPr>
            <w:tcW w:w="1080" w:type="dxa"/>
            <w:vAlign w:val="center"/>
          </w:tcPr>
          <w:p>
            <w:pPr>
              <w:spacing w:line="200" w:lineRule="exact"/>
              <w:jc w:val="center"/>
              <w:rPr>
                <w:b/>
                <w:noProof/>
                <w:sz w:val="20"/>
                <w:szCs w:val="20"/>
              </w:rPr>
            </w:pPr>
            <w:r>
              <w:rPr>
                <w:b/>
                <w:noProof/>
                <w:sz w:val="20"/>
                <w:szCs w:val="20"/>
              </w:rPr>
              <w:t>2027</w:t>
            </w:r>
          </w:p>
        </w:tc>
        <w:tc>
          <w:tcPr>
            <w:tcW w:w="1080" w:type="dxa"/>
            <w:vAlign w:val="center"/>
          </w:tcPr>
          <w:p>
            <w:pPr>
              <w:spacing w:before="60" w:after="60" w:line="200" w:lineRule="exact"/>
              <w:jc w:val="center"/>
              <w:rPr>
                <w:b/>
                <w:noProof/>
                <w:sz w:val="20"/>
                <w:szCs w:val="20"/>
              </w:rPr>
            </w:pPr>
            <w:r>
              <w:rPr>
                <w:b/>
                <w:noProof/>
                <w:sz w:val="20"/>
                <w:szCs w:val="20"/>
              </w:rPr>
              <w:t>CELKEM</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szCs w:val="16"/>
              </w:rPr>
              <w:t>HEADING 7</w:t>
            </w:r>
            <w:r>
              <w:rPr>
                <w:noProof/>
                <w:sz w:val="22"/>
              </w:rPr>
              <w:br/>
            </w:r>
            <w:r>
              <w:rPr>
                <w:b/>
                <w:noProof/>
                <w:sz w:val="16"/>
                <w:szCs w:val="16"/>
              </w:rPr>
              <w:t>víceletého finančního rámce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Lidské zdroje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0,075</w:t>
            </w:r>
          </w:p>
        </w:tc>
        <w:tc>
          <w:tcPr>
            <w:tcW w:w="1080" w:type="dxa"/>
            <w:vAlign w:val="center"/>
          </w:tcPr>
          <w:p>
            <w:pPr>
              <w:spacing w:before="60" w:after="60" w:line="200" w:lineRule="exact"/>
              <w:jc w:val="right"/>
              <w:rPr>
                <w:noProof/>
                <w:sz w:val="16"/>
                <w:szCs w:val="16"/>
              </w:rPr>
            </w:pPr>
            <w:r>
              <w:rPr>
                <w:noProof/>
                <w:sz w:val="16"/>
                <w:szCs w:val="16"/>
              </w:rPr>
              <w:t>0,150</w:t>
            </w:r>
          </w:p>
        </w:tc>
        <w:tc>
          <w:tcPr>
            <w:tcW w:w="1080" w:type="dxa"/>
            <w:vAlign w:val="center"/>
          </w:tcPr>
          <w:p>
            <w:pPr>
              <w:spacing w:before="60" w:after="60" w:line="200" w:lineRule="exact"/>
              <w:jc w:val="right"/>
              <w:rPr>
                <w:noProof/>
                <w:sz w:val="16"/>
                <w:szCs w:val="16"/>
              </w:rPr>
            </w:pPr>
            <w:r>
              <w:rPr>
                <w:noProof/>
                <w:sz w:val="16"/>
                <w:szCs w:val="16"/>
              </w:rPr>
              <w:t>0,150</w:t>
            </w:r>
          </w:p>
        </w:tc>
        <w:tc>
          <w:tcPr>
            <w:tcW w:w="1080" w:type="dxa"/>
            <w:vAlign w:val="center"/>
          </w:tcPr>
          <w:p>
            <w:pPr>
              <w:spacing w:before="60" w:after="60" w:line="200" w:lineRule="exact"/>
              <w:jc w:val="right"/>
              <w:rPr>
                <w:noProof/>
                <w:sz w:val="16"/>
                <w:szCs w:val="16"/>
              </w:rPr>
            </w:pPr>
            <w:r>
              <w:rPr>
                <w:noProof/>
                <w:sz w:val="16"/>
                <w:szCs w:val="16"/>
              </w:rPr>
              <w:t>0,150</w:t>
            </w:r>
          </w:p>
        </w:tc>
        <w:tc>
          <w:tcPr>
            <w:tcW w:w="1080" w:type="dxa"/>
            <w:vAlign w:val="center"/>
          </w:tcPr>
          <w:p>
            <w:pPr>
              <w:spacing w:before="60" w:after="60" w:line="200" w:lineRule="exact"/>
              <w:jc w:val="right"/>
              <w:rPr>
                <w:noProof/>
                <w:sz w:val="16"/>
                <w:szCs w:val="16"/>
              </w:rPr>
            </w:pPr>
            <w:r>
              <w:rPr>
                <w:noProof/>
                <w:sz w:val="16"/>
                <w:szCs w:val="16"/>
              </w:rPr>
              <w:t>0,150</w:t>
            </w:r>
          </w:p>
        </w:tc>
        <w:tc>
          <w:tcPr>
            <w:tcW w:w="1080" w:type="dxa"/>
            <w:vAlign w:val="center"/>
          </w:tcPr>
          <w:p>
            <w:pPr>
              <w:spacing w:before="60" w:after="60" w:line="200" w:lineRule="exact"/>
              <w:jc w:val="right"/>
              <w:rPr>
                <w:b/>
                <w:noProof/>
                <w:sz w:val="16"/>
                <w:szCs w:val="16"/>
              </w:rPr>
            </w:pPr>
            <w:r>
              <w:rPr>
                <w:noProof/>
                <w:sz w:val="16"/>
                <w:szCs w:val="16"/>
              </w:rPr>
              <w:t>0,150</w:t>
            </w:r>
          </w:p>
        </w:tc>
        <w:tc>
          <w:tcPr>
            <w:tcW w:w="1080" w:type="dxa"/>
            <w:vAlign w:val="center"/>
          </w:tcPr>
          <w:p>
            <w:pPr>
              <w:spacing w:before="60" w:after="60" w:line="200" w:lineRule="exact"/>
              <w:jc w:val="right"/>
              <w:rPr>
                <w:b/>
                <w:noProof/>
                <w:sz w:val="16"/>
                <w:szCs w:val="16"/>
              </w:rPr>
            </w:pPr>
            <w:r>
              <w:rPr>
                <w:b/>
                <w:noProof/>
                <w:sz w:val="16"/>
                <w:szCs w:val="16"/>
              </w:rPr>
              <w:t>0,825</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Ostatní správní výdaje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0,084</w:t>
            </w:r>
          </w:p>
        </w:tc>
        <w:tc>
          <w:tcPr>
            <w:tcW w:w="1080" w:type="dxa"/>
            <w:vAlign w:val="center"/>
          </w:tcPr>
          <w:p>
            <w:pPr>
              <w:spacing w:before="60" w:after="60" w:line="200" w:lineRule="exact"/>
              <w:jc w:val="right"/>
              <w:rPr>
                <w:noProof/>
                <w:sz w:val="16"/>
                <w:szCs w:val="16"/>
              </w:rPr>
            </w:pPr>
            <w:r>
              <w:rPr>
                <w:noProof/>
                <w:sz w:val="16"/>
                <w:szCs w:val="16"/>
              </w:rPr>
              <w:t>0,007</w:t>
            </w:r>
          </w:p>
        </w:tc>
        <w:tc>
          <w:tcPr>
            <w:tcW w:w="1080" w:type="dxa"/>
            <w:vAlign w:val="center"/>
          </w:tcPr>
          <w:p>
            <w:pPr>
              <w:spacing w:before="60" w:after="60" w:line="200" w:lineRule="exact"/>
              <w:jc w:val="right"/>
              <w:rPr>
                <w:noProof/>
                <w:sz w:val="16"/>
                <w:szCs w:val="16"/>
              </w:rPr>
            </w:pPr>
            <w:r>
              <w:rPr>
                <w:noProof/>
                <w:sz w:val="16"/>
                <w:szCs w:val="16"/>
              </w:rPr>
              <w:t>0,007</w:t>
            </w:r>
          </w:p>
        </w:tc>
        <w:tc>
          <w:tcPr>
            <w:tcW w:w="1080" w:type="dxa"/>
            <w:vAlign w:val="center"/>
          </w:tcPr>
          <w:p>
            <w:pPr>
              <w:spacing w:before="60" w:after="60" w:line="200" w:lineRule="exact"/>
              <w:jc w:val="right"/>
              <w:rPr>
                <w:noProof/>
                <w:sz w:val="16"/>
                <w:szCs w:val="16"/>
              </w:rPr>
            </w:pPr>
            <w:r>
              <w:rPr>
                <w:noProof/>
                <w:sz w:val="16"/>
                <w:szCs w:val="16"/>
              </w:rPr>
              <w:t>0,007</w:t>
            </w:r>
          </w:p>
        </w:tc>
        <w:tc>
          <w:tcPr>
            <w:tcW w:w="1080" w:type="dxa"/>
            <w:vAlign w:val="center"/>
          </w:tcPr>
          <w:p>
            <w:pPr>
              <w:spacing w:before="60" w:after="60" w:line="200" w:lineRule="exact"/>
              <w:jc w:val="right"/>
              <w:rPr>
                <w:noProof/>
                <w:sz w:val="16"/>
                <w:szCs w:val="16"/>
              </w:rPr>
            </w:pPr>
            <w:r>
              <w:rPr>
                <w:noProof/>
                <w:sz w:val="16"/>
                <w:szCs w:val="16"/>
              </w:rPr>
              <w:t>0,007</w:t>
            </w:r>
          </w:p>
        </w:tc>
        <w:tc>
          <w:tcPr>
            <w:tcW w:w="1080" w:type="dxa"/>
            <w:vAlign w:val="center"/>
          </w:tcPr>
          <w:p>
            <w:pPr>
              <w:spacing w:before="60" w:after="60" w:line="200" w:lineRule="exact"/>
              <w:jc w:val="right"/>
              <w:rPr>
                <w:b/>
                <w:noProof/>
                <w:sz w:val="16"/>
                <w:szCs w:val="16"/>
              </w:rPr>
            </w:pPr>
            <w:r>
              <w:rPr>
                <w:noProof/>
                <w:sz w:val="16"/>
                <w:szCs w:val="16"/>
              </w:rPr>
              <w:t>0,007</w:t>
            </w:r>
          </w:p>
        </w:tc>
        <w:tc>
          <w:tcPr>
            <w:tcW w:w="1080" w:type="dxa"/>
            <w:vAlign w:val="center"/>
          </w:tcPr>
          <w:p>
            <w:pPr>
              <w:spacing w:before="60" w:after="60" w:line="200" w:lineRule="exact"/>
              <w:jc w:val="right"/>
              <w:rPr>
                <w:b/>
                <w:noProof/>
                <w:sz w:val="16"/>
                <w:szCs w:val="16"/>
              </w:rPr>
            </w:pPr>
            <w:r>
              <w:rPr>
                <w:b/>
                <w:noProof/>
                <w:sz w:val="16"/>
                <w:szCs w:val="16"/>
              </w:rPr>
              <w:t>0,119</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szCs w:val="16"/>
              </w:rPr>
              <w:t>Subtotal HEADING 7</w:t>
            </w:r>
            <w:r>
              <w:rPr>
                <w:noProof/>
                <w:sz w:val="22"/>
              </w:rPr>
              <w:br/>
            </w:r>
            <w:r>
              <w:rPr>
                <w:b/>
                <w:noProof/>
                <w:sz w:val="16"/>
                <w:szCs w:val="16"/>
              </w:rPr>
              <w:t>víceletého finančního rámce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0,159</w:t>
            </w:r>
          </w:p>
        </w:tc>
        <w:tc>
          <w:tcPr>
            <w:tcW w:w="1080" w:type="dxa"/>
            <w:vAlign w:val="center"/>
          </w:tcPr>
          <w:p>
            <w:pPr>
              <w:spacing w:before="60" w:after="60" w:line="200" w:lineRule="exact"/>
              <w:jc w:val="right"/>
              <w:rPr>
                <w:noProof/>
                <w:sz w:val="16"/>
                <w:szCs w:val="16"/>
              </w:rPr>
            </w:pPr>
            <w:r>
              <w:rPr>
                <w:noProof/>
                <w:sz w:val="16"/>
                <w:szCs w:val="16"/>
              </w:rPr>
              <w:t>0,157</w:t>
            </w:r>
          </w:p>
        </w:tc>
        <w:tc>
          <w:tcPr>
            <w:tcW w:w="1080" w:type="dxa"/>
            <w:vAlign w:val="center"/>
          </w:tcPr>
          <w:p>
            <w:pPr>
              <w:spacing w:before="60" w:after="60" w:line="200" w:lineRule="exact"/>
              <w:jc w:val="right"/>
              <w:rPr>
                <w:noProof/>
                <w:sz w:val="16"/>
                <w:szCs w:val="16"/>
              </w:rPr>
            </w:pPr>
            <w:r>
              <w:rPr>
                <w:noProof/>
                <w:sz w:val="16"/>
                <w:szCs w:val="16"/>
              </w:rPr>
              <w:t>0,157</w:t>
            </w:r>
          </w:p>
        </w:tc>
        <w:tc>
          <w:tcPr>
            <w:tcW w:w="1080" w:type="dxa"/>
            <w:vAlign w:val="center"/>
          </w:tcPr>
          <w:p>
            <w:pPr>
              <w:spacing w:before="60" w:after="60" w:line="200" w:lineRule="exact"/>
              <w:jc w:val="right"/>
              <w:rPr>
                <w:noProof/>
                <w:sz w:val="16"/>
                <w:szCs w:val="16"/>
              </w:rPr>
            </w:pPr>
            <w:r>
              <w:rPr>
                <w:noProof/>
                <w:sz w:val="16"/>
                <w:szCs w:val="16"/>
              </w:rPr>
              <w:t>0,157</w:t>
            </w:r>
          </w:p>
        </w:tc>
        <w:tc>
          <w:tcPr>
            <w:tcW w:w="1080" w:type="dxa"/>
            <w:vAlign w:val="center"/>
          </w:tcPr>
          <w:p>
            <w:pPr>
              <w:spacing w:before="60" w:after="60" w:line="200" w:lineRule="exact"/>
              <w:jc w:val="right"/>
              <w:rPr>
                <w:noProof/>
                <w:sz w:val="16"/>
                <w:szCs w:val="16"/>
              </w:rPr>
            </w:pPr>
            <w:r>
              <w:rPr>
                <w:noProof/>
                <w:sz w:val="16"/>
                <w:szCs w:val="16"/>
              </w:rPr>
              <w:t>0,157</w:t>
            </w:r>
          </w:p>
        </w:tc>
        <w:tc>
          <w:tcPr>
            <w:tcW w:w="1080" w:type="dxa"/>
            <w:vAlign w:val="center"/>
          </w:tcPr>
          <w:p>
            <w:pPr>
              <w:spacing w:before="60" w:after="60" w:line="200" w:lineRule="exact"/>
              <w:jc w:val="right"/>
              <w:rPr>
                <w:b/>
                <w:noProof/>
                <w:sz w:val="16"/>
                <w:szCs w:val="16"/>
              </w:rPr>
            </w:pPr>
            <w:r>
              <w:rPr>
                <w:noProof/>
                <w:sz w:val="16"/>
                <w:szCs w:val="16"/>
              </w:rPr>
              <w:t>0,157</w:t>
            </w:r>
          </w:p>
        </w:tc>
        <w:tc>
          <w:tcPr>
            <w:tcW w:w="1080" w:type="dxa"/>
            <w:vAlign w:val="center"/>
          </w:tcPr>
          <w:p>
            <w:pPr>
              <w:spacing w:before="60" w:after="60" w:line="200" w:lineRule="exact"/>
              <w:jc w:val="right"/>
              <w:rPr>
                <w:b/>
                <w:noProof/>
                <w:sz w:val="16"/>
                <w:szCs w:val="16"/>
              </w:rPr>
            </w:pPr>
            <w:r>
              <w:rPr>
                <w:b/>
                <w:noProof/>
                <w:sz w:val="16"/>
                <w:szCs w:val="16"/>
              </w:rPr>
              <w:t>0,944</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szCs w:val="16"/>
              </w:rPr>
              <w:t>Mimo OKRUH 7</w:t>
            </w:r>
            <w:r>
              <w:rPr>
                <w:rStyle w:val="FootnoteReference"/>
                <w:noProof/>
              </w:rPr>
              <w:footnoteReference w:id="50"/>
            </w:r>
            <w:r>
              <w:rPr>
                <w:noProof/>
                <w:sz w:val="22"/>
              </w:rPr>
              <w:t xml:space="preserve"> </w:t>
            </w:r>
            <w:r>
              <w:rPr>
                <w:b/>
                <w:noProof/>
                <w:sz w:val="16"/>
                <w:szCs w:val="16"/>
              </w:rPr>
              <w:t>víceletého finančního rámce</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Lidské zdroje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Other expenditure Jiné výdaje správní povahy</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szCs w:val="16"/>
              </w:rPr>
              <w:t xml:space="preserve">Subtotal </w:t>
            </w:r>
            <w:r>
              <w:rPr>
                <w:noProof/>
                <w:sz w:val="22"/>
              </w:rPr>
              <w:br/>
            </w:r>
            <w:r>
              <w:rPr>
                <w:b/>
                <w:noProof/>
                <w:sz w:val="16"/>
                <w:szCs w:val="16"/>
              </w:rPr>
              <w:t>mimo OKRUH 7</w:t>
            </w:r>
            <w:r>
              <w:rPr>
                <w:noProof/>
                <w:sz w:val="22"/>
              </w:rPr>
              <w:br/>
            </w:r>
            <w:r>
              <w:rPr>
                <w:b/>
                <w:noProof/>
                <w:sz w:val="16"/>
                <w:szCs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szCs w:val="16"/>
              </w:rPr>
              <w:t>CELKEM</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0,159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0,157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0,157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0,157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0,157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0,157</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szCs w:val="16"/>
              </w:rPr>
              <w:t>0,944</w:t>
            </w:r>
          </w:p>
        </w:tc>
      </w:tr>
    </w:tbl>
    <w:p>
      <w:pPr>
        <w:rPr>
          <w:noProof/>
          <w:sz w:val="18"/>
          <w:szCs w:val="18"/>
        </w:rPr>
      </w:pPr>
      <w:r>
        <w:rPr>
          <w:noProof/>
          <w:sz w:val="18"/>
          <w:szCs w:val="18"/>
        </w:rPr>
        <w:t>Potřebné prostředky na oblast lidských zdrojů a na ostatní výdaje správní povahy budou pokryty z prostředků GŘ, které jsou již vyčleněny na řízení akce a/nebo byly vnitřně přerozděleny v rámci GŘ a případně doplněny z dodatečného přídělu, který lze řídícímu GŘ poskytnout v rámci ročního přidělování a s ohledem na rozpočtová omezení.</w:t>
      </w:r>
    </w:p>
    <w:p>
      <w:pPr>
        <w:pStyle w:val="Text1"/>
        <w:rPr>
          <w:rFonts w:eastAsia="Times New Roman"/>
          <w:noProof/>
        </w:rPr>
      </w:pPr>
      <w:r>
        <w:rPr>
          <w:noProof/>
        </w:rPr>
        <w:t>Správní výdaje zahrnují jednoho úředníka kategorie AD v GŘ pro spravedlnost a spotřebitele Komise. Hlavní funkce (viz dále níže) jsou:</w:t>
      </w:r>
    </w:p>
    <w:p>
      <w:pPr>
        <w:pStyle w:val="ListDash1"/>
        <w:rPr>
          <w:noProof/>
          <w:sz w:val="18"/>
          <w:szCs w:val="18"/>
        </w:rPr>
      </w:pPr>
      <w:r>
        <w:rPr>
          <w:noProof/>
        </w:rPr>
        <w:t>dohlížet na práci na prováděcích aktech uvedených v článku 5, organizovat proces předávání a následně vystupovat jako styčný úředník pro politiku ve vztahu k agentuře;</w:t>
      </w:r>
    </w:p>
    <w:p>
      <w:pPr>
        <w:pStyle w:val="ListDash1"/>
        <w:rPr>
          <w:noProof/>
          <w:sz w:val="18"/>
          <w:szCs w:val="18"/>
        </w:rPr>
      </w:pPr>
      <w:r>
        <w:rPr>
          <w:noProof/>
        </w:rPr>
        <w:t>náklady na služební cesty zaměstnanců Komise za účelem účasti na zasedáních pořádaných agenturou eu-LISA (10/rok – účast ve správní radě, radě pro řízení programu a zasedáních poradní skupiny);</w:t>
      </w:r>
    </w:p>
    <w:p>
      <w:pPr>
        <w:pStyle w:val="ListDash1"/>
        <w:rPr>
          <w:noProof/>
          <w:sz w:val="18"/>
          <w:szCs w:val="18"/>
        </w:rPr>
      </w:pPr>
      <w:r>
        <w:rPr>
          <w:noProof/>
        </w:rPr>
        <w:t>cestovní výdaje a diety pro jednoho zástupce z každého členského státu, který se zúčastní schůzí výborů za účelem přijetí prováděcích aktů uvedených v článku 5 nařízení (plánováno na rok 2022).</w:t>
      </w:r>
    </w:p>
    <w:p>
      <w:pPr>
        <w:rPr>
          <w:noProof/>
          <w:color w:val="008000"/>
        </w:rPr>
        <w:sectPr>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p>
    <w:p>
      <w:pPr>
        <w:pStyle w:val="ManualHeading4"/>
        <w:rPr>
          <w:noProof/>
        </w:rPr>
      </w:pPr>
      <w:r>
        <w:t>3.2.3.1.</w:t>
      </w:r>
      <w:r>
        <w:tab/>
      </w:r>
      <w:r>
        <w:rPr>
          <w:noProof/>
        </w:rPr>
        <w:t>Odhadované potřeby v oblasti lidských zdrojů</w:t>
      </w:r>
    </w:p>
    <w:p>
      <w:pPr>
        <w:pStyle w:val="Text1"/>
        <w:rPr>
          <w:rFonts w:eastAsiaTheme="majorEastAsia"/>
          <w:b/>
          <w:noProof/>
        </w:rPr>
      </w:pPr>
      <w:r>
        <w:rPr>
          <w:b/>
          <w:noProof/>
        </w:rPr>
        <w:t>Shrnutí agentury eu-LISA</w:t>
      </w:r>
    </w:p>
    <w:p>
      <w:pPr>
        <w:pStyle w:val="ListDash1"/>
        <w:rPr>
          <w:noProof/>
        </w:rPr>
      </w:pPr>
      <w:r>
        <w:rPr>
          <w:noProof/>
        </w:rPr>
        <w:sym w:font="Wingdings" w:char="F0A8"/>
      </w:r>
      <w:r>
        <w:rPr>
          <w:noProof/>
        </w:rPr>
        <w:tab/>
        <w:t xml:space="preserve">Návrh/podnět nevyžaduje využití lidských zdrojů. </w:t>
      </w:r>
    </w:p>
    <w:p>
      <w:pPr>
        <w:pStyle w:val="ListDash1"/>
        <w:rPr>
          <w:noProof/>
        </w:rPr>
      </w:pPr>
      <w:r>
        <w:rPr>
          <w:noProof/>
        </w:rPr>
        <w:sym w:font="Wingdings" w:char="F078"/>
      </w:r>
      <w:r>
        <w:rPr>
          <w:noProof/>
        </w:rPr>
        <w:tab/>
        <w:t>Návrh/podnět vyžaduje využití lidských zdrojů, jak je vysvětleno dále:</w:t>
      </w:r>
    </w:p>
    <w:p>
      <w:pPr>
        <w:rPr>
          <w:rFonts w:eastAsia="Times New Roman"/>
          <w:noProof/>
          <w:sz w:val="20"/>
          <w:szCs w:val="20"/>
        </w:rPr>
      </w:pPr>
      <w:r>
        <w:rPr>
          <w:noProof/>
          <w:sz w:val="20"/>
          <w:szCs w:val="20"/>
        </w:rPr>
        <w:t>v milionech EUR (zaokrouhleno na tři desetinná místa)</w:t>
      </w:r>
    </w:p>
    <w:tbl>
      <w:tblPr>
        <w:tblW w:w="99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260"/>
        <w:gridCol w:w="1080"/>
        <w:gridCol w:w="1080"/>
        <w:gridCol w:w="1080"/>
        <w:gridCol w:w="1080"/>
        <w:gridCol w:w="1080"/>
        <w:gridCol w:w="1080"/>
        <w:gridCol w:w="1080"/>
        <w:gridCol w:w="1080"/>
      </w:tblGrid>
      <w:tr>
        <w:trPr>
          <w:trHeight w:val="585"/>
        </w:trPr>
        <w:tc>
          <w:tcPr>
            <w:tcW w:w="1260" w:type="dxa"/>
            <w:vAlign w:val="center"/>
          </w:tcPr>
          <w:p>
            <w:pPr>
              <w:spacing w:before="60" w:after="60"/>
              <w:jc w:val="center"/>
              <w:rPr>
                <w:rFonts w:eastAsia="Times New Roman"/>
                <w:b/>
                <w:noProof/>
                <w:sz w:val="20"/>
                <w:szCs w:val="20"/>
              </w:rPr>
            </w:pPr>
            <w:r>
              <w:rPr>
                <w:b/>
                <w:noProof/>
                <w:sz w:val="20"/>
                <w:szCs w:val="20"/>
              </w:rPr>
              <w:t>Roky</w:t>
            </w:r>
          </w:p>
        </w:tc>
        <w:tc>
          <w:tcPr>
            <w:tcW w:w="1080" w:type="dxa"/>
            <w:vAlign w:val="center"/>
          </w:tcPr>
          <w:p>
            <w:pPr>
              <w:spacing w:before="60" w:after="60"/>
              <w:jc w:val="center"/>
              <w:rPr>
                <w:rFonts w:eastAsia="Times New Roman"/>
                <w:noProof/>
                <w:sz w:val="20"/>
                <w:szCs w:val="20"/>
              </w:rPr>
            </w:pPr>
            <w:r>
              <w:rPr>
                <w:b/>
                <w:noProof/>
                <w:sz w:val="20"/>
                <w:szCs w:val="20"/>
              </w:rPr>
              <w:t>2021</w:t>
            </w:r>
          </w:p>
        </w:tc>
        <w:tc>
          <w:tcPr>
            <w:tcW w:w="1080" w:type="dxa"/>
            <w:vAlign w:val="center"/>
          </w:tcPr>
          <w:p>
            <w:pPr>
              <w:spacing w:before="60" w:after="60"/>
              <w:jc w:val="center"/>
              <w:rPr>
                <w:rFonts w:eastAsia="Times New Roman"/>
                <w:noProof/>
                <w:sz w:val="20"/>
                <w:szCs w:val="20"/>
              </w:rPr>
            </w:pPr>
            <w:r>
              <w:rPr>
                <w:b/>
                <w:noProof/>
                <w:sz w:val="20"/>
                <w:szCs w:val="20"/>
              </w:rPr>
              <w:t>2022</w:t>
            </w:r>
          </w:p>
        </w:tc>
        <w:tc>
          <w:tcPr>
            <w:tcW w:w="1080" w:type="dxa"/>
            <w:vAlign w:val="center"/>
          </w:tcPr>
          <w:p>
            <w:pPr>
              <w:spacing w:before="60" w:after="60"/>
              <w:jc w:val="center"/>
              <w:rPr>
                <w:rFonts w:eastAsia="Times New Roman"/>
                <w:noProof/>
                <w:sz w:val="20"/>
                <w:szCs w:val="20"/>
              </w:rPr>
            </w:pPr>
            <w:r>
              <w:rPr>
                <w:b/>
                <w:noProof/>
                <w:sz w:val="20"/>
                <w:szCs w:val="20"/>
              </w:rPr>
              <w:t>2023</w:t>
            </w:r>
          </w:p>
        </w:tc>
        <w:tc>
          <w:tcPr>
            <w:tcW w:w="1080" w:type="dxa"/>
            <w:vAlign w:val="center"/>
          </w:tcPr>
          <w:p>
            <w:pPr>
              <w:spacing w:before="60" w:after="60"/>
              <w:jc w:val="center"/>
              <w:rPr>
                <w:rFonts w:eastAsia="Times New Roman"/>
                <w:noProof/>
                <w:sz w:val="20"/>
                <w:szCs w:val="20"/>
              </w:rPr>
            </w:pPr>
            <w:r>
              <w:rPr>
                <w:b/>
                <w:noProof/>
                <w:sz w:val="20"/>
                <w:szCs w:val="20"/>
              </w:rPr>
              <w:t>2024</w:t>
            </w:r>
          </w:p>
        </w:tc>
        <w:tc>
          <w:tcPr>
            <w:tcW w:w="1080" w:type="dxa"/>
            <w:vAlign w:val="center"/>
          </w:tcPr>
          <w:p>
            <w:pPr>
              <w:spacing w:before="60" w:after="60"/>
              <w:jc w:val="center"/>
              <w:rPr>
                <w:rFonts w:eastAsia="Times New Roman"/>
                <w:noProof/>
                <w:sz w:val="20"/>
                <w:szCs w:val="20"/>
              </w:rPr>
            </w:pPr>
            <w:r>
              <w:rPr>
                <w:b/>
                <w:noProof/>
                <w:sz w:val="20"/>
                <w:szCs w:val="20"/>
              </w:rPr>
              <w:t>2025</w:t>
            </w:r>
          </w:p>
        </w:tc>
        <w:tc>
          <w:tcPr>
            <w:tcW w:w="1080" w:type="dxa"/>
            <w:vAlign w:val="center"/>
          </w:tcPr>
          <w:p>
            <w:pPr>
              <w:spacing w:before="60" w:after="60"/>
              <w:jc w:val="center"/>
              <w:rPr>
                <w:rFonts w:eastAsia="Times New Roman"/>
                <w:noProof/>
                <w:sz w:val="20"/>
                <w:szCs w:val="20"/>
              </w:rPr>
            </w:pPr>
            <w:r>
              <w:rPr>
                <w:b/>
                <w:noProof/>
                <w:sz w:val="20"/>
                <w:szCs w:val="20"/>
              </w:rPr>
              <w:t>2026</w:t>
            </w:r>
          </w:p>
        </w:tc>
        <w:tc>
          <w:tcPr>
            <w:tcW w:w="1080" w:type="dxa"/>
            <w:vAlign w:val="center"/>
          </w:tcPr>
          <w:p>
            <w:pPr>
              <w:spacing w:before="60" w:after="60"/>
              <w:jc w:val="center"/>
              <w:rPr>
                <w:rFonts w:eastAsia="Times New Roman"/>
                <w:noProof/>
                <w:sz w:val="20"/>
                <w:szCs w:val="20"/>
              </w:rPr>
            </w:pPr>
            <w:r>
              <w:rPr>
                <w:b/>
                <w:noProof/>
                <w:sz w:val="20"/>
                <w:szCs w:val="20"/>
              </w:rPr>
              <w:t>2027</w:t>
            </w:r>
          </w:p>
        </w:tc>
        <w:tc>
          <w:tcPr>
            <w:tcW w:w="1080" w:type="dxa"/>
            <w:vAlign w:val="center"/>
          </w:tcPr>
          <w:p>
            <w:pPr>
              <w:spacing w:before="60" w:after="60"/>
              <w:jc w:val="center"/>
              <w:rPr>
                <w:rFonts w:eastAsia="Times New Roman"/>
                <w:b/>
                <w:noProof/>
                <w:sz w:val="20"/>
                <w:szCs w:val="20"/>
              </w:rPr>
            </w:pPr>
            <w:r>
              <w:rPr>
                <w:b/>
                <w:noProof/>
                <w:sz w:val="20"/>
                <w:szCs w:val="20"/>
              </w:rPr>
              <w:t>CELKEM</w:t>
            </w:r>
          </w:p>
        </w:tc>
      </w:tr>
    </w:tbl>
    <w:p>
      <w:pPr>
        <w:rPr>
          <w:rFonts w:eastAsia="Times New Roman"/>
          <w:noProof/>
          <w:sz w:val="20"/>
          <w:lang w:eastAsia="en-GB"/>
        </w:rPr>
      </w:pPr>
    </w:p>
    <w:tbl>
      <w:tblPr>
        <w:tblW w:w="99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260"/>
        <w:gridCol w:w="1080"/>
        <w:gridCol w:w="1080"/>
        <w:gridCol w:w="1080"/>
        <w:gridCol w:w="1080"/>
        <w:gridCol w:w="1080"/>
        <w:gridCol w:w="1080"/>
        <w:gridCol w:w="1080"/>
        <w:gridCol w:w="1080"/>
      </w:tblGrid>
      <w:tr>
        <w:trPr>
          <w:trHeight w:val="585"/>
        </w:trPr>
        <w:tc>
          <w:tcPr>
            <w:tcW w:w="1260" w:type="dxa"/>
            <w:shd w:val="clear" w:color="auto" w:fill="CCCCCC"/>
            <w:vAlign w:val="center"/>
          </w:tcPr>
          <w:p>
            <w:pPr>
              <w:spacing w:before="60" w:after="60"/>
              <w:jc w:val="center"/>
              <w:rPr>
                <w:rFonts w:eastAsia="Times New Roman"/>
                <w:noProof/>
              </w:rPr>
            </w:pPr>
            <w:r>
              <w:rPr>
                <w:noProof/>
                <w:sz w:val="18"/>
                <w:szCs w:val="18"/>
              </w:rPr>
              <w:t>Úředníci (platové třídy AD)</w:t>
            </w: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b/>
                <w:noProof/>
                <w:sz w:val="20"/>
                <w:lang w:eastAsia="en-GB"/>
              </w:rPr>
            </w:pPr>
          </w:p>
        </w:tc>
      </w:tr>
      <w:tr>
        <w:trPr>
          <w:trHeight w:val="585"/>
        </w:trPr>
        <w:tc>
          <w:tcPr>
            <w:tcW w:w="1260" w:type="dxa"/>
            <w:vAlign w:val="center"/>
          </w:tcPr>
          <w:p>
            <w:pPr>
              <w:spacing w:before="60" w:after="60"/>
              <w:ind w:left="72"/>
              <w:rPr>
                <w:rFonts w:eastAsia="Times New Roman"/>
                <w:noProof/>
              </w:rPr>
            </w:pPr>
            <w:r>
              <w:rPr>
                <w:noProof/>
                <w:sz w:val="20"/>
                <w:szCs w:val="20"/>
              </w:rPr>
              <w:t>Úředníci (platové třídy AST)</w:t>
            </w: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b/>
                <w:noProof/>
                <w:sz w:val="20"/>
                <w:lang w:eastAsia="en-GB"/>
              </w:rPr>
            </w:pPr>
          </w:p>
        </w:tc>
      </w:tr>
      <w:tr>
        <w:trPr>
          <w:trHeight w:val="585"/>
        </w:trPr>
        <w:tc>
          <w:tcPr>
            <w:tcW w:w="1260" w:type="dxa"/>
            <w:vAlign w:val="center"/>
          </w:tcPr>
          <w:p>
            <w:pPr>
              <w:spacing w:before="60" w:after="60"/>
              <w:ind w:left="72"/>
              <w:rPr>
                <w:rFonts w:eastAsia="Times New Roman"/>
                <w:noProof/>
              </w:rPr>
            </w:pPr>
            <w:r>
              <w:rPr>
                <w:noProof/>
                <w:sz w:val="20"/>
                <w:szCs w:val="20"/>
              </w:rPr>
              <w:t>Smluvní zaměstnanci</w:t>
            </w: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szCs w:val="20"/>
              </w:rPr>
            </w:pPr>
            <w:r>
              <w:rPr>
                <w:noProof/>
                <w:sz w:val="20"/>
                <w:szCs w:val="20"/>
              </w:rPr>
              <w:t>0,053</w:t>
            </w:r>
          </w:p>
        </w:tc>
        <w:tc>
          <w:tcPr>
            <w:tcW w:w="1080" w:type="dxa"/>
            <w:vAlign w:val="center"/>
          </w:tcPr>
          <w:p>
            <w:pPr>
              <w:spacing w:before="60" w:after="60"/>
              <w:jc w:val="right"/>
              <w:rPr>
                <w:rFonts w:eastAsia="Times New Roman"/>
                <w:noProof/>
                <w:sz w:val="20"/>
                <w:szCs w:val="20"/>
              </w:rPr>
            </w:pPr>
            <w:r>
              <w:rPr>
                <w:noProof/>
                <w:sz w:val="20"/>
                <w:szCs w:val="20"/>
              </w:rPr>
              <w:t>0,240</w:t>
            </w:r>
          </w:p>
        </w:tc>
        <w:tc>
          <w:tcPr>
            <w:tcW w:w="1080" w:type="dxa"/>
            <w:vAlign w:val="center"/>
          </w:tcPr>
          <w:p>
            <w:pPr>
              <w:spacing w:before="60" w:after="60"/>
              <w:jc w:val="right"/>
              <w:rPr>
                <w:rFonts w:eastAsia="Times New Roman"/>
                <w:noProof/>
                <w:sz w:val="20"/>
                <w:szCs w:val="20"/>
              </w:rPr>
            </w:pPr>
            <w:r>
              <w:rPr>
                <w:noProof/>
                <w:sz w:val="20"/>
                <w:szCs w:val="20"/>
              </w:rPr>
              <w:t>0,240</w:t>
            </w:r>
          </w:p>
        </w:tc>
        <w:tc>
          <w:tcPr>
            <w:tcW w:w="1080" w:type="dxa"/>
            <w:vAlign w:val="center"/>
          </w:tcPr>
          <w:p>
            <w:pPr>
              <w:spacing w:before="60" w:after="60"/>
              <w:jc w:val="right"/>
              <w:rPr>
                <w:rFonts w:eastAsia="Times New Roman"/>
                <w:noProof/>
                <w:sz w:val="20"/>
                <w:szCs w:val="20"/>
              </w:rPr>
            </w:pPr>
            <w:r>
              <w:rPr>
                <w:noProof/>
                <w:sz w:val="20"/>
                <w:szCs w:val="20"/>
              </w:rPr>
              <w:t>0,240</w:t>
            </w:r>
          </w:p>
        </w:tc>
        <w:tc>
          <w:tcPr>
            <w:tcW w:w="1080" w:type="dxa"/>
            <w:vAlign w:val="center"/>
          </w:tcPr>
          <w:p>
            <w:pPr>
              <w:spacing w:before="60" w:after="60"/>
              <w:jc w:val="right"/>
              <w:rPr>
                <w:rFonts w:eastAsia="Times New Roman"/>
                <w:noProof/>
                <w:sz w:val="20"/>
                <w:szCs w:val="20"/>
              </w:rPr>
            </w:pPr>
            <w:r>
              <w:rPr>
                <w:noProof/>
                <w:sz w:val="20"/>
                <w:szCs w:val="20"/>
              </w:rPr>
              <w:t>0,240</w:t>
            </w:r>
          </w:p>
        </w:tc>
        <w:tc>
          <w:tcPr>
            <w:tcW w:w="1080" w:type="dxa"/>
            <w:vAlign w:val="center"/>
          </w:tcPr>
          <w:p>
            <w:pPr>
              <w:spacing w:before="60" w:after="60"/>
              <w:jc w:val="right"/>
              <w:rPr>
                <w:rFonts w:eastAsia="Times New Roman"/>
                <w:noProof/>
                <w:sz w:val="20"/>
                <w:szCs w:val="20"/>
              </w:rPr>
            </w:pPr>
            <w:r>
              <w:rPr>
                <w:noProof/>
                <w:sz w:val="20"/>
                <w:szCs w:val="20"/>
              </w:rPr>
              <w:t>0,240</w:t>
            </w:r>
          </w:p>
        </w:tc>
        <w:tc>
          <w:tcPr>
            <w:tcW w:w="1080" w:type="dxa"/>
            <w:vAlign w:val="center"/>
          </w:tcPr>
          <w:p>
            <w:pPr>
              <w:spacing w:before="60" w:after="60"/>
              <w:jc w:val="right"/>
              <w:rPr>
                <w:rFonts w:eastAsia="Times New Roman"/>
                <w:b/>
                <w:noProof/>
                <w:sz w:val="20"/>
                <w:szCs w:val="20"/>
              </w:rPr>
            </w:pPr>
            <w:r>
              <w:rPr>
                <w:b/>
                <w:noProof/>
                <w:sz w:val="20"/>
                <w:szCs w:val="20"/>
              </w:rPr>
              <w:t>1,253</w:t>
            </w:r>
          </w:p>
        </w:tc>
      </w:tr>
      <w:tr>
        <w:trPr>
          <w:trHeight w:val="585"/>
        </w:trPr>
        <w:tc>
          <w:tcPr>
            <w:tcW w:w="1260" w:type="dxa"/>
            <w:shd w:val="clear" w:color="auto" w:fill="CCCCCC"/>
            <w:vAlign w:val="center"/>
          </w:tcPr>
          <w:p>
            <w:pPr>
              <w:spacing w:before="60" w:after="60"/>
              <w:jc w:val="center"/>
              <w:rPr>
                <w:rFonts w:eastAsia="Times New Roman"/>
                <w:noProof/>
              </w:rPr>
            </w:pPr>
            <w:r>
              <w:rPr>
                <w:noProof/>
                <w:sz w:val="18"/>
                <w:szCs w:val="18"/>
              </w:rPr>
              <w:t xml:space="preserve">Dočasní zaměstnanci </w:t>
            </w: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szCs w:val="20"/>
              </w:rPr>
            </w:pPr>
            <w:r>
              <w:rPr>
                <w:noProof/>
                <w:sz w:val="20"/>
                <w:szCs w:val="20"/>
              </w:rPr>
              <w:t>0,300</w:t>
            </w:r>
          </w:p>
        </w:tc>
        <w:tc>
          <w:tcPr>
            <w:tcW w:w="1080" w:type="dxa"/>
            <w:vAlign w:val="center"/>
          </w:tcPr>
          <w:p>
            <w:pPr>
              <w:spacing w:before="60" w:after="60"/>
              <w:jc w:val="right"/>
              <w:rPr>
                <w:rFonts w:eastAsia="Times New Roman"/>
                <w:noProof/>
                <w:sz w:val="20"/>
                <w:szCs w:val="20"/>
              </w:rPr>
            </w:pPr>
            <w:r>
              <w:rPr>
                <w:noProof/>
                <w:sz w:val="20"/>
                <w:szCs w:val="20"/>
              </w:rPr>
              <w:t>0,300</w:t>
            </w:r>
          </w:p>
        </w:tc>
        <w:tc>
          <w:tcPr>
            <w:tcW w:w="1080" w:type="dxa"/>
            <w:vAlign w:val="center"/>
          </w:tcPr>
          <w:p>
            <w:pPr>
              <w:spacing w:before="60" w:after="60"/>
              <w:jc w:val="right"/>
              <w:rPr>
                <w:rFonts w:eastAsia="Times New Roman"/>
                <w:noProof/>
                <w:sz w:val="20"/>
                <w:szCs w:val="20"/>
              </w:rPr>
            </w:pPr>
            <w:r>
              <w:rPr>
                <w:noProof/>
                <w:sz w:val="20"/>
                <w:szCs w:val="20"/>
              </w:rPr>
              <w:t>0,300</w:t>
            </w:r>
          </w:p>
        </w:tc>
        <w:tc>
          <w:tcPr>
            <w:tcW w:w="1080" w:type="dxa"/>
            <w:vAlign w:val="center"/>
          </w:tcPr>
          <w:p>
            <w:pPr>
              <w:spacing w:before="60" w:after="60"/>
              <w:jc w:val="right"/>
              <w:rPr>
                <w:rFonts w:eastAsia="Times New Roman"/>
                <w:noProof/>
                <w:sz w:val="20"/>
                <w:szCs w:val="20"/>
              </w:rPr>
            </w:pPr>
            <w:r>
              <w:rPr>
                <w:noProof/>
                <w:sz w:val="20"/>
                <w:szCs w:val="20"/>
              </w:rPr>
              <w:t>0,300</w:t>
            </w:r>
          </w:p>
        </w:tc>
        <w:tc>
          <w:tcPr>
            <w:tcW w:w="1080" w:type="dxa"/>
            <w:vAlign w:val="center"/>
          </w:tcPr>
          <w:p>
            <w:pPr>
              <w:spacing w:before="60" w:after="60"/>
              <w:jc w:val="right"/>
              <w:rPr>
                <w:rFonts w:eastAsia="Times New Roman"/>
                <w:noProof/>
                <w:sz w:val="20"/>
                <w:szCs w:val="20"/>
              </w:rPr>
            </w:pPr>
            <w:r>
              <w:rPr>
                <w:noProof/>
                <w:sz w:val="20"/>
                <w:szCs w:val="20"/>
              </w:rPr>
              <w:t>0,300</w:t>
            </w:r>
          </w:p>
        </w:tc>
        <w:tc>
          <w:tcPr>
            <w:tcW w:w="1080" w:type="dxa"/>
            <w:vAlign w:val="center"/>
          </w:tcPr>
          <w:p>
            <w:pPr>
              <w:spacing w:before="60" w:after="60"/>
              <w:jc w:val="right"/>
              <w:rPr>
                <w:rFonts w:eastAsia="Times New Roman"/>
                <w:b/>
                <w:noProof/>
                <w:sz w:val="20"/>
                <w:szCs w:val="20"/>
              </w:rPr>
            </w:pPr>
            <w:r>
              <w:rPr>
                <w:b/>
                <w:noProof/>
                <w:sz w:val="20"/>
                <w:szCs w:val="20"/>
              </w:rPr>
              <w:t>1,500</w:t>
            </w:r>
          </w:p>
        </w:tc>
      </w:tr>
      <w:tr>
        <w:trPr>
          <w:trHeight w:val="585"/>
        </w:trPr>
        <w:tc>
          <w:tcPr>
            <w:tcW w:w="1260" w:type="dxa"/>
            <w:shd w:val="clear" w:color="auto" w:fill="CCCCCC"/>
            <w:vAlign w:val="center"/>
          </w:tcPr>
          <w:p>
            <w:pPr>
              <w:spacing w:before="60" w:after="60"/>
              <w:jc w:val="center"/>
              <w:rPr>
                <w:rFonts w:eastAsia="Times New Roman"/>
                <w:noProof/>
              </w:rPr>
            </w:pPr>
            <w:r>
              <w:rPr>
                <w:noProof/>
                <w:sz w:val="18"/>
                <w:szCs w:val="18"/>
              </w:rPr>
              <w:t>Vyslaní národní odborníci</w:t>
            </w: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b/>
                <w:noProof/>
                <w:sz w:val="20"/>
                <w:lang w:eastAsia="en-GB"/>
              </w:rPr>
            </w:pPr>
          </w:p>
        </w:tc>
      </w:tr>
    </w:tbl>
    <w:p>
      <w:pPr>
        <w:rPr>
          <w:rFonts w:eastAsia="Times New Roman"/>
          <w:noProof/>
          <w:sz w:val="20"/>
          <w:lang w:eastAsia="en-GB"/>
        </w:rPr>
      </w:pPr>
    </w:p>
    <w:tbl>
      <w:tblPr>
        <w:tblW w:w="9900" w:type="dxa"/>
        <w:tblInd w:w="108" w:type="dxa"/>
        <w:tblLayout w:type="fixed"/>
        <w:tblLook w:val="01E0" w:firstRow="1" w:lastRow="1" w:firstColumn="1" w:lastColumn="1" w:noHBand="0" w:noVBand="0"/>
      </w:tblPr>
      <w:tblGrid>
        <w:gridCol w:w="1260"/>
        <w:gridCol w:w="1080"/>
        <w:gridCol w:w="1080"/>
        <w:gridCol w:w="1080"/>
        <w:gridCol w:w="1080"/>
        <w:gridCol w:w="1080"/>
        <w:gridCol w:w="1080"/>
        <w:gridCol w:w="1080"/>
        <w:gridCol w:w="1080"/>
      </w:tblGrid>
      <w:tr>
        <w:trPr>
          <w:trHeight w:val="585"/>
        </w:trPr>
        <w:tc>
          <w:tcPr>
            <w:tcW w:w="126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rFonts w:eastAsia="Times New Roman"/>
                <w:noProof/>
                <w:sz w:val="20"/>
                <w:szCs w:val="20"/>
              </w:rPr>
            </w:pPr>
            <w:r>
              <w:rPr>
                <w:b/>
                <w:noProof/>
                <w:sz w:val="20"/>
                <w:szCs w:val="20"/>
              </w:rPr>
              <w:t>CELKEM</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szCs w:val="20"/>
              </w:rPr>
            </w:pPr>
            <w:r>
              <w:rPr>
                <w:b/>
                <w:noProof/>
                <w:sz w:val="20"/>
                <w:szCs w:val="20"/>
              </w:rPr>
              <w:t>0,053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szCs w:val="20"/>
              </w:rPr>
            </w:pPr>
            <w:r>
              <w:rPr>
                <w:b/>
                <w:noProof/>
                <w:sz w:val="20"/>
                <w:szCs w:val="20"/>
              </w:rPr>
              <w:t>0,540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szCs w:val="20"/>
              </w:rPr>
            </w:pPr>
            <w:r>
              <w:rPr>
                <w:b/>
                <w:noProof/>
                <w:sz w:val="20"/>
                <w:szCs w:val="20"/>
              </w:rPr>
              <w:t>0,540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szCs w:val="20"/>
              </w:rPr>
            </w:pPr>
            <w:r>
              <w:rPr>
                <w:b/>
                <w:noProof/>
                <w:sz w:val="20"/>
                <w:szCs w:val="20"/>
              </w:rPr>
              <w:t>0,540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szCs w:val="20"/>
              </w:rPr>
            </w:pPr>
            <w:r>
              <w:rPr>
                <w:b/>
                <w:noProof/>
                <w:sz w:val="20"/>
                <w:szCs w:val="20"/>
              </w:rPr>
              <w:t>0,540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szCs w:val="20"/>
              </w:rPr>
            </w:pPr>
            <w:r>
              <w:rPr>
                <w:b/>
                <w:noProof/>
                <w:sz w:val="20"/>
                <w:szCs w:val="20"/>
              </w:rPr>
              <w:t>0,540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rFonts w:eastAsia="Times New Roman"/>
                <w:b/>
                <w:noProof/>
                <w:sz w:val="20"/>
                <w:szCs w:val="20"/>
              </w:rPr>
            </w:pPr>
            <w:r>
              <w:rPr>
                <w:b/>
                <w:noProof/>
                <w:sz w:val="20"/>
                <w:szCs w:val="20"/>
              </w:rPr>
              <w:t>2,753</w:t>
            </w:r>
          </w:p>
        </w:tc>
      </w:tr>
    </w:tbl>
    <w:p>
      <w:pPr>
        <w:rPr>
          <w:rFonts w:eastAsia="Times New Roman"/>
          <w:noProof/>
          <w:u w:val="single"/>
          <w:lang w:eastAsia="en-GB"/>
        </w:rPr>
      </w:pPr>
    </w:p>
    <w:p>
      <w:pPr>
        <w:pStyle w:val="Text1"/>
        <w:rPr>
          <w:rFonts w:eastAsia="Times New Roman"/>
          <w:noProof/>
        </w:rPr>
      </w:pPr>
      <w:r>
        <w:rPr>
          <w:noProof/>
        </w:rPr>
        <w:t>K plnění klíčových úkolů je navrženo pět interních zaměstnanců (dva dočasní a tři smluvní zaměstnanci). Pro systém e-CODEX je třeba mít k dispozici specializované sdružené zdroje, aby se zabránilo odebírání zdrojů činnostem v oblasti vnitřních věcí. Pro zúčastněné strany členských států je obzvláště citlivá otázka zajištění přidělení vyčleněných zdrojů systému e-CODEX.</w:t>
      </w:r>
    </w:p>
    <w:p>
      <w:pPr>
        <w:pStyle w:val="Text1"/>
        <w:rPr>
          <w:noProof/>
        </w:rPr>
      </w:pPr>
      <w:r>
        <w:rPr>
          <w:noProof/>
        </w:rPr>
        <w:t>S pomocí externích poskytovatelů služeb budou tyto zdroje schopny spravovat údržbu stávajícího systému, další vývoj systému e-CODEX a postupné rozšiřování jeho podpory o právní řízení v oblasti justiční spolupráce tempem jednoho až dvou ročně v závislosti na složitosti.</w:t>
      </w:r>
    </w:p>
    <w:p>
      <w:pPr>
        <w:rPr>
          <w:noProof/>
          <w:u w:val="single"/>
        </w:rPr>
      </w:pPr>
      <w:r>
        <w:rPr>
          <w:noProof/>
          <w:u w:val="single"/>
        </w:rPr>
        <w:t>Odhadovaný dopad na zaměstnance (další PPS) – plán pracovních míst</w:t>
      </w:r>
    </w:p>
    <w:tbl>
      <w:tblPr>
        <w:tblW w:w="9938" w:type="dxa"/>
        <w:tblInd w:w="93" w:type="dxa"/>
        <w:tblCellMar>
          <w:left w:w="0" w:type="dxa"/>
          <w:right w:w="0" w:type="dxa"/>
        </w:tblCellMar>
        <w:tblLook w:val="04A0" w:firstRow="1" w:lastRow="0" w:firstColumn="1" w:lastColumn="0" w:noHBand="0" w:noVBand="1"/>
      </w:tblPr>
      <w:tblGrid>
        <w:gridCol w:w="2465"/>
        <w:gridCol w:w="1101"/>
        <w:gridCol w:w="1085"/>
        <w:gridCol w:w="1085"/>
        <w:gridCol w:w="1085"/>
        <w:gridCol w:w="1085"/>
        <w:gridCol w:w="1085"/>
        <w:gridCol w:w="947"/>
      </w:tblGrid>
      <w:tr>
        <w:tc>
          <w:tcPr>
            <w:tcW w:w="2465"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Funkční skupina a třída</w:t>
            </w:r>
          </w:p>
        </w:tc>
        <w:tc>
          <w:tcPr>
            <w:tcW w:w="1101"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color w:val="000000"/>
                <w:sz w:val="22"/>
              </w:rPr>
            </w:pPr>
            <w:r>
              <w:rPr>
                <w:noProof/>
                <w:color w:val="000000"/>
                <w:sz w:val="22"/>
              </w:rPr>
              <w:t>2021</w:t>
            </w:r>
          </w:p>
        </w:tc>
        <w:tc>
          <w:tcPr>
            <w:tcW w:w="1085"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2"/>
              </w:rPr>
            </w:pPr>
            <w:r>
              <w:rPr>
                <w:noProof/>
                <w:color w:val="000000"/>
                <w:sz w:val="22"/>
              </w:rPr>
              <w:t>2022</w:t>
            </w:r>
          </w:p>
        </w:tc>
        <w:tc>
          <w:tcPr>
            <w:tcW w:w="1085"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2"/>
              </w:rPr>
            </w:pPr>
            <w:r>
              <w:rPr>
                <w:noProof/>
                <w:color w:val="000000"/>
                <w:sz w:val="22"/>
              </w:rPr>
              <w:t>2023</w:t>
            </w:r>
          </w:p>
        </w:tc>
        <w:tc>
          <w:tcPr>
            <w:tcW w:w="1085"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2"/>
              </w:rPr>
            </w:pPr>
            <w:r>
              <w:rPr>
                <w:noProof/>
                <w:color w:val="000000"/>
                <w:sz w:val="22"/>
              </w:rPr>
              <w:t>2024</w:t>
            </w:r>
          </w:p>
        </w:tc>
        <w:tc>
          <w:tcPr>
            <w:tcW w:w="1085"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2"/>
              </w:rPr>
            </w:pPr>
            <w:r>
              <w:rPr>
                <w:noProof/>
                <w:color w:val="000000"/>
                <w:sz w:val="22"/>
              </w:rPr>
              <w:t>2025</w:t>
            </w:r>
          </w:p>
        </w:tc>
        <w:tc>
          <w:tcPr>
            <w:tcW w:w="1085"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2"/>
              </w:rPr>
            </w:pPr>
            <w:r>
              <w:rPr>
                <w:noProof/>
                <w:color w:val="000000"/>
                <w:sz w:val="22"/>
              </w:rPr>
              <w:t>2026</w:t>
            </w:r>
          </w:p>
        </w:tc>
        <w:tc>
          <w:tcPr>
            <w:tcW w:w="947"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2"/>
              </w:rPr>
            </w:pPr>
            <w:r>
              <w:rPr>
                <w:noProof/>
                <w:color w:val="000000"/>
                <w:sz w:val="22"/>
              </w:rPr>
              <w:t>2027</w:t>
            </w:r>
          </w:p>
        </w:tc>
      </w:tr>
      <w:tr>
        <w:tc>
          <w:tcPr>
            <w:tcW w:w="2465"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AD (DZ)</w:t>
            </w:r>
          </w:p>
        </w:tc>
        <w:tc>
          <w:tcPr>
            <w:tcW w:w="1101" w:type="dxa"/>
            <w:tcBorders>
              <w:top w:val="single" w:sz="8" w:space="0" w:color="auto"/>
              <w:left w:val="single" w:sz="8" w:space="0" w:color="auto"/>
              <w:bottom w:val="single" w:sz="8" w:space="0" w:color="auto"/>
              <w:right w:val="single" w:sz="8" w:space="0" w:color="auto"/>
            </w:tcBorders>
            <w:vAlign w:val="center"/>
          </w:tcPr>
          <w:p>
            <w:pPr>
              <w:jc w:val="center"/>
              <w:rPr>
                <w:noProof/>
                <w:sz w:val="20"/>
                <w:szCs w:val="20"/>
              </w:rPr>
            </w:pPr>
            <w:r>
              <w:rPr>
                <w:noProof/>
                <w:sz w:val="20"/>
                <w:szCs w:val="20"/>
              </w:rPr>
              <w:t>0</w:t>
            </w:r>
          </w:p>
        </w:tc>
        <w:tc>
          <w:tcPr>
            <w:tcW w:w="1085" w:type="dxa"/>
            <w:tcBorders>
              <w:top w:val="single" w:sz="8" w:space="0" w:color="auto"/>
              <w:left w:val="single" w:sz="8" w:space="0" w:color="auto"/>
              <w:bottom w:val="single" w:sz="8" w:space="0" w:color="auto"/>
              <w:right w:val="single" w:sz="8" w:space="0" w:color="auto"/>
            </w:tcBorders>
            <w:vAlign w:val="center"/>
          </w:tcPr>
          <w:p>
            <w:pPr>
              <w:jc w:val="center"/>
              <w:rPr>
                <w:noProof/>
                <w:sz w:val="20"/>
                <w:szCs w:val="20"/>
              </w:rPr>
            </w:pPr>
            <w:r>
              <w:rPr>
                <w:noProof/>
                <w:sz w:val="20"/>
                <w:szCs w:val="20"/>
              </w:rPr>
              <w:t>0</w:t>
            </w:r>
          </w:p>
        </w:tc>
        <w:tc>
          <w:tcPr>
            <w:tcW w:w="1085" w:type="dxa"/>
            <w:tcBorders>
              <w:top w:val="single" w:sz="8" w:space="0" w:color="auto"/>
              <w:left w:val="single" w:sz="8" w:space="0" w:color="auto"/>
              <w:bottom w:val="single" w:sz="8" w:space="0" w:color="auto"/>
              <w:right w:val="single" w:sz="8" w:space="0" w:color="auto"/>
            </w:tcBorders>
            <w:vAlign w:val="center"/>
          </w:tcPr>
          <w:p>
            <w:pPr>
              <w:jc w:val="center"/>
              <w:rPr>
                <w:noProof/>
                <w:sz w:val="20"/>
                <w:szCs w:val="20"/>
              </w:rPr>
            </w:pPr>
            <w:r>
              <w:rPr>
                <w:noProof/>
                <w:sz w:val="20"/>
                <w:szCs w:val="20"/>
              </w:rPr>
              <w:t>2</w:t>
            </w:r>
          </w:p>
        </w:tc>
        <w:tc>
          <w:tcPr>
            <w:tcW w:w="1085" w:type="dxa"/>
            <w:tcBorders>
              <w:top w:val="single" w:sz="8" w:space="0" w:color="auto"/>
              <w:left w:val="single" w:sz="8" w:space="0" w:color="auto"/>
              <w:bottom w:val="single" w:sz="8" w:space="0" w:color="auto"/>
              <w:right w:val="single" w:sz="8" w:space="0" w:color="auto"/>
            </w:tcBorders>
            <w:vAlign w:val="center"/>
          </w:tcPr>
          <w:p>
            <w:pPr>
              <w:jc w:val="center"/>
              <w:rPr>
                <w:noProof/>
                <w:sz w:val="20"/>
                <w:szCs w:val="20"/>
              </w:rPr>
            </w:pPr>
            <w:r>
              <w:rPr>
                <w:noProof/>
                <w:sz w:val="20"/>
                <w:szCs w:val="20"/>
              </w:rPr>
              <w:t>2</w:t>
            </w:r>
          </w:p>
        </w:tc>
        <w:tc>
          <w:tcPr>
            <w:tcW w:w="1085" w:type="dxa"/>
            <w:tcBorders>
              <w:top w:val="single" w:sz="8" w:space="0" w:color="auto"/>
              <w:left w:val="single" w:sz="8" w:space="0" w:color="auto"/>
              <w:bottom w:val="single" w:sz="8" w:space="0" w:color="auto"/>
              <w:right w:val="single" w:sz="8" w:space="0" w:color="auto"/>
            </w:tcBorders>
            <w:vAlign w:val="center"/>
          </w:tcPr>
          <w:p>
            <w:pPr>
              <w:jc w:val="center"/>
              <w:rPr>
                <w:noProof/>
                <w:sz w:val="20"/>
                <w:szCs w:val="20"/>
              </w:rPr>
            </w:pPr>
            <w:r>
              <w:rPr>
                <w:noProof/>
                <w:sz w:val="20"/>
                <w:szCs w:val="20"/>
              </w:rPr>
              <w:t>2</w:t>
            </w:r>
          </w:p>
        </w:tc>
        <w:tc>
          <w:tcPr>
            <w:tcW w:w="1085" w:type="dxa"/>
            <w:tcBorders>
              <w:top w:val="single" w:sz="8" w:space="0" w:color="auto"/>
              <w:left w:val="single" w:sz="8" w:space="0" w:color="auto"/>
              <w:bottom w:val="single" w:sz="8" w:space="0" w:color="auto"/>
              <w:right w:val="single" w:sz="8" w:space="0" w:color="auto"/>
            </w:tcBorders>
            <w:vAlign w:val="center"/>
          </w:tcPr>
          <w:p>
            <w:pPr>
              <w:jc w:val="center"/>
              <w:rPr>
                <w:noProof/>
                <w:sz w:val="20"/>
                <w:szCs w:val="20"/>
              </w:rPr>
            </w:pPr>
            <w:r>
              <w:rPr>
                <w:noProof/>
                <w:sz w:val="20"/>
                <w:szCs w:val="20"/>
              </w:rPr>
              <w:t>2</w:t>
            </w:r>
          </w:p>
        </w:tc>
        <w:tc>
          <w:tcPr>
            <w:tcW w:w="947" w:type="dxa"/>
            <w:tcBorders>
              <w:top w:val="single" w:sz="8" w:space="0" w:color="auto"/>
              <w:left w:val="single" w:sz="8" w:space="0" w:color="auto"/>
              <w:bottom w:val="single" w:sz="8" w:space="0" w:color="auto"/>
              <w:right w:val="single" w:sz="8" w:space="0" w:color="auto"/>
            </w:tcBorders>
            <w:vAlign w:val="center"/>
          </w:tcPr>
          <w:p>
            <w:pPr>
              <w:jc w:val="center"/>
              <w:rPr>
                <w:noProof/>
                <w:sz w:val="20"/>
                <w:szCs w:val="20"/>
              </w:rPr>
            </w:pPr>
            <w:r>
              <w:rPr>
                <w:noProof/>
                <w:sz w:val="20"/>
                <w:szCs w:val="20"/>
              </w:rPr>
              <w:t>2</w:t>
            </w:r>
          </w:p>
        </w:tc>
      </w:tr>
      <w:tr>
        <w:tc>
          <w:tcPr>
            <w:tcW w:w="2465"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noProof/>
                <w:color w:val="000000"/>
              </w:rPr>
            </w:pPr>
            <w:r>
              <w:rPr>
                <w:noProof/>
                <w:color w:val="000000"/>
              </w:rPr>
              <w:t>CELKOVÝ SOUČET</w:t>
            </w:r>
          </w:p>
        </w:tc>
        <w:tc>
          <w:tcPr>
            <w:tcW w:w="1101" w:type="dxa"/>
            <w:tcBorders>
              <w:top w:val="single" w:sz="8" w:space="0" w:color="auto"/>
              <w:left w:val="single" w:sz="8" w:space="0" w:color="auto"/>
              <w:bottom w:val="single" w:sz="8" w:space="0" w:color="auto"/>
              <w:right w:val="single" w:sz="8" w:space="0" w:color="auto"/>
            </w:tcBorders>
            <w:vAlign w:val="center"/>
          </w:tcPr>
          <w:p>
            <w:pPr>
              <w:jc w:val="center"/>
              <w:rPr>
                <w:noProof/>
                <w:sz w:val="20"/>
                <w:szCs w:val="20"/>
              </w:rPr>
            </w:pPr>
            <w:r>
              <w:rPr>
                <w:noProof/>
                <w:sz w:val="20"/>
                <w:szCs w:val="20"/>
              </w:rPr>
              <w:t>0</w:t>
            </w:r>
          </w:p>
        </w:tc>
        <w:tc>
          <w:tcPr>
            <w:tcW w:w="1085" w:type="dxa"/>
            <w:tcBorders>
              <w:top w:val="single" w:sz="8" w:space="0" w:color="auto"/>
              <w:left w:val="single" w:sz="8" w:space="0" w:color="auto"/>
              <w:bottom w:val="single" w:sz="8" w:space="0" w:color="auto"/>
              <w:right w:val="single" w:sz="8" w:space="0" w:color="auto"/>
            </w:tcBorders>
            <w:vAlign w:val="center"/>
          </w:tcPr>
          <w:p>
            <w:pPr>
              <w:jc w:val="center"/>
              <w:rPr>
                <w:noProof/>
                <w:sz w:val="20"/>
                <w:szCs w:val="20"/>
              </w:rPr>
            </w:pPr>
            <w:r>
              <w:rPr>
                <w:noProof/>
                <w:sz w:val="20"/>
                <w:szCs w:val="20"/>
              </w:rPr>
              <w:t>0</w:t>
            </w:r>
          </w:p>
        </w:tc>
        <w:tc>
          <w:tcPr>
            <w:tcW w:w="1085" w:type="dxa"/>
            <w:tcBorders>
              <w:top w:val="single" w:sz="8" w:space="0" w:color="auto"/>
              <w:left w:val="single" w:sz="8" w:space="0" w:color="auto"/>
              <w:bottom w:val="single" w:sz="8" w:space="0" w:color="auto"/>
              <w:right w:val="single" w:sz="8" w:space="0" w:color="auto"/>
            </w:tcBorders>
            <w:vAlign w:val="center"/>
          </w:tcPr>
          <w:p>
            <w:pPr>
              <w:jc w:val="center"/>
              <w:rPr>
                <w:noProof/>
                <w:sz w:val="20"/>
                <w:szCs w:val="20"/>
              </w:rPr>
            </w:pPr>
            <w:r>
              <w:rPr>
                <w:noProof/>
                <w:sz w:val="20"/>
                <w:szCs w:val="20"/>
              </w:rPr>
              <w:t>2</w:t>
            </w:r>
          </w:p>
        </w:tc>
        <w:tc>
          <w:tcPr>
            <w:tcW w:w="1085" w:type="dxa"/>
            <w:tcBorders>
              <w:top w:val="single" w:sz="8" w:space="0" w:color="auto"/>
              <w:left w:val="single" w:sz="8" w:space="0" w:color="auto"/>
              <w:bottom w:val="single" w:sz="8" w:space="0" w:color="auto"/>
              <w:right w:val="single" w:sz="8" w:space="0" w:color="auto"/>
            </w:tcBorders>
            <w:vAlign w:val="center"/>
          </w:tcPr>
          <w:p>
            <w:pPr>
              <w:jc w:val="center"/>
              <w:rPr>
                <w:noProof/>
                <w:sz w:val="20"/>
                <w:szCs w:val="20"/>
              </w:rPr>
            </w:pPr>
            <w:r>
              <w:rPr>
                <w:noProof/>
                <w:sz w:val="20"/>
                <w:szCs w:val="20"/>
              </w:rPr>
              <w:t>2</w:t>
            </w:r>
          </w:p>
        </w:tc>
        <w:tc>
          <w:tcPr>
            <w:tcW w:w="1085" w:type="dxa"/>
            <w:tcBorders>
              <w:top w:val="single" w:sz="8" w:space="0" w:color="auto"/>
              <w:left w:val="single" w:sz="8" w:space="0" w:color="auto"/>
              <w:bottom w:val="single" w:sz="8" w:space="0" w:color="auto"/>
              <w:right w:val="single" w:sz="8" w:space="0" w:color="auto"/>
            </w:tcBorders>
            <w:vAlign w:val="center"/>
          </w:tcPr>
          <w:p>
            <w:pPr>
              <w:jc w:val="center"/>
              <w:rPr>
                <w:noProof/>
                <w:sz w:val="20"/>
                <w:szCs w:val="20"/>
              </w:rPr>
            </w:pPr>
            <w:r>
              <w:rPr>
                <w:noProof/>
                <w:sz w:val="20"/>
                <w:szCs w:val="20"/>
              </w:rPr>
              <w:t>2</w:t>
            </w:r>
          </w:p>
        </w:tc>
        <w:tc>
          <w:tcPr>
            <w:tcW w:w="1085" w:type="dxa"/>
            <w:tcBorders>
              <w:top w:val="single" w:sz="8" w:space="0" w:color="auto"/>
              <w:left w:val="single" w:sz="8" w:space="0" w:color="auto"/>
              <w:bottom w:val="single" w:sz="8" w:space="0" w:color="auto"/>
              <w:right w:val="single" w:sz="8" w:space="0" w:color="auto"/>
            </w:tcBorders>
            <w:vAlign w:val="center"/>
          </w:tcPr>
          <w:p>
            <w:pPr>
              <w:jc w:val="center"/>
              <w:rPr>
                <w:noProof/>
                <w:sz w:val="20"/>
                <w:szCs w:val="20"/>
              </w:rPr>
            </w:pPr>
            <w:r>
              <w:rPr>
                <w:noProof/>
                <w:sz w:val="20"/>
                <w:szCs w:val="20"/>
              </w:rPr>
              <w:t>2</w:t>
            </w:r>
          </w:p>
        </w:tc>
        <w:tc>
          <w:tcPr>
            <w:tcW w:w="947" w:type="dxa"/>
            <w:tcBorders>
              <w:top w:val="single" w:sz="8" w:space="0" w:color="auto"/>
              <w:left w:val="single" w:sz="8" w:space="0" w:color="auto"/>
              <w:bottom w:val="single" w:sz="8" w:space="0" w:color="auto"/>
              <w:right w:val="single" w:sz="8" w:space="0" w:color="auto"/>
            </w:tcBorders>
            <w:vAlign w:val="center"/>
          </w:tcPr>
          <w:p>
            <w:pPr>
              <w:jc w:val="center"/>
              <w:rPr>
                <w:noProof/>
                <w:sz w:val="20"/>
                <w:szCs w:val="20"/>
              </w:rPr>
            </w:pPr>
            <w:r>
              <w:rPr>
                <w:noProof/>
                <w:sz w:val="20"/>
                <w:szCs w:val="20"/>
              </w:rPr>
              <w:t>2</w:t>
            </w:r>
          </w:p>
        </w:tc>
      </w:tr>
    </w:tbl>
    <w:p>
      <w:pPr>
        <w:rPr>
          <w:noProof/>
        </w:rPr>
      </w:pPr>
    </w:p>
    <w:p>
      <w:pPr>
        <w:rPr>
          <w:rFonts w:eastAsia="Times New Roman"/>
          <w:noProof/>
          <w:u w:val="single"/>
        </w:rPr>
      </w:pPr>
      <w:r>
        <w:rPr>
          <w:noProof/>
          <w:u w:val="single"/>
        </w:rPr>
        <w:t>Odhadovaný dopad na zaměstnance (další) – externí zaměstnanci</w:t>
      </w:r>
    </w:p>
    <w:tbl>
      <w:tblPr>
        <w:tblW w:w="9864" w:type="dxa"/>
        <w:tblInd w:w="93" w:type="dxa"/>
        <w:tblCellMar>
          <w:left w:w="0" w:type="dxa"/>
          <w:right w:w="0" w:type="dxa"/>
        </w:tblCellMar>
        <w:tblLook w:val="04A0" w:firstRow="1" w:lastRow="0" w:firstColumn="1" w:lastColumn="0" w:noHBand="0" w:noVBand="1"/>
      </w:tblPr>
      <w:tblGrid>
        <w:gridCol w:w="2413"/>
        <w:gridCol w:w="1079"/>
        <w:gridCol w:w="1062"/>
        <w:gridCol w:w="1062"/>
        <w:gridCol w:w="1062"/>
        <w:gridCol w:w="1062"/>
        <w:gridCol w:w="1062"/>
        <w:gridCol w:w="1062"/>
      </w:tblGrid>
      <w:tr>
        <w:trPr>
          <w:trHeight w:val="268"/>
        </w:trPr>
        <w:tc>
          <w:tcPr>
            <w:tcW w:w="2413"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noProof/>
                <w:color w:val="000000"/>
                <w:sz w:val="22"/>
              </w:rPr>
            </w:pPr>
            <w:r>
              <w:rPr>
                <w:noProof/>
                <w:color w:val="000000"/>
              </w:rPr>
              <w:t>Smluvní zaměstnanci</w:t>
            </w:r>
          </w:p>
        </w:tc>
        <w:tc>
          <w:tcPr>
            <w:tcW w:w="1079"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color w:val="000000"/>
                <w:sz w:val="22"/>
              </w:rPr>
            </w:pPr>
            <w:r>
              <w:rPr>
                <w:noProof/>
                <w:color w:val="000000"/>
                <w:sz w:val="22"/>
              </w:rPr>
              <w:t>2021</w:t>
            </w:r>
          </w:p>
        </w:tc>
        <w:tc>
          <w:tcPr>
            <w:tcW w:w="1062"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2"/>
              </w:rPr>
            </w:pPr>
            <w:r>
              <w:rPr>
                <w:noProof/>
                <w:color w:val="000000"/>
                <w:sz w:val="22"/>
              </w:rPr>
              <w:t>2022</w:t>
            </w:r>
          </w:p>
        </w:tc>
        <w:tc>
          <w:tcPr>
            <w:tcW w:w="1062"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2"/>
              </w:rPr>
            </w:pPr>
            <w:r>
              <w:rPr>
                <w:noProof/>
                <w:color w:val="000000"/>
                <w:sz w:val="22"/>
              </w:rPr>
              <w:t>2023</w:t>
            </w:r>
          </w:p>
        </w:tc>
        <w:tc>
          <w:tcPr>
            <w:tcW w:w="1062"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2"/>
              </w:rPr>
            </w:pPr>
            <w:r>
              <w:rPr>
                <w:noProof/>
                <w:color w:val="000000"/>
                <w:sz w:val="22"/>
              </w:rPr>
              <w:t>2024</w:t>
            </w:r>
          </w:p>
        </w:tc>
        <w:tc>
          <w:tcPr>
            <w:tcW w:w="1062"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2"/>
              </w:rPr>
            </w:pPr>
            <w:r>
              <w:rPr>
                <w:noProof/>
                <w:color w:val="000000"/>
                <w:sz w:val="22"/>
              </w:rPr>
              <w:t>2025</w:t>
            </w:r>
          </w:p>
        </w:tc>
        <w:tc>
          <w:tcPr>
            <w:tcW w:w="1062"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2"/>
              </w:rPr>
            </w:pPr>
            <w:r>
              <w:rPr>
                <w:noProof/>
                <w:color w:val="000000"/>
                <w:sz w:val="22"/>
              </w:rPr>
              <w:t>2026</w:t>
            </w:r>
          </w:p>
        </w:tc>
        <w:tc>
          <w:tcPr>
            <w:tcW w:w="1062"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2"/>
              </w:rPr>
            </w:pPr>
            <w:r>
              <w:rPr>
                <w:noProof/>
                <w:color w:val="000000"/>
                <w:sz w:val="22"/>
              </w:rPr>
              <w:t>2027</w:t>
            </w:r>
          </w:p>
        </w:tc>
      </w:tr>
      <w:tr>
        <w:trPr>
          <w:trHeight w:val="268"/>
        </w:trPr>
        <w:tc>
          <w:tcPr>
            <w:tcW w:w="2413"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noProof/>
                <w:color w:val="000000"/>
                <w:sz w:val="22"/>
              </w:rPr>
            </w:pPr>
            <w:r>
              <w:rPr>
                <w:noProof/>
                <w:color w:val="000000"/>
              </w:rPr>
              <w:t>Funkční skupina IV</w:t>
            </w:r>
          </w:p>
        </w:tc>
        <w:tc>
          <w:tcPr>
            <w:tcW w:w="1079" w:type="dxa"/>
            <w:tcBorders>
              <w:top w:val="nil"/>
              <w:left w:val="single" w:sz="8" w:space="0" w:color="auto"/>
              <w:bottom w:val="nil"/>
              <w:right w:val="single" w:sz="8" w:space="0" w:color="auto"/>
            </w:tcBorders>
            <w:vAlign w:val="center"/>
          </w:tcPr>
          <w:p>
            <w:pPr>
              <w:jc w:val="center"/>
              <w:rPr>
                <w:rFonts w:eastAsia="Times New Roman"/>
                <w:noProof/>
                <w:color w:val="000000"/>
              </w:rPr>
            </w:pPr>
            <w:r>
              <w:rPr>
                <w:noProof/>
                <w:color w:val="000000"/>
              </w:rPr>
              <w:t>0</w:t>
            </w:r>
          </w:p>
        </w:tc>
        <w:tc>
          <w:tcPr>
            <w:tcW w:w="1062" w:type="dxa"/>
            <w:tcBorders>
              <w:top w:val="nil"/>
              <w:left w:val="single" w:sz="8" w:space="0" w:color="auto"/>
              <w:bottom w:val="nil"/>
              <w:right w:val="single" w:sz="8" w:space="0" w:color="auto"/>
            </w:tcBorders>
            <w:vAlign w:val="center"/>
          </w:tcPr>
          <w:p>
            <w:pPr>
              <w:jc w:val="center"/>
              <w:rPr>
                <w:rFonts w:eastAsia="Times New Roman"/>
                <w:noProof/>
                <w:color w:val="000000"/>
              </w:rPr>
            </w:pPr>
            <w:r>
              <w:rPr>
                <w:noProof/>
                <w:color w:val="000000"/>
              </w:rPr>
              <w:t>2</w:t>
            </w:r>
            <w:r>
              <w:rPr>
                <w:rStyle w:val="FootnoteReference"/>
                <w:rFonts w:eastAsia="Times New Roman"/>
                <w:noProof/>
                <w:color w:val="000000"/>
                <w:lang w:eastAsia="en-GB"/>
              </w:rPr>
              <w:footnoteReference w:id="51"/>
            </w:r>
          </w:p>
        </w:tc>
        <w:tc>
          <w:tcPr>
            <w:tcW w:w="1062" w:type="dxa"/>
            <w:tcBorders>
              <w:top w:val="nil"/>
              <w:left w:val="single" w:sz="8" w:space="0" w:color="auto"/>
              <w:bottom w:val="nil"/>
              <w:right w:val="single" w:sz="8" w:space="0" w:color="auto"/>
            </w:tcBorders>
            <w:vAlign w:val="center"/>
          </w:tcPr>
          <w:p>
            <w:pPr>
              <w:jc w:val="center"/>
              <w:rPr>
                <w:rFonts w:eastAsia="Times New Roman"/>
                <w:noProof/>
                <w:color w:val="000000"/>
              </w:rPr>
            </w:pPr>
            <w:r>
              <w:rPr>
                <w:noProof/>
                <w:color w:val="000000"/>
              </w:rPr>
              <w:t>3</w:t>
            </w:r>
          </w:p>
        </w:tc>
        <w:tc>
          <w:tcPr>
            <w:tcW w:w="1062" w:type="dxa"/>
            <w:tcBorders>
              <w:top w:val="nil"/>
              <w:left w:val="single" w:sz="8" w:space="0" w:color="auto"/>
              <w:bottom w:val="nil"/>
              <w:right w:val="single" w:sz="8" w:space="0" w:color="auto"/>
            </w:tcBorders>
            <w:vAlign w:val="center"/>
          </w:tcPr>
          <w:p>
            <w:pPr>
              <w:jc w:val="center"/>
              <w:rPr>
                <w:rFonts w:eastAsia="Times New Roman"/>
                <w:noProof/>
                <w:color w:val="000000"/>
              </w:rPr>
            </w:pPr>
            <w:r>
              <w:rPr>
                <w:noProof/>
                <w:color w:val="000000"/>
              </w:rPr>
              <w:t>3</w:t>
            </w:r>
          </w:p>
        </w:tc>
        <w:tc>
          <w:tcPr>
            <w:tcW w:w="1062" w:type="dxa"/>
            <w:tcBorders>
              <w:top w:val="nil"/>
              <w:left w:val="single" w:sz="8" w:space="0" w:color="auto"/>
              <w:bottom w:val="nil"/>
              <w:right w:val="single" w:sz="8" w:space="0" w:color="auto"/>
            </w:tcBorders>
            <w:vAlign w:val="center"/>
          </w:tcPr>
          <w:p>
            <w:pPr>
              <w:jc w:val="center"/>
              <w:rPr>
                <w:rFonts w:eastAsia="Times New Roman"/>
                <w:noProof/>
                <w:color w:val="000000"/>
              </w:rPr>
            </w:pPr>
            <w:r>
              <w:rPr>
                <w:noProof/>
                <w:color w:val="000000"/>
              </w:rPr>
              <w:t>3</w:t>
            </w:r>
          </w:p>
        </w:tc>
        <w:tc>
          <w:tcPr>
            <w:tcW w:w="1062" w:type="dxa"/>
            <w:tcBorders>
              <w:top w:val="nil"/>
              <w:left w:val="single" w:sz="8" w:space="0" w:color="auto"/>
              <w:bottom w:val="nil"/>
              <w:right w:val="single" w:sz="8" w:space="0" w:color="auto"/>
            </w:tcBorders>
            <w:vAlign w:val="center"/>
          </w:tcPr>
          <w:p>
            <w:pPr>
              <w:jc w:val="center"/>
              <w:rPr>
                <w:rFonts w:eastAsia="Times New Roman"/>
                <w:noProof/>
                <w:color w:val="000000"/>
              </w:rPr>
            </w:pPr>
            <w:r>
              <w:rPr>
                <w:noProof/>
                <w:color w:val="000000"/>
              </w:rPr>
              <w:t>3</w:t>
            </w:r>
          </w:p>
        </w:tc>
        <w:tc>
          <w:tcPr>
            <w:tcW w:w="1062" w:type="dxa"/>
            <w:tcBorders>
              <w:top w:val="nil"/>
              <w:left w:val="single" w:sz="8" w:space="0" w:color="auto"/>
              <w:bottom w:val="nil"/>
              <w:right w:val="single" w:sz="8" w:space="0" w:color="auto"/>
            </w:tcBorders>
            <w:vAlign w:val="center"/>
          </w:tcPr>
          <w:p>
            <w:pPr>
              <w:jc w:val="center"/>
              <w:rPr>
                <w:rFonts w:eastAsia="Times New Roman"/>
                <w:noProof/>
                <w:color w:val="000000"/>
              </w:rPr>
            </w:pPr>
            <w:r>
              <w:rPr>
                <w:noProof/>
                <w:color w:val="000000"/>
              </w:rPr>
              <w:t>3</w:t>
            </w:r>
          </w:p>
        </w:tc>
      </w:tr>
      <w:tr>
        <w:trPr>
          <w:trHeight w:val="268"/>
        </w:trPr>
        <w:tc>
          <w:tcPr>
            <w:tcW w:w="2413"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noProof/>
                <w:color w:val="000000"/>
                <w:sz w:val="22"/>
              </w:rPr>
            </w:pPr>
            <w:r>
              <w:rPr>
                <w:noProof/>
                <w:color w:val="000000"/>
              </w:rPr>
              <w:t>Celkem</w:t>
            </w:r>
          </w:p>
        </w:tc>
        <w:tc>
          <w:tcPr>
            <w:tcW w:w="1079"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color w:val="000000"/>
              </w:rPr>
              <w:t>0</w:t>
            </w:r>
          </w:p>
        </w:tc>
        <w:tc>
          <w:tcPr>
            <w:tcW w:w="106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color w:val="000000"/>
              </w:rPr>
              <w:t>2</w:t>
            </w:r>
          </w:p>
        </w:tc>
        <w:tc>
          <w:tcPr>
            <w:tcW w:w="106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color w:val="000000"/>
              </w:rPr>
              <w:t>3</w:t>
            </w:r>
          </w:p>
        </w:tc>
        <w:tc>
          <w:tcPr>
            <w:tcW w:w="106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color w:val="000000"/>
              </w:rPr>
              <w:t>3</w:t>
            </w:r>
          </w:p>
        </w:tc>
        <w:tc>
          <w:tcPr>
            <w:tcW w:w="106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color w:val="000000"/>
              </w:rPr>
              <w:t>3</w:t>
            </w:r>
          </w:p>
        </w:tc>
        <w:tc>
          <w:tcPr>
            <w:tcW w:w="106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color w:val="000000"/>
              </w:rPr>
              <w:t>3</w:t>
            </w:r>
          </w:p>
        </w:tc>
        <w:tc>
          <w:tcPr>
            <w:tcW w:w="106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color w:val="000000"/>
              </w:rPr>
              <w:t>3</w:t>
            </w:r>
          </w:p>
        </w:tc>
      </w:tr>
    </w:tbl>
    <w:p>
      <w:pPr>
        <w:pStyle w:val="Text1"/>
        <w:rPr>
          <w:noProof/>
        </w:rPr>
      </w:pPr>
      <w:r>
        <w:rPr>
          <w:noProof/>
        </w:rPr>
        <w:t>Po přijetí nařízení očekávaném do 1. ledna 2022 bude třeba dokončit nábor klíčových zaměstnanců do 1. ledna 2023 a nábor zbývajících zaměstnanců do 1. července 2023. Klíčoví zaměstnanci budou pracovat na zajištění úspěšného převzetí systému e-CODEX od konsorcia členských států v období od 1. ledna do 1. července 2023. Od 1. července 2023 bude agentura výlučně odpovědná za všechny činnosti stanovené v článku 6 nařízení.</w:t>
      </w:r>
    </w:p>
    <w:p>
      <w:pPr>
        <w:pStyle w:val="Text1"/>
        <w:rPr>
          <w:rFonts w:eastAsiaTheme="majorEastAsia"/>
          <w:b/>
          <w:noProof/>
        </w:rPr>
      </w:pPr>
      <w:r>
        <w:rPr>
          <w:b/>
          <w:noProof/>
        </w:rPr>
        <w:t>Shrnutí GŘ pro spravedlnost a spotřebitele</w:t>
      </w:r>
    </w:p>
    <w:p>
      <w:pPr>
        <w:pStyle w:val="ListDash1"/>
        <w:rPr>
          <w:noProof/>
        </w:rPr>
      </w:pPr>
      <w:r>
        <w:rPr>
          <w:noProof/>
        </w:rPr>
        <w:sym w:font="Wingdings" w:char="F0A8"/>
      </w:r>
      <w:r>
        <w:rPr>
          <w:noProof/>
        </w:rPr>
        <w:tab/>
        <w:t xml:space="preserve">Návrh/podnět nevyžaduje využití lidských zdrojů. </w:t>
      </w:r>
    </w:p>
    <w:p>
      <w:pPr>
        <w:pStyle w:val="ListDash1"/>
        <w:rPr>
          <w:noProof/>
        </w:rPr>
      </w:pPr>
      <w:r>
        <w:rPr>
          <w:noProof/>
        </w:rPr>
        <w:sym w:font="Wingdings" w:char="F078"/>
      </w:r>
      <w:r>
        <w:rPr>
          <w:noProof/>
        </w:rPr>
        <w:tab/>
        <w:t>Návrh/podnět vyžaduje využití lidských zdrojů, jak je vysvětleno dále:</w:t>
      </w:r>
    </w:p>
    <w:p>
      <w:pPr>
        <w:spacing w:after="60"/>
        <w:jc w:val="right"/>
        <w:rPr>
          <w:i/>
          <w:noProof/>
          <w:sz w:val="20"/>
          <w:szCs w:val="20"/>
        </w:rPr>
      </w:pPr>
      <w:r>
        <w:rPr>
          <w:i/>
          <w:noProof/>
          <w:sz w:val="20"/>
          <w:szCs w:val="20"/>
        </w:rPr>
        <w:t>Odhad vyjádřete v přepočtu na plné pracovní úvazky</w:t>
      </w:r>
    </w:p>
    <w:tbl>
      <w:tblPr>
        <w:tblW w:w="4997"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84"/>
        <w:gridCol w:w="1433"/>
        <w:gridCol w:w="906"/>
        <w:gridCol w:w="1039"/>
        <w:gridCol w:w="906"/>
        <w:gridCol w:w="1039"/>
        <w:gridCol w:w="1038"/>
        <w:gridCol w:w="911"/>
        <w:gridCol w:w="1025"/>
      </w:tblGrid>
      <w:tr>
        <w:trPr>
          <w:trHeight w:val="282"/>
        </w:trPr>
        <w:tc>
          <w:tcPr>
            <w:tcW w:w="1302" w:type="pct"/>
            <w:gridSpan w:val="2"/>
            <w:vAlign w:val="center"/>
          </w:tcPr>
          <w:p>
            <w:pPr>
              <w:spacing w:before="40" w:after="40"/>
              <w:jc w:val="center"/>
              <w:rPr>
                <w:i/>
                <w:noProof/>
                <w:sz w:val="16"/>
                <w:szCs w:val="16"/>
              </w:rPr>
            </w:pPr>
            <w:r>
              <w:rPr>
                <w:b/>
                <w:noProof/>
                <w:sz w:val="16"/>
                <w:szCs w:val="16"/>
              </w:rPr>
              <w:t>Roky</w:t>
            </w:r>
          </w:p>
        </w:tc>
        <w:tc>
          <w:tcPr>
            <w:tcW w:w="488" w:type="pct"/>
            <w:shd w:val="clear" w:color="auto" w:fill="auto"/>
            <w:vAlign w:val="center"/>
          </w:tcPr>
          <w:p>
            <w:pPr>
              <w:spacing w:before="20" w:after="20"/>
              <w:jc w:val="center"/>
              <w:rPr>
                <w:b/>
                <w:noProof/>
                <w:sz w:val="16"/>
                <w:szCs w:val="16"/>
              </w:rPr>
            </w:pPr>
            <w:r>
              <w:rPr>
                <w:b/>
                <w:noProof/>
                <w:sz w:val="20"/>
                <w:szCs w:val="20"/>
              </w:rPr>
              <w:t>2021</w:t>
            </w:r>
          </w:p>
        </w:tc>
        <w:tc>
          <w:tcPr>
            <w:tcW w:w="560" w:type="pct"/>
            <w:shd w:val="clear" w:color="auto" w:fill="auto"/>
            <w:vAlign w:val="center"/>
          </w:tcPr>
          <w:p>
            <w:pPr>
              <w:spacing w:before="20" w:after="20"/>
              <w:jc w:val="center"/>
              <w:rPr>
                <w:b/>
                <w:noProof/>
                <w:sz w:val="20"/>
                <w:szCs w:val="20"/>
              </w:rPr>
            </w:pPr>
            <w:r>
              <w:rPr>
                <w:b/>
                <w:noProof/>
                <w:sz w:val="20"/>
                <w:szCs w:val="20"/>
              </w:rPr>
              <w:t>2022</w:t>
            </w:r>
          </w:p>
        </w:tc>
        <w:tc>
          <w:tcPr>
            <w:tcW w:w="488" w:type="pct"/>
            <w:shd w:val="clear" w:color="auto" w:fill="auto"/>
            <w:vAlign w:val="center"/>
          </w:tcPr>
          <w:p>
            <w:pPr>
              <w:spacing w:before="20" w:after="20"/>
              <w:jc w:val="center"/>
              <w:rPr>
                <w:b/>
                <w:noProof/>
                <w:sz w:val="20"/>
                <w:szCs w:val="20"/>
              </w:rPr>
            </w:pPr>
            <w:r>
              <w:rPr>
                <w:b/>
                <w:noProof/>
                <w:sz w:val="20"/>
                <w:szCs w:val="20"/>
              </w:rPr>
              <w:t>2023</w:t>
            </w:r>
          </w:p>
        </w:tc>
        <w:tc>
          <w:tcPr>
            <w:tcW w:w="560" w:type="pct"/>
            <w:shd w:val="clear" w:color="auto" w:fill="auto"/>
            <w:vAlign w:val="center"/>
          </w:tcPr>
          <w:p>
            <w:pPr>
              <w:spacing w:before="20" w:after="20"/>
              <w:jc w:val="center"/>
              <w:rPr>
                <w:b/>
                <w:noProof/>
                <w:sz w:val="20"/>
                <w:szCs w:val="20"/>
              </w:rPr>
            </w:pPr>
            <w:r>
              <w:rPr>
                <w:b/>
                <w:noProof/>
                <w:sz w:val="20"/>
                <w:szCs w:val="20"/>
              </w:rPr>
              <w:t>2024</w:t>
            </w:r>
          </w:p>
        </w:tc>
        <w:tc>
          <w:tcPr>
            <w:tcW w:w="559" w:type="pct"/>
            <w:shd w:val="clear" w:color="auto" w:fill="auto"/>
            <w:vAlign w:val="center"/>
          </w:tcPr>
          <w:p>
            <w:pPr>
              <w:jc w:val="center"/>
              <w:rPr>
                <w:b/>
                <w:noProof/>
                <w:sz w:val="20"/>
                <w:szCs w:val="20"/>
              </w:rPr>
            </w:pPr>
            <w:r>
              <w:rPr>
                <w:b/>
                <w:noProof/>
                <w:sz w:val="20"/>
                <w:szCs w:val="20"/>
              </w:rPr>
              <w:t>2025</w:t>
            </w:r>
          </w:p>
        </w:tc>
        <w:tc>
          <w:tcPr>
            <w:tcW w:w="491" w:type="pct"/>
            <w:shd w:val="clear" w:color="auto" w:fill="auto"/>
            <w:vAlign w:val="center"/>
          </w:tcPr>
          <w:p>
            <w:pPr>
              <w:jc w:val="center"/>
              <w:rPr>
                <w:b/>
                <w:noProof/>
                <w:sz w:val="20"/>
                <w:szCs w:val="20"/>
              </w:rPr>
            </w:pPr>
            <w:r>
              <w:rPr>
                <w:b/>
                <w:noProof/>
                <w:sz w:val="20"/>
                <w:szCs w:val="20"/>
              </w:rPr>
              <w:t>2026</w:t>
            </w:r>
          </w:p>
        </w:tc>
        <w:tc>
          <w:tcPr>
            <w:tcW w:w="552" w:type="pct"/>
            <w:shd w:val="clear" w:color="auto" w:fill="auto"/>
            <w:vAlign w:val="center"/>
          </w:tcPr>
          <w:p>
            <w:pPr>
              <w:jc w:val="center"/>
              <w:rPr>
                <w:b/>
                <w:noProof/>
                <w:sz w:val="20"/>
                <w:szCs w:val="20"/>
              </w:rPr>
            </w:pPr>
            <w:r>
              <w:rPr>
                <w:b/>
                <w:noProof/>
                <w:sz w:val="20"/>
                <w:szCs w:val="20"/>
              </w:rPr>
              <w:t>2027</w:t>
            </w:r>
          </w:p>
        </w:tc>
      </w:tr>
      <w:tr>
        <w:trPr>
          <w:trHeight w:val="282"/>
        </w:trPr>
        <w:tc>
          <w:tcPr>
            <w:tcW w:w="5000" w:type="pct"/>
            <w:gridSpan w:val="9"/>
          </w:tcPr>
          <w:p>
            <w:pPr>
              <w:jc w:val="left"/>
              <w:rPr>
                <w:noProof/>
                <w:sz w:val="16"/>
                <w:szCs w:val="16"/>
              </w:rPr>
            </w:pPr>
            <w:r>
              <w:rPr>
                <w:b/>
                <w:noProof/>
                <w:sz w:val="16"/>
              </w:rPr>
              <w:sym w:font="Wingdings" w:char="F09F"/>
            </w:r>
            <w:r>
              <w:rPr>
                <w:b/>
                <w:noProof/>
                <w:sz w:val="16"/>
                <w:szCs w:val="16"/>
              </w:rPr>
              <w:t xml:space="preserve"> Pracovní místa podle plánu pracovních míst (místa úředníků a dočasných zaměstnanců)</w:t>
            </w:r>
          </w:p>
        </w:tc>
      </w:tr>
      <w:tr>
        <w:trPr>
          <w:trHeight w:val="282"/>
        </w:trPr>
        <w:tc>
          <w:tcPr>
            <w:tcW w:w="1302" w:type="pct"/>
            <w:gridSpan w:val="2"/>
          </w:tcPr>
          <w:p>
            <w:pPr>
              <w:spacing w:beforeLines="20" w:before="48" w:afterLines="20" w:after="48"/>
              <w:ind w:left="134"/>
              <w:jc w:val="left"/>
              <w:rPr>
                <w:b/>
                <w:noProof/>
                <w:sz w:val="16"/>
                <w:szCs w:val="16"/>
              </w:rPr>
            </w:pPr>
            <w:r>
              <w:rPr>
                <w:noProof/>
                <w:sz w:val="16"/>
                <w:szCs w:val="16"/>
              </w:rPr>
              <w:t>V ústředí a v zastoupeních Komise</w:t>
            </w:r>
          </w:p>
        </w:tc>
        <w:tc>
          <w:tcPr>
            <w:tcW w:w="488" w:type="pct"/>
            <w:shd w:val="clear" w:color="auto" w:fill="auto"/>
            <w:vAlign w:val="center"/>
          </w:tcPr>
          <w:p>
            <w:pPr>
              <w:spacing w:beforeLines="20" w:before="48" w:afterLines="20" w:after="48"/>
              <w:jc w:val="center"/>
              <w:rPr>
                <w:noProof/>
                <w:sz w:val="16"/>
                <w:szCs w:val="16"/>
              </w:rPr>
            </w:pPr>
          </w:p>
        </w:tc>
        <w:tc>
          <w:tcPr>
            <w:tcW w:w="560" w:type="pct"/>
            <w:shd w:val="clear" w:color="auto" w:fill="auto"/>
            <w:vAlign w:val="center"/>
          </w:tcPr>
          <w:p>
            <w:pPr>
              <w:spacing w:beforeLines="20" w:before="48" w:afterLines="20" w:after="48"/>
              <w:jc w:val="center"/>
              <w:rPr>
                <w:noProof/>
                <w:sz w:val="16"/>
                <w:szCs w:val="16"/>
              </w:rPr>
            </w:pPr>
            <w:r>
              <w:rPr>
                <w:noProof/>
                <w:sz w:val="20"/>
                <w:szCs w:val="20"/>
              </w:rPr>
              <w:t>1</w:t>
            </w:r>
          </w:p>
        </w:tc>
        <w:tc>
          <w:tcPr>
            <w:tcW w:w="488" w:type="pct"/>
            <w:shd w:val="clear" w:color="auto" w:fill="auto"/>
            <w:vAlign w:val="center"/>
          </w:tcPr>
          <w:p>
            <w:pPr>
              <w:spacing w:beforeLines="20" w:before="48" w:afterLines="20" w:after="48"/>
              <w:jc w:val="center"/>
              <w:rPr>
                <w:noProof/>
                <w:sz w:val="16"/>
                <w:szCs w:val="16"/>
              </w:rPr>
            </w:pPr>
            <w:r>
              <w:rPr>
                <w:noProof/>
                <w:sz w:val="20"/>
                <w:szCs w:val="20"/>
              </w:rPr>
              <w:t>1</w:t>
            </w:r>
          </w:p>
        </w:tc>
        <w:tc>
          <w:tcPr>
            <w:tcW w:w="560" w:type="pct"/>
            <w:shd w:val="clear" w:color="auto" w:fill="auto"/>
            <w:vAlign w:val="center"/>
          </w:tcPr>
          <w:p>
            <w:pPr>
              <w:spacing w:beforeLines="20" w:before="48" w:afterLines="20" w:after="48"/>
              <w:jc w:val="center"/>
              <w:rPr>
                <w:noProof/>
                <w:sz w:val="16"/>
                <w:szCs w:val="16"/>
              </w:rPr>
            </w:pPr>
            <w:r>
              <w:rPr>
                <w:noProof/>
                <w:sz w:val="20"/>
                <w:szCs w:val="20"/>
              </w:rPr>
              <w:t>1</w:t>
            </w:r>
          </w:p>
        </w:tc>
        <w:tc>
          <w:tcPr>
            <w:tcW w:w="559" w:type="pct"/>
            <w:shd w:val="clear" w:color="auto" w:fill="auto"/>
            <w:vAlign w:val="center"/>
          </w:tcPr>
          <w:p>
            <w:pPr>
              <w:spacing w:beforeLines="20" w:before="48" w:afterLines="20" w:after="48"/>
              <w:jc w:val="center"/>
              <w:rPr>
                <w:noProof/>
                <w:sz w:val="16"/>
                <w:szCs w:val="16"/>
              </w:rPr>
            </w:pPr>
            <w:r>
              <w:rPr>
                <w:noProof/>
                <w:sz w:val="20"/>
                <w:szCs w:val="20"/>
              </w:rPr>
              <w:t>1</w:t>
            </w:r>
          </w:p>
        </w:tc>
        <w:tc>
          <w:tcPr>
            <w:tcW w:w="491" w:type="pct"/>
            <w:shd w:val="clear" w:color="auto" w:fill="auto"/>
            <w:vAlign w:val="center"/>
          </w:tcPr>
          <w:p>
            <w:pPr>
              <w:spacing w:beforeLines="20" w:before="48" w:afterLines="20" w:after="48"/>
              <w:jc w:val="center"/>
              <w:rPr>
                <w:noProof/>
                <w:sz w:val="16"/>
                <w:szCs w:val="16"/>
              </w:rPr>
            </w:pPr>
            <w:r>
              <w:rPr>
                <w:noProof/>
                <w:sz w:val="20"/>
                <w:szCs w:val="20"/>
              </w:rPr>
              <w:t>1</w:t>
            </w:r>
          </w:p>
        </w:tc>
        <w:tc>
          <w:tcPr>
            <w:tcW w:w="552" w:type="pct"/>
            <w:shd w:val="clear" w:color="auto" w:fill="auto"/>
            <w:vAlign w:val="center"/>
          </w:tcPr>
          <w:p>
            <w:pPr>
              <w:spacing w:beforeLines="20" w:before="48" w:afterLines="20" w:after="48"/>
              <w:jc w:val="center"/>
              <w:rPr>
                <w:noProof/>
                <w:sz w:val="16"/>
                <w:szCs w:val="16"/>
              </w:rPr>
            </w:pPr>
            <w:r>
              <w:rPr>
                <w:noProof/>
                <w:sz w:val="20"/>
                <w:szCs w:val="20"/>
              </w:rPr>
              <w:t>1</w:t>
            </w:r>
          </w:p>
        </w:tc>
      </w:tr>
      <w:tr>
        <w:trPr>
          <w:trHeight w:val="282"/>
        </w:trPr>
        <w:tc>
          <w:tcPr>
            <w:tcW w:w="1302" w:type="pct"/>
            <w:gridSpan w:val="2"/>
          </w:tcPr>
          <w:p>
            <w:pPr>
              <w:spacing w:beforeLines="20" w:before="48" w:afterLines="20" w:after="48"/>
              <w:ind w:left="134"/>
              <w:jc w:val="left"/>
              <w:rPr>
                <w:noProof/>
                <w:sz w:val="16"/>
                <w:szCs w:val="16"/>
              </w:rPr>
            </w:pPr>
            <w:r>
              <w:rPr>
                <w:noProof/>
                <w:sz w:val="16"/>
                <w:szCs w:val="16"/>
              </w:rPr>
              <w:t>Delegace</w:t>
            </w:r>
          </w:p>
        </w:tc>
        <w:tc>
          <w:tcPr>
            <w:tcW w:w="488" w:type="pct"/>
            <w:shd w:val="clear" w:color="auto" w:fill="auto"/>
            <w:vAlign w:val="center"/>
          </w:tcPr>
          <w:p>
            <w:pPr>
              <w:spacing w:beforeLines="20" w:before="48" w:afterLines="20" w:after="48"/>
              <w:jc w:val="center"/>
              <w:rPr>
                <w:noProof/>
                <w:sz w:val="16"/>
                <w:szCs w:val="16"/>
              </w:rPr>
            </w:pPr>
          </w:p>
        </w:tc>
        <w:tc>
          <w:tcPr>
            <w:tcW w:w="560" w:type="pct"/>
            <w:shd w:val="clear" w:color="auto" w:fill="auto"/>
            <w:vAlign w:val="center"/>
          </w:tcPr>
          <w:p>
            <w:pPr>
              <w:spacing w:beforeLines="20" w:before="48" w:afterLines="20" w:after="48"/>
              <w:jc w:val="center"/>
              <w:rPr>
                <w:noProof/>
                <w:sz w:val="16"/>
                <w:szCs w:val="16"/>
              </w:rPr>
            </w:pPr>
          </w:p>
        </w:tc>
        <w:tc>
          <w:tcPr>
            <w:tcW w:w="488" w:type="pct"/>
            <w:shd w:val="clear" w:color="auto" w:fill="auto"/>
            <w:vAlign w:val="center"/>
          </w:tcPr>
          <w:p>
            <w:pPr>
              <w:spacing w:beforeLines="20" w:before="48" w:afterLines="20" w:after="48"/>
              <w:jc w:val="center"/>
              <w:rPr>
                <w:noProof/>
                <w:sz w:val="16"/>
                <w:szCs w:val="16"/>
              </w:rPr>
            </w:pPr>
          </w:p>
        </w:tc>
        <w:tc>
          <w:tcPr>
            <w:tcW w:w="560" w:type="pct"/>
            <w:shd w:val="clear" w:color="auto" w:fill="auto"/>
            <w:vAlign w:val="center"/>
          </w:tcPr>
          <w:p>
            <w:pPr>
              <w:spacing w:beforeLines="20" w:before="48" w:afterLines="20" w:after="48"/>
              <w:jc w:val="center"/>
              <w:rPr>
                <w:noProof/>
                <w:sz w:val="16"/>
                <w:szCs w:val="16"/>
              </w:rPr>
            </w:pPr>
          </w:p>
        </w:tc>
        <w:tc>
          <w:tcPr>
            <w:tcW w:w="559" w:type="pct"/>
            <w:shd w:val="clear" w:color="auto" w:fill="auto"/>
            <w:vAlign w:val="center"/>
          </w:tcPr>
          <w:p>
            <w:pPr>
              <w:spacing w:beforeLines="20" w:before="48" w:afterLines="20" w:after="48"/>
              <w:jc w:val="center"/>
              <w:rPr>
                <w:noProof/>
                <w:sz w:val="16"/>
                <w:szCs w:val="16"/>
              </w:rPr>
            </w:pPr>
          </w:p>
        </w:tc>
        <w:tc>
          <w:tcPr>
            <w:tcW w:w="491" w:type="pct"/>
            <w:shd w:val="clear" w:color="auto" w:fill="auto"/>
            <w:vAlign w:val="center"/>
          </w:tcPr>
          <w:p>
            <w:pPr>
              <w:spacing w:beforeLines="20" w:before="48" w:afterLines="20" w:after="48"/>
              <w:jc w:val="center"/>
              <w:rPr>
                <w:noProof/>
                <w:sz w:val="16"/>
                <w:szCs w:val="16"/>
              </w:rPr>
            </w:pPr>
          </w:p>
        </w:tc>
        <w:tc>
          <w:tcPr>
            <w:tcW w:w="552" w:type="pct"/>
            <w:shd w:val="clear" w:color="auto" w:fill="auto"/>
            <w:vAlign w:val="center"/>
          </w:tcPr>
          <w:p>
            <w:pPr>
              <w:spacing w:beforeLines="20" w:before="48" w:afterLines="20" w:after="48"/>
              <w:jc w:val="center"/>
              <w:rPr>
                <w:noProof/>
                <w:sz w:val="16"/>
                <w:szCs w:val="16"/>
              </w:rPr>
            </w:pPr>
          </w:p>
        </w:tc>
      </w:tr>
      <w:tr>
        <w:trPr>
          <w:trHeight w:val="282"/>
        </w:trPr>
        <w:tc>
          <w:tcPr>
            <w:tcW w:w="1302" w:type="pct"/>
            <w:gridSpan w:val="2"/>
          </w:tcPr>
          <w:p>
            <w:pPr>
              <w:spacing w:beforeLines="20" w:before="48" w:afterLines="20" w:after="48"/>
              <w:ind w:left="134"/>
              <w:jc w:val="left"/>
              <w:rPr>
                <w:noProof/>
                <w:sz w:val="16"/>
                <w:szCs w:val="16"/>
              </w:rPr>
            </w:pPr>
            <w:r>
              <w:rPr>
                <w:noProof/>
                <w:sz w:val="16"/>
                <w:szCs w:val="16"/>
              </w:rPr>
              <w:t>Výzkum</w:t>
            </w:r>
          </w:p>
        </w:tc>
        <w:tc>
          <w:tcPr>
            <w:tcW w:w="488" w:type="pct"/>
            <w:shd w:val="clear" w:color="auto" w:fill="auto"/>
            <w:vAlign w:val="center"/>
          </w:tcPr>
          <w:p>
            <w:pPr>
              <w:spacing w:beforeLines="20" w:before="48" w:afterLines="20" w:after="48"/>
              <w:jc w:val="center"/>
              <w:rPr>
                <w:noProof/>
                <w:sz w:val="16"/>
                <w:szCs w:val="16"/>
              </w:rPr>
            </w:pPr>
          </w:p>
        </w:tc>
        <w:tc>
          <w:tcPr>
            <w:tcW w:w="560" w:type="pct"/>
            <w:shd w:val="clear" w:color="auto" w:fill="auto"/>
            <w:vAlign w:val="center"/>
          </w:tcPr>
          <w:p>
            <w:pPr>
              <w:spacing w:beforeLines="20" w:before="48" w:afterLines="20" w:after="48"/>
              <w:jc w:val="center"/>
              <w:rPr>
                <w:noProof/>
                <w:sz w:val="16"/>
                <w:szCs w:val="16"/>
              </w:rPr>
            </w:pPr>
          </w:p>
        </w:tc>
        <w:tc>
          <w:tcPr>
            <w:tcW w:w="488" w:type="pct"/>
            <w:shd w:val="clear" w:color="auto" w:fill="auto"/>
            <w:vAlign w:val="center"/>
          </w:tcPr>
          <w:p>
            <w:pPr>
              <w:spacing w:beforeLines="20" w:before="48" w:afterLines="20" w:after="48"/>
              <w:jc w:val="center"/>
              <w:rPr>
                <w:noProof/>
                <w:sz w:val="16"/>
                <w:szCs w:val="16"/>
              </w:rPr>
            </w:pPr>
          </w:p>
        </w:tc>
        <w:tc>
          <w:tcPr>
            <w:tcW w:w="560" w:type="pct"/>
            <w:shd w:val="clear" w:color="auto" w:fill="auto"/>
            <w:vAlign w:val="center"/>
          </w:tcPr>
          <w:p>
            <w:pPr>
              <w:spacing w:beforeLines="20" w:before="48" w:afterLines="20" w:after="48"/>
              <w:jc w:val="center"/>
              <w:rPr>
                <w:noProof/>
                <w:sz w:val="16"/>
                <w:szCs w:val="16"/>
              </w:rPr>
            </w:pPr>
          </w:p>
        </w:tc>
        <w:tc>
          <w:tcPr>
            <w:tcW w:w="559" w:type="pct"/>
            <w:shd w:val="clear" w:color="auto" w:fill="auto"/>
            <w:vAlign w:val="center"/>
          </w:tcPr>
          <w:p>
            <w:pPr>
              <w:spacing w:beforeLines="20" w:before="48" w:afterLines="20" w:after="48"/>
              <w:jc w:val="center"/>
              <w:rPr>
                <w:noProof/>
                <w:sz w:val="16"/>
                <w:szCs w:val="16"/>
              </w:rPr>
            </w:pPr>
          </w:p>
        </w:tc>
        <w:tc>
          <w:tcPr>
            <w:tcW w:w="491" w:type="pct"/>
            <w:shd w:val="clear" w:color="auto" w:fill="auto"/>
            <w:vAlign w:val="center"/>
          </w:tcPr>
          <w:p>
            <w:pPr>
              <w:spacing w:beforeLines="20" w:before="48" w:afterLines="20" w:after="48"/>
              <w:jc w:val="center"/>
              <w:rPr>
                <w:noProof/>
                <w:sz w:val="16"/>
                <w:szCs w:val="16"/>
              </w:rPr>
            </w:pPr>
          </w:p>
        </w:tc>
        <w:tc>
          <w:tcPr>
            <w:tcW w:w="552" w:type="pct"/>
            <w:shd w:val="clear" w:color="auto" w:fill="auto"/>
            <w:vAlign w:val="center"/>
          </w:tcPr>
          <w:p>
            <w:pPr>
              <w:spacing w:beforeLines="20" w:before="48" w:afterLines="20" w:after="48"/>
              <w:jc w:val="center"/>
              <w:rPr>
                <w:noProof/>
                <w:sz w:val="16"/>
                <w:szCs w:val="16"/>
              </w:rPr>
            </w:pPr>
          </w:p>
        </w:tc>
      </w:tr>
      <w:tr>
        <w:trPr>
          <w:trHeight w:val="286"/>
        </w:trPr>
        <w:tc>
          <w:tcPr>
            <w:tcW w:w="5000" w:type="pct"/>
            <w:gridSpan w:val="9"/>
          </w:tcPr>
          <w:p>
            <w:pPr>
              <w:spacing w:before="60" w:after="60"/>
              <w:jc w:val="left"/>
              <w:rPr>
                <w:b/>
                <w:noProof/>
                <w:sz w:val="16"/>
                <w:szCs w:val="16"/>
              </w:rPr>
            </w:pPr>
            <w:r>
              <w:rPr>
                <w:b/>
                <w:noProof/>
                <w:sz w:val="16"/>
              </w:rPr>
              <w:sym w:font="Wingdings" w:char="F09F"/>
            </w:r>
            <w:r>
              <w:rPr>
                <w:b/>
                <w:noProof/>
                <w:sz w:val="16"/>
                <w:szCs w:val="16"/>
              </w:rPr>
              <w:t xml:space="preserve"> Externí zaměstnanci (v přepočtu na plné pracovní úvazky: FTE) – SZ, MZ, VNO, ZAP a MOD</w:t>
            </w:r>
            <w:r>
              <w:rPr>
                <w:noProof/>
                <w:sz w:val="16"/>
                <w:szCs w:val="16"/>
              </w:rPr>
              <w:t xml:space="preserve"> </w:t>
            </w:r>
            <w:r>
              <w:rPr>
                <w:rStyle w:val="FootnoteReference"/>
                <w:noProof/>
              </w:rPr>
              <w:footnoteReference w:id="52"/>
            </w:r>
          </w:p>
          <w:p>
            <w:pPr>
              <w:spacing w:before="0" w:after="0"/>
              <w:jc w:val="left"/>
              <w:rPr>
                <w:noProof/>
                <w:sz w:val="16"/>
                <w:szCs w:val="16"/>
              </w:rPr>
            </w:pPr>
            <w:r>
              <w:rPr>
                <w:noProof/>
                <w:sz w:val="16"/>
                <w:szCs w:val="16"/>
              </w:rPr>
              <w:t>Okruh 7</w:t>
            </w:r>
          </w:p>
        </w:tc>
      </w:tr>
      <w:tr>
        <w:trPr>
          <w:trHeight w:val="474"/>
        </w:trPr>
        <w:tc>
          <w:tcPr>
            <w:tcW w:w="530" w:type="pct"/>
            <w:vMerge w:val="restart"/>
            <w:vAlign w:val="center"/>
          </w:tcPr>
          <w:p>
            <w:pPr>
              <w:spacing w:beforeLines="20" w:before="48" w:afterLines="20" w:after="48"/>
              <w:ind w:left="136"/>
              <w:jc w:val="left"/>
              <w:rPr>
                <w:b/>
                <w:noProof/>
                <w:sz w:val="16"/>
                <w:szCs w:val="16"/>
              </w:rPr>
            </w:pPr>
            <w:r>
              <w:rPr>
                <w:noProof/>
                <w:sz w:val="16"/>
                <w:szCs w:val="16"/>
              </w:rPr>
              <w:t>Financovaní z OKRUHU 7 víceletého finančního rámce</w:t>
            </w:r>
            <w:r>
              <w:rPr>
                <w:b/>
                <w:noProof/>
                <w:sz w:val="16"/>
                <w:szCs w:val="16"/>
              </w:rPr>
              <w:t xml:space="preserve"> </w:t>
            </w:r>
          </w:p>
        </w:tc>
        <w:tc>
          <w:tcPr>
            <w:tcW w:w="772" w:type="pct"/>
            <w:vAlign w:val="center"/>
          </w:tcPr>
          <w:p>
            <w:pPr>
              <w:spacing w:beforeLines="20" w:before="48" w:afterLines="20" w:after="48"/>
              <w:ind w:left="136"/>
              <w:jc w:val="left"/>
              <w:rPr>
                <w:b/>
                <w:noProof/>
                <w:sz w:val="16"/>
                <w:szCs w:val="16"/>
              </w:rPr>
            </w:pPr>
            <w:r>
              <w:rPr>
                <w:noProof/>
                <w:sz w:val="16"/>
                <w:szCs w:val="16"/>
              </w:rPr>
              <w:t>– v ústředí</w:t>
            </w:r>
          </w:p>
        </w:tc>
        <w:tc>
          <w:tcPr>
            <w:tcW w:w="488" w:type="pct"/>
            <w:shd w:val="clear" w:color="auto" w:fill="auto"/>
            <w:vAlign w:val="center"/>
          </w:tcPr>
          <w:p>
            <w:pPr>
              <w:spacing w:beforeLines="20" w:before="48" w:afterLines="20" w:after="48"/>
              <w:jc w:val="center"/>
              <w:rPr>
                <w:noProof/>
                <w:sz w:val="16"/>
                <w:szCs w:val="16"/>
              </w:rPr>
            </w:pPr>
          </w:p>
        </w:tc>
        <w:tc>
          <w:tcPr>
            <w:tcW w:w="560" w:type="pct"/>
            <w:shd w:val="clear" w:color="auto" w:fill="auto"/>
            <w:vAlign w:val="center"/>
          </w:tcPr>
          <w:p>
            <w:pPr>
              <w:spacing w:beforeLines="20" w:before="48" w:afterLines="20" w:after="48"/>
              <w:jc w:val="center"/>
              <w:rPr>
                <w:noProof/>
                <w:sz w:val="16"/>
                <w:szCs w:val="16"/>
              </w:rPr>
            </w:pPr>
          </w:p>
        </w:tc>
        <w:tc>
          <w:tcPr>
            <w:tcW w:w="488" w:type="pct"/>
            <w:shd w:val="clear" w:color="auto" w:fill="auto"/>
            <w:vAlign w:val="center"/>
          </w:tcPr>
          <w:p>
            <w:pPr>
              <w:spacing w:beforeLines="20" w:before="48" w:afterLines="20" w:after="48"/>
              <w:jc w:val="center"/>
              <w:rPr>
                <w:noProof/>
                <w:sz w:val="16"/>
                <w:szCs w:val="16"/>
              </w:rPr>
            </w:pPr>
          </w:p>
        </w:tc>
        <w:tc>
          <w:tcPr>
            <w:tcW w:w="560" w:type="pct"/>
            <w:shd w:val="clear" w:color="auto" w:fill="auto"/>
            <w:vAlign w:val="center"/>
          </w:tcPr>
          <w:p>
            <w:pPr>
              <w:spacing w:beforeLines="20" w:before="48" w:afterLines="20" w:after="48"/>
              <w:jc w:val="center"/>
              <w:rPr>
                <w:noProof/>
                <w:sz w:val="16"/>
                <w:szCs w:val="16"/>
              </w:rPr>
            </w:pPr>
          </w:p>
        </w:tc>
        <w:tc>
          <w:tcPr>
            <w:tcW w:w="559" w:type="pct"/>
            <w:shd w:val="clear" w:color="auto" w:fill="auto"/>
            <w:vAlign w:val="center"/>
          </w:tcPr>
          <w:p>
            <w:pPr>
              <w:spacing w:beforeLines="20" w:before="48" w:afterLines="20" w:after="48"/>
              <w:jc w:val="center"/>
              <w:rPr>
                <w:noProof/>
                <w:sz w:val="16"/>
                <w:szCs w:val="16"/>
              </w:rPr>
            </w:pPr>
          </w:p>
        </w:tc>
        <w:tc>
          <w:tcPr>
            <w:tcW w:w="491" w:type="pct"/>
            <w:shd w:val="clear" w:color="auto" w:fill="auto"/>
            <w:vAlign w:val="center"/>
          </w:tcPr>
          <w:p>
            <w:pPr>
              <w:spacing w:beforeLines="20" w:before="48" w:afterLines="20" w:after="48"/>
              <w:jc w:val="center"/>
              <w:rPr>
                <w:noProof/>
                <w:sz w:val="16"/>
                <w:szCs w:val="16"/>
              </w:rPr>
            </w:pPr>
          </w:p>
        </w:tc>
        <w:tc>
          <w:tcPr>
            <w:tcW w:w="552" w:type="pct"/>
            <w:shd w:val="clear" w:color="auto" w:fill="auto"/>
            <w:vAlign w:val="center"/>
          </w:tcPr>
          <w:p>
            <w:pPr>
              <w:spacing w:beforeLines="20" w:before="48" w:afterLines="20" w:after="48"/>
              <w:jc w:val="center"/>
              <w:rPr>
                <w:noProof/>
                <w:sz w:val="16"/>
                <w:szCs w:val="16"/>
              </w:rPr>
            </w:pPr>
          </w:p>
        </w:tc>
      </w:tr>
      <w:tr>
        <w:trPr>
          <w:trHeight w:val="282"/>
        </w:trPr>
        <w:tc>
          <w:tcPr>
            <w:tcW w:w="530" w:type="pct"/>
            <w:vMerge/>
            <w:vAlign w:val="center"/>
          </w:tcPr>
          <w:p>
            <w:pPr>
              <w:spacing w:beforeLines="20" w:before="48" w:afterLines="20" w:after="48"/>
              <w:ind w:left="136"/>
              <w:jc w:val="left"/>
              <w:rPr>
                <w:noProof/>
                <w:sz w:val="16"/>
                <w:szCs w:val="16"/>
              </w:rPr>
            </w:pPr>
          </w:p>
        </w:tc>
        <w:tc>
          <w:tcPr>
            <w:tcW w:w="772" w:type="pct"/>
            <w:vAlign w:val="center"/>
          </w:tcPr>
          <w:p>
            <w:pPr>
              <w:spacing w:beforeLines="20" w:before="48" w:afterLines="20" w:after="48"/>
              <w:ind w:left="136"/>
              <w:jc w:val="left"/>
              <w:rPr>
                <w:noProof/>
                <w:sz w:val="16"/>
                <w:szCs w:val="16"/>
              </w:rPr>
            </w:pPr>
            <w:r>
              <w:rPr>
                <w:noProof/>
                <w:sz w:val="16"/>
                <w:szCs w:val="16"/>
              </w:rPr>
              <w:t xml:space="preserve">– při delegacích </w:t>
            </w:r>
          </w:p>
        </w:tc>
        <w:tc>
          <w:tcPr>
            <w:tcW w:w="488" w:type="pct"/>
            <w:shd w:val="clear" w:color="auto" w:fill="auto"/>
            <w:vAlign w:val="center"/>
          </w:tcPr>
          <w:p>
            <w:pPr>
              <w:spacing w:beforeLines="20" w:before="48" w:afterLines="20" w:after="48"/>
              <w:jc w:val="center"/>
              <w:rPr>
                <w:noProof/>
                <w:sz w:val="16"/>
                <w:szCs w:val="16"/>
              </w:rPr>
            </w:pPr>
          </w:p>
        </w:tc>
        <w:tc>
          <w:tcPr>
            <w:tcW w:w="560" w:type="pct"/>
            <w:shd w:val="clear" w:color="auto" w:fill="auto"/>
            <w:vAlign w:val="center"/>
          </w:tcPr>
          <w:p>
            <w:pPr>
              <w:spacing w:beforeLines="20" w:before="48" w:afterLines="20" w:after="48"/>
              <w:jc w:val="center"/>
              <w:rPr>
                <w:noProof/>
                <w:sz w:val="16"/>
                <w:szCs w:val="16"/>
              </w:rPr>
            </w:pPr>
          </w:p>
        </w:tc>
        <w:tc>
          <w:tcPr>
            <w:tcW w:w="488" w:type="pct"/>
            <w:shd w:val="clear" w:color="auto" w:fill="auto"/>
            <w:vAlign w:val="center"/>
          </w:tcPr>
          <w:p>
            <w:pPr>
              <w:spacing w:beforeLines="20" w:before="48" w:afterLines="20" w:after="48"/>
              <w:jc w:val="center"/>
              <w:rPr>
                <w:noProof/>
                <w:sz w:val="16"/>
                <w:szCs w:val="16"/>
              </w:rPr>
            </w:pPr>
          </w:p>
        </w:tc>
        <w:tc>
          <w:tcPr>
            <w:tcW w:w="560" w:type="pct"/>
            <w:shd w:val="clear" w:color="auto" w:fill="auto"/>
            <w:vAlign w:val="center"/>
          </w:tcPr>
          <w:p>
            <w:pPr>
              <w:spacing w:beforeLines="20" w:before="48" w:afterLines="20" w:after="48"/>
              <w:jc w:val="center"/>
              <w:rPr>
                <w:noProof/>
                <w:sz w:val="16"/>
                <w:szCs w:val="16"/>
              </w:rPr>
            </w:pPr>
          </w:p>
        </w:tc>
        <w:tc>
          <w:tcPr>
            <w:tcW w:w="559" w:type="pct"/>
            <w:shd w:val="clear" w:color="auto" w:fill="auto"/>
            <w:vAlign w:val="center"/>
          </w:tcPr>
          <w:p>
            <w:pPr>
              <w:spacing w:beforeLines="20" w:before="48" w:afterLines="20" w:after="48"/>
              <w:jc w:val="center"/>
              <w:rPr>
                <w:noProof/>
                <w:sz w:val="16"/>
                <w:szCs w:val="16"/>
              </w:rPr>
            </w:pPr>
          </w:p>
        </w:tc>
        <w:tc>
          <w:tcPr>
            <w:tcW w:w="491" w:type="pct"/>
            <w:shd w:val="clear" w:color="auto" w:fill="auto"/>
            <w:vAlign w:val="center"/>
          </w:tcPr>
          <w:p>
            <w:pPr>
              <w:spacing w:beforeLines="20" w:before="48" w:afterLines="20" w:after="48"/>
              <w:jc w:val="center"/>
              <w:rPr>
                <w:noProof/>
                <w:sz w:val="16"/>
                <w:szCs w:val="16"/>
              </w:rPr>
            </w:pPr>
          </w:p>
        </w:tc>
        <w:tc>
          <w:tcPr>
            <w:tcW w:w="552" w:type="pct"/>
            <w:shd w:val="clear" w:color="auto" w:fill="auto"/>
            <w:vAlign w:val="center"/>
          </w:tcPr>
          <w:p>
            <w:pPr>
              <w:spacing w:beforeLines="20" w:before="48" w:afterLines="20" w:after="48"/>
              <w:jc w:val="center"/>
              <w:rPr>
                <w:noProof/>
                <w:sz w:val="16"/>
                <w:szCs w:val="16"/>
              </w:rPr>
            </w:pPr>
          </w:p>
        </w:tc>
      </w:tr>
      <w:tr>
        <w:trPr>
          <w:trHeight w:val="361"/>
        </w:trPr>
        <w:tc>
          <w:tcPr>
            <w:tcW w:w="530" w:type="pct"/>
            <w:vMerge w:val="restart"/>
            <w:vAlign w:val="center"/>
          </w:tcPr>
          <w:p>
            <w:pPr>
              <w:spacing w:beforeLines="20" w:before="48" w:afterLines="20" w:after="48"/>
              <w:ind w:left="136"/>
              <w:jc w:val="left"/>
              <w:rPr>
                <w:b/>
                <w:noProof/>
                <w:sz w:val="16"/>
                <w:szCs w:val="16"/>
              </w:rPr>
            </w:pPr>
            <w:r>
              <w:rPr>
                <w:noProof/>
                <w:sz w:val="16"/>
                <w:szCs w:val="16"/>
              </w:rPr>
              <w:t>Financováno z krytí programu</w:t>
            </w:r>
            <w:r>
              <w:rPr>
                <w:rStyle w:val="FootnoteReference"/>
                <w:noProof/>
              </w:rPr>
              <w:footnoteReference w:id="53"/>
            </w:r>
          </w:p>
        </w:tc>
        <w:tc>
          <w:tcPr>
            <w:tcW w:w="772" w:type="pct"/>
            <w:shd w:val="clear" w:color="auto" w:fill="auto"/>
            <w:vAlign w:val="center"/>
          </w:tcPr>
          <w:p>
            <w:pPr>
              <w:spacing w:beforeLines="20" w:before="48" w:afterLines="20" w:after="48"/>
              <w:ind w:left="136"/>
              <w:jc w:val="left"/>
              <w:rPr>
                <w:b/>
                <w:noProof/>
                <w:sz w:val="16"/>
                <w:szCs w:val="16"/>
              </w:rPr>
            </w:pPr>
            <w:r>
              <w:rPr>
                <w:noProof/>
                <w:sz w:val="16"/>
                <w:szCs w:val="16"/>
              </w:rPr>
              <w:t>– v ústředí</w:t>
            </w:r>
          </w:p>
        </w:tc>
        <w:tc>
          <w:tcPr>
            <w:tcW w:w="488" w:type="pct"/>
            <w:shd w:val="clear" w:color="auto" w:fill="auto"/>
            <w:vAlign w:val="center"/>
          </w:tcPr>
          <w:p>
            <w:pPr>
              <w:spacing w:beforeLines="20" w:before="48" w:afterLines="20" w:after="48"/>
              <w:jc w:val="center"/>
              <w:rPr>
                <w:noProof/>
                <w:sz w:val="16"/>
                <w:szCs w:val="16"/>
              </w:rPr>
            </w:pPr>
          </w:p>
        </w:tc>
        <w:tc>
          <w:tcPr>
            <w:tcW w:w="560" w:type="pct"/>
            <w:shd w:val="clear" w:color="auto" w:fill="auto"/>
            <w:vAlign w:val="center"/>
          </w:tcPr>
          <w:p>
            <w:pPr>
              <w:spacing w:beforeLines="20" w:before="48" w:afterLines="20" w:after="48"/>
              <w:jc w:val="center"/>
              <w:rPr>
                <w:noProof/>
                <w:sz w:val="16"/>
                <w:szCs w:val="16"/>
              </w:rPr>
            </w:pPr>
          </w:p>
        </w:tc>
        <w:tc>
          <w:tcPr>
            <w:tcW w:w="488" w:type="pct"/>
            <w:shd w:val="clear" w:color="auto" w:fill="auto"/>
            <w:vAlign w:val="center"/>
          </w:tcPr>
          <w:p>
            <w:pPr>
              <w:spacing w:beforeLines="20" w:before="48" w:afterLines="20" w:after="48"/>
              <w:jc w:val="center"/>
              <w:rPr>
                <w:noProof/>
                <w:sz w:val="16"/>
                <w:szCs w:val="16"/>
              </w:rPr>
            </w:pPr>
          </w:p>
        </w:tc>
        <w:tc>
          <w:tcPr>
            <w:tcW w:w="560" w:type="pct"/>
            <w:shd w:val="clear" w:color="auto" w:fill="auto"/>
            <w:vAlign w:val="center"/>
          </w:tcPr>
          <w:p>
            <w:pPr>
              <w:spacing w:beforeLines="20" w:before="48" w:afterLines="20" w:after="48"/>
              <w:jc w:val="center"/>
              <w:rPr>
                <w:noProof/>
                <w:sz w:val="16"/>
                <w:szCs w:val="16"/>
              </w:rPr>
            </w:pPr>
          </w:p>
        </w:tc>
        <w:tc>
          <w:tcPr>
            <w:tcW w:w="559" w:type="pct"/>
            <w:shd w:val="clear" w:color="auto" w:fill="auto"/>
            <w:vAlign w:val="center"/>
          </w:tcPr>
          <w:p>
            <w:pPr>
              <w:spacing w:beforeLines="20" w:before="48" w:afterLines="20" w:after="48"/>
              <w:jc w:val="center"/>
              <w:rPr>
                <w:noProof/>
                <w:sz w:val="16"/>
                <w:szCs w:val="16"/>
              </w:rPr>
            </w:pPr>
          </w:p>
        </w:tc>
        <w:tc>
          <w:tcPr>
            <w:tcW w:w="491" w:type="pct"/>
            <w:shd w:val="clear" w:color="auto" w:fill="auto"/>
            <w:vAlign w:val="center"/>
          </w:tcPr>
          <w:p>
            <w:pPr>
              <w:spacing w:beforeLines="20" w:before="48" w:afterLines="20" w:after="48"/>
              <w:jc w:val="center"/>
              <w:rPr>
                <w:noProof/>
                <w:sz w:val="16"/>
                <w:szCs w:val="16"/>
              </w:rPr>
            </w:pPr>
          </w:p>
        </w:tc>
        <w:tc>
          <w:tcPr>
            <w:tcW w:w="552" w:type="pct"/>
            <w:shd w:val="clear" w:color="auto" w:fill="auto"/>
            <w:vAlign w:val="center"/>
          </w:tcPr>
          <w:p>
            <w:pPr>
              <w:spacing w:beforeLines="20" w:before="48" w:afterLines="20" w:after="48"/>
              <w:jc w:val="center"/>
              <w:rPr>
                <w:noProof/>
                <w:sz w:val="16"/>
                <w:szCs w:val="16"/>
              </w:rPr>
            </w:pPr>
          </w:p>
        </w:tc>
      </w:tr>
      <w:tr>
        <w:trPr>
          <w:trHeight w:val="282"/>
        </w:trPr>
        <w:tc>
          <w:tcPr>
            <w:tcW w:w="530" w:type="pct"/>
            <w:vMerge/>
          </w:tcPr>
          <w:p>
            <w:pPr>
              <w:spacing w:beforeLines="20" w:before="48" w:afterLines="20" w:after="48"/>
              <w:ind w:left="136"/>
              <w:jc w:val="left"/>
              <w:rPr>
                <w:b/>
                <w:noProof/>
                <w:sz w:val="16"/>
                <w:szCs w:val="16"/>
              </w:rPr>
            </w:pPr>
          </w:p>
        </w:tc>
        <w:tc>
          <w:tcPr>
            <w:tcW w:w="772" w:type="pct"/>
            <w:shd w:val="clear" w:color="auto" w:fill="auto"/>
            <w:vAlign w:val="center"/>
          </w:tcPr>
          <w:p>
            <w:pPr>
              <w:spacing w:beforeLines="20" w:before="48" w:afterLines="20" w:after="48"/>
              <w:ind w:left="136"/>
              <w:jc w:val="left"/>
              <w:rPr>
                <w:b/>
                <w:noProof/>
                <w:sz w:val="16"/>
                <w:szCs w:val="16"/>
              </w:rPr>
            </w:pPr>
            <w:r>
              <w:rPr>
                <w:noProof/>
                <w:sz w:val="16"/>
                <w:szCs w:val="16"/>
              </w:rPr>
              <w:t xml:space="preserve">– při delegacích </w:t>
            </w:r>
          </w:p>
        </w:tc>
        <w:tc>
          <w:tcPr>
            <w:tcW w:w="488" w:type="pct"/>
            <w:shd w:val="clear" w:color="auto" w:fill="auto"/>
            <w:vAlign w:val="center"/>
          </w:tcPr>
          <w:p>
            <w:pPr>
              <w:spacing w:beforeLines="20" w:before="48" w:afterLines="20" w:after="48"/>
              <w:jc w:val="center"/>
              <w:rPr>
                <w:noProof/>
                <w:sz w:val="16"/>
                <w:szCs w:val="16"/>
              </w:rPr>
            </w:pPr>
          </w:p>
        </w:tc>
        <w:tc>
          <w:tcPr>
            <w:tcW w:w="560" w:type="pct"/>
            <w:shd w:val="clear" w:color="auto" w:fill="auto"/>
            <w:vAlign w:val="center"/>
          </w:tcPr>
          <w:p>
            <w:pPr>
              <w:spacing w:beforeLines="20" w:before="48" w:afterLines="20" w:after="48"/>
              <w:jc w:val="center"/>
              <w:rPr>
                <w:noProof/>
                <w:sz w:val="16"/>
                <w:szCs w:val="16"/>
              </w:rPr>
            </w:pPr>
          </w:p>
        </w:tc>
        <w:tc>
          <w:tcPr>
            <w:tcW w:w="488" w:type="pct"/>
            <w:shd w:val="clear" w:color="auto" w:fill="auto"/>
            <w:vAlign w:val="center"/>
          </w:tcPr>
          <w:p>
            <w:pPr>
              <w:spacing w:beforeLines="20" w:before="48" w:afterLines="20" w:after="48"/>
              <w:jc w:val="center"/>
              <w:rPr>
                <w:noProof/>
                <w:sz w:val="16"/>
                <w:szCs w:val="16"/>
              </w:rPr>
            </w:pPr>
          </w:p>
        </w:tc>
        <w:tc>
          <w:tcPr>
            <w:tcW w:w="560" w:type="pct"/>
            <w:shd w:val="clear" w:color="auto" w:fill="auto"/>
            <w:vAlign w:val="center"/>
          </w:tcPr>
          <w:p>
            <w:pPr>
              <w:spacing w:beforeLines="20" w:before="48" w:afterLines="20" w:after="48"/>
              <w:jc w:val="center"/>
              <w:rPr>
                <w:noProof/>
                <w:sz w:val="16"/>
                <w:szCs w:val="16"/>
              </w:rPr>
            </w:pPr>
          </w:p>
        </w:tc>
        <w:tc>
          <w:tcPr>
            <w:tcW w:w="559" w:type="pct"/>
            <w:shd w:val="clear" w:color="auto" w:fill="auto"/>
            <w:vAlign w:val="center"/>
          </w:tcPr>
          <w:p>
            <w:pPr>
              <w:spacing w:beforeLines="20" w:before="48" w:afterLines="20" w:after="48"/>
              <w:jc w:val="center"/>
              <w:rPr>
                <w:noProof/>
                <w:sz w:val="16"/>
                <w:szCs w:val="16"/>
              </w:rPr>
            </w:pPr>
          </w:p>
        </w:tc>
        <w:tc>
          <w:tcPr>
            <w:tcW w:w="491" w:type="pct"/>
            <w:shd w:val="clear" w:color="auto" w:fill="auto"/>
            <w:vAlign w:val="center"/>
          </w:tcPr>
          <w:p>
            <w:pPr>
              <w:spacing w:beforeLines="20" w:before="48" w:afterLines="20" w:after="48"/>
              <w:jc w:val="center"/>
              <w:rPr>
                <w:noProof/>
                <w:sz w:val="16"/>
                <w:szCs w:val="16"/>
              </w:rPr>
            </w:pPr>
          </w:p>
        </w:tc>
        <w:tc>
          <w:tcPr>
            <w:tcW w:w="552" w:type="pct"/>
            <w:shd w:val="clear" w:color="auto" w:fill="auto"/>
            <w:vAlign w:val="center"/>
          </w:tcPr>
          <w:p>
            <w:pPr>
              <w:spacing w:beforeLines="20" w:before="48" w:afterLines="20" w:after="48"/>
              <w:jc w:val="center"/>
              <w:rPr>
                <w:noProof/>
                <w:sz w:val="16"/>
                <w:szCs w:val="16"/>
              </w:rPr>
            </w:pPr>
          </w:p>
        </w:tc>
      </w:tr>
      <w:tr>
        <w:trPr>
          <w:trHeight w:val="282"/>
        </w:trPr>
        <w:tc>
          <w:tcPr>
            <w:tcW w:w="1302" w:type="pct"/>
            <w:gridSpan w:val="2"/>
          </w:tcPr>
          <w:p>
            <w:pPr>
              <w:spacing w:beforeLines="20" w:before="48" w:afterLines="20" w:after="48"/>
              <w:ind w:left="136"/>
              <w:jc w:val="left"/>
              <w:rPr>
                <w:noProof/>
                <w:sz w:val="16"/>
                <w:szCs w:val="16"/>
              </w:rPr>
            </w:pPr>
            <w:r>
              <w:rPr>
                <w:noProof/>
                <w:sz w:val="16"/>
                <w:szCs w:val="16"/>
              </w:rPr>
              <w:t>Výzkum</w:t>
            </w:r>
          </w:p>
        </w:tc>
        <w:tc>
          <w:tcPr>
            <w:tcW w:w="488" w:type="pct"/>
            <w:shd w:val="clear" w:color="auto" w:fill="auto"/>
            <w:vAlign w:val="center"/>
          </w:tcPr>
          <w:p>
            <w:pPr>
              <w:spacing w:beforeLines="20" w:before="48" w:afterLines="20" w:after="48"/>
              <w:jc w:val="center"/>
              <w:rPr>
                <w:noProof/>
                <w:sz w:val="16"/>
                <w:szCs w:val="16"/>
              </w:rPr>
            </w:pPr>
          </w:p>
        </w:tc>
        <w:tc>
          <w:tcPr>
            <w:tcW w:w="560" w:type="pct"/>
            <w:shd w:val="clear" w:color="auto" w:fill="auto"/>
            <w:vAlign w:val="center"/>
          </w:tcPr>
          <w:p>
            <w:pPr>
              <w:spacing w:beforeLines="20" w:before="48" w:afterLines="20" w:after="48"/>
              <w:jc w:val="center"/>
              <w:rPr>
                <w:noProof/>
                <w:sz w:val="16"/>
                <w:szCs w:val="16"/>
              </w:rPr>
            </w:pPr>
          </w:p>
        </w:tc>
        <w:tc>
          <w:tcPr>
            <w:tcW w:w="488" w:type="pct"/>
            <w:shd w:val="clear" w:color="auto" w:fill="auto"/>
            <w:vAlign w:val="center"/>
          </w:tcPr>
          <w:p>
            <w:pPr>
              <w:spacing w:beforeLines="20" w:before="48" w:afterLines="20" w:after="48"/>
              <w:jc w:val="center"/>
              <w:rPr>
                <w:noProof/>
                <w:sz w:val="16"/>
                <w:szCs w:val="16"/>
              </w:rPr>
            </w:pPr>
          </w:p>
        </w:tc>
        <w:tc>
          <w:tcPr>
            <w:tcW w:w="560" w:type="pct"/>
            <w:shd w:val="clear" w:color="auto" w:fill="auto"/>
            <w:vAlign w:val="center"/>
          </w:tcPr>
          <w:p>
            <w:pPr>
              <w:spacing w:beforeLines="20" w:before="48" w:afterLines="20" w:after="48"/>
              <w:jc w:val="center"/>
              <w:rPr>
                <w:noProof/>
                <w:sz w:val="16"/>
                <w:szCs w:val="16"/>
              </w:rPr>
            </w:pPr>
          </w:p>
        </w:tc>
        <w:tc>
          <w:tcPr>
            <w:tcW w:w="559" w:type="pct"/>
            <w:shd w:val="clear" w:color="auto" w:fill="auto"/>
            <w:vAlign w:val="center"/>
          </w:tcPr>
          <w:p>
            <w:pPr>
              <w:spacing w:beforeLines="20" w:before="48" w:afterLines="20" w:after="48"/>
              <w:jc w:val="center"/>
              <w:rPr>
                <w:noProof/>
                <w:sz w:val="16"/>
                <w:szCs w:val="16"/>
              </w:rPr>
            </w:pPr>
          </w:p>
        </w:tc>
        <w:tc>
          <w:tcPr>
            <w:tcW w:w="491" w:type="pct"/>
            <w:shd w:val="clear" w:color="auto" w:fill="auto"/>
            <w:vAlign w:val="center"/>
          </w:tcPr>
          <w:p>
            <w:pPr>
              <w:spacing w:beforeLines="20" w:before="48" w:afterLines="20" w:after="48"/>
              <w:jc w:val="center"/>
              <w:rPr>
                <w:noProof/>
                <w:sz w:val="16"/>
                <w:szCs w:val="16"/>
              </w:rPr>
            </w:pPr>
          </w:p>
        </w:tc>
        <w:tc>
          <w:tcPr>
            <w:tcW w:w="552" w:type="pct"/>
            <w:shd w:val="clear" w:color="auto" w:fill="auto"/>
            <w:vAlign w:val="center"/>
          </w:tcPr>
          <w:p>
            <w:pPr>
              <w:spacing w:beforeLines="20" w:before="48" w:afterLines="20" w:after="48"/>
              <w:jc w:val="center"/>
              <w:rPr>
                <w:noProof/>
                <w:sz w:val="16"/>
                <w:szCs w:val="16"/>
              </w:rPr>
            </w:pPr>
          </w:p>
        </w:tc>
      </w:tr>
      <w:tr>
        <w:trPr>
          <w:trHeight w:val="282"/>
        </w:trPr>
        <w:tc>
          <w:tcPr>
            <w:tcW w:w="1302" w:type="pct"/>
            <w:gridSpan w:val="2"/>
            <w:tcBorders>
              <w:bottom w:val="double" w:sz="4" w:space="0" w:color="auto"/>
            </w:tcBorders>
          </w:tcPr>
          <w:p>
            <w:pPr>
              <w:spacing w:beforeLines="20" w:before="48" w:afterLines="20" w:after="48"/>
              <w:ind w:left="134"/>
              <w:jc w:val="left"/>
              <w:rPr>
                <w:noProof/>
                <w:sz w:val="16"/>
                <w:szCs w:val="16"/>
              </w:rPr>
            </w:pPr>
            <w:r>
              <w:rPr>
                <w:noProof/>
                <w:sz w:val="16"/>
                <w:szCs w:val="16"/>
              </w:rPr>
              <w:t>Jiné (uveďte)</w:t>
            </w:r>
          </w:p>
        </w:tc>
        <w:tc>
          <w:tcPr>
            <w:tcW w:w="48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60"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8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60"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5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52"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2"/>
        </w:trPr>
        <w:tc>
          <w:tcPr>
            <w:tcW w:w="1302" w:type="pct"/>
            <w:gridSpan w:val="2"/>
            <w:tcBorders>
              <w:top w:val="double" w:sz="4" w:space="0" w:color="auto"/>
            </w:tcBorders>
          </w:tcPr>
          <w:p>
            <w:pPr>
              <w:spacing w:beforeLines="20" w:before="48" w:afterLines="20" w:after="48"/>
              <w:ind w:left="136"/>
              <w:jc w:val="left"/>
              <w:rPr>
                <w:noProof/>
                <w:sz w:val="16"/>
                <w:szCs w:val="16"/>
              </w:rPr>
            </w:pPr>
            <w:r>
              <w:rPr>
                <w:b/>
                <w:noProof/>
                <w:sz w:val="16"/>
                <w:szCs w:val="16"/>
              </w:rPr>
              <w:t>CELKEM</w:t>
            </w:r>
          </w:p>
        </w:tc>
        <w:tc>
          <w:tcPr>
            <w:tcW w:w="48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60"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20"/>
                <w:szCs w:val="20"/>
              </w:rPr>
              <w:t>1</w:t>
            </w:r>
          </w:p>
        </w:tc>
        <w:tc>
          <w:tcPr>
            <w:tcW w:w="488"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20"/>
                <w:szCs w:val="20"/>
              </w:rPr>
              <w:t>1</w:t>
            </w:r>
          </w:p>
        </w:tc>
        <w:tc>
          <w:tcPr>
            <w:tcW w:w="560"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20"/>
                <w:szCs w:val="20"/>
              </w:rPr>
              <w:t>1</w:t>
            </w:r>
          </w:p>
        </w:tc>
        <w:tc>
          <w:tcPr>
            <w:tcW w:w="559"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20"/>
                <w:szCs w:val="20"/>
              </w:rPr>
              <w:t>1</w:t>
            </w:r>
          </w:p>
        </w:tc>
        <w:tc>
          <w:tcPr>
            <w:tcW w:w="491"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20"/>
                <w:szCs w:val="20"/>
              </w:rPr>
              <w:t>1</w:t>
            </w:r>
          </w:p>
        </w:tc>
        <w:tc>
          <w:tcPr>
            <w:tcW w:w="552"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20"/>
                <w:szCs w:val="20"/>
              </w:rPr>
              <w:t>1</w:t>
            </w:r>
          </w:p>
        </w:tc>
      </w:tr>
    </w:tbl>
    <w:p>
      <w:pPr>
        <w:rPr>
          <w:noProof/>
          <w:sz w:val="18"/>
          <w:szCs w:val="18"/>
        </w:rPr>
      </w:pPr>
      <w:r>
        <w:rPr>
          <w:noProof/>
          <w:sz w:val="18"/>
          <w:szCs w:val="18"/>
        </w:rPr>
        <w:t>Potřeby v oblasti lidských zdrojů budou pokryty ze zdrojů GŘ, které jsou již vyčleněny na řízení akce a/nebo byly vnitřně přeobsazeny v rámci GŘ, a případně doplněny z dodatečného přídělu, který lze řídícímu GŘ poskytnout v rámci ročního přidělování a s ohledem na rozpočtová omezení.</w:t>
      </w:r>
    </w:p>
    <w:p>
      <w:pPr>
        <w:spacing w:before="0" w:after="200" w:line="276" w:lineRule="auto"/>
        <w:jc w:val="left"/>
        <w:rPr>
          <w:noProof/>
          <w:sz w:val="20"/>
          <w:szCs w:val="20"/>
        </w:rPr>
      </w:pPr>
      <w:r>
        <w:rPr>
          <w:noProof/>
          <w:sz w:val="20"/>
          <w:szCs w:val="20"/>
        </w:rPr>
        <w:t>Popis úkolů:</w:t>
      </w:r>
    </w:p>
    <w:tbl>
      <w:tblPr>
        <w:tblW w:w="94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82"/>
        <w:gridCol w:w="6578"/>
      </w:tblGrid>
      <w:tr>
        <w:trPr>
          <w:trHeight w:val="3779"/>
        </w:trPr>
        <w:tc>
          <w:tcPr>
            <w:tcW w:w="2882" w:type="dxa"/>
          </w:tcPr>
          <w:p>
            <w:pPr>
              <w:rPr>
                <w:noProof/>
                <w:sz w:val="20"/>
                <w:szCs w:val="20"/>
              </w:rPr>
            </w:pPr>
            <w:r>
              <w:rPr>
                <w:noProof/>
                <w:sz w:val="20"/>
                <w:szCs w:val="20"/>
              </w:rPr>
              <w:t>Úředníci a dočasní zaměstnanci</w:t>
            </w:r>
          </w:p>
        </w:tc>
        <w:tc>
          <w:tcPr>
            <w:tcW w:w="6578" w:type="dxa"/>
          </w:tcPr>
          <w:p>
            <w:pPr>
              <w:rPr>
                <w:noProof/>
                <w:sz w:val="20"/>
                <w:szCs w:val="20"/>
              </w:rPr>
            </w:pPr>
            <w:r>
              <w:rPr>
                <w:noProof/>
                <w:sz w:val="20"/>
                <w:szCs w:val="20"/>
              </w:rPr>
              <w:t>Zaměstnanci GŘ pro spravedlnost a spotřebitele budou zapojeni do politického řízení práce agentury eu-LISA, do jejího monitorování, jakož i do přípravy nezbytných prováděcích aktů uložených nařízením (2022).</w:t>
            </w:r>
          </w:p>
          <w:p>
            <w:pPr>
              <w:rPr>
                <w:noProof/>
                <w:sz w:val="20"/>
                <w:szCs w:val="20"/>
              </w:rPr>
            </w:pPr>
            <w:r>
              <w:rPr>
                <w:noProof/>
                <w:sz w:val="20"/>
                <w:szCs w:val="20"/>
              </w:rPr>
              <w:t>Zejména pokud jde o systém e-CODEX,</w:t>
            </w:r>
          </w:p>
          <w:p>
            <w:pPr>
              <w:rPr>
                <w:noProof/>
                <w:sz w:val="20"/>
                <w:szCs w:val="20"/>
              </w:rPr>
            </w:pPr>
            <w:r>
              <w:rPr>
                <w:noProof/>
                <w:sz w:val="20"/>
                <w:szCs w:val="20"/>
              </w:rPr>
              <w:t>– vymezení, provádění a koordinace provozních a politických aspektů činnosti agentury,</w:t>
            </w:r>
          </w:p>
          <w:p>
            <w:pPr>
              <w:rPr>
                <w:noProof/>
                <w:sz w:val="20"/>
                <w:szCs w:val="20"/>
              </w:rPr>
            </w:pPr>
            <w:r>
              <w:rPr>
                <w:noProof/>
                <w:sz w:val="20"/>
                <w:szCs w:val="20"/>
              </w:rPr>
              <w:t>– analýza a vyjádření připomínek ke všem dokumentům předloženým poradní skupině pro systém e-CODEX, radě pro řízení programů a případně správní radě agentury eu-LISA,</w:t>
            </w:r>
          </w:p>
          <w:p>
            <w:pPr>
              <w:rPr>
                <w:noProof/>
                <w:sz w:val="20"/>
                <w:szCs w:val="20"/>
              </w:rPr>
            </w:pPr>
            <w:r>
              <w:rPr>
                <w:noProof/>
                <w:sz w:val="20"/>
                <w:szCs w:val="20"/>
              </w:rPr>
              <w:t>– příprava účasti, účast na zprávě o pokroku a navazujících činnostech, zasedání poradní skupiny a správní rady,</w:t>
            </w:r>
          </w:p>
          <w:p>
            <w:pPr>
              <w:rPr>
                <w:noProof/>
                <w:sz w:val="20"/>
                <w:szCs w:val="20"/>
              </w:rPr>
            </w:pPr>
            <w:r>
              <w:rPr>
                <w:noProof/>
                <w:sz w:val="20"/>
                <w:szCs w:val="20"/>
              </w:rPr>
              <w:t>– příprava návrhů právních aktů (prováděcí akty), kontrola a oprava dokumentů vydávaných agenturou v souvislosti s právními, technickými a rozpočtovými omezeními,</w:t>
            </w:r>
          </w:p>
          <w:p>
            <w:pPr>
              <w:rPr>
                <w:noProof/>
                <w:sz w:val="20"/>
                <w:szCs w:val="20"/>
              </w:rPr>
            </w:pPr>
            <w:r>
              <w:rPr>
                <w:noProof/>
                <w:sz w:val="20"/>
                <w:szCs w:val="20"/>
              </w:rPr>
              <w:t>– přispívání k plánování činností agentury (programový dokument) a zajišťování jejich souladu s politickými prioritami a souladu s mandátem agentury,</w:t>
            </w:r>
          </w:p>
          <w:p>
            <w:pPr>
              <w:rPr>
                <w:noProof/>
                <w:sz w:val="20"/>
                <w:szCs w:val="20"/>
              </w:rPr>
            </w:pPr>
            <w:r>
              <w:rPr>
                <w:noProof/>
                <w:sz w:val="20"/>
                <w:szCs w:val="20"/>
              </w:rPr>
              <w:t>– případně sledování různých fór agentury (týkajících se správy nebo technických aspektů) a účastnění se jich a prezentování postoje Komise.</w:t>
            </w:r>
          </w:p>
        </w:tc>
      </w:tr>
      <w:tr>
        <w:trPr>
          <w:trHeight w:val="373"/>
        </w:trPr>
        <w:tc>
          <w:tcPr>
            <w:tcW w:w="2882" w:type="dxa"/>
          </w:tcPr>
          <w:p>
            <w:pPr>
              <w:spacing w:before="60" w:after="60"/>
              <w:rPr>
                <w:noProof/>
                <w:sz w:val="20"/>
                <w:szCs w:val="20"/>
              </w:rPr>
            </w:pPr>
            <w:r>
              <w:rPr>
                <w:noProof/>
                <w:sz w:val="20"/>
                <w:szCs w:val="20"/>
              </w:rPr>
              <w:t>Externí zaměstnanci</w:t>
            </w:r>
          </w:p>
        </w:tc>
        <w:tc>
          <w:tcPr>
            <w:tcW w:w="6578"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noProof/>
        </w:rPr>
      </w:pPr>
      <w:r>
        <w:t>3.2.4.</w:t>
      </w:r>
      <w:r>
        <w:tab/>
      </w:r>
      <w:r>
        <w:rPr>
          <w:noProof/>
        </w:rPr>
        <w:t xml:space="preserve">Příspěvky třetích stran </w:t>
      </w:r>
    </w:p>
    <w:p>
      <w:pPr>
        <w:pStyle w:val="Text1"/>
        <w:rPr>
          <w:noProof/>
        </w:rPr>
      </w:pPr>
      <w:r>
        <w:rPr>
          <w:noProof/>
        </w:rPr>
        <w:t>Návrh/podnět:</w:t>
      </w:r>
    </w:p>
    <w:p>
      <w:pPr>
        <w:pStyle w:val="ListDash1"/>
        <w:rPr>
          <w:noProof/>
        </w:rPr>
      </w:pPr>
      <w:r>
        <w:rPr>
          <w:noProof/>
        </w:rPr>
        <w:sym w:font="Wingdings" w:char="F078"/>
      </w:r>
      <w:r>
        <w:rPr>
          <w:noProof/>
        </w:rPr>
        <w:tab/>
        <w:t>nepočítá se spolufinancováním od třetích stran,</w:t>
      </w:r>
    </w:p>
    <w:p>
      <w:pPr>
        <w:pStyle w:val="ListDash1"/>
        <w:rPr>
          <w:noProof/>
        </w:rPr>
      </w:pPr>
      <w:r>
        <w:rPr>
          <w:noProof/>
        </w:rPr>
        <w:sym w:font="Wingdings" w:char="F0A8"/>
      </w:r>
      <w:r>
        <w:rPr>
          <w:noProof/>
        </w:rPr>
        <w:tab/>
        <w:t>počítá se spolufinancováním od třetích stran podle následujícího odhadu:</w:t>
      </w:r>
    </w:p>
    <w:p>
      <w:pPr>
        <w:jc w:val="right"/>
        <w:rPr>
          <w:noProof/>
          <w:sz w:val="20"/>
          <w:szCs w:val="20"/>
        </w:rPr>
      </w:pPr>
      <w:r>
        <w:rPr>
          <w:noProof/>
          <w:sz w:val="20"/>
          <w:szCs w:val="20"/>
        </w:rPr>
        <w:t>Prostředky v milionech EUR (zaokrouhleno na tři desetinná místa)</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szCs w:val="20"/>
              </w:rPr>
            </w:pPr>
            <w:r>
              <w:rPr>
                <w:b/>
                <w:noProof/>
                <w:sz w:val="20"/>
                <w:szCs w:val="20"/>
              </w:rPr>
              <w:t>Roky</w:t>
            </w:r>
          </w:p>
        </w:tc>
        <w:tc>
          <w:tcPr>
            <w:tcW w:w="964" w:type="dxa"/>
            <w:vAlign w:val="center"/>
          </w:tcPr>
          <w:p>
            <w:pPr>
              <w:jc w:val="center"/>
              <w:rPr>
                <w:noProof/>
                <w:sz w:val="20"/>
                <w:szCs w:val="20"/>
              </w:rPr>
            </w:pPr>
            <w:r>
              <w:rPr>
                <w:b/>
                <w:noProof/>
                <w:sz w:val="20"/>
                <w:szCs w:val="20"/>
              </w:rPr>
              <w:t>2021</w:t>
            </w:r>
          </w:p>
        </w:tc>
        <w:tc>
          <w:tcPr>
            <w:tcW w:w="964" w:type="dxa"/>
            <w:vAlign w:val="center"/>
          </w:tcPr>
          <w:p>
            <w:pPr>
              <w:jc w:val="center"/>
              <w:rPr>
                <w:b/>
                <w:noProof/>
                <w:sz w:val="20"/>
                <w:szCs w:val="20"/>
              </w:rPr>
            </w:pPr>
            <w:r>
              <w:rPr>
                <w:b/>
                <w:noProof/>
                <w:sz w:val="20"/>
                <w:szCs w:val="20"/>
              </w:rPr>
              <w:t>2022</w:t>
            </w:r>
          </w:p>
        </w:tc>
        <w:tc>
          <w:tcPr>
            <w:tcW w:w="964" w:type="dxa"/>
            <w:vAlign w:val="center"/>
          </w:tcPr>
          <w:p>
            <w:pPr>
              <w:jc w:val="center"/>
              <w:rPr>
                <w:b/>
                <w:noProof/>
                <w:sz w:val="20"/>
                <w:szCs w:val="20"/>
              </w:rPr>
            </w:pPr>
            <w:r>
              <w:rPr>
                <w:b/>
                <w:noProof/>
                <w:sz w:val="20"/>
                <w:szCs w:val="20"/>
              </w:rPr>
              <w:t>2023</w:t>
            </w:r>
          </w:p>
        </w:tc>
        <w:tc>
          <w:tcPr>
            <w:tcW w:w="964" w:type="dxa"/>
            <w:vAlign w:val="center"/>
          </w:tcPr>
          <w:p>
            <w:pPr>
              <w:jc w:val="center"/>
              <w:rPr>
                <w:b/>
                <w:noProof/>
                <w:sz w:val="20"/>
                <w:szCs w:val="20"/>
              </w:rPr>
            </w:pPr>
            <w:r>
              <w:rPr>
                <w:b/>
                <w:noProof/>
                <w:sz w:val="20"/>
                <w:szCs w:val="20"/>
              </w:rPr>
              <w:t>2024</w:t>
            </w:r>
          </w:p>
        </w:tc>
        <w:tc>
          <w:tcPr>
            <w:tcW w:w="964" w:type="dxa"/>
            <w:vAlign w:val="center"/>
          </w:tcPr>
          <w:p>
            <w:pPr>
              <w:jc w:val="center"/>
              <w:rPr>
                <w:b/>
                <w:noProof/>
                <w:sz w:val="20"/>
                <w:szCs w:val="20"/>
              </w:rPr>
            </w:pPr>
            <w:r>
              <w:rPr>
                <w:b/>
                <w:noProof/>
                <w:sz w:val="20"/>
                <w:szCs w:val="20"/>
              </w:rPr>
              <w:t>2025</w:t>
            </w:r>
          </w:p>
        </w:tc>
        <w:tc>
          <w:tcPr>
            <w:tcW w:w="964" w:type="dxa"/>
            <w:vAlign w:val="center"/>
          </w:tcPr>
          <w:p>
            <w:pPr>
              <w:jc w:val="center"/>
              <w:rPr>
                <w:b/>
                <w:noProof/>
                <w:sz w:val="20"/>
                <w:szCs w:val="20"/>
              </w:rPr>
            </w:pPr>
            <w:r>
              <w:rPr>
                <w:b/>
                <w:noProof/>
                <w:sz w:val="20"/>
                <w:szCs w:val="20"/>
              </w:rPr>
              <w:t>2026</w:t>
            </w:r>
          </w:p>
        </w:tc>
        <w:tc>
          <w:tcPr>
            <w:tcW w:w="964" w:type="dxa"/>
            <w:vAlign w:val="center"/>
          </w:tcPr>
          <w:p>
            <w:pPr>
              <w:jc w:val="center"/>
              <w:rPr>
                <w:b/>
                <w:noProof/>
                <w:sz w:val="20"/>
                <w:szCs w:val="20"/>
              </w:rPr>
            </w:pPr>
            <w:r>
              <w:rPr>
                <w:b/>
                <w:noProof/>
                <w:sz w:val="20"/>
                <w:szCs w:val="20"/>
              </w:rPr>
              <w:t>2027</w:t>
            </w:r>
          </w:p>
        </w:tc>
        <w:tc>
          <w:tcPr>
            <w:tcW w:w="1158" w:type="dxa"/>
            <w:vAlign w:val="center"/>
          </w:tcPr>
          <w:p>
            <w:pPr>
              <w:spacing w:before="60" w:after="60"/>
              <w:jc w:val="center"/>
              <w:rPr>
                <w:b/>
                <w:noProof/>
                <w:sz w:val="20"/>
                <w:szCs w:val="20"/>
              </w:rPr>
            </w:pPr>
            <w:r>
              <w:rPr>
                <w:b/>
                <w:noProof/>
                <w:sz w:val="20"/>
                <w:szCs w:val="20"/>
              </w:rPr>
              <w:t>CELKEM</w:t>
            </w:r>
          </w:p>
        </w:tc>
      </w:tr>
      <w:tr>
        <w:trPr>
          <w:cantSplit/>
          <w:jc w:val="center"/>
        </w:trPr>
        <w:tc>
          <w:tcPr>
            <w:tcW w:w="2340" w:type="dxa"/>
          </w:tcPr>
          <w:p>
            <w:pPr>
              <w:rPr>
                <w:noProof/>
              </w:rPr>
            </w:pPr>
            <w:r>
              <w:rPr>
                <w:noProof/>
                <w:sz w:val="20"/>
                <w:szCs w:val="20"/>
              </w:rPr>
              <w:t>Upřesněte spolufinancující subjekt</w:t>
            </w:r>
            <w:r>
              <w:rPr>
                <w:i/>
                <w:noProof/>
                <w:sz w:val="20"/>
                <w:szCs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jc w:val="center"/>
        </w:trPr>
        <w:tc>
          <w:tcPr>
            <w:tcW w:w="2340" w:type="dxa"/>
          </w:tcPr>
          <w:p>
            <w:pPr>
              <w:spacing w:before="60" w:after="60"/>
              <w:jc w:val="left"/>
              <w:rPr>
                <w:noProof/>
                <w:sz w:val="20"/>
                <w:szCs w:val="20"/>
              </w:rPr>
            </w:pPr>
            <w:r>
              <w:rPr>
                <w:noProof/>
                <w:sz w:val="20"/>
                <w:szCs w:val="20"/>
              </w:rPr>
              <w:t xml:space="preserve">Spolufinancované prostředky CELKEM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p>
    <w:p>
      <w:pPr>
        <w:pStyle w:val="ManualHeading2"/>
        <w:rPr>
          <w:noProof/>
        </w:rPr>
      </w:pPr>
      <w:r>
        <w:t>3.3.</w:t>
      </w:r>
      <w:r>
        <w:tab/>
      </w:r>
      <w:r>
        <w:rPr>
          <w:noProof/>
        </w:rPr>
        <w:t xml:space="preserve">Odhadovaný dopad na příjmy </w:t>
      </w:r>
    </w:p>
    <w:p>
      <w:pPr>
        <w:pStyle w:val="ListDash1"/>
        <w:rPr>
          <w:noProof/>
        </w:rPr>
      </w:pPr>
      <w:r>
        <w:rPr>
          <w:noProof/>
        </w:rPr>
        <w:sym w:font="Wingdings" w:char="F078"/>
      </w:r>
      <w:r>
        <w:rPr>
          <w:noProof/>
        </w:rPr>
        <w:tab/>
        <w:t>Návrh/podnět nemá žádný finanční dopad na příjmy.</w:t>
      </w:r>
    </w:p>
    <w:p>
      <w:pPr>
        <w:pStyle w:val="ListDash1"/>
        <w:rPr>
          <w:noProof/>
        </w:rPr>
      </w:pPr>
      <w:r>
        <w:rPr>
          <w:noProof/>
        </w:rPr>
        <w:sym w:font="Wingdings" w:char="F0A8"/>
      </w:r>
      <w:r>
        <w:rPr>
          <w:noProof/>
        </w:rPr>
        <w:tab/>
        <w:t>Návrh/podnět má tento finanční dopad:</w:t>
      </w:r>
    </w:p>
    <w:p>
      <w:pPr>
        <w:pStyle w:val="ListNumberLevel3"/>
        <w:rPr>
          <w:noProof/>
        </w:rPr>
      </w:pPr>
      <w:r>
        <w:rPr>
          <w:noProof/>
        </w:rPr>
        <w:sym w:font="Wingdings" w:char="F0A8"/>
      </w:r>
      <w:r>
        <w:rPr>
          <w:noProof/>
        </w:rPr>
        <w:tab/>
        <w:t xml:space="preserve">na vlastní zdroje </w:t>
      </w:r>
    </w:p>
    <w:p>
      <w:pPr>
        <w:pStyle w:val="ListNumberLevel3"/>
        <w:rPr>
          <w:noProof/>
        </w:rPr>
      </w:pPr>
      <w:r>
        <w:rPr>
          <w:noProof/>
        </w:rPr>
        <w:sym w:font="Wingdings" w:char="F0A8"/>
      </w:r>
      <w:r>
        <w:rPr>
          <w:noProof/>
        </w:rPr>
        <w:tab/>
        <w:t>na jiné příjmy</w:t>
      </w:r>
    </w:p>
    <w:p>
      <w:pPr>
        <w:pStyle w:val="Text3"/>
        <w:rPr>
          <w:noProof/>
        </w:rPr>
      </w:pPr>
      <w:r>
        <w:rPr>
          <w:noProof/>
        </w:rPr>
        <w:t>uveďte, zda je příjem účelově vázán na výdajové položky</w:t>
      </w:r>
      <w:r>
        <w:rPr>
          <w:noProof/>
        </w:rPr>
        <w:sym w:font="Wingdings" w:char="F0A8"/>
      </w:r>
      <w:r>
        <w:rPr>
          <w:noProof/>
        </w:rPr>
        <w:tab/>
      </w:r>
    </w:p>
    <w:p>
      <w:pPr>
        <w:jc w:val="right"/>
        <w:rPr>
          <w:i/>
          <w:noProof/>
          <w:sz w:val="20"/>
          <w:szCs w:val="20"/>
        </w:rPr>
      </w:pPr>
      <w:r>
        <w:rPr>
          <w:noProof/>
        </w:rPr>
        <w:t>v milionech EUR (zaokrouhleno na tři desetinná místa)</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szCs w:val="18"/>
              </w:rPr>
            </w:pPr>
            <w:r>
              <w:rPr>
                <w:noProof/>
                <w:sz w:val="18"/>
                <w:szCs w:val="18"/>
              </w:rPr>
              <w:t>Příjmová rozpočtová položka:</w:t>
            </w:r>
          </w:p>
        </w:tc>
        <w:tc>
          <w:tcPr>
            <w:tcW w:w="7200" w:type="dxa"/>
            <w:gridSpan w:val="7"/>
            <w:vAlign w:val="center"/>
          </w:tcPr>
          <w:p>
            <w:pPr>
              <w:jc w:val="center"/>
              <w:rPr>
                <w:noProof/>
                <w:sz w:val="18"/>
                <w:szCs w:val="18"/>
              </w:rPr>
            </w:pPr>
            <w:r>
              <w:rPr>
                <w:noProof/>
                <w:sz w:val="18"/>
                <w:szCs w:val="18"/>
              </w:rPr>
              <w:t>Dopad návrhu/podnětu</w:t>
            </w:r>
            <w:r>
              <w:rPr>
                <w:rStyle w:val="FootnoteReference"/>
                <w:noProof/>
              </w:rPr>
              <w:footnoteReference w:id="54"/>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szCs w:val="18"/>
              </w:rPr>
            </w:pPr>
            <w:r>
              <w:rPr>
                <w:b/>
                <w:noProof/>
                <w:sz w:val="20"/>
                <w:szCs w:val="20"/>
              </w:rPr>
              <w:t>2021</w:t>
            </w:r>
          </w:p>
        </w:tc>
        <w:tc>
          <w:tcPr>
            <w:tcW w:w="900" w:type="dxa"/>
            <w:vAlign w:val="center"/>
          </w:tcPr>
          <w:p>
            <w:pPr>
              <w:jc w:val="center"/>
              <w:rPr>
                <w:b/>
                <w:noProof/>
                <w:sz w:val="20"/>
                <w:szCs w:val="20"/>
              </w:rPr>
            </w:pPr>
            <w:r>
              <w:rPr>
                <w:b/>
                <w:noProof/>
                <w:sz w:val="20"/>
                <w:szCs w:val="20"/>
              </w:rPr>
              <w:t>2022</w:t>
            </w:r>
          </w:p>
        </w:tc>
        <w:tc>
          <w:tcPr>
            <w:tcW w:w="900" w:type="dxa"/>
            <w:vAlign w:val="center"/>
          </w:tcPr>
          <w:p>
            <w:pPr>
              <w:jc w:val="center"/>
              <w:rPr>
                <w:b/>
                <w:noProof/>
                <w:sz w:val="20"/>
                <w:szCs w:val="20"/>
              </w:rPr>
            </w:pPr>
            <w:r>
              <w:rPr>
                <w:b/>
                <w:noProof/>
                <w:sz w:val="20"/>
                <w:szCs w:val="20"/>
              </w:rPr>
              <w:t>2023</w:t>
            </w:r>
          </w:p>
        </w:tc>
        <w:tc>
          <w:tcPr>
            <w:tcW w:w="1080" w:type="dxa"/>
            <w:vAlign w:val="center"/>
          </w:tcPr>
          <w:p>
            <w:pPr>
              <w:jc w:val="center"/>
              <w:rPr>
                <w:b/>
                <w:noProof/>
                <w:sz w:val="20"/>
                <w:szCs w:val="20"/>
              </w:rPr>
            </w:pPr>
            <w:r>
              <w:rPr>
                <w:b/>
                <w:noProof/>
                <w:sz w:val="20"/>
                <w:szCs w:val="20"/>
              </w:rPr>
              <w:t>2024</w:t>
            </w:r>
          </w:p>
        </w:tc>
        <w:tc>
          <w:tcPr>
            <w:tcW w:w="1080" w:type="dxa"/>
            <w:vAlign w:val="center"/>
          </w:tcPr>
          <w:p>
            <w:pPr>
              <w:jc w:val="center"/>
              <w:rPr>
                <w:b/>
                <w:noProof/>
                <w:sz w:val="20"/>
                <w:szCs w:val="20"/>
              </w:rPr>
            </w:pPr>
            <w:r>
              <w:rPr>
                <w:b/>
                <w:noProof/>
                <w:sz w:val="20"/>
                <w:szCs w:val="20"/>
              </w:rPr>
              <w:t>2025</w:t>
            </w:r>
          </w:p>
        </w:tc>
        <w:tc>
          <w:tcPr>
            <w:tcW w:w="1080" w:type="dxa"/>
            <w:vAlign w:val="center"/>
          </w:tcPr>
          <w:p>
            <w:pPr>
              <w:jc w:val="center"/>
              <w:rPr>
                <w:b/>
                <w:noProof/>
                <w:sz w:val="20"/>
                <w:szCs w:val="20"/>
              </w:rPr>
            </w:pPr>
            <w:r>
              <w:rPr>
                <w:b/>
                <w:noProof/>
                <w:sz w:val="20"/>
                <w:szCs w:val="20"/>
              </w:rPr>
              <w:t>2026</w:t>
            </w:r>
          </w:p>
        </w:tc>
        <w:tc>
          <w:tcPr>
            <w:tcW w:w="1080" w:type="dxa"/>
            <w:vAlign w:val="center"/>
          </w:tcPr>
          <w:p>
            <w:pPr>
              <w:jc w:val="center"/>
              <w:rPr>
                <w:b/>
                <w:noProof/>
                <w:sz w:val="20"/>
                <w:szCs w:val="20"/>
              </w:rPr>
            </w:pPr>
            <w:r>
              <w:rPr>
                <w:b/>
                <w:noProof/>
                <w:sz w:val="20"/>
                <w:szCs w:val="20"/>
              </w:rPr>
              <w:t>2027</w:t>
            </w:r>
          </w:p>
        </w:tc>
      </w:tr>
      <w:tr>
        <w:trPr>
          <w:trHeight w:val="388"/>
          <w:jc w:val="center"/>
        </w:trPr>
        <w:tc>
          <w:tcPr>
            <w:tcW w:w="2144" w:type="dxa"/>
            <w:vAlign w:val="center"/>
          </w:tcPr>
          <w:p>
            <w:pPr>
              <w:spacing w:before="40" w:after="40"/>
              <w:rPr>
                <w:noProof/>
                <w:sz w:val="18"/>
                <w:szCs w:val="18"/>
              </w:rPr>
            </w:pPr>
            <w:r>
              <w:rPr>
                <w:noProof/>
                <w:sz w:val="18"/>
                <w:szCs w:val="18"/>
              </w:rPr>
              <w:t>Článek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rPr>
          <w:noProof/>
          <w:sz w:val="20"/>
          <w:szCs w:val="20"/>
        </w:rPr>
      </w:pPr>
      <w:r>
        <w:rPr>
          <w:noProof/>
          <w:sz w:val="20"/>
          <w:szCs w:val="20"/>
        </w:rPr>
        <w:t>U účelově vázaných příjmů upřesněte dotčené výdajové rozpočtové položky.</w:t>
      </w:r>
    </w:p>
    <w:p>
      <w:pPr>
        <w:rPr>
          <w:noProof/>
          <w:sz w:val="20"/>
          <w:szCs w:val="20"/>
        </w:rPr>
      </w:pPr>
      <w:r>
        <w:rPr>
          <w:noProof/>
          <w:sz w:val="20"/>
          <w:szCs w:val="20"/>
        </w:rPr>
        <w:t>Jiné poznámky (např. způsob/vzorec výpočtu dopadu na příjmy nebo jiné údaje).</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tab/>
    </w:r>
    <w:r>
      <w:rPr>
        <w:rFonts w:ascii="Arial" w:hAnsi="Arial" w:cs="Arial"/>
        <w:b/>
        <w:sz w:val="48"/>
      </w:rPr>
      <w:t>CS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CS</w:t>
    </w:r>
    <w:r>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r>
      <w:tab/>
    </w:r>
    <w:r>
      <w:rPr>
        <w:rFonts w:ascii="Arial" w:hAnsi="Arial" w:cs="Arial"/>
        <w:b/>
        <w:sz w:val="48"/>
      </w:rPr>
      <w:t>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CS</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CS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CS</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CS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 xml:space="preserve">Hlava V Smlouvy o fungování Evropské unie. </w:t>
      </w:r>
    </w:p>
  </w:footnote>
  <w:footnote w:id="3">
    <w:p>
      <w:pPr>
        <w:pStyle w:val="FootnoteText"/>
      </w:pPr>
      <w:r>
        <w:rPr>
          <w:rStyle w:val="FootnoteReference"/>
        </w:rPr>
        <w:footnoteRef/>
      </w:r>
      <w:r>
        <w:tab/>
        <w:t>Nařízení Evropského parlamentu a Rady (ES) č. 1896/2006 ze dne 12. prosince 2006, kterým se zavádí řízení o evropském platebním rozkazu (Úř. věst. L 399, 30.12.2006, s. 1).</w:t>
      </w:r>
    </w:p>
  </w:footnote>
  <w:footnote w:id="4">
    <w:p>
      <w:pPr>
        <w:pStyle w:val="FootnoteText"/>
      </w:pPr>
      <w:r>
        <w:rPr>
          <w:rStyle w:val="FootnoteReference"/>
        </w:rPr>
        <w:footnoteRef/>
      </w:r>
      <w:r>
        <w:tab/>
        <w:t>Nařízení Evropského parlamentu a Rady (ES) č. 861/2007 ze dne 11. července 2007, kterým se zavádí evropské řízení o drobných nárocích (Úř. věst. L 199, 31.7.2007, s. 1).</w:t>
      </w:r>
    </w:p>
  </w:footnote>
  <w:footnote w:id="5">
    <w:p>
      <w:pPr>
        <w:pStyle w:val="FootnoteText"/>
      </w:pPr>
      <w:r>
        <w:rPr>
          <w:rStyle w:val="FootnoteReference"/>
        </w:rPr>
        <w:footnoteRef/>
      </w:r>
      <w:r>
        <w:tab/>
        <w:t>Nařízení Evropského parlamentu a Rady (EU) č. 655/2014 ze dne 15. května 2014, kterým se zavádí řízení o evropském příkazu k obstavení účtů k usnadnění vymáhání přeshraničních pohledávek v občanských a obchodních věcech (Úř. věst. L 189, 27.6.2014, s. 59).</w:t>
      </w:r>
    </w:p>
  </w:footnote>
  <w:footnote w:id="6">
    <w:p>
      <w:pPr>
        <w:pStyle w:val="FootnoteText"/>
      </w:pPr>
      <w:r>
        <w:rPr>
          <w:rStyle w:val="FootnoteReference"/>
        </w:rPr>
        <w:footnoteRef/>
      </w:r>
      <w:r>
        <w:tab/>
        <w:t>Teoreticky lze místo internetu využívat i síť TESTA NG, není to však nutné.</w:t>
      </w:r>
    </w:p>
  </w:footnote>
  <w:footnote w:id="7">
    <w:p>
      <w:pPr>
        <w:pStyle w:val="FootnoteText"/>
      </w:pPr>
      <w:r>
        <w:rPr>
          <w:rStyle w:val="FootnoteReference"/>
        </w:rPr>
        <w:footnoteRef/>
      </w:r>
      <w:r>
        <w:tab/>
        <w:t>Pro usnadnění bezpečné a interoperabilní komunikace představil počáteční systém e-CODEX tři klíčové prvky: obousměrné předávání zpráv (nyní CEF eDelivery), vytváření a sledování zpráv (e-CODEX „Connector“) a normy/šablony pro digitální formuláře (schémata e-CODEX XML).</w:t>
      </w:r>
    </w:p>
  </w:footnote>
  <w:footnote w:id="8">
    <w:p>
      <w:pPr>
        <w:pStyle w:val="FootnoteText"/>
      </w:pPr>
      <w:r>
        <w:rPr>
          <w:rStyle w:val="FootnoteReference"/>
        </w:rPr>
        <w:footnoteRef/>
      </w:r>
      <w:r>
        <w:tab/>
        <w:t>Belgie, Česká republika, Estonsko, Finsko, Francie, Chorvatsko, Irsko, Itálie, Litva, Lotyšsko, Maďarsko, Malta, Německo, Nizozemsko, Polsko, Portugalsko, Rakousko, Rumunsko, Řecko, Spojené království a Španělsko.</w:t>
      </w:r>
    </w:p>
  </w:footnote>
  <w:footnote w:id="9">
    <w:p>
      <w:pPr>
        <w:pStyle w:val="FootnoteText"/>
        <w:rPr>
          <w:rFonts w:eastAsia="Arial Unicode MS"/>
        </w:rPr>
      </w:pPr>
      <w:r>
        <w:rPr>
          <w:rStyle w:val="FootnoteReference"/>
        </w:rPr>
        <w:footnoteRef/>
      </w:r>
      <w:r>
        <w:tab/>
        <w:t>Jersey, Norsko, Turecko, Rada evropských advokátních komor (CCBE) a Rada notářů Evropské unie (CNUE).</w:t>
      </w:r>
    </w:p>
  </w:footnote>
  <w:footnote w:id="10">
    <w:p>
      <w:pPr>
        <w:pStyle w:val="FootnoteText"/>
        <w:rPr>
          <w:rFonts w:eastAsia="Arial Unicode MS"/>
        </w:rPr>
      </w:pPr>
      <w:r>
        <w:rPr>
          <w:rStyle w:val="FootnoteReference"/>
        </w:rPr>
        <w:footnoteRef/>
      </w:r>
      <w:r>
        <w:tab/>
        <w:t>Z rámcového programu pro konkurenceschopnost a inovace na podporu politiky informačních a komunikačních technologií (GŘ CONNECT) a grantu na akci prostřednictvím programu Spravedlnost (GŘ JUST).</w:t>
      </w:r>
    </w:p>
  </w:footnote>
  <w:footnote w:id="11">
    <w:p>
      <w:pPr>
        <w:pStyle w:val="FootnoteText"/>
      </w:pPr>
      <w:r>
        <w:rPr>
          <w:rStyle w:val="FootnoteReference"/>
        </w:rPr>
        <w:footnoteRef/>
      </w:r>
      <w:r>
        <w:tab/>
        <w:t>Posouzení dopadů obsahuje seznam přeshraničních řízení, u nichž byl e-CODEX použit v pilotních projektech.</w:t>
      </w:r>
    </w:p>
  </w:footnote>
  <w:footnote w:id="12">
    <w:p>
      <w:pPr>
        <w:pStyle w:val="FootnoteText"/>
      </w:pPr>
      <w:r>
        <w:rPr>
          <w:rStyle w:val="FootnoteReference"/>
        </w:rPr>
        <w:footnoteRef/>
      </w:r>
      <w:r>
        <w:tab/>
        <w:t xml:space="preserve">https://e-justice.europa.eu/home.do </w:t>
      </w:r>
    </w:p>
  </w:footnote>
  <w:footnote w:id="13">
    <w:p>
      <w:pPr>
        <w:pStyle w:val="FootnoteText"/>
      </w:pPr>
      <w:r>
        <w:rPr>
          <w:rStyle w:val="FootnoteReference"/>
        </w:rPr>
        <w:footnoteRef/>
      </w:r>
      <w:r>
        <w:tab/>
        <w:t>V souladu s nařízením Evropského parlamentu a Rady (ES) č. 1896/2006 ze dne 12. prosince 2006, kterým se zavádí řízení o evropském platebním rozkazu (Úř. věst. L 399, 30.12.2006, s. 1).</w:t>
      </w:r>
    </w:p>
  </w:footnote>
  <w:footnote w:id="14">
    <w:p>
      <w:pPr>
        <w:pStyle w:val="FootnoteText"/>
      </w:pPr>
      <w:r>
        <w:rPr>
          <w:rStyle w:val="FootnoteReference"/>
        </w:rPr>
        <w:footnoteRef/>
      </w:r>
      <w:r>
        <w:tab/>
        <w:t>V souladu s nařízením Evropského parlamentu a Rady (ES) č. 861/2007 ze dne 11. července 2007, kterým se zavádí evropské řízení o drobných nárocích (Úř. věst. L 199, 31.7.2007, s. 1).</w:t>
      </w:r>
    </w:p>
  </w:footnote>
  <w:footnote w:id="15">
    <w:p>
      <w:pPr>
        <w:pStyle w:val="FootnoteText"/>
      </w:pPr>
      <w:r>
        <w:rPr>
          <w:rStyle w:val="FootnoteReference"/>
        </w:rPr>
        <w:footnoteRef/>
      </w:r>
      <w:r>
        <w:tab/>
      </w:r>
      <w:r>
        <w:rPr>
          <w:rStyle w:val="FootnoteReference"/>
          <w:vertAlign w:val="baseline"/>
        </w:rPr>
        <w:t xml:space="preserve">Návrh </w:t>
      </w:r>
      <w:r>
        <w:t xml:space="preserve">nařízení, </w:t>
      </w:r>
      <w:r>
        <w:rPr>
          <w:rStyle w:val="FootnoteReference"/>
          <w:vertAlign w:val="baseline"/>
        </w:rPr>
        <w:t>kterým se mění nařízení Evropského parlamentu a Rady (ES) č. 1393/2007 o doručování soudních a mimosoudních písemností ve věcech občanských a obchodních v členských státech („doručování písemností“)</w:t>
      </w:r>
      <w:r>
        <w:t xml:space="preserve"> (</w:t>
      </w:r>
      <w:r>
        <w:rPr>
          <w:rStyle w:val="FootnoteReference"/>
          <w:vertAlign w:val="baseline"/>
        </w:rPr>
        <w:t>COM/2018/379 final</w:t>
      </w:r>
      <w:r>
        <w:t xml:space="preserve">). </w:t>
      </w:r>
      <w:r>
        <w:rPr>
          <w:rStyle w:val="FootnoteReference"/>
          <w:vertAlign w:val="baseline"/>
        </w:rPr>
        <w:t>Návrh</w:t>
      </w:r>
      <w:r>
        <w:t xml:space="preserve"> nařízení, </w:t>
      </w:r>
      <w:r>
        <w:rPr>
          <w:rStyle w:val="FootnoteReference"/>
          <w:vertAlign w:val="baseline"/>
        </w:rPr>
        <w:t>kterým se mění nařízení Rady (ES) č. 1206/2001 ze dne 28. května 2001 o spolupráci soudů členských států při dokazování v občanských nebo obchodních věcech</w:t>
      </w:r>
      <w:r>
        <w:t xml:space="preserve"> (</w:t>
      </w:r>
      <w:r>
        <w:rPr>
          <w:rStyle w:val="FootnoteReference"/>
          <w:vertAlign w:val="baseline"/>
        </w:rPr>
        <w:t>COM/2018/378 final</w:t>
      </w:r>
      <w:r>
        <w:t>).</w:t>
      </w:r>
    </w:p>
  </w:footnote>
  <w:footnote w:id="16">
    <w:p>
      <w:pPr>
        <w:pStyle w:val="FootnoteText"/>
        <w:rPr>
          <w:rStyle w:val="FootnoteReference"/>
        </w:rPr>
      </w:pPr>
      <w:r>
        <w:rPr>
          <w:rStyle w:val="FootnoteReference"/>
        </w:rPr>
        <w:footnoteRef/>
      </w:r>
      <w:r>
        <w:tab/>
        <w:t>Hodnocení Komise (tři externí odborníci) v roce 2016 týkající se projektu elektronické komunikace v oblasti e-justice prostřednictvím on-line výměny informací (systém e-CODEX) předloženého v rámci programu na podporu politiky informačních a komunikačních technologií v rámcovém programu pro konkurenceschopnost a inovace, grantová dohoda č. 270968.</w:t>
      </w:r>
    </w:p>
  </w:footnote>
  <w:footnote w:id="17">
    <w:p>
      <w:pPr>
        <w:pStyle w:val="FootnoteText"/>
      </w:pPr>
      <w:r>
        <w:rPr>
          <w:rStyle w:val="FootnoteReference"/>
        </w:rPr>
        <w:footnoteRef/>
      </w:r>
      <w:r>
        <w:tab/>
        <w:t>COM(2020) 710 final.</w:t>
      </w:r>
    </w:p>
  </w:footnote>
  <w:footnote w:id="18">
    <w:p>
      <w:pPr>
        <w:pStyle w:val="FootnoteText"/>
      </w:pPr>
      <w:r>
        <w:rPr>
          <w:rStyle w:val="FootnoteReference"/>
        </w:rPr>
        <w:footnoteRef/>
      </w:r>
      <w:r>
        <w:tab/>
        <w:t>EU přijala několik legislativních nástrojů v souladu se zásadou vzájemného uznávání: evropský zatýkací rozkaz – RR 2002/584 (Úř. věst. L 190, 18.7.2002, s. 1); příkazy k zajištění majetku a důkazních prostředků – RR 2003/577 (Úř. věst. L 196, 2.8.2003, s. 45); peněžité tresty a pokuty – RR 2005/214 (Úř. věst. L 76, 22.3.2005, s. 16); příkazy ke konfiskaci – RR 2006/783 (Úř. věst. L 328, 24.11.2006, s. 59); předávání vězněných osob a tresty odnětí svobody – RR 2008/909 (Úř. věst. L 327, 5.12.2008, s. 27); rozhodnutí o probaci a alternativní tresty – RR 2008/947 (Úř. věst. L 337, 16.12.2008, s. 102); evropský příkaz k výkonu dohledu v přípravném řízení – RR 2009/829 (Úř. věst. L 294, 11.11.2009, s. 20); předcházení kompetenčním sporům při výkonu pravomoci a jejich řešení – RR 2009/948 (Úř. věst. L 328, 15.12.2009, s. 42); Evropský vyšetřovací příkaz – směrnice 2014/41/EU (Úř. věst. L 130, 1.5.2014, s. 1); Evropský ochranný příkaz – směrnice 2011/99/EU (Úř. věst. L 338, 21.12.2011, s. 2). Kromě toho Komise v roce 2016 přijala návrh nařízení Evropského parlamentu a Rady o vzájemném uznávání příkazů k zajištění a konfiskaci (COM/2016/0819 final) a v roce 2018 návrh nařízení Evropského parlamentu a Rady o evropských předávacích a uchovávacích příkazech pro elektronické důkazy v trestních věcech (COM/2018/225 final).</w:t>
      </w:r>
    </w:p>
  </w:footnote>
  <w:footnote w:id="19">
    <w:p>
      <w:pPr>
        <w:pStyle w:val="FootnoteText"/>
      </w:pPr>
      <w:r>
        <w:rPr>
          <w:rStyle w:val="FootnoteReference"/>
        </w:rPr>
        <w:footnoteRef/>
      </w:r>
      <w:r>
        <w:tab/>
      </w:r>
      <w:r>
        <w:rPr>
          <w:rStyle w:val="FootnoteReference"/>
          <w:vertAlign w:val="baseline"/>
        </w:rPr>
        <w:t>Směrnice Evropského parlamentu a Rady 2014/41/EU ze dne 3. dubna 2014 o evropském vyšetřovacím příkazu v trestních věcech (Úř. věst. L 130, 1.5.2014, s. 1).</w:t>
      </w:r>
      <w:r>
        <w:t xml:space="preserve"> </w:t>
      </w:r>
    </w:p>
  </w:footnote>
  <w:footnote w:id="20">
    <w:p>
      <w:pPr>
        <w:pStyle w:val="FootnoteText"/>
      </w:pPr>
      <w:r>
        <w:rPr>
          <w:rStyle w:val="FootnoteReference"/>
        </w:rPr>
        <w:footnoteRef/>
      </w:r>
      <w:r>
        <w:tab/>
        <w:t>Německo (Severní Porýní-Vestfálsko), Francie, Nizozemsko, Rakousko, Evropská nadace soudních vykonavatelů, Evropská nadace právníků a Aristotelova univerzita v Soluni.</w:t>
      </w:r>
    </w:p>
  </w:footnote>
  <w:footnote w:id="21">
    <w:p>
      <w:pPr>
        <w:pStyle w:val="FootnoteText"/>
      </w:pPr>
      <w:r>
        <w:rPr>
          <w:rStyle w:val="FootnoteReference"/>
        </w:rPr>
        <w:footnoteRef/>
      </w:r>
      <w:r>
        <w:tab/>
        <w:t>Závěry Rady „Přístup ke spravedlnosti – využití příležitostí, jež nabízí digitalizace“ (Úř. věst. C 342 I, 14.10.2020, s. 1).</w:t>
      </w:r>
    </w:p>
  </w:footnote>
  <w:footnote w:id="22">
    <w:p>
      <w:pPr>
        <w:pStyle w:val="FootnoteText"/>
      </w:pPr>
      <w:r>
        <w:rPr>
          <w:rStyle w:val="FootnoteReference"/>
        </w:rPr>
        <w:footnoteRef/>
      </w:r>
      <w:r>
        <w:tab/>
        <w:t>Nařízení Evropského parlamentu a Rady (EU) 2019/817 ze dne 20. května 2019, kterým se zřizuje rámec pro interoperabilitu mezi informačními systémy EU v oblasti hranic a víz (Úř. věst. L 138, 22.5.2019, s. 27) a nařízení Evropského parlamentu a Rady (EU) 2019/818 ze dne 20. května 2019, kterým se zřizuje rámec pro interoperabilitu mezi informačními systémy EU v oblasti policejní a justiční spolupráce, azylu a migrace (Úř. věst. L 135, 22.5.2019, s. 85).</w:t>
      </w:r>
    </w:p>
  </w:footnote>
  <w:footnote w:id="23">
    <w:p>
      <w:pPr>
        <w:pStyle w:val="FootnoteText"/>
      </w:pPr>
      <w:r>
        <w:rPr>
          <w:rStyle w:val="FootnoteReference"/>
        </w:rPr>
        <w:footnoteRef/>
      </w:r>
      <w:r>
        <w:tab/>
        <w:t xml:space="preserve">Nařízení Evropského parlamentu a Rady (EU) 2018/1726 ze dne 14. listopadu 2018 o Agentuře Evropské unie pro provozní řízení rozsáhlých informačních systémů v prostoru svobody, bezpečnosti a práva (eu-LISA) a o změně nařízení (ES) č. 1987/2006 a rozhodnutí Rady 2007/533/SVV a zrušení nařízení (EU) č. 1077/2011 (Úř. věst. L 295, 21.11.2018, s. 99). </w:t>
      </w:r>
    </w:p>
  </w:footnote>
  <w:footnote w:id="24">
    <w:p>
      <w:pPr>
        <w:pStyle w:val="FootnoteText"/>
      </w:pPr>
      <w:r>
        <w:rPr>
          <w:rStyle w:val="FootnoteReference"/>
        </w:rPr>
        <w:footnoteRef/>
      </w:r>
      <w:r>
        <w:tab/>
        <w:t xml:space="preserve">Akční plán pro evropskou e-justici na období let 2019–2023 (Úř. věst. C 96, 13.3.2019, s. 9). </w:t>
      </w:r>
    </w:p>
  </w:footnote>
  <w:footnote w:id="25">
    <w:p>
      <w:pPr>
        <w:pStyle w:val="FootnoteText"/>
      </w:pPr>
      <w:r>
        <w:rPr>
          <w:rStyle w:val="FootnoteReference"/>
        </w:rPr>
        <w:footnoteRef/>
      </w:r>
      <w:r>
        <w:tab/>
        <w:t>Sdělení Komise Evropskému parlamentu, Radě, Evropskému hospodářskému a sociálnímu výboru a Výboru regionů Akční plán EU pro „eGovernment“ na období 2016–2020 Urychlování digitální transformace veřejné správy COM(2016) 179 final.</w:t>
      </w:r>
    </w:p>
  </w:footnote>
  <w:footnote w:id="26">
    <w:p>
      <w:pPr>
        <w:pStyle w:val="FootnoteText"/>
      </w:pPr>
      <w:r>
        <w:rPr>
          <w:rStyle w:val="FootnoteReference"/>
        </w:rPr>
        <w:footnoteRef/>
      </w:r>
      <w:r>
        <w:tab/>
        <w:t>Nařízení Evropského parlamentu a Rady (EU) č. 1316/2013 ze dne 11. prosince 2013, kterým se vytváří Nástroj pro propojení Evropy, mění zařízení (EU) č. 913/2010 a zrušují nařízení (ES) č. 680/2007 a (ES) č. 67/2010 (Úř. věst. L 348, 20.12.2013, s. 129).</w:t>
      </w:r>
    </w:p>
  </w:footnote>
  <w:footnote w:id="27">
    <w:p>
      <w:pPr>
        <w:pStyle w:val="FootnoteText"/>
        <w:rPr>
          <w:color w:val="0000FF"/>
          <w:u w:val="single"/>
        </w:rPr>
      </w:pPr>
      <w:r>
        <w:rPr>
          <w:rStyle w:val="FootnoteReference"/>
        </w:rPr>
        <w:footnoteRef/>
      </w:r>
      <w:r>
        <w:tab/>
        <w:t xml:space="preserve">Nařízení Evropského parlamentu a Rady (EU) 2018/1726 ze dne 14. listopadu 2018 o Agentuře Evropské unie pro provozní řízení rozsáhlých informačních systémů v prostoru svobody, bezpečnosti a práva (eu-LISA) a o změně nařízení (ES) č. 1987/2006 a rozhodnutí Rady 2007/533/SVV a zrušení nařízení (EU) č. 1077/2011 (Úř. věst. L 295, 21.11.2018, s. 99). </w:t>
      </w:r>
    </w:p>
  </w:footnote>
  <w:footnote w:id="28">
    <w:p>
      <w:pPr>
        <w:pStyle w:val="FootnoteText"/>
      </w:pPr>
      <w:r>
        <w:rPr>
          <w:rStyle w:val="FootnoteReference"/>
        </w:rPr>
        <w:footnoteRef/>
      </w:r>
      <w:r>
        <w:tab/>
        <w:t>https://eur-lex.europa.eu/legal-content/EN/ALL/?uri=CELEX:52015DC049552015DC0495</w:t>
      </w:r>
    </w:p>
  </w:footnote>
  <w:footnote w:id="29">
    <w:p>
      <w:pPr>
        <w:pStyle w:val="FootnoteText"/>
        <w:jc w:val="left"/>
      </w:pPr>
      <w:r>
        <w:rPr>
          <w:rStyle w:val="FootnoteReference"/>
        </w:rPr>
        <w:footnoteRef/>
      </w:r>
      <w:r>
        <w:tab/>
        <w:t>Studie provedená v rámci třetího pracovního balíčku systému e-CODEX (závěrečná zpráva systému e-CODEX D3.5/D3.7/D3.8 WP3).</w:t>
      </w:r>
    </w:p>
  </w:footnote>
  <w:footnote w:id="30">
    <w:p>
      <w:pPr>
        <w:pStyle w:val="FootnoteText"/>
        <w:jc w:val="left"/>
      </w:pPr>
      <w:r>
        <w:rPr>
          <w:rStyle w:val="FootnoteReference"/>
        </w:rPr>
        <w:footnoteRef/>
      </w:r>
      <w:r>
        <w:tab/>
        <w:t xml:space="preserve">Evropská komise, 2017. </w:t>
      </w:r>
      <w:r>
        <w:rPr>
          <w:i/>
        </w:rPr>
        <w:t>Long Term Sustainability of Digital Service Infrastructures</w:t>
      </w:r>
      <w:r>
        <w:t xml:space="preserve"> (</w:t>
      </w:r>
      <w:r>
        <w:rPr>
          <w:i/>
        </w:rPr>
        <w:t>Dlouhodobá udržitelnost infrastruktur digitálních služeb</w:t>
      </w:r>
      <w:r>
        <w:t>), Úřad pro publikace Evropské unie, Lucembursko http://publications.europa.eu/resource/cellar/4374d088-c8ee-11e7-9b01-01aa75ed71a1.0001.01/DOC_1.</w:t>
      </w:r>
    </w:p>
  </w:footnote>
  <w:footnote w:id="31">
    <w:p>
      <w:pPr>
        <w:pStyle w:val="FootnoteText"/>
        <w:jc w:val="left"/>
      </w:pPr>
      <w:r>
        <w:rPr>
          <w:rStyle w:val="FootnoteReference"/>
        </w:rPr>
        <w:footnoteRef/>
      </w:r>
      <w:r>
        <w:tab/>
        <w:t xml:space="preserve">Budoucí analýza „Model správy agentury Evropské unie eu-LISA“ – </w:t>
      </w:r>
      <w:hyperlink r:id="rId1" w:history="1">
        <w:r>
          <w:rPr>
            <w:rStyle w:val="Hyperlink"/>
          </w:rPr>
          <w:t>https://www.riigikantselei.ee/sites/default/files/content-editors/uuringud/governance_mode_for_the_european_union_it_agency_eu-lisa_final_report.pdf</w:t>
        </w:r>
      </w:hyperlink>
      <w:r>
        <w:t xml:space="preserve"> </w:t>
      </w:r>
    </w:p>
  </w:footnote>
  <w:footnote w:id="32">
    <w:p>
      <w:pPr>
        <w:pStyle w:val="FootnoteText"/>
      </w:pPr>
      <w:r>
        <w:rPr>
          <w:rStyle w:val="FootnoteReference"/>
        </w:rPr>
        <w:footnoteRef/>
      </w:r>
      <w:r>
        <w:tab/>
        <w:t xml:space="preserve">Nařízení Evropského parlamentu a Rady (EU) 2018/1725 ze dne 23. října 2018 o ochraně fyzických osob v souvislosti se zpracováním osobních údajů orgány, institucemi a jinými subjekty Unie a o volném pohybu těchto údajů a o zrušení nařízení (ES) č. 45/2001 a rozhodnutí č. 1247/2002/ES (Úř. věst. L 295, 21.11.2018, s. 39). </w:t>
      </w:r>
    </w:p>
  </w:footnote>
  <w:footnote w:id="33">
    <w:p>
      <w:pPr>
        <w:pStyle w:val="FootnoteText"/>
      </w:pPr>
      <w:r>
        <w:rPr>
          <w:rStyle w:val="FootnoteReference"/>
        </w:rPr>
        <w:footnoteRef/>
      </w:r>
      <w:r>
        <w:tab/>
        <w:t xml:space="preserve">Nařízení Evropského parlamentu a Rady (EU) 2016/679 ze dne 27. dubna 2016 o ochraně fyzických osob v souvislosti se zpracováním osobních údajů a o volném pohybu těchto údajů a o zrušení směrnice 95/46/ES (obecné nařízení o ochraně osobních údajů) a směrnice Evropského parlamentu a Rady (EU) 2016/680 ze dne 27. dubna 2016 o ochraně fyzických osob v souvislosti se zpracováním osobních údajů příslušnými orgány za účelem prevence, vyšetřování, odhalování či stíhání trestných činů nebo výkonu trestů, o volném pohybu těchto údajů a o zrušení rámcového rozhodnutí Rady 2008/977/SVV (Úř. věst. L 119, 4.5.2016, s. 89). </w:t>
      </w:r>
    </w:p>
  </w:footnote>
  <w:footnote w:id="34">
    <w:p>
      <w:pPr>
        <w:pStyle w:val="FootnoteText"/>
      </w:pPr>
      <w:r>
        <w:rPr>
          <w:rStyle w:val="FootnoteReference"/>
        </w:rPr>
        <w:footnoteRef/>
      </w:r>
      <w:r>
        <w:tab/>
        <w:t>Nařízení Evropského parlamentu a Rady (EU) 2018/1726 ze dne 14. listopadu 2018 o Agentuře Evropské unie pro provozní řízení rozsáhlých informačních systémů v prostoru svobody, bezpečnosti a práva (eu-LISA) a o změně nařízení (ES) č. 1987/2006 a rozhodnutí Rady 2007/533/SVV a zrušení nařízení (EU) č. 1077/2011 (Úř. věst. L 295, 21.11.2018, s. 99).</w:t>
      </w:r>
    </w:p>
  </w:footnote>
  <w:footnote w:id="35">
    <w:p>
      <w:pPr>
        <w:pStyle w:val="FootnoteText"/>
      </w:pPr>
      <w:r>
        <w:rPr>
          <w:rStyle w:val="FootnoteReference"/>
        </w:rPr>
        <w:footnoteRef/>
      </w:r>
      <w:r>
        <w:tab/>
        <w:t>Nařízení Evropského parlamentu a Rady (EU) č. 182/2011 ze dne 16. února 2011, kterým se stanoví pravidla a obecné zásady způsobu, jakým členské státy kontrolují Komisi při výkonu prováděcích pravomocí (Úř. věst. L 55, 28.2.2011, s. 13).</w:t>
      </w:r>
    </w:p>
  </w:footnote>
  <w:footnote w:id="36">
    <w:p>
      <w:pPr>
        <w:pStyle w:val="FootnoteText"/>
      </w:pPr>
      <w:r>
        <w:rPr>
          <w:rStyle w:val="FootnoteReference"/>
        </w:rPr>
        <w:footnoteRef/>
      </w:r>
      <w:r>
        <w:tab/>
        <w:t>Nařízení Evropského parlamentu a Rady (EU) 2016/679 ze dne 27. dubna 2016 o ochraně fyzických osob v souvislosti se zpracováním osobních údajů a o volném pohybu těchto údajů a o zrušení směrnice 95/46/ES (obecné nařízení o ochraně osobních údajů) (Úř. věst. L 119, 4.5.2016, s. 1).</w:t>
      </w:r>
    </w:p>
  </w:footnote>
  <w:footnote w:id="37">
    <w:p>
      <w:pPr>
        <w:pStyle w:val="FootnoteText"/>
      </w:pPr>
      <w:r>
        <w:rPr>
          <w:rStyle w:val="FootnoteReference"/>
        </w:rPr>
        <w:footnoteRef/>
      </w:r>
      <w:r>
        <w:tab/>
        <w:t>Směrnice Evropského parlamentu a Rady (EU) 2016/680 ze dne 27. dubna 2016 o ochraně fyzických osob v souvislosti se zpracováním osobních údajů příslušnými orgány za účelem prevence, vyšetřování, odhalování či stíhání trestných činů nebo výkonu trestů, o volném pohybu těchto údajů a o zrušení rámcového rozhodnutí Rady 2008/977/SVV (Úř. věst. L 119, 4.5.2016, s. 89).</w:t>
      </w:r>
    </w:p>
  </w:footnote>
  <w:footnote w:id="38">
    <w:p>
      <w:pPr>
        <w:pStyle w:val="FootnoteText"/>
      </w:pPr>
      <w:r>
        <w:rPr>
          <w:rStyle w:val="FootnoteReference"/>
        </w:rPr>
        <w:footnoteRef/>
      </w:r>
      <w:r>
        <w:tab/>
        <w:t>Nařízení Evropského parlamentu a Rady (EU) 2018/1725 ze dne 23. října 2018 o ochraně fyzických osob v souvislosti se zpracováním osobních údajů orgány, institucemi a jinými subjekty Unie a o volném pohybu těchto údajů a o zrušení nařízení (ES) č. 45/2001 a rozhodnutí č. 1247/2002/ES (Text s významem pro EHP) (Úř. věst. L 295, 21.11.2018, s. 39).</w:t>
      </w:r>
    </w:p>
  </w:footnote>
  <w:footnote w:id="39">
    <w:p>
      <w:pPr>
        <w:pStyle w:val="FootnoteText"/>
      </w:pPr>
      <w:r>
        <w:rPr>
          <w:rStyle w:val="FootnoteReference"/>
        </w:rPr>
        <w:footnoteRef/>
      </w:r>
      <w:r>
        <w:tab/>
        <w:t>Úř. věst. ...</w:t>
      </w:r>
    </w:p>
  </w:footnote>
  <w:footnote w:id="40">
    <w:p>
      <w:pPr>
        <w:pStyle w:val="FootnoteText"/>
        <w:rPr>
          <w:szCs w:val="24"/>
        </w:rPr>
      </w:pPr>
      <w:r>
        <w:rPr>
          <w:rStyle w:val="FootnoteReference"/>
        </w:rPr>
        <w:footnoteRef/>
      </w:r>
      <w:r>
        <w:tab/>
        <w:t>Uvedené v čl. 58 odst. 2 písm. a) nebo b) finančního nařízení.</w:t>
      </w:r>
    </w:p>
  </w:footnote>
  <w:footnote w:id="41">
    <w:p>
      <w:pPr>
        <w:pStyle w:val="FootnoteText"/>
      </w:pPr>
      <w:r>
        <w:rPr>
          <w:rStyle w:val="FootnoteReference"/>
        </w:rPr>
        <w:footnoteRef/>
      </w:r>
      <w:r>
        <w:tab/>
        <w:t>Akční plán pro evropskou e-justici na období let 2019–2023 (Úř. věst. C 96, 13.3.2019, s. 9).</w:t>
      </w:r>
    </w:p>
  </w:footnote>
  <w:footnote w:id="42">
    <w:p>
      <w:pPr>
        <w:pStyle w:val="FootnoteText"/>
      </w:pPr>
      <w:r>
        <w:rPr>
          <w:rStyle w:val="FootnoteReference"/>
        </w:rPr>
        <w:footnoteRef/>
      </w:r>
      <w:r>
        <w:tab/>
        <w:t>Sdělení Komise Evropskému parlamentu, Radě, Evropskému hospodářskému a sociálnímu výboru a Výboru regionů Akční plán EU pro „eGovernment“ na období 2016–2020 Urychlování digitální transformace veřejné správy COM(2016) 179 final.</w:t>
      </w:r>
    </w:p>
  </w:footnote>
  <w:footnote w:id="43">
    <w:p>
      <w:pPr>
        <w:pStyle w:val="FootnoteText"/>
      </w:pPr>
      <w:r>
        <w:rPr>
          <w:rStyle w:val="FootnoteReference"/>
        </w:rPr>
        <w:footnoteRef/>
      </w:r>
      <w:r>
        <w:tab/>
        <w:t>Nařízení Evropského parlamentu a Rady (EU) č. 1316/2013 ze dne 11. prosince 2013, kterým se vytváří Nástroj pro propojení Evropy, mění zařízení (EU) č. 913/2010 a zrušují nařízení (ES) č. 680/2007 a (ES) č. 67/2010 (Úř. věst. L 348, 20.12.2013, s. 129).</w:t>
      </w:r>
    </w:p>
  </w:footnote>
  <w:footnote w:id="44">
    <w:p>
      <w:pPr>
        <w:pStyle w:val="FootnoteText"/>
        <w:jc w:val="left"/>
        <w:rPr>
          <w:szCs w:val="24"/>
        </w:rPr>
      </w:pPr>
      <w:r>
        <w:rPr>
          <w:rStyle w:val="FootnoteReference"/>
        </w:rPr>
        <w:footnoteRef/>
      </w:r>
      <w:r>
        <w:tab/>
        <w:t xml:space="preserve">Vysvětlení způsobů řízení spolu s odkazem na finanční nařízení jsou k dispozici na stránkách BudgWeb: </w:t>
      </w:r>
      <w:hyperlink r:id="rId2" w:history="1">
        <w:r>
          <w:rPr>
            <w:rStyle w:val="Hyperlink"/>
          </w:rPr>
          <w:t>https://myintracomm.ec.europa.eu/budgweb/EN/man/budgmanag/Pages/budgmanag.aspx</w:t>
        </w:r>
      </w:hyperlink>
      <w:r>
        <w:t xml:space="preserve"> </w:t>
      </w:r>
    </w:p>
  </w:footnote>
  <w:footnote w:id="45">
    <w:p>
      <w:pPr>
        <w:pStyle w:val="FootnoteText"/>
        <w:rPr>
          <w:szCs w:val="24"/>
        </w:rPr>
      </w:pPr>
      <w:r>
        <w:rPr>
          <w:rStyle w:val="FootnoteReference"/>
        </w:rPr>
        <w:footnoteRef/>
      </w:r>
      <w:r>
        <w:tab/>
        <w:t>RP = rozlišené prostředky / NRP = nerozlišené prostředky.</w:t>
      </w:r>
    </w:p>
  </w:footnote>
  <w:footnote w:id="46">
    <w:p>
      <w:pPr>
        <w:pStyle w:val="FootnoteText"/>
        <w:rPr>
          <w:szCs w:val="24"/>
        </w:rPr>
      </w:pPr>
      <w:r>
        <w:rPr>
          <w:rStyle w:val="FootnoteReference"/>
        </w:rPr>
        <w:footnoteRef/>
      </w:r>
      <w:r>
        <w:tab/>
        <w:t xml:space="preserve">ESVO: Evropské sdružení volného obchodu. </w:t>
      </w:r>
    </w:p>
  </w:footnote>
  <w:footnote w:id="47">
    <w:p>
      <w:pPr>
        <w:pStyle w:val="FootnoteText"/>
      </w:pPr>
      <w:r>
        <w:rPr>
          <w:rStyle w:val="FootnoteReference"/>
        </w:rPr>
        <w:footnoteRef/>
      </w:r>
      <w:r>
        <w:tab/>
        <w:t>Kandidátské země a případně potenciální kandidáti ze západního Balkánu.</w:t>
      </w:r>
    </w:p>
  </w:footnote>
  <w:footnote w:id="48">
    <w:p>
      <w:pPr>
        <w:pStyle w:val="FootnoteText"/>
        <w:rPr>
          <w:szCs w:val="24"/>
        </w:rPr>
      </w:pPr>
      <w:r>
        <w:rPr>
          <w:rStyle w:val="FootnoteReference"/>
        </w:rPr>
        <w:footnoteRef/>
      </w:r>
      <w:r>
        <w:tab/>
        <w:t>Výstupy se rozumí produkty a služby, které mají být dodány (např.: počet financovaných studentských výměn, počet km postavených silnic atd.).</w:t>
      </w:r>
    </w:p>
  </w:footnote>
  <w:footnote w:id="49">
    <w:p>
      <w:pPr>
        <w:pStyle w:val="FootnoteText"/>
      </w:pPr>
      <w:r>
        <w:rPr>
          <w:rStyle w:val="FootnoteReference"/>
        </w:rPr>
        <w:footnoteRef/>
      </w:r>
      <w:r>
        <w:tab/>
        <w:t>V roce 2023 počet zvýšen v důsledku potřeby větší spolupráce během předávacího období.</w:t>
      </w:r>
    </w:p>
  </w:footnote>
  <w:footnote w:id="50">
    <w:p>
      <w:pPr>
        <w:pStyle w:val="FootnoteText"/>
        <w:rPr>
          <w:szCs w:val="24"/>
        </w:rPr>
      </w:pPr>
      <w:r>
        <w:rPr>
          <w:rStyle w:val="FootnoteReference"/>
        </w:rPr>
        <w:footnoteRef/>
      </w:r>
      <w:r>
        <w:tab/>
        <w:t>Technická a/nebo administrativní pomoc a výdaje na podporu provádění programů a/nebo akcí EU (bývalé položky „BA“), nepřímý výzkum, přímý výzkum.</w:t>
      </w:r>
    </w:p>
  </w:footnote>
  <w:footnote w:id="51">
    <w:p>
      <w:pPr>
        <w:pStyle w:val="FootnoteText"/>
      </w:pPr>
      <w:r>
        <w:rPr>
          <w:rStyle w:val="FootnoteReference"/>
        </w:rPr>
        <w:footnoteRef/>
      </w:r>
      <w:r>
        <w:tab/>
        <w:t>Od 1. září 2022.</w:t>
      </w:r>
    </w:p>
  </w:footnote>
  <w:footnote w:id="52">
    <w:p>
      <w:pPr>
        <w:pStyle w:val="FootnoteText"/>
        <w:rPr>
          <w:szCs w:val="24"/>
        </w:rPr>
      </w:pPr>
      <w:r>
        <w:rPr>
          <w:rStyle w:val="FootnoteReference"/>
        </w:rPr>
        <w:footnoteRef/>
      </w:r>
      <w:r>
        <w:tab/>
        <w:t xml:space="preserve">SZ = smluvní zaměstnanec; MZ = místní zaměstnanec; VNO = vyslaný národní odborník; ZAP = zaměstnanec agentury práce; MOD = mladý odborník při delegaci. </w:t>
      </w:r>
    </w:p>
  </w:footnote>
  <w:footnote w:id="53">
    <w:p>
      <w:pPr>
        <w:pStyle w:val="FootnoteText"/>
        <w:rPr>
          <w:szCs w:val="24"/>
        </w:rPr>
      </w:pPr>
      <w:r>
        <w:rPr>
          <w:rStyle w:val="FootnoteReference"/>
        </w:rPr>
        <w:footnoteRef/>
      </w:r>
      <w:r>
        <w:tab/>
        <w:t>Dílčí strop na externí zaměstnance financované z operačních prostředků (bývalé položky „BA“).</w:t>
      </w:r>
    </w:p>
  </w:footnote>
  <w:footnote w:id="54">
    <w:p>
      <w:pPr>
        <w:pStyle w:val="FootnoteText"/>
        <w:rPr>
          <w:szCs w:val="24"/>
        </w:rPr>
      </w:pPr>
      <w:r>
        <w:rPr>
          <w:rStyle w:val="FootnoteReference"/>
        </w:rPr>
        <w:footnoteRef/>
      </w:r>
      <w:r>
        <w:tab/>
        <w:t>Pokud jde o tradiční vlastní zdroje (cla, dávky z cukru), je třeba uvést čisté částky, tj. hrubé částky po odečtení 20 % nákladů na výběr.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E28C1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D341C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6D090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B5A72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FF09F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B1AE5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8">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5">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8D4168E"/>
    <w:multiLevelType w:val="multilevel"/>
    <w:tmpl w:val="223A74AE"/>
    <w:styleLink w:val="Stilimportat3"/>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57" w:hanging="49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361" w:hanging="641"/>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865" w:hanging="785"/>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369" w:hanging="929"/>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873" w:hanging="107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377" w:hanging="121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953" w:hanging="14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71F06166"/>
    <w:multiLevelType w:val="multilevel"/>
    <w:tmpl w:val="C08066D2"/>
    <w:name w:val="6.479609E-02"/>
    <w:lvl w:ilvl="0">
      <w:start w:val="1"/>
      <w:numFmt w:val="decimal"/>
      <w:lvlRestart w:val="0"/>
      <w:pStyle w:val="ListNumber"/>
      <w:lvlText w:val="(%1)"/>
      <w:lvlJc w:val="left"/>
      <w:pPr>
        <w:tabs>
          <w:tab w:val="num" w:pos="851"/>
        </w:tabs>
        <w:ind w:left="851" w:hanging="709"/>
      </w:pPr>
    </w:lvl>
    <w:lvl w:ilvl="1">
      <w:start w:val="1"/>
      <w:numFmt w:val="lowerLetter"/>
      <w:pStyle w:val="ListNumberLevel2"/>
      <w:lvlText w:val="(%2)"/>
      <w:lvlJc w:val="left"/>
      <w:pPr>
        <w:tabs>
          <w:tab w:val="num" w:pos="1559"/>
        </w:tabs>
        <w:ind w:left="1559" w:hanging="708"/>
      </w:pPr>
    </w:lvl>
    <w:lvl w:ilvl="2">
      <w:start w:val="1"/>
      <w:numFmt w:val="bullet"/>
      <w:pStyle w:val="ListNumberLevel3"/>
      <w:lvlText w:val="–"/>
      <w:lvlJc w:val="left"/>
      <w:pPr>
        <w:tabs>
          <w:tab w:val="num" w:pos="2268"/>
        </w:tabs>
        <w:ind w:left="2268" w:hanging="709"/>
      </w:pPr>
      <w:rPr>
        <w:rFonts w:ascii="Times New Roman" w:hAnsi="Times New Roman" w:cs="Times New Roman"/>
      </w:rPr>
    </w:lvl>
    <w:lvl w:ilvl="3">
      <w:start w:val="1"/>
      <w:numFmt w:val="bullet"/>
      <w:pStyle w:val="ListNumberLevel4"/>
      <w:lvlText w:val=""/>
      <w:lvlJc w:val="left"/>
      <w:pPr>
        <w:tabs>
          <w:tab w:val="num" w:pos="2977"/>
        </w:tabs>
        <w:ind w:left="2977" w:hanging="709"/>
      </w:pPr>
      <w:rPr>
        <w:rFonts w:ascii="Symbol" w:hAnsi="Symbol" w:hint="default"/>
      </w:r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20"/>
  </w:num>
  <w:num w:numId="3">
    <w:abstractNumId w:val="19"/>
  </w:num>
  <w:num w:numId="4">
    <w:abstractNumId w:val="29"/>
  </w:num>
  <w:num w:numId="5">
    <w:abstractNumId w:val="26"/>
  </w:num>
  <w:num w:numId="6">
    <w:abstractNumId w:val="5"/>
  </w:num>
  <w:num w:numId="7">
    <w:abstractNumId w:val="4"/>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
  </w:num>
  <w:num w:numId="12">
    <w:abstractNumId w:val="1"/>
  </w:num>
  <w:num w:numId="13">
    <w:abstractNumId w:val="0"/>
  </w:num>
  <w:num w:numId="14">
    <w:abstractNumId w:val="13"/>
  </w:num>
  <w:num w:numId="15">
    <w:abstractNumId w:val="14"/>
  </w:num>
  <w:num w:numId="16">
    <w:abstractNumId w:val="7"/>
  </w:num>
  <w:num w:numId="17">
    <w:abstractNumId w:val="15"/>
  </w:num>
  <w:num w:numId="18">
    <w:abstractNumId w:val="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6"/>
  </w:num>
  <w:num w:numId="35">
    <w:abstractNumId w:val="28"/>
  </w:num>
  <w:num w:numId="36">
    <w:abstractNumId w:val="12"/>
  </w:num>
  <w:num w:numId="37">
    <w:abstractNumId w:val="17"/>
  </w:num>
  <w:num w:numId="38">
    <w:abstractNumId w:val="10"/>
  </w:num>
  <w:num w:numId="39">
    <w:abstractNumId w:val="27"/>
  </w:num>
  <w:num w:numId="40">
    <w:abstractNumId w:val="9"/>
  </w:num>
  <w:num w:numId="41">
    <w:abstractNumId w:val="18"/>
  </w:num>
  <w:num w:numId="42">
    <w:abstractNumId w:val="23"/>
  </w:num>
  <w:num w:numId="43">
    <w:abstractNumId w:val="24"/>
  </w:num>
  <w:num w:numId="44">
    <w:abstractNumId w:val="11"/>
  </w:num>
  <w:num w:numId="45">
    <w:abstractNumId w:val="21"/>
  </w:num>
  <w:num w:numId="46">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es-ES" w:vendorID="64" w:dllVersion="131078" w:nlCheck="1" w:checkStyle="0"/>
  <w:attachedTemplate r:id="rId1"/>
  <w:revisionView w:markup="0"/>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12 12:55:4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6D42E78-815C-437B-8C4E-0E29DA0C6FE2"/>
    <w:docVar w:name="LW_COVERPAGE_TYPE" w:val="1"/>
    <w:docVar w:name="LW_CROSSREFERENCE" w:val="{SEC(2020) 408 final} - {SWD(2020) 541 final} - {SWD(2020) 542 final}"/>
    <w:docVar w:name="LW_DocType" w:val="COM"/>
    <w:docVar w:name="LW_EMISSION" w:val="2.12.2020"/>
    <w:docVar w:name="LW_EMISSION_ISODATE" w:val="2020-12-02"/>
    <w:docVar w:name="LW_EMISSION_LOCATION" w:val="BRX"/>
    <w:docVar w:name="LW_EMISSION_PREFIX" w:val="V Bruselu dn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s významem pro EHP)"/>
    <w:docVar w:name="LW_LANGUE" w:val="CS"/>
    <w:docVar w:name="LW_LEVEL_OF_SENSITIVITY" w:val="Standard treatment"/>
    <w:docVar w:name="LW_NOM.INST" w:val="EVROPSKÁ KOMISE"/>
    <w:docVar w:name="LW_NOM.INST_JOINTDOC" w:val="&lt;EMPTY&gt;"/>
    <w:docVar w:name="LW_PART_NBR" w:val="1"/>
    <w:docVar w:name="LW_PART_NBR_TOTAL" w:val="1"/>
    <w:docVar w:name="LW_REF.II.NEW.CP" w:val="COD"/>
    <w:docVar w:name="LW_REF.II.NEW.CP_NUMBER" w:val="0345"/>
    <w:docVar w:name="LW_REF.II.NEW.CP_YEAR" w:val="2020"/>
    <w:docVar w:name="LW_REF.INST.NEW" w:val="COM"/>
    <w:docVar w:name="LW_REF.INST.NEW_ADOPTED" w:val="final"/>
    <w:docVar w:name="LW_REF.INST.NEW_TEXT" w:val="(2020) 7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o po\u269?íta\u269?ovém systému pro komunikaci v p\u345?eshrani\u269?ních ob\u269?anských a trestních \u345?ízeních (systém e-CODEX) a o zm\u283?n\u283? na\u345?ízení (EU) 2018/1726 _x000b__x000b_"/>
    <w:docVar w:name="LW_TYPE.DOC.CP" w:val="NA\u344?ÍZENÍ EVROPSKÉHO PARLAMENTU A RADY"/>
  </w:docVar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cs-CZ"/>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cs-CZ"/>
    </w:rPr>
  </w:style>
  <w:style w:type="paragraph" w:styleId="ListBullet2">
    <w:name w:val="List Bullet 2"/>
    <w:basedOn w:val="Normal"/>
    <w:unhideWhenUsed/>
    <w:pPr>
      <w:numPr>
        <w:numId w:val="6"/>
      </w:numPr>
      <w:contextualSpacing/>
    </w:p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cs-CZ"/>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cs-CZ"/>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rp">
    <w:name w:val="Corp"/>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eastAsia="en-GB"/>
    </w:rPr>
  </w:style>
  <w:style w:type="paragraph" w:styleId="Caption">
    <w:name w:val="caption"/>
    <w:next w:val="Corp"/>
    <w:qFormat/>
    <w:pPr>
      <w:keepNext/>
      <w:keepLines/>
      <w:widowControl w:val="0"/>
      <w:pBdr>
        <w:top w:val="nil"/>
        <w:left w:val="nil"/>
        <w:bottom w:val="nil"/>
        <w:right w:val="nil"/>
        <w:between w:val="nil"/>
        <w:bar w:val="nil"/>
      </w:pBdr>
      <w:spacing w:before="240" w:after="120" w:line="360" w:lineRule="auto"/>
      <w:jc w:val="center"/>
    </w:pPr>
    <w:rPr>
      <w:rFonts w:ascii="Calibri" w:eastAsia="Calibri" w:hAnsi="Calibri" w:cs="Calibri"/>
      <w:b/>
      <w:bCs/>
      <w:color w:val="002060"/>
      <w:sz w:val="18"/>
      <w:szCs w:val="18"/>
      <w:u w:color="002060"/>
      <w:bdr w:val="nil"/>
      <w:lang w:eastAsia="en-GB"/>
    </w:rPr>
  </w:style>
  <w:style w:type="numbering" w:customStyle="1" w:styleId="Stilimportat3">
    <w:name w:val="Stil importat 3"/>
    <w:pPr>
      <w:numPr>
        <w:numId w:val="10"/>
      </w:numPr>
    </w:pPr>
  </w:style>
  <w:style w:type="numbering" w:customStyle="1" w:styleId="NoList1">
    <w:name w:val="No List1"/>
    <w:next w:val="NoList"/>
    <w:uiPriority w:val="99"/>
    <w:semiHidden/>
    <w:unhideWhenUsed/>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styleId="TableofFigures">
    <w:name w:val="table of figures"/>
    <w:basedOn w:val="Normal"/>
    <w:next w:val="Normal"/>
    <w:rPr>
      <w:rFonts w:eastAsia="Times New Roman"/>
      <w:lang w:eastAsia="en-GB"/>
    </w:rPr>
  </w:style>
  <w:style w:type="paragraph" w:styleId="ListNumber2">
    <w:name w:val="List Number 2"/>
    <w:basedOn w:val="Normal"/>
    <w:pPr>
      <w:numPr>
        <w:numId w:val="11"/>
      </w:numPr>
      <w:contextualSpacing/>
    </w:pPr>
    <w:rPr>
      <w:rFonts w:eastAsia="Times New Roman"/>
      <w:lang w:eastAsia="en-GB"/>
    </w:rPr>
  </w:style>
  <w:style w:type="paragraph" w:styleId="ListNumber3">
    <w:name w:val="List Number 3"/>
    <w:basedOn w:val="Normal"/>
    <w:pPr>
      <w:numPr>
        <w:numId w:val="12"/>
      </w:numPr>
      <w:contextualSpacing/>
    </w:pPr>
    <w:rPr>
      <w:rFonts w:eastAsia="Times New Roman"/>
      <w:lang w:eastAsia="en-GB"/>
    </w:rPr>
  </w:style>
  <w:style w:type="paragraph" w:styleId="ListNumber4">
    <w:name w:val="List Number 4"/>
    <w:basedOn w:val="Normal"/>
    <w:pPr>
      <w:numPr>
        <w:numId w:val="13"/>
      </w:numPr>
      <w:contextualSpacing/>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sz w:val="24"/>
      <w:lang w:val="cs-CZ"/>
    </w:rPr>
  </w:style>
  <w:style w:type="paragraph" w:customStyle="1" w:styleId="eu-LISAbody">
    <w:name w:val="eu-LISA body"/>
    <w:qFormat/>
    <w:pPr>
      <w:widowControl w:val="0"/>
      <w:suppressAutoHyphens/>
      <w:autoSpaceDE w:val="0"/>
      <w:autoSpaceDN w:val="0"/>
      <w:adjustRightInd w:val="0"/>
      <w:spacing w:after="0" w:line="288" w:lineRule="auto"/>
      <w:textAlignment w:val="center"/>
    </w:pPr>
    <w:rPr>
      <w:rFonts w:ascii="Corbel" w:eastAsia="Cambria" w:hAnsi="Corbel" w:cs="Calibri"/>
      <w:color w:val="404040"/>
      <w:sz w:val="20"/>
      <w:szCs w:val="20"/>
    </w:rPr>
  </w:style>
  <w:style w:type="character" w:customStyle="1" w:styleId="apple-converted-space">
    <w:name w:val="apple-converted-space"/>
    <w:basedOn w:val="DefaultParagraphFont"/>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LegalNumPar">
    <w:name w:val="LegalNumPar"/>
    <w:basedOn w:val="Normal"/>
    <w:pPr>
      <w:numPr>
        <w:numId w:val="14"/>
      </w:numPr>
      <w:spacing w:line="360" w:lineRule="auto"/>
    </w:pPr>
  </w:style>
  <w:style w:type="paragraph" w:customStyle="1" w:styleId="LegalNumPar2">
    <w:name w:val="LegalNumPar2"/>
    <w:basedOn w:val="Normal"/>
    <w:pPr>
      <w:numPr>
        <w:ilvl w:val="1"/>
        <w:numId w:val="14"/>
      </w:numPr>
      <w:spacing w:line="360" w:lineRule="auto"/>
    </w:pPr>
  </w:style>
  <w:style w:type="paragraph" w:customStyle="1" w:styleId="LegalNumPar3">
    <w:name w:val="LegalNumPar3"/>
    <w:basedOn w:val="Normal"/>
    <w:pPr>
      <w:numPr>
        <w:ilvl w:val="2"/>
        <w:numId w:val="14"/>
      </w:numPr>
      <w:spacing w:line="360" w:lineRule="auto"/>
    </w:pPr>
  </w:style>
  <w:style w:type="paragraph" w:customStyle="1" w:styleId="ListDash">
    <w:name w:val="List Dash"/>
    <w:basedOn w:val="Normal"/>
    <w:pPr>
      <w:numPr>
        <w:numId w:val="15"/>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pPr>
      <w:numPr>
        <w:numId w:val="16"/>
      </w:numPr>
    </w:pPr>
    <w:rPr>
      <w:rFonts w:eastAsia="Times New Roman"/>
      <w:lang w:eastAsia="en-GB"/>
    </w:rPr>
  </w:style>
  <w:style w:type="paragraph" w:customStyle="1" w:styleId="ListDash4">
    <w:name w:val="List Dash 4"/>
    <w:basedOn w:val="Normal"/>
    <w:pPr>
      <w:numPr>
        <w:numId w:val="17"/>
      </w:numPr>
    </w:pPr>
    <w:rPr>
      <w:rFonts w:eastAsia="Times New Roman"/>
      <w:lang w:eastAsia="en-GB"/>
    </w:rPr>
  </w:style>
  <w:style w:type="paragraph" w:customStyle="1" w:styleId="ListNumber1">
    <w:name w:val="List Number 1"/>
    <w:basedOn w:val="Text1"/>
    <w:pPr>
      <w:numPr>
        <w:numId w:val="18"/>
      </w:numPr>
    </w:pPr>
    <w:rPr>
      <w:rFonts w:eastAsia="Times New Roman"/>
      <w:lang w:eastAsia="en-GB"/>
    </w:rPr>
  </w:style>
  <w:style w:type="paragraph" w:customStyle="1" w:styleId="ListNumber1Level2">
    <w:name w:val="List Number 1 (Level 2)"/>
    <w:basedOn w:val="Text1"/>
    <w:pPr>
      <w:numPr>
        <w:ilvl w:val="1"/>
        <w:numId w:val="18"/>
      </w:numPr>
    </w:pPr>
    <w:rPr>
      <w:rFonts w:eastAsia="Times New Roman"/>
      <w:lang w:eastAsia="en-GB"/>
    </w:rPr>
  </w:style>
  <w:style w:type="paragraph" w:customStyle="1" w:styleId="ListNumber2Level2">
    <w:name w:val="List Number 2 (Level 2)"/>
    <w:basedOn w:val="Text2"/>
    <w:pPr>
      <w:tabs>
        <w:tab w:val="num" w:pos="2268"/>
      </w:tabs>
      <w:ind w:left="2268" w:hanging="708"/>
    </w:pPr>
    <w:rPr>
      <w:rFonts w:eastAsia="Times New Roman"/>
      <w:lang w:eastAsia="en-GB"/>
    </w:rPr>
  </w:style>
  <w:style w:type="paragraph" w:customStyle="1" w:styleId="ListNumber3Level2">
    <w:name w:val="List Number 3 (Level 2)"/>
    <w:basedOn w:val="Text3"/>
    <w:pPr>
      <w:tabs>
        <w:tab w:val="num" w:pos="2268"/>
      </w:tabs>
      <w:ind w:left="2268" w:hanging="708"/>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1Level3">
    <w:name w:val="List Number 1 (Level 3)"/>
    <w:basedOn w:val="Text1"/>
    <w:pPr>
      <w:numPr>
        <w:ilvl w:val="2"/>
        <w:numId w:val="18"/>
      </w:numPr>
    </w:pPr>
    <w:rPr>
      <w:rFonts w:eastAsia="Times New Roman"/>
      <w:lang w:eastAsia="en-GB"/>
    </w:rPr>
  </w:style>
  <w:style w:type="paragraph" w:customStyle="1" w:styleId="ListNumber2Level3">
    <w:name w:val="List Number 2 (Level 3)"/>
    <w:basedOn w:val="Text2"/>
    <w:pPr>
      <w:tabs>
        <w:tab w:val="num" w:pos="2977"/>
      </w:tabs>
      <w:ind w:left="2977" w:hanging="709"/>
    </w:pPr>
    <w:rPr>
      <w:rFonts w:eastAsia="Times New Roman"/>
      <w:lang w:eastAsia="en-GB"/>
    </w:rPr>
  </w:style>
  <w:style w:type="paragraph" w:customStyle="1" w:styleId="ListNumber3Level3">
    <w:name w:val="List Number 3 (Level 3)"/>
    <w:basedOn w:val="Text3"/>
    <w:pPr>
      <w:tabs>
        <w:tab w:val="num" w:pos="2977"/>
      </w:tabs>
      <w:ind w:left="2977" w:hanging="709"/>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1Level4">
    <w:name w:val="List Number 1 (Level 4)"/>
    <w:basedOn w:val="Text1"/>
    <w:pPr>
      <w:numPr>
        <w:ilvl w:val="3"/>
        <w:numId w:val="18"/>
      </w:numPr>
    </w:pPr>
    <w:rPr>
      <w:rFonts w:eastAsia="Times New Roman"/>
      <w:lang w:eastAsia="en-GB"/>
    </w:rPr>
  </w:style>
  <w:style w:type="paragraph" w:customStyle="1" w:styleId="ListNumber2Level4">
    <w:name w:val="List Number 2 (Level 4)"/>
    <w:basedOn w:val="Text2"/>
    <w:pPr>
      <w:tabs>
        <w:tab w:val="num" w:pos="3686"/>
      </w:tabs>
      <w:ind w:left="3686" w:hanging="709"/>
    </w:pPr>
    <w:rPr>
      <w:rFonts w:eastAsia="Times New Roman"/>
      <w:lang w:eastAsia="en-GB"/>
    </w:rPr>
  </w:style>
  <w:style w:type="paragraph" w:customStyle="1" w:styleId="ListNumber3Level4">
    <w:name w:val="List Number 3 (Level 4)"/>
    <w:basedOn w:val="Text3"/>
    <w:pPr>
      <w:tabs>
        <w:tab w:val="num" w:pos="3686"/>
      </w:tabs>
      <w:ind w:left="3686" w:hanging="709"/>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PageNumber">
    <w:name w:val="page number"/>
  </w:style>
  <w:style w:type="character" w:customStyle="1" w:styleId="tw4winMark">
    <w:name w:val="tw4winMark"/>
    <w:rPr>
      <w:vanish/>
      <w:color w:val="800080"/>
      <w:vertAlign w:val="subscript"/>
    </w:rPr>
  </w:style>
  <w:style w:type="numbering" w:customStyle="1" w:styleId="NoList2">
    <w:name w:val="No List2"/>
    <w:next w:val="NoList"/>
    <w:uiPriority w:val="99"/>
    <w:semiHidden/>
    <w:unhideWhenUsed/>
  </w:style>
  <w:style w:type="numbering" w:customStyle="1" w:styleId="NoList11">
    <w:name w:val="No List11"/>
    <w:next w:val="NoList"/>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cs-CZ"/>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cs-CZ"/>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cs-CZ"/>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cs-CZ"/>
    </w:rPr>
  </w:style>
  <w:style w:type="paragraph" w:styleId="ListBullet2">
    <w:name w:val="List Bullet 2"/>
    <w:basedOn w:val="Normal"/>
    <w:unhideWhenUsed/>
    <w:pPr>
      <w:numPr>
        <w:numId w:val="6"/>
      </w:numPr>
      <w:contextualSpacing/>
    </w:p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cs-CZ"/>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cs-CZ"/>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rp">
    <w:name w:val="Corp"/>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eastAsia="en-GB"/>
    </w:rPr>
  </w:style>
  <w:style w:type="paragraph" w:styleId="Caption">
    <w:name w:val="caption"/>
    <w:next w:val="Corp"/>
    <w:qFormat/>
    <w:pPr>
      <w:keepNext/>
      <w:keepLines/>
      <w:widowControl w:val="0"/>
      <w:pBdr>
        <w:top w:val="nil"/>
        <w:left w:val="nil"/>
        <w:bottom w:val="nil"/>
        <w:right w:val="nil"/>
        <w:between w:val="nil"/>
        <w:bar w:val="nil"/>
      </w:pBdr>
      <w:spacing w:before="240" w:after="120" w:line="360" w:lineRule="auto"/>
      <w:jc w:val="center"/>
    </w:pPr>
    <w:rPr>
      <w:rFonts w:ascii="Calibri" w:eastAsia="Calibri" w:hAnsi="Calibri" w:cs="Calibri"/>
      <w:b/>
      <w:bCs/>
      <w:color w:val="002060"/>
      <w:sz w:val="18"/>
      <w:szCs w:val="18"/>
      <w:u w:color="002060"/>
      <w:bdr w:val="nil"/>
      <w:lang w:eastAsia="en-GB"/>
    </w:rPr>
  </w:style>
  <w:style w:type="numbering" w:customStyle="1" w:styleId="Stilimportat3">
    <w:name w:val="Stil importat 3"/>
    <w:pPr>
      <w:numPr>
        <w:numId w:val="10"/>
      </w:numPr>
    </w:pPr>
  </w:style>
  <w:style w:type="numbering" w:customStyle="1" w:styleId="NoList1">
    <w:name w:val="No List1"/>
    <w:next w:val="NoList"/>
    <w:uiPriority w:val="99"/>
    <w:semiHidden/>
    <w:unhideWhenUsed/>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styleId="TableofFigures">
    <w:name w:val="table of figures"/>
    <w:basedOn w:val="Normal"/>
    <w:next w:val="Normal"/>
    <w:rPr>
      <w:rFonts w:eastAsia="Times New Roman"/>
      <w:lang w:eastAsia="en-GB"/>
    </w:rPr>
  </w:style>
  <w:style w:type="paragraph" w:styleId="ListNumber2">
    <w:name w:val="List Number 2"/>
    <w:basedOn w:val="Normal"/>
    <w:pPr>
      <w:numPr>
        <w:numId w:val="11"/>
      </w:numPr>
      <w:contextualSpacing/>
    </w:pPr>
    <w:rPr>
      <w:rFonts w:eastAsia="Times New Roman"/>
      <w:lang w:eastAsia="en-GB"/>
    </w:rPr>
  </w:style>
  <w:style w:type="paragraph" w:styleId="ListNumber3">
    <w:name w:val="List Number 3"/>
    <w:basedOn w:val="Normal"/>
    <w:pPr>
      <w:numPr>
        <w:numId w:val="12"/>
      </w:numPr>
      <w:contextualSpacing/>
    </w:pPr>
    <w:rPr>
      <w:rFonts w:eastAsia="Times New Roman"/>
      <w:lang w:eastAsia="en-GB"/>
    </w:rPr>
  </w:style>
  <w:style w:type="paragraph" w:styleId="ListNumber4">
    <w:name w:val="List Number 4"/>
    <w:basedOn w:val="Normal"/>
    <w:pPr>
      <w:numPr>
        <w:numId w:val="13"/>
      </w:numPr>
      <w:contextualSpacing/>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sz w:val="24"/>
      <w:lang w:val="cs-CZ"/>
    </w:rPr>
  </w:style>
  <w:style w:type="paragraph" w:customStyle="1" w:styleId="eu-LISAbody">
    <w:name w:val="eu-LISA body"/>
    <w:qFormat/>
    <w:pPr>
      <w:widowControl w:val="0"/>
      <w:suppressAutoHyphens/>
      <w:autoSpaceDE w:val="0"/>
      <w:autoSpaceDN w:val="0"/>
      <w:adjustRightInd w:val="0"/>
      <w:spacing w:after="0" w:line="288" w:lineRule="auto"/>
      <w:textAlignment w:val="center"/>
    </w:pPr>
    <w:rPr>
      <w:rFonts w:ascii="Corbel" w:eastAsia="Cambria" w:hAnsi="Corbel" w:cs="Calibri"/>
      <w:color w:val="404040"/>
      <w:sz w:val="20"/>
      <w:szCs w:val="20"/>
    </w:rPr>
  </w:style>
  <w:style w:type="character" w:customStyle="1" w:styleId="apple-converted-space">
    <w:name w:val="apple-converted-space"/>
    <w:basedOn w:val="DefaultParagraphFont"/>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LegalNumPar">
    <w:name w:val="LegalNumPar"/>
    <w:basedOn w:val="Normal"/>
    <w:pPr>
      <w:numPr>
        <w:numId w:val="14"/>
      </w:numPr>
      <w:spacing w:line="360" w:lineRule="auto"/>
    </w:pPr>
  </w:style>
  <w:style w:type="paragraph" w:customStyle="1" w:styleId="LegalNumPar2">
    <w:name w:val="LegalNumPar2"/>
    <w:basedOn w:val="Normal"/>
    <w:pPr>
      <w:numPr>
        <w:ilvl w:val="1"/>
        <w:numId w:val="14"/>
      </w:numPr>
      <w:spacing w:line="360" w:lineRule="auto"/>
    </w:pPr>
  </w:style>
  <w:style w:type="paragraph" w:customStyle="1" w:styleId="LegalNumPar3">
    <w:name w:val="LegalNumPar3"/>
    <w:basedOn w:val="Normal"/>
    <w:pPr>
      <w:numPr>
        <w:ilvl w:val="2"/>
        <w:numId w:val="14"/>
      </w:numPr>
      <w:spacing w:line="360" w:lineRule="auto"/>
    </w:pPr>
  </w:style>
  <w:style w:type="paragraph" w:customStyle="1" w:styleId="ListDash">
    <w:name w:val="List Dash"/>
    <w:basedOn w:val="Normal"/>
    <w:pPr>
      <w:numPr>
        <w:numId w:val="15"/>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pPr>
      <w:numPr>
        <w:numId w:val="16"/>
      </w:numPr>
    </w:pPr>
    <w:rPr>
      <w:rFonts w:eastAsia="Times New Roman"/>
      <w:lang w:eastAsia="en-GB"/>
    </w:rPr>
  </w:style>
  <w:style w:type="paragraph" w:customStyle="1" w:styleId="ListDash4">
    <w:name w:val="List Dash 4"/>
    <w:basedOn w:val="Normal"/>
    <w:pPr>
      <w:numPr>
        <w:numId w:val="17"/>
      </w:numPr>
    </w:pPr>
    <w:rPr>
      <w:rFonts w:eastAsia="Times New Roman"/>
      <w:lang w:eastAsia="en-GB"/>
    </w:rPr>
  </w:style>
  <w:style w:type="paragraph" w:customStyle="1" w:styleId="ListNumber1">
    <w:name w:val="List Number 1"/>
    <w:basedOn w:val="Text1"/>
    <w:pPr>
      <w:numPr>
        <w:numId w:val="18"/>
      </w:numPr>
    </w:pPr>
    <w:rPr>
      <w:rFonts w:eastAsia="Times New Roman"/>
      <w:lang w:eastAsia="en-GB"/>
    </w:rPr>
  </w:style>
  <w:style w:type="paragraph" w:customStyle="1" w:styleId="ListNumber1Level2">
    <w:name w:val="List Number 1 (Level 2)"/>
    <w:basedOn w:val="Text1"/>
    <w:pPr>
      <w:numPr>
        <w:ilvl w:val="1"/>
        <w:numId w:val="18"/>
      </w:numPr>
    </w:pPr>
    <w:rPr>
      <w:rFonts w:eastAsia="Times New Roman"/>
      <w:lang w:eastAsia="en-GB"/>
    </w:rPr>
  </w:style>
  <w:style w:type="paragraph" w:customStyle="1" w:styleId="ListNumber2Level2">
    <w:name w:val="List Number 2 (Level 2)"/>
    <w:basedOn w:val="Text2"/>
    <w:pPr>
      <w:tabs>
        <w:tab w:val="num" w:pos="2268"/>
      </w:tabs>
      <w:ind w:left="2268" w:hanging="708"/>
    </w:pPr>
    <w:rPr>
      <w:rFonts w:eastAsia="Times New Roman"/>
      <w:lang w:eastAsia="en-GB"/>
    </w:rPr>
  </w:style>
  <w:style w:type="paragraph" w:customStyle="1" w:styleId="ListNumber3Level2">
    <w:name w:val="List Number 3 (Level 2)"/>
    <w:basedOn w:val="Text3"/>
    <w:pPr>
      <w:tabs>
        <w:tab w:val="num" w:pos="2268"/>
      </w:tabs>
      <w:ind w:left="2268" w:hanging="708"/>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1Level3">
    <w:name w:val="List Number 1 (Level 3)"/>
    <w:basedOn w:val="Text1"/>
    <w:pPr>
      <w:numPr>
        <w:ilvl w:val="2"/>
        <w:numId w:val="18"/>
      </w:numPr>
    </w:pPr>
    <w:rPr>
      <w:rFonts w:eastAsia="Times New Roman"/>
      <w:lang w:eastAsia="en-GB"/>
    </w:rPr>
  </w:style>
  <w:style w:type="paragraph" w:customStyle="1" w:styleId="ListNumber2Level3">
    <w:name w:val="List Number 2 (Level 3)"/>
    <w:basedOn w:val="Text2"/>
    <w:pPr>
      <w:tabs>
        <w:tab w:val="num" w:pos="2977"/>
      </w:tabs>
      <w:ind w:left="2977" w:hanging="709"/>
    </w:pPr>
    <w:rPr>
      <w:rFonts w:eastAsia="Times New Roman"/>
      <w:lang w:eastAsia="en-GB"/>
    </w:rPr>
  </w:style>
  <w:style w:type="paragraph" w:customStyle="1" w:styleId="ListNumber3Level3">
    <w:name w:val="List Number 3 (Level 3)"/>
    <w:basedOn w:val="Text3"/>
    <w:pPr>
      <w:tabs>
        <w:tab w:val="num" w:pos="2977"/>
      </w:tabs>
      <w:ind w:left="2977" w:hanging="709"/>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1Level4">
    <w:name w:val="List Number 1 (Level 4)"/>
    <w:basedOn w:val="Text1"/>
    <w:pPr>
      <w:numPr>
        <w:ilvl w:val="3"/>
        <w:numId w:val="18"/>
      </w:numPr>
    </w:pPr>
    <w:rPr>
      <w:rFonts w:eastAsia="Times New Roman"/>
      <w:lang w:eastAsia="en-GB"/>
    </w:rPr>
  </w:style>
  <w:style w:type="paragraph" w:customStyle="1" w:styleId="ListNumber2Level4">
    <w:name w:val="List Number 2 (Level 4)"/>
    <w:basedOn w:val="Text2"/>
    <w:pPr>
      <w:tabs>
        <w:tab w:val="num" w:pos="3686"/>
      </w:tabs>
      <w:ind w:left="3686" w:hanging="709"/>
    </w:pPr>
    <w:rPr>
      <w:rFonts w:eastAsia="Times New Roman"/>
      <w:lang w:eastAsia="en-GB"/>
    </w:rPr>
  </w:style>
  <w:style w:type="paragraph" w:customStyle="1" w:styleId="ListNumber3Level4">
    <w:name w:val="List Number 3 (Level 4)"/>
    <w:basedOn w:val="Text3"/>
    <w:pPr>
      <w:tabs>
        <w:tab w:val="num" w:pos="3686"/>
      </w:tabs>
      <w:ind w:left="3686" w:hanging="709"/>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PageNumber">
    <w:name w:val="page number"/>
  </w:style>
  <w:style w:type="character" w:customStyle="1" w:styleId="tw4winMark">
    <w:name w:val="tw4winMark"/>
    <w:rPr>
      <w:vanish/>
      <w:color w:val="800080"/>
      <w:vertAlign w:val="subscript"/>
    </w:rPr>
  </w:style>
  <w:style w:type="numbering" w:customStyle="1" w:styleId="NoList2">
    <w:name w:val="No List2"/>
    <w:next w:val="NoList"/>
    <w:uiPriority w:val="99"/>
    <w:semiHidden/>
    <w:unhideWhenUsed/>
  </w:style>
  <w:style w:type="numbering" w:customStyle="1" w:styleId="NoList11">
    <w:name w:val="No List11"/>
    <w:next w:val="NoList"/>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cs-CZ"/>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cs-CZ"/>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42809">
      <w:bodyDiv w:val="1"/>
      <w:marLeft w:val="0"/>
      <w:marRight w:val="0"/>
      <w:marTop w:val="0"/>
      <w:marBottom w:val="0"/>
      <w:divBdr>
        <w:top w:val="none" w:sz="0" w:space="0" w:color="auto"/>
        <w:left w:val="none" w:sz="0" w:space="0" w:color="auto"/>
        <w:bottom w:val="none" w:sz="0" w:space="0" w:color="auto"/>
        <w:right w:val="none" w:sz="0" w:space="0" w:color="auto"/>
      </w:divBdr>
    </w:div>
    <w:div w:id="289939566">
      <w:bodyDiv w:val="1"/>
      <w:marLeft w:val="0"/>
      <w:marRight w:val="0"/>
      <w:marTop w:val="0"/>
      <w:marBottom w:val="0"/>
      <w:divBdr>
        <w:top w:val="none" w:sz="0" w:space="0" w:color="auto"/>
        <w:left w:val="none" w:sz="0" w:space="0" w:color="auto"/>
        <w:bottom w:val="none" w:sz="0" w:space="0" w:color="auto"/>
        <w:right w:val="none" w:sz="0" w:space="0" w:color="auto"/>
      </w:divBdr>
    </w:div>
    <w:div w:id="488252542">
      <w:bodyDiv w:val="1"/>
      <w:marLeft w:val="0"/>
      <w:marRight w:val="0"/>
      <w:marTop w:val="0"/>
      <w:marBottom w:val="0"/>
      <w:divBdr>
        <w:top w:val="none" w:sz="0" w:space="0" w:color="auto"/>
        <w:left w:val="none" w:sz="0" w:space="0" w:color="auto"/>
        <w:bottom w:val="none" w:sz="0" w:space="0" w:color="auto"/>
        <w:right w:val="none" w:sz="0" w:space="0" w:color="auto"/>
      </w:divBdr>
    </w:div>
    <w:div w:id="781652059">
      <w:bodyDiv w:val="1"/>
      <w:marLeft w:val="0"/>
      <w:marRight w:val="0"/>
      <w:marTop w:val="0"/>
      <w:marBottom w:val="0"/>
      <w:divBdr>
        <w:top w:val="none" w:sz="0" w:space="0" w:color="auto"/>
        <w:left w:val="none" w:sz="0" w:space="0" w:color="auto"/>
        <w:bottom w:val="none" w:sz="0" w:space="0" w:color="auto"/>
        <w:right w:val="none" w:sz="0" w:space="0" w:color="auto"/>
      </w:divBdr>
    </w:div>
    <w:div w:id="782529625">
      <w:bodyDiv w:val="1"/>
      <w:marLeft w:val="0"/>
      <w:marRight w:val="0"/>
      <w:marTop w:val="0"/>
      <w:marBottom w:val="0"/>
      <w:divBdr>
        <w:top w:val="none" w:sz="0" w:space="0" w:color="auto"/>
        <w:left w:val="none" w:sz="0" w:space="0" w:color="auto"/>
        <w:bottom w:val="none" w:sz="0" w:space="0" w:color="auto"/>
        <w:right w:val="none" w:sz="0" w:space="0" w:color="auto"/>
      </w:divBdr>
    </w:div>
    <w:div w:id="874780777">
      <w:bodyDiv w:val="1"/>
      <w:marLeft w:val="0"/>
      <w:marRight w:val="0"/>
      <w:marTop w:val="0"/>
      <w:marBottom w:val="0"/>
      <w:divBdr>
        <w:top w:val="none" w:sz="0" w:space="0" w:color="auto"/>
        <w:left w:val="none" w:sz="0" w:space="0" w:color="auto"/>
        <w:bottom w:val="none" w:sz="0" w:space="0" w:color="auto"/>
        <w:right w:val="none" w:sz="0" w:space="0" w:color="auto"/>
      </w:divBdr>
    </w:div>
    <w:div w:id="994189389">
      <w:bodyDiv w:val="1"/>
      <w:marLeft w:val="0"/>
      <w:marRight w:val="0"/>
      <w:marTop w:val="0"/>
      <w:marBottom w:val="0"/>
      <w:divBdr>
        <w:top w:val="none" w:sz="0" w:space="0" w:color="auto"/>
        <w:left w:val="none" w:sz="0" w:space="0" w:color="auto"/>
        <w:bottom w:val="none" w:sz="0" w:space="0" w:color="auto"/>
        <w:right w:val="none" w:sz="0" w:space="0" w:color="auto"/>
      </w:divBdr>
    </w:div>
    <w:div w:id="1177505280">
      <w:bodyDiv w:val="1"/>
      <w:marLeft w:val="0"/>
      <w:marRight w:val="0"/>
      <w:marTop w:val="0"/>
      <w:marBottom w:val="0"/>
      <w:divBdr>
        <w:top w:val="none" w:sz="0" w:space="0" w:color="auto"/>
        <w:left w:val="none" w:sz="0" w:space="0" w:color="auto"/>
        <w:bottom w:val="none" w:sz="0" w:space="0" w:color="auto"/>
        <w:right w:val="none" w:sz="0" w:space="0" w:color="auto"/>
      </w:divBdr>
    </w:div>
    <w:div w:id="1183397923">
      <w:bodyDiv w:val="1"/>
      <w:marLeft w:val="0"/>
      <w:marRight w:val="0"/>
      <w:marTop w:val="0"/>
      <w:marBottom w:val="0"/>
      <w:divBdr>
        <w:top w:val="none" w:sz="0" w:space="0" w:color="auto"/>
        <w:left w:val="none" w:sz="0" w:space="0" w:color="auto"/>
        <w:bottom w:val="none" w:sz="0" w:space="0" w:color="auto"/>
        <w:right w:val="none" w:sz="0" w:space="0" w:color="auto"/>
      </w:divBdr>
    </w:div>
    <w:div w:id="1205169983">
      <w:bodyDiv w:val="1"/>
      <w:marLeft w:val="0"/>
      <w:marRight w:val="0"/>
      <w:marTop w:val="0"/>
      <w:marBottom w:val="0"/>
      <w:divBdr>
        <w:top w:val="none" w:sz="0" w:space="0" w:color="auto"/>
        <w:left w:val="none" w:sz="0" w:space="0" w:color="auto"/>
        <w:bottom w:val="none" w:sz="0" w:space="0" w:color="auto"/>
        <w:right w:val="none" w:sz="0" w:space="0" w:color="auto"/>
      </w:divBdr>
    </w:div>
    <w:div w:id="1942449630">
      <w:bodyDiv w:val="1"/>
      <w:marLeft w:val="0"/>
      <w:marRight w:val="0"/>
      <w:marTop w:val="0"/>
      <w:marBottom w:val="0"/>
      <w:divBdr>
        <w:top w:val="none" w:sz="0" w:space="0" w:color="auto"/>
        <w:left w:val="none" w:sz="0" w:space="0" w:color="auto"/>
        <w:bottom w:val="none" w:sz="0" w:space="0" w:color="auto"/>
        <w:right w:val="none" w:sz="0" w:space="0" w:color="auto"/>
      </w:divBdr>
    </w:div>
    <w:div w:id="212441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s://www.riigikantselei.ee/sites/default/files/content-editors/uuringud/governance_mode_for_the_european_union_it_agency_eu-lisa_final_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4864868a-e3f4-49fb-89bc-2140a99fffcd">EN</EC_Collab_DocumentLanguage>
    <EC_Collab_Reference xmlns="4864868a-e3f4-49fb-89bc-2140a99fffcd" xsi:nil="true"/>
    <EC_Collab_Status xmlns="4864868a-e3f4-49fb-89bc-2140a99fffcd">Not Started</EC_Collab_Status>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487E243C297AB4F87C50AEE7240B5C7" ma:contentTypeVersion="1" ma:contentTypeDescription="Create a new document in this library." ma:contentTypeScope="" ma:versionID="33f03b4ca9e6cf51888504d824ac3183">
  <xsd:schema xmlns:xsd="http://www.w3.org/2001/XMLSchema" xmlns:xs="http://www.w3.org/2001/XMLSchema" xmlns:p="http://schemas.microsoft.com/office/2006/metadata/properties" xmlns:ns2="http://schemas.microsoft.com/sharepoint/v3/fields" xmlns:ns3="4864868a-e3f4-49fb-89bc-2140a99fffcd" xmlns:ns4="http://schemas.microsoft.com/sharepoint/v4" targetNamespace="http://schemas.microsoft.com/office/2006/metadata/properties" ma:root="true" ma:fieldsID="5d7b58ef1124637429748f57a198fb13" ns2:_="" ns3:_="" ns4:_="">
    <xsd:import namespace="http://schemas.microsoft.com/sharepoint/v3/fields"/>
    <xsd:import namespace="4864868a-e3f4-49fb-89bc-2140a99fffcd"/>
    <xsd:import namespace="http://schemas.microsoft.com/sharepoint/v4"/>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864868a-e3f4-49fb-89bc-2140a99fffc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8246-B66F-4B47-8D39-043A519B77C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4864868a-e3f4-49fb-89bc-2140a99fffcd"/>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97CCD33D-9D47-49A2-8258-2AF51780A12D}">
  <ds:schemaRefs>
    <ds:schemaRef ds:uri="http://schemas.microsoft.com/sharepoint/v3/contenttype/forms"/>
  </ds:schemaRefs>
</ds:datastoreItem>
</file>

<file path=customXml/itemProps3.xml><?xml version="1.0" encoding="utf-8"?>
<ds:datastoreItem xmlns:ds="http://schemas.openxmlformats.org/officeDocument/2006/customXml" ds:itemID="{B5A44C7D-A6A0-4D96-B9EA-179DAADED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864868a-e3f4-49fb-89bc-2140a99fffc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EF8031-4020-47B7-B382-95FB91C11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32</Pages>
  <Words>14626</Words>
  <Characters>88639</Characters>
  <Application>Microsoft Office Word</Application>
  <DocSecurity>0</DocSecurity>
  <Lines>2395</Lines>
  <Paragraphs>1147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22</cp:revision>
  <cp:lastPrinted>2018-06-08T06:35:00Z</cp:lastPrinted>
  <dcterms:created xsi:type="dcterms:W3CDTF">2020-12-16T15:21:00Z</dcterms:created>
  <dcterms:modified xsi:type="dcterms:W3CDTF">2021-01-12T11:55:00Z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0x010100258AA79CEB83498886A3A08681123250003487E243C297AB4F87C50AEE7240B5C7</vt:lpwstr>
  </property>
  <property fmtid="{D5CDD505-2E9C-101B-9397-08002B2CF9AE}" pid="11" name="DQCStatus">
    <vt:lpwstr>Green (DQC version 03)</vt:lpwstr>
  </property>
</Properties>
</file>