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438DCF19-EB8D-4363-AC1D-5613B8ADCD82" style="width:450.8pt;height:410.7pt">
            <v:imagedata r:id="rId12" o:title=""/>
          </v:shape>
        </w:pict>
      </w:r>
    </w:p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PRÍLOHA I</w:t>
      </w:r>
    </w:p>
    <w:p>
      <w:pPr>
        <w:rPr>
          <w:b/>
          <w:noProof/>
          <w:u w:val="single"/>
        </w:rPr>
      </w:pPr>
      <w:r>
        <w:rPr>
          <w:b/>
          <w:noProof/>
          <w:u w:val="single"/>
        </w:rPr>
        <w:t>Právne nástroje patriace do rozsahu pôsobnosti tohto nariadenia</w:t>
      </w:r>
    </w:p>
    <w:p>
      <w:pPr>
        <w:rPr>
          <w:noProof/>
        </w:rPr>
      </w:pPr>
      <w:r>
        <w:rPr>
          <w:noProof/>
        </w:rPr>
        <w:t>Nástroje v oblasti justičnej spolupráce v občianskych veciach</w:t>
      </w:r>
    </w:p>
    <w:p>
      <w:pPr>
        <w:pStyle w:val="ListNumber"/>
        <w:rPr>
          <w:noProof/>
        </w:rPr>
      </w:pPr>
      <w:r>
        <w:rPr>
          <w:noProof/>
        </w:rPr>
        <w:t>Nariadenie Rady (ES) č. 44/2001 z 22. decembra 2000 o právomoci a o uznávaní a výkone rozsudkov v občianskych a obchodných veciach</w:t>
      </w:r>
      <w:r>
        <w:rPr>
          <w:rStyle w:val="FootnoteReference"/>
          <w:noProof/>
        </w:rPr>
        <w:footnoteReference w:id="2"/>
      </w:r>
    </w:p>
    <w:p>
      <w:pPr>
        <w:pStyle w:val="ListNumber"/>
        <w:rPr>
          <w:noProof/>
        </w:rPr>
      </w:pPr>
      <w:r>
        <w:rPr>
          <w:noProof/>
        </w:rPr>
        <w:t xml:space="preserve">Rozhodnutie Rady z 28. mája 2001 o vytvorení Európskej súdnej siete pre občianske a obchodné </w:t>
      </w:r>
      <w:r>
        <w:rPr>
          <w:noProof/>
          <w:color w:val="000000" w:themeColor="text1"/>
        </w:rPr>
        <w:t>veci (2001/470/ES)</w:t>
      </w:r>
      <w:r>
        <w:rPr>
          <w:rStyle w:val="FootnoteReference"/>
          <w:noProof/>
        </w:rPr>
        <w:footnoteReference w:id="3"/>
      </w:r>
    </w:p>
    <w:p>
      <w:pPr>
        <w:pStyle w:val="ListNumber"/>
        <w:rPr>
          <w:noProof/>
        </w:rPr>
      </w:pPr>
      <w:r>
        <w:rPr>
          <w:noProof/>
        </w:rPr>
        <w:t>Nariadenie Rady (ES) č. 1206/2001 z 28. mája 2001 o spolupráci medzi súdmi členských štátov pri vykonávaní dôkazov v občianskych a obchodných veciach</w:t>
      </w:r>
      <w:r>
        <w:rPr>
          <w:rStyle w:val="FootnoteReference"/>
          <w:noProof/>
        </w:rPr>
        <w:footnoteReference w:id="4"/>
      </w:r>
    </w:p>
    <w:p>
      <w:pPr>
        <w:pStyle w:val="ListNumber"/>
        <w:rPr>
          <w:noProof/>
        </w:rPr>
      </w:pPr>
      <w:r>
        <w:rPr>
          <w:noProof/>
        </w:rPr>
        <w:t>Smernica Rady 2002/8/ES z 27. januára 2003 o zlepšení prístupu k spravodlivosti pri cezhraničných sporoch ustanovením minimálnych spoločných pravidiel týkajúcich sa právnej pomoci pri takýchto sporoch</w:t>
      </w:r>
      <w:r>
        <w:rPr>
          <w:rStyle w:val="FootnoteReference"/>
          <w:noProof/>
        </w:rPr>
        <w:footnoteReference w:id="5"/>
      </w:r>
    </w:p>
    <w:p>
      <w:pPr>
        <w:pStyle w:val="ListNumber"/>
        <w:rPr>
          <w:noProof/>
        </w:rPr>
      </w:pPr>
      <w:r>
        <w:rPr>
          <w:noProof/>
        </w:rPr>
        <w:t>Nariadenie Rady (ES) č. 2201/2003 z 27. novembra 2003 o súdnej právomoci a uznávaní a výkone rozsudkov v manželských veciach a vo veciach rodičovských práv a povinností, ktorým sa zrušuje nariadenie (ES) č. 1347/2000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(ES) č. 805/2004 z 21. apríla 2004, ktorým sa vytvára európsky exekučný titul pre nesporné nároky</w:t>
      </w:r>
      <w:r>
        <w:rPr>
          <w:rStyle w:val="FootnoteReference"/>
          <w:noProof/>
        </w:rPr>
        <w:footnoteReference w:id="7"/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(ES) č. 1896/2006 z 12. decembra 2006, ktorým sa zavádza európske konanie o platobnom rozkaze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(ES) č. 861/2007 z 11. júla 2007, ktorým sa ustanovuje Európske konanie vo veciach s nízkou hodnotou sporu</w:t>
      </w:r>
      <w:r>
        <w:rPr>
          <w:rStyle w:val="FootnoteReference"/>
          <w:noProof/>
        </w:rPr>
        <w:footnoteReference w:id="9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(ES) č. 864/2007 z 11. júla 2007 o rozhodnom práve pre mimozmluvné záväzky (Rím II)</w:t>
      </w:r>
      <w:r>
        <w:rPr>
          <w:rStyle w:val="FootnoteReference"/>
          <w:noProof/>
        </w:rPr>
        <w:footnoteReference w:id="10"/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(ES) č. 1393/2007 z 13. novembra 2007 o doručovaní súdnych a mimosúdnych písomností v občianskych a obchodných veciach v členských štátoch („doručovanie písomností“) a o zrušení nariadenia Rady (ES) č. 1348/2000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Smernica Európskeho parlamentu a Rady 2008/52/ES z 21. mája 2008 o určitých aspektoch mediácie v občianskych a obchodných veciach</w:t>
      </w:r>
      <w:r>
        <w:rPr>
          <w:rStyle w:val="FootnoteReference"/>
          <w:noProof/>
        </w:rPr>
        <w:footnoteReference w:id="12"/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(ES) č. 593/2008 zo 17. júna 2008 o rozhodnom práve pre zmluvné záväzky (Rím I)</w:t>
      </w:r>
      <w:r>
        <w:rPr>
          <w:rStyle w:val="FootnoteReference"/>
          <w:noProof/>
        </w:rPr>
        <w:footnoteReference w:id="13"/>
      </w:r>
    </w:p>
    <w:p>
      <w:pPr>
        <w:pStyle w:val="ListNumber"/>
        <w:rPr>
          <w:noProof/>
        </w:rPr>
      </w:pPr>
      <w:r>
        <w:rPr>
          <w:noProof/>
        </w:rPr>
        <w:t>Nariadenie Rady (ES) č. 4/2009 z 18. decembra 2008 o právomoci, rozhodnom práve, uznávaní a výkone rozhodnutí a o spolupráci vo veciach vyživovacej povinnosti</w:t>
      </w:r>
      <w:r>
        <w:rPr>
          <w:rStyle w:val="FootnoteReference"/>
          <w:noProof/>
        </w:rPr>
        <w:footnoteReference w:id="14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Nariadenie Rady (EÚ) č. 1259/2010 z 20. decembra 2010, ktorým sa vykonáva posilnená spolupráca v oblasti rozhodného práva pre rozvod a rozluku</w:t>
      </w:r>
      <w:r>
        <w:rPr>
          <w:rStyle w:val="FootnoteReference"/>
          <w:noProof/>
        </w:rPr>
        <w:footnoteReference w:id="15"/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(EÚ) č. 650/2012 zo 4. júla 2012 o právomoci, rozhodnom práve, uznávaní a výkone rozhodnutí a prijatí a výkone verejných listín v dedičských veciach a o zavedení európskeho osvedčenia o dedičstve</w:t>
      </w:r>
      <w:r>
        <w:rPr>
          <w:rStyle w:val="FootnoteReference"/>
          <w:noProof/>
        </w:rPr>
        <w:footnoteReference w:id="16"/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(EÚ) č. 1215/2012 z 12. decembra 2012 o právomoci a o uznávaní a výkone rozsudkov v občianskych a obchodných veciach (prepracované znenie)</w:t>
      </w:r>
      <w:r>
        <w:rPr>
          <w:rStyle w:val="FootnoteReference"/>
          <w:noProof/>
        </w:rPr>
        <w:footnoteReference w:id="17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(EÚ) č. 606/2013 z 12. júna 2013 o vzájomnom uznávaní ochranných opatrení v občianskych veciach</w:t>
      </w:r>
      <w:r>
        <w:rPr>
          <w:rStyle w:val="FootnoteReference"/>
          <w:noProof/>
        </w:rPr>
        <w:footnoteReference w:id="18"/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(EÚ) č. 655/2014 z 15. mája 2014 o zavedení konania týkajúceho sa európskeho príkazu na zablokovanie účtov s cieľom uľahčiť cezhraničné vymáhanie pohľadávok v občianskych a obchodných veciach</w:t>
      </w:r>
      <w:r>
        <w:rPr>
          <w:rStyle w:val="FootnoteReference"/>
          <w:noProof/>
        </w:rPr>
        <w:footnoteReference w:id="19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(EÚ) 2015/848 z 20. mája 2015 o insolvenčnom konaní</w:t>
      </w:r>
      <w:r>
        <w:rPr>
          <w:rStyle w:val="FootnoteReference"/>
          <w:noProof/>
        </w:rPr>
        <w:footnoteReference w:id="20"/>
      </w:r>
    </w:p>
    <w:p>
      <w:pPr>
        <w:pStyle w:val="ListNumber"/>
        <w:rPr>
          <w:noProof/>
        </w:rPr>
      </w:pPr>
      <w:r>
        <w:rPr>
          <w:noProof/>
        </w:rPr>
        <w:t>Nariadenie Rady (EÚ) 2016/1103 z 24. júna 2016, ktorým sa vykonáva posilnená spolupráca v oblasti právomoci, rozhodného práva a uznávania a výkonu rozhodnutí vo veciach majetkových režimov manželov</w:t>
      </w:r>
      <w:r>
        <w:rPr>
          <w:rStyle w:val="FootnoteReference"/>
          <w:noProof/>
        </w:rPr>
        <w:footnoteReference w:id="21"/>
      </w:r>
    </w:p>
    <w:p>
      <w:pPr>
        <w:pStyle w:val="ListNumber"/>
        <w:rPr>
          <w:noProof/>
        </w:rPr>
      </w:pPr>
      <w:r>
        <w:rPr>
          <w:noProof/>
        </w:rPr>
        <w:t>Nariadenie Rady (EÚ) 2016/1104 z 24. júna 2016, ktorým sa vykonáva posilnená spolupráca v oblasti právomoci, rozhodného práva a uznávania a výkonu rozhodnutí vo veciach majetkových dôsledkov registrovaných partnerstiev</w:t>
      </w:r>
      <w:r>
        <w:rPr>
          <w:rStyle w:val="FootnoteReference"/>
          <w:noProof/>
        </w:rPr>
        <w:footnoteReference w:id="22"/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(EÚ) 2016/1191 zo 6. júla 2016 o podporovaní voľného pohybu občanov prostredníctvom zjednodušenia požiadaviek na predkladanie určitých verejných listín v Európskej únii a o zmene nariadenia (EÚ) č. 1024/2012</w:t>
      </w:r>
      <w:r>
        <w:rPr>
          <w:rStyle w:val="FootnoteReference"/>
          <w:noProof/>
        </w:rPr>
        <w:footnoteReference w:id="23"/>
      </w:r>
    </w:p>
    <w:p>
      <w:pPr>
        <w:pStyle w:val="ListNumber"/>
        <w:rPr>
          <w:noProof/>
        </w:rPr>
      </w:pPr>
      <w:r>
        <w:rPr>
          <w:noProof/>
        </w:rPr>
        <w:t>Smernica Európskeho parlamentu a Rady (EÚ) 2019/1023 z 20. júna 2019 o rámcoch preventívnej reštrukturalizácie, o oddlžení a diskvalifikácii a o opatreniach na zvýšenie účinnosti reštrukturalizačných, konkurzných a oddlžovacích konaní a o zmene smernice (EÚ) 2017/1132 (smernica o reštrukturalizácii a insolvencii)</w:t>
      </w:r>
      <w:r>
        <w:rPr>
          <w:rStyle w:val="FootnoteReference"/>
          <w:noProof/>
        </w:rPr>
        <w:footnoteReference w:id="24"/>
      </w:r>
    </w:p>
    <w:p>
      <w:pPr>
        <w:keepNext/>
        <w:keepLines/>
        <w:rPr>
          <w:noProof/>
        </w:rPr>
      </w:pPr>
      <w:r>
        <w:rPr>
          <w:noProof/>
        </w:rPr>
        <w:t>Nástroje v oblasti justičnej spolupráce v trestných veciach</w:t>
      </w:r>
    </w:p>
    <w:p>
      <w:pPr>
        <w:pStyle w:val="ListNumber"/>
        <w:numPr>
          <w:ilvl w:val="0"/>
          <w:numId w:val="2"/>
        </w:numPr>
        <w:rPr>
          <w:noProof/>
        </w:rPr>
      </w:pPr>
      <w:r>
        <w:rPr>
          <w:noProof/>
        </w:rPr>
        <w:t>Dohovor vypracovaný na základe článku K.3 Zmluvy o Európskej únii o extradícii medzi členskými štátmi Európskej únie</w:t>
      </w:r>
      <w:r>
        <w:rPr>
          <w:rStyle w:val="FootnoteReference"/>
          <w:noProof/>
        </w:rPr>
        <w:footnoteReference w:id="25"/>
      </w:r>
    </w:p>
    <w:p>
      <w:pPr>
        <w:pStyle w:val="ListNumber"/>
        <w:rPr>
          <w:noProof/>
        </w:rPr>
      </w:pPr>
      <w:r>
        <w:rPr>
          <w:noProof/>
        </w:rPr>
        <w:t>Dohovor vypracovaný na základe článku K.3 Zmluvy o Európskej únii o zjednodušenom postupe vydávania osôb medzi členskými štátmi Európskej únie</w:t>
      </w:r>
      <w:r>
        <w:rPr>
          <w:rStyle w:val="FootnoteReference"/>
          <w:noProof/>
        </w:rPr>
        <w:footnoteReference w:id="26"/>
      </w:r>
    </w:p>
    <w:p>
      <w:pPr>
        <w:pStyle w:val="ListNumber"/>
        <w:rPr>
          <w:noProof/>
        </w:rPr>
      </w:pPr>
      <w:r>
        <w:rPr>
          <w:noProof/>
        </w:rPr>
        <w:t>Dohovor o vzájomnej pomoci v trestných veciach medzi členskými štátmi Európskej únie, vypracovaný Radou v súlade s článkom 34 Zmluvy o Európskej únii</w:t>
      </w:r>
      <w:r>
        <w:rPr>
          <w:rStyle w:val="FootnoteReference"/>
          <w:noProof/>
        </w:rPr>
        <w:footnoteReference w:id="27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Protokol k Dohovoru o vzájomnej pomoci v trestných veciach medzi členskými štátmi Európskej únie, vypracovaný Radou v súlade s článkom 34 Zmluvy o Európskej únii</w:t>
      </w:r>
      <w:r>
        <w:rPr>
          <w:rStyle w:val="FootnoteReference"/>
          <w:noProof/>
        </w:rPr>
        <w:footnoteReference w:id="28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Rámcové rozhodnutie Rady 2002/584/SVV z 13. júna 2002 o európskom zatykači a postupoch odovzdávania osôb medzi členskými štátmi</w:t>
      </w:r>
      <w:r>
        <w:rPr>
          <w:rStyle w:val="FootnoteReference"/>
          <w:noProof/>
        </w:rPr>
        <w:footnoteReference w:id="29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Rámcové rozhodnutie Rady 2002/465/SVV z 13. júna 2002 o spoločných vyšetrovacích tímoch</w:t>
      </w:r>
      <w:r>
        <w:rPr>
          <w:rStyle w:val="FootnoteReference"/>
          <w:noProof/>
        </w:rPr>
        <w:footnoteReference w:id="30"/>
      </w:r>
    </w:p>
    <w:p>
      <w:pPr>
        <w:pStyle w:val="ListNumber"/>
        <w:rPr>
          <w:noProof/>
        </w:rPr>
      </w:pPr>
      <w:r>
        <w:rPr>
          <w:noProof/>
        </w:rPr>
        <w:t>Rámcové rozhodnutie Rady 2003/577/SVV z 22. júla 2003 o vykonaní príkazu na zaistenie majetku alebo dôkazov v Európskej únii</w:t>
      </w:r>
      <w:r>
        <w:rPr>
          <w:rStyle w:val="FootnoteReference"/>
          <w:noProof/>
        </w:rPr>
        <w:footnoteReference w:id="31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Smernica Rady 2004/80/ES z 29. apríla 2004 o odškodňovaní obetí trestných činov</w:t>
      </w:r>
      <w:r>
        <w:rPr>
          <w:rStyle w:val="FootnoteReference"/>
          <w:noProof/>
        </w:rPr>
        <w:footnoteReference w:id="32"/>
      </w:r>
    </w:p>
    <w:p>
      <w:pPr>
        <w:pStyle w:val="ListNumber"/>
        <w:rPr>
          <w:noProof/>
        </w:rPr>
      </w:pPr>
      <w:r>
        <w:rPr>
          <w:noProof/>
        </w:rPr>
        <w:t>Rámcové rozhodnutie Rady 2005/214/SVV z 24. februára 2005 o uplatňovaní zásady vzájomného uznávania na peňažné sankcie</w:t>
      </w:r>
      <w:r>
        <w:rPr>
          <w:rStyle w:val="FootnoteReference"/>
          <w:noProof/>
        </w:rPr>
        <w:footnoteReference w:id="33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Rámcové rozhodnutie Rady 2006/783/SVV zo 6. októbra 2006 o uplatňovaní zásady vzájomného uznávania na príkazy na konfiškáciu</w:t>
      </w:r>
      <w:r>
        <w:rPr>
          <w:rStyle w:val="FootnoteReference"/>
          <w:noProof/>
        </w:rPr>
        <w:footnoteReference w:id="34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Rámcové rozhodnutie Rady 2008/909/SVV z 27. novembra 2008 o uplatňovaní zásady vzájomného uznávania na rozsudky v trestných veciach, ktorými sa ukladajú tresty odňatia slobody alebo opatrenia zahŕňajúce pozbavenie osobnej slobody, na účely ich výkonu v Európskej únii</w:t>
      </w:r>
      <w:r>
        <w:rPr>
          <w:rStyle w:val="FootnoteReference"/>
          <w:rFonts w:eastAsiaTheme="minorHAnsi"/>
          <w:noProof/>
        </w:rPr>
        <w:footnoteReference w:id="35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Rámcové rozhodnutie Rady 2008/947/SVV z 27. novembra 2008 o uplatňovaní zásady vzájomného uznávania na rozsudky a probačné rozhodnutia na účely dohľadu nad probačnými opatreniami a alternatívnymi sankciami</w:t>
      </w:r>
      <w:r>
        <w:rPr>
          <w:rStyle w:val="FootnoteReference"/>
          <w:noProof/>
        </w:rPr>
        <w:footnoteReference w:id="36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Rámcové rozhodnutie Rady 2009/299/SVV z 26. februára 2009 o zmene a doplnení rámcových rozhodnutí 2002/584/SVV, 2005/214/SVV, 2006/783/SVV, 2008/909/SVV a 2008/947/SVV a o posilnení procesných práv osôb, podpore uplatňovania zásady vzájomného uznávania, pokiaľ ide o rozhodnutia vydané v neprítomnosti dotknutej osoby na konaní</w:t>
      </w:r>
      <w:r>
        <w:rPr>
          <w:rStyle w:val="FootnoteReference"/>
          <w:rFonts w:eastAsiaTheme="minorHAnsi"/>
          <w:noProof/>
        </w:rPr>
        <w:footnoteReference w:id="37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Rámcové rozhodnutie Rady 2009/829/SVV z 23. októbra 2009 o uplatňovaní zásady vzájomného uznávania na rozhodnutia o opatreniach dohľadu ako alternatíve väzby medzi členskými štátmi Európskej únie</w:t>
      </w:r>
      <w:r>
        <w:rPr>
          <w:rStyle w:val="FootnoteReference"/>
          <w:noProof/>
        </w:rPr>
        <w:footnoteReference w:id="38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Rámcové rozhodnutie Rady 2009/948/SVV z 30. novembra 2009 o predchádzaní kolíziám pri výkone právomoci v trestných veciach a ich urovnávaní</w:t>
      </w:r>
      <w:r>
        <w:rPr>
          <w:rStyle w:val="FootnoteReference"/>
          <w:noProof/>
        </w:rPr>
        <w:footnoteReference w:id="39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Smernica Európskeho parlamentu a Rady 2011/99/EÚ z 13. decembra 2011 o európskom ochrannom príkaze</w:t>
      </w:r>
      <w:r>
        <w:rPr>
          <w:rStyle w:val="FootnoteReference"/>
          <w:noProof/>
        </w:rPr>
        <w:footnoteReference w:id="40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Smernica Európskeho parlamentu a Rady 2012/29/EÚ z 25. októbra 2012, ktorou sa stanovujú minimálne normy v oblasti práv, podpory a ochrany obetí trestných činov a ktorou sa nahrádza rámcové rozhodnutie Rady 2001/220/SVV</w:t>
      </w:r>
      <w:r>
        <w:rPr>
          <w:rStyle w:val="FootnoteReference"/>
          <w:noProof/>
        </w:rPr>
        <w:footnoteReference w:id="41"/>
      </w:r>
    </w:p>
    <w:p>
      <w:pPr>
        <w:pStyle w:val="ListNumber"/>
        <w:rPr>
          <w:noProof/>
        </w:rPr>
      </w:pPr>
      <w:r>
        <w:rPr>
          <w:noProof/>
        </w:rPr>
        <w:t>Smernica Európskeho parlamentu a Rady 2014/41/EÚ z 3. apríla 2014 o európskom vyšetrovacom príkaze v trestných veciach</w:t>
      </w:r>
      <w:r>
        <w:rPr>
          <w:rStyle w:val="FootnoteReference"/>
          <w:noProof/>
        </w:rPr>
        <w:footnoteReference w:id="42"/>
      </w:r>
      <w:r>
        <w:rPr>
          <w:noProof/>
        </w:rPr>
        <w:t>.</w:t>
      </w:r>
    </w:p>
    <w:p>
      <w:pPr>
        <w:pStyle w:val="ListNumber"/>
        <w:rPr>
          <w:noProof/>
        </w:rPr>
      </w:pPr>
      <w:r>
        <w:rPr>
          <w:noProof/>
        </w:rPr>
        <w:t>Nariadenie Európskeho parlamentu a Rady (EÚ) 2018/1805 zo 14. novembra 2018 o vzájomnom uznávaní príkazov na zaistenie a príkazov na konfiškáciu.</w:t>
      </w:r>
      <w:r>
        <w:rPr>
          <w:rStyle w:val="FootnoteReference"/>
          <w:noProof/>
        </w:rPr>
        <w:footnoteReference w:id="43"/>
      </w:r>
    </w:p>
    <w:p>
      <w:pPr>
        <w:pStyle w:val="ListNumber"/>
        <w:rPr>
          <w:noProof/>
        </w:rPr>
      </w:pPr>
      <w:r>
        <w:rPr>
          <w:noProof/>
        </w:rPr>
        <w:t>[Návrh nariadenia (EÚ) o európskom príkaze na predloženie a uchovanie elektronických dôkazov v trestných veciach</w:t>
      </w:r>
      <w:r>
        <w:rPr>
          <w:rStyle w:val="FootnoteReference"/>
          <w:noProof/>
        </w:rPr>
        <w:footnoteReference w:id="44"/>
      </w:r>
      <w:r>
        <w:rPr>
          <w:noProof/>
        </w:rPr>
        <w:t>]</w:t>
      </w:r>
    </w:p>
    <w:p>
      <w:pPr>
        <w:rPr>
          <w:noProof/>
        </w:rPr>
        <w:sectPr>
          <w:footerReference w:type="default" r:id="rId19"/>
          <w:footerReference w:type="first" r:id="rId20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PRÍLOHA II</w:t>
      </w:r>
    </w:p>
    <w:p>
      <w:pPr>
        <w:rPr>
          <w:b/>
          <w:noProof/>
          <w:u w:val="single"/>
        </w:rPr>
      </w:pPr>
      <w:r>
        <w:rPr>
          <w:b/>
          <w:noProof/>
          <w:u w:val="single"/>
        </w:rPr>
        <w:t>Softvérové produkty a súvisiaca dokumentácia, ktoré sa majú odovzdať agentúre eu-LISA podľa článku 9</w:t>
      </w:r>
    </w:p>
    <w:p>
      <w:pPr>
        <w:pStyle w:val="ListNumber"/>
        <w:numPr>
          <w:ilvl w:val="0"/>
          <w:numId w:val="10"/>
        </w:numPr>
        <w:jc w:val="left"/>
        <w:rPr>
          <w:noProof/>
        </w:rPr>
      </w:pPr>
      <w:r>
        <w:rPr>
          <w:noProof/>
        </w:rPr>
        <w:t>Centrálna testovacia platforma (Central Testing Platform) (softvérový produkt poskytujúci súbor funkcií, ktoré možno použiť na overenie správneho fungovania prístupových bodov e-CODEX a správneho používania digitálnych procesných noriem e-CODEX v pripojených systémoch, ktoré sú s nimi prepojené).</w:t>
      </w:r>
    </w:p>
    <w:p>
      <w:pPr>
        <w:pStyle w:val="ListNumber"/>
        <w:numPr>
          <w:ilvl w:val="0"/>
          <w:numId w:val="2"/>
        </w:numPr>
        <w:jc w:val="left"/>
        <w:rPr>
          <w:noProof/>
        </w:rPr>
      </w:pPr>
      <w:r>
        <w:rPr>
          <w:noProof/>
        </w:rPr>
        <w:t>Nástroj na riadenie konfigurácie (Configuration Management Tool) [softvérový produkt, ktorý poskytuje podporu pri vykonávaní úlohy vymedzenej v článku 6 ods. 2 písm. c)].</w:t>
      </w:r>
    </w:p>
    <w:p>
      <w:pPr>
        <w:pStyle w:val="ListNumber"/>
        <w:numPr>
          <w:ilvl w:val="0"/>
          <w:numId w:val="2"/>
        </w:numPr>
        <w:jc w:val="left"/>
        <w:rPr>
          <w:noProof/>
        </w:rPr>
      </w:pPr>
      <w:r>
        <w:rPr>
          <w:noProof/>
        </w:rPr>
        <w:t>Metadátový pracovný priestor (Metadata Workbench) (softvérový produkt, ktorý poskytuje podporu pri vykonávaní častí úloh vymedzených v článku 6).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SK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SK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SK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  <w:rPr>
          <w:rStyle w:val="Hyperlink"/>
        </w:rPr>
      </w:pPr>
      <w:r>
        <w:rPr>
          <w:rStyle w:val="FootnoteReference"/>
        </w:rPr>
        <w:footnoteRef/>
      </w:r>
      <w:r>
        <w:tab/>
        <w:t>Ú. v. ES L 12, 16.1.2001, s. 1.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Ú. v. ES L 174, 27.6.2001, s. 25.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Ú. v. ES L 174, 27.6.2001, s. 1.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Ú. v. ES L 26, 31.1.2003, s. 41.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Ú. v. EÚ L 338, 23.12.2003, s. 1.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Ú. v. EÚ L 143, 30.4.2004, s. 15.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Ú. v. EÚ L 399, 30.12.2006, s. 1.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Ú. v. EÚ L 199, 31.7.2007, s. 1.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Ú. v. EÚ L 199, 31.7.2007, s. 40.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Ú. v. EÚ L 324, 10.12.2007, s. 79.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Ú. v. EÚ L 136, 24.5.2008, s. 3.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Ú. v. EÚ L 177, 4.7.2008, s. 6.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Ú. v. EÚ L 7, 10.1.2009, s. 1.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Ú. v. EÚ L 343, 29.12.2010, s. 10.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Ú. v. EÚ L 201, 27.7.2012, s. 107.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Ú. v. EÚ L 351, 20.12.2012, s. 1.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Ú. v. EÚ L 181, 29.6.2013, s. 4.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Ú. v. EÚ L 189, 27.6.2014, s. 59.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ab/>
        <w:t>Ú. v. EÚ L 141, 5.6.2015, s. 19.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ab/>
        <w:t>Ú. v. EÚ L 183, 8.7.2016, s. 1.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ab/>
        <w:t>Ú. v. EÚ L 183, 8.7.2016, s. 30.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ab/>
        <w:t>Ú. v. EÚ L 200, 26.7.2016, s. 1.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ab/>
        <w:t>Ú. v. EÚ L 172, 26.6.2019, s. 18.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ab/>
        <w:t>Ú. v. ES C 313, 23.10.1996, s. 12.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ab/>
        <w:t>Ú. v. ES C 78, 30.3.1995, s. 2.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ab/>
        <w:t>Ú. v. ES C 197, 12.7.2000, s. 3.</w:t>
      </w:r>
    </w:p>
  </w:footnote>
  <w:footnote w:id="28">
    <w:p>
      <w:pPr>
        <w:pStyle w:val="FootnoteText"/>
      </w:pPr>
      <w:r>
        <w:rPr>
          <w:rStyle w:val="FootnoteReference"/>
        </w:rPr>
        <w:footnoteRef/>
      </w:r>
      <w:r>
        <w:tab/>
        <w:t>Ú. v. ES C 326, 21.11.2001, s. 2.</w:t>
      </w:r>
    </w:p>
  </w:footnote>
  <w:footnote w:id="29">
    <w:p>
      <w:pPr>
        <w:pStyle w:val="FootnoteText"/>
      </w:pPr>
      <w:r>
        <w:rPr>
          <w:rStyle w:val="FootnoteReference"/>
        </w:rPr>
        <w:footnoteRef/>
      </w:r>
      <w:r>
        <w:tab/>
        <w:t>Ú. v. ES L 190, 18.7.2002, s. 1.</w:t>
      </w:r>
    </w:p>
  </w:footnote>
  <w:footnote w:id="30">
    <w:p>
      <w:pPr>
        <w:pStyle w:val="FootnoteText"/>
      </w:pPr>
      <w:r>
        <w:rPr>
          <w:rStyle w:val="FootnoteReference"/>
        </w:rPr>
        <w:footnoteRef/>
      </w:r>
      <w:r>
        <w:tab/>
        <w:t>Ú. v. ES L 162, 20.6.2002, s. 1.</w:t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ab/>
        <w:t>Ú. v. EÚ L 196, 2.8.2003, s. 45.</w:t>
      </w:r>
    </w:p>
  </w:footnote>
  <w:footnote w:id="32">
    <w:p>
      <w:pPr>
        <w:pStyle w:val="FootnoteText"/>
      </w:pPr>
      <w:r>
        <w:rPr>
          <w:rStyle w:val="FootnoteReference"/>
        </w:rPr>
        <w:footnoteRef/>
      </w:r>
      <w:r>
        <w:tab/>
        <w:t>Ú. v. EÚ L 261, 6.8.2004, s. 15.</w:t>
      </w:r>
    </w:p>
  </w:footnote>
  <w:footnote w:id="33">
    <w:p>
      <w:pPr>
        <w:pStyle w:val="FootnoteText"/>
      </w:pPr>
      <w:r>
        <w:rPr>
          <w:rStyle w:val="FootnoteReference"/>
        </w:rPr>
        <w:footnoteRef/>
      </w:r>
      <w:r>
        <w:tab/>
        <w:t>Ú. v. EÚ L 76, 22.3.2005, s. 16.</w:t>
      </w:r>
    </w:p>
  </w:footnote>
  <w:footnote w:id="34">
    <w:p>
      <w:pPr>
        <w:pStyle w:val="FootnoteText"/>
      </w:pPr>
      <w:r>
        <w:rPr>
          <w:rStyle w:val="FootnoteReference"/>
        </w:rPr>
        <w:footnoteRef/>
      </w:r>
      <w:r>
        <w:tab/>
        <w:t>Ú. v. EÚ L 328, 24.11.2006, s. 59.</w:t>
      </w:r>
    </w:p>
  </w:footnote>
  <w:footnote w:id="35">
    <w:p>
      <w:pPr>
        <w:pStyle w:val="FootnoteText"/>
      </w:pPr>
      <w:r>
        <w:rPr>
          <w:rStyle w:val="FootnoteReference"/>
        </w:rPr>
        <w:footnoteRef/>
      </w:r>
      <w:r>
        <w:tab/>
        <w:t>Ú. v. EÚ L 327, 5.12.2008, s. 27.</w:t>
      </w:r>
    </w:p>
  </w:footnote>
  <w:footnote w:id="36">
    <w:p>
      <w:pPr>
        <w:pStyle w:val="FootnoteText"/>
      </w:pPr>
      <w:r>
        <w:rPr>
          <w:rStyle w:val="FootnoteReference"/>
        </w:rPr>
        <w:footnoteRef/>
      </w:r>
      <w:r>
        <w:tab/>
        <w:t>Ú. v. EÚ L 337, 16.12.2008, s. 102.</w:t>
      </w:r>
    </w:p>
  </w:footnote>
  <w:footnote w:id="37">
    <w:p>
      <w:pPr>
        <w:pStyle w:val="FootnoteText"/>
      </w:pPr>
      <w:r>
        <w:rPr>
          <w:rStyle w:val="FootnoteReference"/>
        </w:rPr>
        <w:footnoteRef/>
      </w:r>
      <w:r>
        <w:tab/>
        <w:t>Ú. v. EÚ L 81, 27.3.2009, s. 24.</w:t>
      </w:r>
    </w:p>
  </w:footnote>
  <w:footnote w:id="38">
    <w:p>
      <w:pPr>
        <w:pStyle w:val="FootnoteText"/>
      </w:pPr>
      <w:r>
        <w:rPr>
          <w:rStyle w:val="FootnoteReference"/>
        </w:rPr>
        <w:footnoteRef/>
      </w:r>
      <w:r>
        <w:tab/>
        <w:t>Ú. v. EÚ L 294, 11.11.2009, s. 20.</w:t>
      </w:r>
    </w:p>
  </w:footnote>
  <w:footnote w:id="39">
    <w:p>
      <w:pPr>
        <w:pStyle w:val="FootnoteText"/>
      </w:pPr>
      <w:r>
        <w:rPr>
          <w:rStyle w:val="FootnoteReference"/>
        </w:rPr>
        <w:footnoteRef/>
      </w:r>
      <w:r>
        <w:tab/>
        <w:t>Ú. v. EÚ L 328, 15.12.2009, s. 42.</w:t>
      </w:r>
    </w:p>
  </w:footnote>
  <w:footnote w:id="40">
    <w:p>
      <w:pPr>
        <w:pStyle w:val="FootnoteText"/>
      </w:pPr>
      <w:r>
        <w:rPr>
          <w:rStyle w:val="FootnoteReference"/>
        </w:rPr>
        <w:footnoteRef/>
      </w:r>
      <w:r>
        <w:tab/>
        <w:t>Ú. v. EÚ L 338, 21.12.2011, s. 2.</w:t>
      </w:r>
    </w:p>
  </w:footnote>
  <w:footnote w:id="41">
    <w:p>
      <w:pPr>
        <w:pStyle w:val="FootnoteText"/>
      </w:pPr>
      <w:r>
        <w:rPr>
          <w:rStyle w:val="FootnoteReference"/>
        </w:rPr>
        <w:footnoteRef/>
      </w:r>
      <w:r>
        <w:tab/>
        <w:t>Ú. v. EÚ L 315, 14.11.2012, s. 57.</w:t>
      </w:r>
    </w:p>
  </w:footnote>
  <w:footnote w:id="42">
    <w:p>
      <w:pPr>
        <w:pStyle w:val="FootnoteText"/>
      </w:pPr>
      <w:r>
        <w:rPr>
          <w:rStyle w:val="FootnoteReference"/>
        </w:rPr>
        <w:footnoteRef/>
      </w:r>
      <w:r>
        <w:tab/>
        <w:t>Ú. v. EÚ L 130, 1.5.2014, s. 1.</w:t>
      </w:r>
    </w:p>
  </w:footnote>
  <w:footnote w:id="43">
    <w:p>
      <w:pPr>
        <w:pStyle w:val="FootnoteText"/>
      </w:pPr>
      <w:r>
        <w:rPr>
          <w:rStyle w:val="FootnoteReference"/>
        </w:rPr>
        <w:footnoteRef/>
      </w:r>
      <w:r>
        <w:tab/>
        <w:t xml:space="preserve">Ú. v. EÚ L 303, 28.11.2018, s. 1. </w:t>
      </w:r>
    </w:p>
  </w:footnote>
  <w:footnote w:id="44">
    <w:p>
      <w:pPr>
        <w:pStyle w:val="FootnoteText"/>
      </w:pPr>
      <w:r>
        <w:rPr>
          <w:rStyle w:val="FootnoteReference"/>
        </w:rPr>
        <w:footnoteRef/>
      </w:r>
      <w:r>
        <w:tab/>
        <w:t>COM(2018) 225 final (návrh v legislatívnom procese).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43626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E12B7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33868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37CBA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67E11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14C61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1CE62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NumPar5"/>
      <w:lvlText w:val="(%5)"/>
      <w:lvlJc w:val="left"/>
      <w:pPr>
        <w:ind w:left="1800" w:hanging="360"/>
      </w:pPr>
    </w:lvl>
    <w:lvl w:ilvl="5">
      <w:start w:val="1"/>
      <w:numFmt w:val="lowerRoman"/>
      <w:pStyle w:val="NumPar6"/>
      <w:lvlText w:val="(%6)"/>
      <w:lvlJc w:val="left"/>
      <w:pPr>
        <w:ind w:left="2160" w:hanging="360"/>
      </w:pPr>
    </w:lvl>
    <w:lvl w:ilvl="6">
      <w:start w:val="1"/>
      <w:numFmt w:val="decimal"/>
      <w:pStyle w:val="NumPar7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Heading5"/>
      <w:lvlText w:val="(%5)"/>
      <w:lvlJc w:val="left"/>
      <w:pPr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1F06166"/>
    <w:multiLevelType w:val="multilevel"/>
    <w:tmpl w:val="273A5C44"/>
    <w:name w:val="0.3219111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559"/>
        </w:tabs>
        <w:ind w:left="1559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268"/>
        </w:tabs>
        <w:ind w:left="226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977"/>
        </w:tabs>
        <w:ind w:left="2977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19"/>
  </w:num>
  <w:num w:numId="14">
    <w:abstractNumId w:val="18"/>
  </w:num>
  <w:num w:numId="15">
    <w:abstractNumId w:val="11"/>
  </w:num>
  <w:num w:numId="16">
    <w:abstractNumId w:val="20"/>
  </w:num>
  <w:num w:numId="17">
    <w:abstractNumId w:val="10"/>
  </w:num>
  <w:num w:numId="18">
    <w:abstractNumId w:val="12"/>
  </w:num>
  <w:num w:numId="19">
    <w:abstractNumId w:val="8"/>
  </w:num>
  <w:num w:numId="20">
    <w:abstractNumId w:val="19"/>
  </w:num>
  <w:num w:numId="21">
    <w:abstractNumId w:val="7"/>
  </w:num>
  <w:num w:numId="22">
    <w:abstractNumId w:val="14"/>
  </w:num>
  <w:num w:numId="23">
    <w:abstractNumId w:val="16"/>
  </w:num>
  <w:num w:numId="24">
    <w:abstractNumId w:val="17"/>
  </w:num>
  <w:num w:numId="25">
    <w:abstractNumId w:val="9"/>
  </w:num>
  <w:num w:numId="26">
    <w:abstractNumId w:val="15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1-12 12:58:0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k"/>
    <w:docVar w:name="LW_ACCOMPAGNANT.CP" w:val="k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438DCF19-EB8D-4363-AC1D-5613B8ADCD82"/>
    <w:docVar w:name="LW_COVERPAGE_TYPE" w:val="1"/>
    <w:docVar w:name="LW_CROSSREFERENCE" w:val="{SEC(2020) 408 final} - {SWD(2020) 541 final} - {SWD(2020) 542 final}"/>
    <w:docVar w:name="LW_DocType" w:val="ANNEX"/>
    <w:docVar w:name="LW_EMISSION" w:val="2. 12. 2020"/>
    <w:docVar w:name="LW_EMISSION_ISODATE" w:val="2020-12-02"/>
    <w:docVar w:name="LW_EMISSION_LOCATION" w:val="BRX"/>
    <w:docVar w:name="LW_EMISSION_PREFIX" w:val="V Bruseli"/>
    <w:docVar w:name="LW_EMISSION_SUFFIX" w:val=" "/>
    <w:docVar w:name="LW_ID_DOCSTRUCTURE" w:val="COM/ANNEX"/>
    <w:docVar w:name="LW_ID_DOCTYPE" w:val="SG-017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OBJETACTEPRINCIPAL" w:val="o po\u269?íta\u269?ovom systéme na komunikáciu v cezhrani\u269?ných ob\u269?ianskych súdnych konaniach a trestných konaniach (systém e-CODEX) a o zmene nariadenia _x000d__x000b_(EÚ) 2018/1726"/>
    <w:docVar w:name="LW_OBJETACTEPRINCIPAL.CP" w:val="o po\u269?íta\u269?ovom systéme na komunikáciu v cezhrani\u269?ných ob\u269?ianskych súdnych konaniach a trestných konaniach (systém e-CODEX) a o zmene nariadenia _x000d__x000b_(EÚ) 2018/1726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71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RÍLOHY"/>
    <w:docVar w:name="LW_TYPE.DOC.CP" w:val="PRÍLOHY"/>
    <w:docVar w:name="LW_TYPEACTEPRINCIPAL" w:val="návrhu nariadenia Európskeho parlamentu a Rady"/>
    <w:docVar w:name="LW_TYPEACTEPRINCIPAL.CP" w:val="návrhu nariadenia Európskeho parlamentu a Rady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3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3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3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1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1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1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1"/>
      </w:numPr>
    </w:pPr>
    <w:rPr>
      <w:rFonts w:eastAsia="Times New Roman"/>
      <w:lang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k-SK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5">
    <w:name w:val="Tiret 5"/>
    <w:basedOn w:val="Point5"/>
    <w:pPr>
      <w:numPr>
        <w:numId w:val="11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2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2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2"/>
      </w:numPr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sk-SK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3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3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3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1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1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1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1"/>
      </w:numPr>
    </w:pPr>
    <w:rPr>
      <w:rFonts w:eastAsia="Times New Roman"/>
      <w:lang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k-SK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5">
    <w:name w:val="Tiret 5"/>
    <w:basedOn w:val="Point5"/>
    <w:pPr>
      <w:numPr>
        <w:numId w:val="11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2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2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2"/>
      </w:numPr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sk-SK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EC_Collab_DocumentLanguage xmlns="4864868a-e3f4-49fb-89bc-2140a99fffcd">EN</EC_Collab_DocumentLanguage>
    <IconOverlay xmlns="http://schemas.microsoft.com/sharepoint/v4" xsi:nil="true"/>
    <EC_Collab_Reference xmlns="4864868a-e3f4-49fb-89bc-2140a99fffcd" xsi:nil="true"/>
    <EC_Collab_Status xmlns="4864868a-e3f4-49fb-89bc-2140a99fffcd">Not Started</EC_Collab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487E243C297AB4F87C50AEE7240B5C7" ma:contentTypeVersion="1" ma:contentTypeDescription="Create a new document in this library." ma:contentTypeScope="" ma:versionID="33f03b4ca9e6cf51888504d824ac3183">
  <xsd:schema xmlns:xsd="http://www.w3.org/2001/XMLSchema" xmlns:xs="http://www.w3.org/2001/XMLSchema" xmlns:p="http://schemas.microsoft.com/office/2006/metadata/properties" xmlns:ns2="http://schemas.microsoft.com/sharepoint/v3/fields" xmlns:ns3="4864868a-e3f4-49fb-89bc-2140a99fffcd" xmlns:ns4="http://schemas.microsoft.com/sharepoint/v4" targetNamespace="http://schemas.microsoft.com/office/2006/metadata/properties" ma:root="true" ma:fieldsID="5d7b58ef1124637429748f57a198fb13" ns2:_="" ns3:_="" ns4:_="">
    <xsd:import namespace="http://schemas.microsoft.com/sharepoint/v3/fields"/>
    <xsd:import namespace="4864868a-e3f4-49fb-89bc-2140a99fffc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4868a-e3f4-49fb-89bc-2140a99fffc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0DB58-2A6D-437F-A67B-D18D86F78E8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864868a-e3f4-49fb-89bc-2140a99fffc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833DB59-B94B-4320-BD56-DE4D539B5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8FFCF-044B-4AA6-9C01-EBD6B5D00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864868a-e3f4-49fb-89bc-2140a99fffc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3F451-D30B-49EF-9BF9-90065A39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1178</Words>
  <Characters>6898</Characters>
  <Application>Microsoft Office Word</Application>
  <DocSecurity>0</DocSecurity>
  <Lines>127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BONACINI Stefania (JUST)</dc:creator>
  <cp:keywords/>
  <dc:description/>
  <cp:lastModifiedBy>WES PDFC Administrator</cp:lastModifiedBy>
  <cp:revision>12</cp:revision>
  <dcterms:created xsi:type="dcterms:W3CDTF">2020-12-18T11:39:00Z</dcterms:created>
  <dcterms:modified xsi:type="dcterms:W3CDTF">2021-01-12T11:58:00Z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0x010100258AA79CEB83498886A3A08681123250003487E243C297AB4F87C50AEE7240B5C7</vt:lpwstr>
  </property>
  <property fmtid="{D5CDD505-2E9C-101B-9397-08002B2CF9AE}" pid="14" name="DQCStatus">
    <vt:lpwstr>Green (DQC version 03)</vt:lpwstr>
  </property>
</Properties>
</file>