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E5805CF2-D27A-4B18-9AAE-356CFA3ADA38" style="width:449.65pt;height:410.95pt">
            <v:imagedata r:id="rId12" o:title=""/>
          </v:shape>
        </w:pict>
      </w:r>
    </w:p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spacing w:line="270" w:lineRule="exact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 I</w:t>
      </w:r>
    </w:p>
    <w:p>
      <w:pPr>
        <w:spacing w:line="270" w:lineRule="exact"/>
        <w:rPr>
          <w:b/>
          <w:noProof/>
          <w:u w:val="single"/>
        </w:rPr>
      </w:pPr>
      <w:r>
        <w:rPr>
          <w:b/>
          <w:noProof/>
          <w:u w:val="single"/>
        </w:rPr>
        <w:t>Правни инструменти, попадащи в обхвата на настоящия регламент</w:t>
      </w:r>
    </w:p>
    <w:p>
      <w:pPr>
        <w:spacing w:line="270" w:lineRule="exact"/>
        <w:rPr>
          <w:noProof/>
        </w:rPr>
      </w:pPr>
      <w:r>
        <w:rPr>
          <w:noProof/>
        </w:rPr>
        <w:t xml:space="preserve">Инструменти в областта на съдебното сътрудничество по гражданскоправни въпроси </w:t>
      </w:r>
    </w:p>
    <w:p>
      <w:pPr>
        <w:pStyle w:val="ListNumber"/>
        <w:spacing w:line="270" w:lineRule="exact"/>
        <w:rPr>
          <w:noProof/>
          <w:color w:val="000000" w:themeColor="text1"/>
        </w:rPr>
      </w:pPr>
      <w:r>
        <w:rPr>
          <w:noProof/>
        </w:rPr>
        <w:t>Регламент (ЕО) № 44/2001 на Съвета от 22 декември 2000 г. относно компетентността, признаването и изпълнението на съдебни решения по граждански и търговски дела</w:t>
      </w:r>
      <w:r>
        <w:rPr>
          <w:rStyle w:val="FootnoteReference"/>
          <w:noProof/>
        </w:rPr>
        <w:footnoteReference w:id="2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Решение на Съвета от 28 май 2001 г. за създаване на Европейска съдебна мрежа по граждански и търговски дела (2001/470/ЕО)</w:t>
      </w:r>
      <w:r>
        <w:rPr>
          <w:rStyle w:val="FootnoteReference"/>
          <w:noProof/>
        </w:rPr>
        <w:footnoteReference w:id="3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 1206/2001 на Съвета от 28 май 2001 г. относно сътрудничеството между съдилища на държавите членки при събирането на доказателства по граждански или търговски дела</w:t>
      </w:r>
      <w:r>
        <w:rPr>
          <w:rStyle w:val="FootnoteReference"/>
          <w:noProof/>
        </w:rPr>
        <w:footnoteReference w:id="4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 2002/8/ЕО на Съвета от 27 януари 2003 г. за подобряване на достъпа до правосъдие при презгранични спорове чрез установяването на минимални общи правила за правната помощ при такива спорове</w:t>
      </w:r>
      <w:r>
        <w:rPr>
          <w:rStyle w:val="FootnoteReference"/>
          <w:noProof/>
        </w:rPr>
        <w:footnoteReference w:id="5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 (ЕО) № 2201/2003 на Съвета от 27 ноември 2003 г. относно компетентността, признаването и изпълнението на съдебни решения по брачни дела и делата, свързани с родителската отговорност, с който се отменя Регламент (ЕО) № 1347/2000</w:t>
      </w:r>
      <w:r>
        <w:rPr>
          <w:rStyle w:val="FootnoteReference"/>
          <w:noProof/>
        </w:rPr>
        <w:footnoteReference w:id="6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 805/2004 на Европейския парламент и на Съвета от 21 април 2004 г. за въвеждане на европейско изпълнително основание при безспорни вземания</w:t>
      </w:r>
      <w:r>
        <w:rPr>
          <w:rStyle w:val="FootnoteReference"/>
          <w:noProof/>
        </w:rPr>
        <w:footnoteReference w:id="7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 1896/2006 на Европейския парламент и на Съвета от 12 декември 2006 г. за създаване на процедура за европейска заповед за плащане</w:t>
      </w:r>
      <w:r>
        <w:rPr>
          <w:rStyle w:val="FootnoteReference"/>
          <w:noProof/>
        </w:rPr>
        <w:footnoteReference w:id="8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 861/2007 на Европейския парламент и на Съвета от 11 юли 2007 г. за създаване на европейска процедура за искове с малък материален интерес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 864/2007 на Европейския парламент и на Съвета от 11 юли 2007 г. относно приложимото право към извъндоговорни задължения (Рим II)</w:t>
      </w:r>
      <w:r>
        <w:rPr>
          <w:rStyle w:val="FootnoteReference"/>
          <w:noProof/>
        </w:rPr>
        <w:footnoteReference w:id="10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 1393/2007 на Европейския парламент и на Съвета от 13 ноември 2007 г. относно връчване в държавите членки на съдебни и извънсъдебни документи по граждански или търговски дела („връчване на документи“) и за отмяна на Регламент (ЕО) № 1348/2000 на Съвета</w:t>
      </w:r>
      <w:r>
        <w:rPr>
          <w:rStyle w:val="FootnoteReference"/>
          <w:noProof/>
        </w:rPr>
        <w:footnoteReference w:id="11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lastRenderedPageBreak/>
        <w:t>Директива 2008/52/ЕО на Европейския парламент и на Съвета от 21 май 2008 г. относно някои аспекти на медиацията по гражданскоправни и търговскоправни въпроси</w:t>
      </w:r>
      <w:r>
        <w:rPr>
          <w:rStyle w:val="FootnoteReference"/>
          <w:noProof/>
        </w:rPr>
        <w:footnoteReference w:id="12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(ЕО) № 593/2008 на Европейския парламент и на Съвета от 17 юни 2008 г. относно приложимото право към договорни задължения (Рим I)</w:t>
      </w:r>
      <w:r>
        <w:rPr>
          <w:rStyle w:val="FootnoteReference"/>
          <w:noProof/>
        </w:rPr>
        <w:footnoteReference w:id="13"/>
      </w:r>
    </w:p>
    <w:p>
      <w:pPr>
        <w:pStyle w:val="ListNumber"/>
        <w:spacing w:line="270" w:lineRule="exact"/>
        <w:rPr>
          <w:noProof/>
          <w:spacing w:val="-4"/>
        </w:rPr>
      </w:pPr>
      <w:r>
        <w:rPr>
          <w:noProof/>
          <w:spacing w:val="-4"/>
        </w:rPr>
        <w:t>Регламент (ЕО) № 4/2009 на Съвета от 18 декември 2008 г. относно компетентността, приложимото право, признаването и изпълнението на съдебни решения и сътрудничеството по въпроси, свързани със задължения за издръжка</w:t>
      </w:r>
      <w:r>
        <w:rPr>
          <w:rStyle w:val="FootnoteReference"/>
          <w:noProof/>
          <w:spacing w:val="-4"/>
        </w:rPr>
        <w:footnoteReference w:id="14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№ 1259/2010 на Съвета от 20 декември 2010 година относно осъществяването на засилено сътрудничество в областта на приложимото право при развод и законна раздяла</w:t>
      </w:r>
      <w:r>
        <w:rPr>
          <w:rStyle w:val="FootnoteReference"/>
          <w:noProof/>
        </w:rPr>
        <w:footnoteReference w:id="15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№ 650/2012 на Европейския парламент и на Съвета от 4 юли 2012 г. относно компетентността, приложимото право,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</w:t>
      </w:r>
      <w:r>
        <w:rPr>
          <w:rStyle w:val="FootnoteReference"/>
          <w:noProof/>
        </w:rPr>
        <w:footnoteReference w:id="16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№ 1215/2012 на Европейския парламент и на Съвета от 12 декември 2012 г. относно компетентността, признаването и изпълнението на съдебни решения по граждански и търговски дела (преработен текст)</w:t>
      </w:r>
      <w:r>
        <w:rPr>
          <w:rStyle w:val="FootnoteReference"/>
          <w:noProof/>
        </w:rPr>
        <w:footnoteReference w:id="17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№ 606/2013 на Европейския парламент и на Съвета от 12 юни 2013 г. относно взаимното признаване на мерки за осигуряване на защита по граждански дела</w:t>
      </w:r>
      <w:r>
        <w:rPr>
          <w:rStyle w:val="FootnoteReference"/>
          <w:noProof/>
        </w:rPr>
        <w:footnoteReference w:id="18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№ 655/2014 на Европейския парламент и на Съвета от 15 май 2014 г.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</w:t>
      </w:r>
      <w:r>
        <w:rPr>
          <w:rStyle w:val="FootnoteReference"/>
          <w:noProof/>
        </w:rPr>
        <w:footnoteReference w:id="19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2015/848 на Европейския парламент и на Съвета от 20 май 2015 г. относно производството по несъстоятелност</w:t>
      </w:r>
      <w:r>
        <w:rPr>
          <w:rStyle w:val="FootnoteReference"/>
          <w:noProof/>
        </w:rPr>
        <w:footnoteReference w:id="20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2016/1103 на Съвета от 24 юни 2016 г. за изпълнение на засиленото сътрудничество в областта на компетентността, приложимото право, признаването и изпълнението на решения по въпроси, свързани с имуществения режим между съпрузи</w:t>
      </w:r>
      <w:r>
        <w:rPr>
          <w:rStyle w:val="FootnoteReference"/>
          <w:noProof/>
        </w:rPr>
        <w:footnoteReference w:id="21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2016/1104 на Съвета от 24 юни 2016 г. за изпълнение на засиленото сътрудничество в областта на компетентността, приложимото право, признаването и изпълнението на решения в областта на имуществените последици на регистрираните партньорства</w:t>
      </w:r>
      <w:r>
        <w:rPr>
          <w:rStyle w:val="FootnoteReference"/>
          <w:noProof/>
        </w:rPr>
        <w:footnoteReference w:id="22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Регламент (ЕС) 2016/1191 на Европейския парламент и на Съвета от 6 юли 2016 г.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(ЕС) № 1024/2012</w:t>
      </w:r>
      <w:r>
        <w:rPr>
          <w:rStyle w:val="FootnoteReference"/>
          <w:noProof/>
        </w:rPr>
        <w:footnoteReference w:id="23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 (ЕС) 2019/1023 на Европейския парламент и на Съвета от 20 юни 2019 г. за рамките за превантивно преструктуриране, за опрощаването на задължения и забраната за осъществяване на дейност, за мерките за повишаване на ефективността на производствата по преструктуриране, несъстоятелност и опрощаване на задължения и за изменение на Директива (ЕС) 2017/1132 (Директива за преструктурирането и несъстоятелността)</w:t>
      </w:r>
      <w:r>
        <w:rPr>
          <w:rStyle w:val="FootnoteReference"/>
          <w:noProof/>
        </w:rPr>
        <w:footnoteReference w:id="24"/>
      </w:r>
    </w:p>
    <w:p>
      <w:pPr>
        <w:spacing w:line="270" w:lineRule="exact"/>
        <w:rPr>
          <w:noProof/>
        </w:rPr>
      </w:pPr>
      <w:r>
        <w:rPr>
          <w:noProof/>
        </w:rPr>
        <w:t>Инструменти в областта а съдебното сътрудничество по наказателноправни въпроси</w:t>
      </w:r>
    </w:p>
    <w:p>
      <w:pPr>
        <w:pStyle w:val="ListNumber"/>
        <w:numPr>
          <w:ilvl w:val="0"/>
          <w:numId w:val="2"/>
        </w:numPr>
        <w:spacing w:line="270" w:lineRule="exact"/>
        <w:rPr>
          <w:noProof/>
        </w:rPr>
      </w:pPr>
      <w:r>
        <w:rPr>
          <w:noProof/>
        </w:rPr>
        <w:t>Конвенция, съставена на основание член К.3 от Договора за Европейския съюз, свързана с екстрадицията между държавите — членки на Европейския съюз</w:t>
      </w:r>
      <w:r>
        <w:rPr>
          <w:rStyle w:val="FootnoteReference"/>
          <w:noProof/>
        </w:rPr>
        <w:footnoteReference w:id="25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Конвенция, съставена на основание член К.3 от Договора за Европейския съюз, относно опростената процедура за екстрадиция между държавите — членки на Европейския съюз</w:t>
      </w:r>
      <w:r>
        <w:rPr>
          <w:rStyle w:val="FootnoteReference"/>
          <w:noProof/>
        </w:rPr>
        <w:footnoteReference w:id="26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Конвенция, съставена от Съвета в съответствие с член 34 от Договора за Европейския съюз, за взаимопомощ по наказателноправни въпроси между държавите — членки на Европейския съюз</w:t>
      </w:r>
      <w:r>
        <w:rPr>
          <w:rStyle w:val="FootnoteReference"/>
          <w:noProof/>
        </w:rPr>
        <w:footnoteReference w:id="27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Протокол, съставен от Съвета в съответствие с член 34 от Договора за Европейския съюз, към Конвенцията за взаимопомощ по наказателноправни въпроси между държавите — членки на Европейския съюз</w:t>
      </w:r>
      <w:r>
        <w:rPr>
          <w:rStyle w:val="FootnoteReference"/>
          <w:noProof/>
        </w:rPr>
        <w:footnoteReference w:id="28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  <w:spacing w:val="-4"/>
        </w:rPr>
      </w:pPr>
      <w:r>
        <w:rPr>
          <w:noProof/>
          <w:spacing w:val="-4"/>
        </w:rPr>
        <w:t>Рамково решение 2002/584/ПВР на Съвета от 13 юни 2002 г. относно европейската заповед за арест и процедурите за предаване между държавите членки</w:t>
      </w:r>
      <w:r>
        <w:rPr>
          <w:rStyle w:val="FootnoteReference"/>
          <w:noProof/>
          <w:spacing w:val="-4"/>
        </w:rPr>
        <w:footnoteReference w:id="29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2002/465/ПВР на Съвета от 13 юни 2002 г. относно съвместните екипи за разследване</w:t>
      </w:r>
      <w:r>
        <w:rPr>
          <w:rStyle w:val="FootnoteReference"/>
          <w:noProof/>
        </w:rPr>
        <w:footnoteReference w:id="30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2003/577/ПВР на Съвета от 22 юли 2003 г. за изпълнение в Европейския съюз на решения за обезпечаване на имущество или доказателства</w:t>
      </w:r>
      <w:r>
        <w:rPr>
          <w:rStyle w:val="FootnoteReference"/>
          <w:noProof/>
        </w:rPr>
        <w:footnoteReference w:id="31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 2004/80/ЕО на Съвета от 29 април 2004 г. относно обезщетението на жертвите на престъпления</w:t>
      </w:r>
      <w:r>
        <w:rPr>
          <w:rStyle w:val="FootnoteReference"/>
          <w:noProof/>
        </w:rPr>
        <w:footnoteReference w:id="32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2005/214/ПВР на Съвета от 24 февруари 2005 г. относно прилагането на принципа за взаимно признаване на финансови санкции</w:t>
      </w:r>
      <w:r>
        <w:rPr>
          <w:rStyle w:val="FootnoteReference"/>
          <w:noProof/>
        </w:rPr>
        <w:footnoteReference w:id="33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2006/783/ПВР на Съвета от 6 октомври 2006 г. за прилагане на принципа за взаимно признаване на решения за конфискация</w:t>
      </w:r>
      <w:r>
        <w:rPr>
          <w:rStyle w:val="FootnoteReference"/>
          <w:noProof/>
        </w:rPr>
        <w:footnoteReference w:id="34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2008/909/ПВР на Съвета от 27 ноември 2008 г. за прилагане на принципа за взаимно признаване към съдебни решения по наказателни дела, с които се налагат наказания лишаване от свобода или мерки, включващи лишаване от свобода, за целите на тяхното изпълнение в Европейския съюз</w:t>
      </w:r>
      <w:r>
        <w:rPr>
          <w:rStyle w:val="FootnoteReference"/>
          <w:rFonts w:eastAsiaTheme="minorHAnsi"/>
          <w:noProof/>
        </w:rPr>
        <w:footnoteReference w:id="35"/>
      </w:r>
      <w:r>
        <w:rPr>
          <w:noProof/>
        </w:rPr>
        <w:t xml:space="preserve"> </w:t>
      </w:r>
    </w:p>
    <w:p>
      <w:pPr>
        <w:pStyle w:val="ListNumber"/>
        <w:spacing w:line="270" w:lineRule="exact"/>
        <w:rPr>
          <w:noProof/>
          <w:spacing w:val="-4"/>
        </w:rPr>
      </w:pPr>
      <w:r>
        <w:rPr>
          <w:noProof/>
          <w:spacing w:val="-4"/>
        </w:rPr>
        <w:t>Рамково решение 2008/947/ПВР на Съвета от 27 ноември 2008 г. за прилагане на принципа на взаимното признаване към съдебни решения и решения за пробация с оглед на надзора върху пробационните мерки и алтернативните санкции</w:t>
      </w:r>
      <w:r>
        <w:rPr>
          <w:rStyle w:val="FootnoteReference"/>
          <w:noProof/>
          <w:spacing w:val="-4"/>
        </w:rPr>
        <w:footnoteReference w:id="36"/>
      </w:r>
      <w:r>
        <w:rPr>
          <w:noProof/>
          <w:spacing w:val="-4"/>
        </w:rPr>
        <w:t xml:space="preserve"> </w:t>
      </w:r>
    </w:p>
    <w:p>
      <w:pPr>
        <w:pStyle w:val="ListNumber"/>
        <w:spacing w:line="270" w:lineRule="exact"/>
        <w:rPr>
          <w:noProof/>
          <w:spacing w:val="-4"/>
        </w:rPr>
      </w:pPr>
      <w:r>
        <w:rPr>
          <w:noProof/>
          <w:spacing w:val="-4"/>
        </w:rPr>
        <w:t>Рамково решение 2009/299/ПВР на Съвета от 26 февруари 2009 г. за изменение на рамкови решения 2002/584/ПВР, 2005/214/ПВР, 2006/783/ПВР, 2008/909/ПВР и 2008/947/ПВР, с което се укрепват процесуалните права на лицата и се насърчава прилагането на принципа за взаимно признаване на решения, постановени в отсъствието на заинтересованото лице по време на съдебния процес</w:t>
      </w:r>
      <w:r>
        <w:rPr>
          <w:rStyle w:val="FootnoteReference"/>
          <w:rFonts w:eastAsiaTheme="minorHAnsi"/>
          <w:noProof/>
          <w:spacing w:val="-4"/>
        </w:rPr>
        <w:footnoteReference w:id="37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2009/829/ПВР на Съвета от 23 октомври 2009 г. за прилагане между държавите-членки на Европейския съюз на принципа за взаимно признаване към актове за налагане на мерки за процесуална принуда като алтернатива на предварителното задържане</w:t>
      </w:r>
      <w:r>
        <w:rPr>
          <w:rStyle w:val="FootnoteReference"/>
          <w:noProof/>
        </w:rPr>
        <w:footnoteReference w:id="38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Рамково решение 2009/948/ПВР на Съвета от 30 ноември 2009 г. относно предотвратяване и уреждане на спорове за упражняване на компетентност при наказателни производства</w:t>
      </w:r>
      <w:r>
        <w:rPr>
          <w:rStyle w:val="FootnoteReference"/>
          <w:noProof/>
        </w:rPr>
        <w:footnoteReference w:id="39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 2011/99/ЕС на Европейския парламент и на Съвета от 13 декември 2011 г. относно европейската заповед за защита</w:t>
      </w:r>
      <w:r>
        <w:rPr>
          <w:rStyle w:val="FootnoteReference"/>
          <w:noProof/>
        </w:rPr>
        <w:footnoteReference w:id="40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 2012/29/ЕС на Европейския парламент и на Съвета от 25 октомври 2012 г. за установяване на минимални стандарти за правата, подкрепата и защитата на жертвите на престъпления и за замяна на Рамково решение 2001/220/ПВР на Съвета</w:t>
      </w:r>
      <w:r>
        <w:rPr>
          <w:rStyle w:val="FootnoteReference"/>
          <w:noProof/>
        </w:rPr>
        <w:footnoteReference w:id="41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Директива 2014/41/ЕС на Европейския парламент и на Съвета от 3 април 2014 г. относно Европейска заповед за разследване по наказателноправни въпроси</w:t>
      </w:r>
      <w:r>
        <w:rPr>
          <w:rStyle w:val="FootnoteReference"/>
          <w:noProof/>
        </w:rPr>
        <w:footnoteReference w:id="42"/>
      </w:r>
    </w:p>
    <w:p>
      <w:pPr>
        <w:pStyle w:val="ListNumber"/>
        <w:spacing w:line="270" w:lineRule="exact"/>
        <w:rPr>
          <w:noProof/>
          <w:spacing w:val="-4"/>
        </w:rPr>
      </w:pPr>
      <w:r>
        <w:rPr>
          <w:noProof/>
          <w:spacing w:val="-4"/>
        </w:rPr>
        <w:t>Регламент (ЕС) 2018/1805 на Европейския парламент и на Съвета от 14 ноември 2018 г. относно взаимното признаване на актове за обезпечаване и конфискация</w:t>
      </w:r>
      <w:r>
        <w:rPr>
          <w:rStyle w:val="FootnoteReference"/>
          <w:noProof/>
          <w:spacing w:val="-4"/>
        </w:rPr>
        <w:footnoteReference w:id="43"/>
      </w:r>
    </w:p>
    <w:p>
      <w:pPr>
        <w:pStyle w:val="ListNumber"/>
        <w:spacing w:line="270" w:lineRule="exact"/>
        <w:rPr>
          <w:noProof/>
        </w:rPr>
      </w:pPr>
      <w:r>
        <w:rPr>
          <w:noProof/>
        </w:rPr>
        <w:t>[Предложение за Регламент (ЕС) относно европейските заповеди за предоставяне и за запазване на електронни доказателства по наказателноправни въпроси</w:t>
      </w:r>
      <w:r>
        <w:rPr>
          <w:rStyle w:val="FootnoteReference"/>
          <w:noProof/>
        </w:rPr>
        <w:footnoteReference w:id="44"/>
      </w:r>
      <w:r>
        <w:rPr>
          <w:noProof/>
        </w:rPr>
        <w:t>]</w:t>
      </w:r>
    </w:p>
    <w:p>
      <w:pPr>
        <w:rPr>
          <w:noProof/>
        </w:rPr>
        <w:sectPr>
          <w:footerReference w:type="default" r:id="rId19"/>
          <w:footerReference w:type="first" r:id="rId20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ПРИЛОЖЕНИЕ II</w:t>
      </w:r>
    </w:p>
    <w:p>
      <w:pPr>
        <w:rPr>
          <w:b/>
          <w:noProof/>
          <w:u w:val="single"/>
        </w:rPr>
      </w:pPr>
      <w:r>
        <w:rPr>
          <w:b/>
          <w:noProof/>
          <w:u w:val="single"/>
        </w:rPr>
        <w:t>Софтуерни продукти и свързаната с тях документация, които се предават на eu-LISA съгласно член 9</w:t>
      </w:r>
    </w:p>
    <w:p>
      <w:pPr>
        <w:pStyle w:val="ListNumber"/>
        <w:numPr>
          <w:ilvl w:val="0"/>
          <w:numId w:val="10"/>
        </w:numPr>
        <w:jc w:val="left"/>
        <w:rPr>
          <w:noProof/>
        </w:rPr>
      </w:pPr>
      <w:r>
        <w:rPr>
          <w:noProof/>
        </w:rPr>
        <w:t>Централна платформа за изпитване (софтуерен продукт, който осигурява набор от функции, които могат да се използват за проверка на правилното функциониране на точките за достъп до e-CODEX и правилното използване на цифровите процедурни стандарти на e-CODEX в свързаните с него системи)</w:t>
      </w:r>
    </w:p>
    <w:p>
      <w:pPr>
        <w:pStyle w:val="ListNumber"/>
        <w:numPr>
          <w:ilvl w:val="0"/>
          <w:numId w:val="2"/>
        </w:numPr>
        <w:jc w:val="left"/>
        <w:rPr>
          <w:noProof/>
        </w:rPr>
      </w:pPr>
      <w:r>
        <w:rPr>
          <w:noProof/>
        </w:rPr>
        <w:t>Инструмент за управление на конфигурацията (софтуерен продукт, използван за подпомагане изпълнението на задачата, определена в член 6, параграф 2, буква в))</w:t>
      </w:r>
    </w:p>
    <w:p>
      <w:pPr>
        <w:pStyle w:val="ListNumber"/>
        <w:numPr>
          <w:ilvl w:val="0"/>
          <w:numId w:val="2"/>
        </w:numPr>
        <w:jc w:val="left"/>
        <w:rPr>
          <w:noProof/>
        </w:rPr>
      </w:pPr>
      <w:r>
        <w:rPr>
          <w:noProof/>
        </w:rPr>
        <w:t>Работна среда за метаданни (Metadata Workbench) (софтуерен продукт, използван за подпомагане изпълнението на части от задачите, определени в член 6)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tab/>
        <w:t>ОВ L 12, 16.1.2001 г., стр. 1.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ОВ L 174, 27.6.2001 г., стр. 25.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ОВ L 174, 27.6.2001 г., стр. 1.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ОВ L 26, 31.1.2003 г., стр. 41.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>ОВ L 338, 23.12.2003 г., стр. 1.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ОВ L 143, 30.4.2004 г., стр. 15.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OВ L 399, 30.12.2006 г., стр. 1.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  <w:t>ОВ L 199, 31.7.2007 г., стр. 1.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ab/>
        <w:t>ОВ L 199, 31.7.2007 г., стр. 40.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>ОВ L 324, 10.12.2007 г., стр. 79.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ab/>
        <w:t>ОВ L 136, 24.5.2008 г., стр. 3.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ab/>
        <w:t>ОВ L 177, 4.7.2008 г., стр. 6.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>ОВ L 7, 10.1.2009 г., стр. 1.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  <w:t>ОВ L 343, 29.12.2010 г., стр. 10.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  <w:t>OВ L 201, 27.7.2012 г., стр. 107.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ab/>
        <w:t>OВ L 351, 20.12.2012 г., стр. 1.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ab/>
        <w:t>OВ L 181, 29.6.2013 г., стр. 4.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ab/>
        <w:t>OВ L 189, 27.6.2014 г., стр. 59.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ab/>
        <w:t>OВ L 141, 5.6.2015 г., стр. 19.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ab/>
        <w:t>OВ L 183, 8.7.2016 г., стр. 1.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ab/>
        <w:t>OВ L 183, 8.7.2016 г., стр. 30.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ab/>
        <w:t>OВ L 200, 26.7.2016 г., стр. 1.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ab/>
        <w:t>OВ L 172, 26.6.2019 г., стр. 18.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ab/>
        <w:t>ОВ C 313, 23.10.1996 г., стр. 12.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ab/>
        <w:t>ОВ C 78, 30.3.1995 г., стр. 2.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ab/>
        <w:t>ОВ C 197, 12.7.2000 г., стр. 3.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ab/>
        <w:t>ОВ C 326, 21.11.2001 г., стр. 2.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ab/>
        <w:t>ОВ L 190, 18.7.2002 г., стр. 1.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ab/>
        <w:t>ОВ L 162, 20.6.2002 г., стр. 1.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ab/>
        <w:t>ОВ L 196, 2.8.2003 г., стр. 45.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ab/>
        <w:t>ОВ L 261, 6.8.2004 г., стр. 15.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ab/>
        <w:t>ОВ L 76, 22.3.2005 г., стр. 16.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ab/>
        <w:t>ОВ L 328, 24.11.2006 г., стр. 59.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ab/>
        <w:t>OВ L 327, 5.12.2008 г., стр. 27.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ab/>
        <w:t>ОВ L 337, 16.12.2008 г., стр. 102.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ab/>
        <w:t>ОВ L 81, 27.3.2009 г., стр. 24.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ab/>
        <w:t>ОВ L 294, 11.11.2009 г., стр. 20.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ab/>
        <w:t>ОВ L 328, 15.12.2009 г., стр. 42.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ab/>
        <w:t>ОВ L 338, 21.12.2011 г., стр. 2.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ab/>
        <w:t>OВ L 315, 14.11.2012 г., стр. 57.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ab/>
        <w:t>ОВ L 130, 1.5.2014 г., стр. 1.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ab/>
        <w:t xml:space="preserve">ОВ L 303, 28.11.2018 г., стр. 1. 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ab/>
        <w:t>COM(2018) 225 final (предложението е в процес на приемане).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43626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E12B7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3386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37CBA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267E11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14C61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1CE62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NumPar5"/>
      <w:lvlText w:val="(%5)"/>
      <w:lvlJc w:val="left"/>
      <w:pPr>
        <w:ind w:left="1800" w:hanging="360"/>
      </w:pPr>
    </w:lvl>
    <w:lvl w:ilvl="5">
      <w:start w:val="1"/>
      <w:numFmt w:val="lowerRoman"/>
      <w:pStyle w:val="NumPar6"/>
      <w:lvlText w:val="(%6)"/>
      <w:lvlJc w:val="left"/>
      <w:pPr>
        <w:ind w:left="2160" w:hanging="360"/>
      </w:pPr>
    </w:lvl>
    <w:lvl w:ilvl="6">
      <w:start w:val="1"/>
      <w:numFmt w:val="decimal"/>
      <w:pStyle w:val="NumPar7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3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1F06166"/>
    <w:multiLevelType w:val="multilevel"/>
    <w:tmpl w:val="C08066D2"/>
    <w:name w:val="0.321911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851"/>
        </w:tabs>
        <w:ind w:left="851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559"/>
        </w:tabs>
        <w:ind w:left="1559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268"/>
        </w:tabs>
        <w:ind w:left="226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977"/>
        </w:tabs>
        <w:ind w:left="2977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19"/>
  </w:num>
  <w:num w:numId="14">
    <w:abstractNumId w:val="18"/>
  </w:num>
  <w:num w:numId="15">
    <w:abstractNumId w:val="11"/>
  </w:num>
  <w:num w:numId="16">
    <w:abstractNumId w:val="2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9"/>
  </w:num>
  <w:num w:numId="26">
    <w:abstractNumId w:val="15"/>
  </w:num>
  <w:num w:numId="27">
    <w:abstractNumId w:val="22"/>
  </w:num>
  <w:num w:numId="28">
    <w:abstractNumId w:val="18"/>
  </w:num>
  <w:num w:numId="29">
    <w:abstractNumId w:val="11"/>
  </w:num>
  <w:num w:numId="30">
    <w:abstractNumId w:val="20"/>
  </w:num>
  <w:num w:numId="31">
    <w:abstractNumId w:val="10"/>
  </w:num>
  <w:num w:numId="32">
    <w:abstractNumId w:val="12"/>
  </w:num>
  <w:num w:numId="33">
    <w:abstractNumId w:val="8"/>
  </w:num>
  <w:num w:numId="34">
    <w:abstractNumId w:val="19"/>
  </w:num>
  <w:num w:numId="35">
    <w:abstractNumId w:val="7"/>
  </w:num>
  <w:num w:numId="36">
    <w:abstractNumId w:val="14"/>
  </w:num>
  <w:num w:numId="37">
    <w:abstractNumId w:val="16"/>
  </w:num>
  <w:num w:numId="38">
    <w:abstractNumId w:val="17"/>
  </w:num>
  <w:num w:numId="39">
    <w:abstractNumId w:val="9"/>
  </w:num>
  <w:num w:numId="40">
    <w:abstractNumId w:val="15"/>
  </w:num>
  <w:num w:numId="4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1-12 12:59:2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E5805CF2-D27A-4B18-9AAE-356CFA3ADA38"/>
    <w:docVar w:name="LW_COVERPAGE_TYPE" w:val="1"/>
    <w:docVar w:name="LW_CROSSREFERENCE" w:val="{SEC(2020) 408 final} - {SWD(2020) 541 final} - {SWD(2020) 542 final}"/>
    <w:docVar w:name="LW_DocType" w:val="ANNEX"/>
    <w:docVar w:name="LW_EMISSION" w:val="2.12.2020"/>
    <w:docVar w:name="LW_EMISSION_ISODATE" w:val="2020-12-02"/>
    <w:docVar w:name="LW_EMISSION_LOCATION" w:val="BRX"/>
    <w:docVar w:name="LW_EMISSION_PREFIX" w:val="Брюксел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82?\u1086?\u1084?\u1087?\u1102?\u1090?\u1088?\u1080?\u1079?\u1080?\u1088?\u1072?\u1085?\u1072? \u1089?\u1080?\u1089?\u1090?\u1077?\u1084?\u1072? \u1079?\u1072? \u1082?\u1086?\u1084?\u1091?\u1085?\u1080?\u1082?\u1072?\u1094?\u1080?\u1103? \u1087?\u1088?\u1080? \u1090?\u1088?\u1072?\u1085?\u1089?\u1075?\u1088?\u1072?\u1085?\u1080?\u1095?\u1085?\u1080? \u1075?\u1088?\u1072?\u1078?\u1076?\u1072?\u1085?\u1089?\u1082?\u1080? \u1080? \u1085?\u1072?\u1082?\u1072?\u1079?\u1072?\u1090?\u1077?\u1083?\u1085?\u1080? \u1087?\u1088?\u1086?\u1080?\u1079?\u1074?\u1086?\u1076?\u1089?\u1090?\u1074?\u1072? (\u1089?\u1080?\u1089?\u1090?\u1077?\u1084?\u1072?\u1090?\u1072? e-CODEX) \u1080? \u1079?\u1072? \u1080?\u1079?\u1084?\u1077?\u1085?\u1077?\u1085?\u1080?\u1077? \u1085?\u1072? \u1056?\u1077?\u1075?\u1083?\u1072?\u1084?\u1077?\u1085?\u1090? (\u1045?\u1057?) 2018/1726"/>
    <w:docVar w:name="LW_OBJETACTEPRINCIPAL.CP" w:val="\u1086?\u1090?\u1085?\u1086?\u1089?\u1085?\u1086? \u1082?\u1086?\u1084?\u1087?\u1102?\u1090?\u1088?\u1080?\u1079?\u1080?\u1088?\u1072?\u1085?\u1072? \u1089?\u1080?\u1089?\u1090?\u1077?\u1084?\u1072? \u1079?\u1072? \u1082?\u1086?\u1084?\u1091?\u1085?\u1080?\u1082?\u1072?\u1094?\u1080?\u1103? \u1087?\u1088?\u1080? \u1090?\u1088?\u1072?\u1085?\u1089?\u1075?\u1088?\u1072?\u1085?\u1080?\u1095?\u1085?\u1080? \u1075?\u1088?\u1072?\u1078?\u1076?\u1072?\u1085?\u1089?\u1082?\u1080? \u1080? \u1085?\u1072?\u1082?\u1072?\u1079?\u1072?\u1090?\u1077?\u1083?\u1085?\u1080? \u1087?\u1088?\u1086?\u1080?\u1079?\u1074?\u1086?\u1076?\u1089?\u1090?\u1074?\u1072? (\u1089?\u1080?\u1089?\u1090?\u1077?\u1084?\u1072?\u1090?\u1072? e-CODEX) \u1080? \u1079?\u1072? \u1080?\u1079?\u1084?\u1077?\u1085?\u1077?\u1085?\u1080?\u1077? \u1085?\u1072? \u1056?\u1077?\u1075?\u1083?\u1072?\u1084?\u1077?\u1085?\u1090? (\u1045?\u1057?) 2018/1726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0) 71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71?"/>
    <w:docVar w:name="LW_TYPE.DOC.CP" w:val="\u1055?\u1056?\u1048?\u1051?\u1054?\u1046?\u1045?\u1053?\u1048?\u1071?"/>
    <w:docVar w:name="LW_TYPEACTEPRINCIPAL" w:val="\u1055?\u1088?\u1077?\u1076?\u1083?\u1086?\u1078?\u1077?\u1085?\u1080?\u1077? \u1079?\u1072? \u1088?\u1077?\u1075?\u1083?\u1072?\u1084?\u1077?\u1085?\u1090? \u1085?\u1072? \u1045?\u1074?\u1088?\u1086?\u1087?\u1077?\u1081?\u1089?\u1082?\u1080?\u1103? \u1055?\u1072?\u1088?\u1083?\u1072?\u1084?\u1077?\u1085?\u1090? \u1080? \u1085?\u1072? \u1057?\u1098?\u1074?\u1077?\u1090?\u1072?"/>
    <w:docVar w:name="LW_TYPEACTEPRINCIPAL.CP" w:val="\u1055?\u1088?\u1077?\u1076?\u1083?\u1086?\u1078?\u1077?\u1085?\u1080?\u1077? \u1079?\u1072? \u1088?\u1077?\u1075?\u1083?\u1072?\u1084?\u1077?\u1085?\u1090? \u1085?\u1072? \u1045?\u1074?\u1088?\u1086?\u1087?\u1077?\u1081?\u1089?\u1082?\u1080?\u1103? \u1055?\u1072?\u1088?\u1083?\u1072?\u1084?\u1077?\u1085?\u1090? \u1080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numPr>
        <w:ilvl w:val="1"/>
        <w:numId w:val="1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1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1"/>
      </w:numPr>
    </w:pPr>
    <w:rPr>
      <w:rFonts w:eastAsia="Times New Roman"/>
      <w:lang w:eastAsia="de-D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5">
    <w:name w:val="Tiret 5"/>
    <w:basedOn w:val="Point5"/>
    <w:pPr>
      <w:numPr>
        <w:numId w:val="1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2"/>
      </w:numPr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5"/>
      </w:numPr>
    </w:pPr>
  </w:style>
  <w:style w:type="paragraph" w:customStyle="1" w:styleId="Point1number">
    <w:name w:val="Point 1 (number)"/>
    <w:basedOn w:val="Normal"/>
    <w:pPr>
      <w:numPr>
        <w:ilvl w:val="2"/>
        <w:numId w:val="35"/>
      </w:numPr>
    </w:pPr>
  </w:style>
  <w:style w:type="paragraph" w:customStyle="1" w:styleId="Point2number">
    <w:name w:val="Point 2 (number)"/>
    <w:basedOn w:val="Normal"/>
    <w:pPr>
      <w:numPr>
        <w:ilvl w:val="4"/>
        <w:numId w:val="35"/>
      </w:numPr>
    </w:pPr>
  </w:style>
  <w:style w:type="paragraph" w:customStyle="1" w:styleId="Point3number">
    <w:name w:val="Point 3 (number)"/>
    <w:basedOn w:val="Normal"/>
    <w:pPr>
      <w:numPr>
        <w:ilvl w:val="6"/>
        <w:numId w:val="35"/>
      </w:numPr>
    </w:pPr>
  </w:style>
  <w:style w:type="paragraph" w:customStyle="1" w:styleId="Point0letter">
    <w:name w:val="Point 0 (letter)"/>
    <w:basedOn w:val="Normal"/>
    <w:pPr>
      <w:numPr>
        <w:ilvl w:val="1"/>
        <w:numId w:val="35"/>
      </w:numPr>
    </w:pPr>
  </w:style>
  <w:style w:type="paragraph" w:customStyle="1" w:styleId="Point1letter">
    <w:name w:val="Point 1 (letter)"/>
    <w:basedOn w:val="Normal"/>
    <w:pPr>
      <w:numPr>
        <w:ilvl w:val="3"/>
        <w:numId w:val="35"/>
      </w:numPr>
    </w:pPr>
  </w:style>
  <w:style w:type="paragraph" w:customStyle="1" w:styleId="Point2letter">
    <w:name w:val="Point 2 (letter)"/>
    <w:basedOn w:val="Normal"/>
    <w:pPr>
      <w:numPr>
        <w:ilvl w:val="5"/>
        <w:numId w:val="35"/>
      </w:numPr>
    </w:pPr>
  </w:style>
  <w:style w:type="paragraph" w:customStyle="1" w:styleId="Point3letter">
    <w:name w:val="Point 3 (letter)"/>
    <w:basedOn w:val="Normal"/>
    <w:pPr>
      <w:numPr>
        <w:ilvl w:val="7"/>
        <w:numId w:val="35"/>
      </w:numPr>
    </w:pPr>
  </w:style>
  <w:style w:type="paragraph" w:customStyle="1" w:styleId="Point4letter">
    <w:name w:val="Point 4 (letter)"/>
    <w:basedOn w:val="Normal"/>
    <w:pPr>
      <w:numPr>
        <w:ilvl w:val="8"/>
        <w:numId w:val="35"/>
      </w:numPr>
    </w:pPr>
  </w:style>
  <w:style w:type="paragraph" w:customStyle="1" w:styleId="Bullet0">
    <w:name w:val="Bullet 0"/>
    <w:basedOn w:val="Normal"/>
    <w:pPr>
      <w:numPr>
        <w:numId w:val="36"/>
      </w:numPr>
    </w:pPr>
  </w:style>
  <w:style w:type="paragraph" w:customStyle="1" w:styleId="Bullet1">
    <w:name w:val="Bullet 1"/>
    <w:basedOn w:val="Normal"/>
    <w:pPr>
      <w:numPr>
        <w:numId w:val="37"/>
      </w:numPr>
    </w:pPr>
  </w:style>
  <w:style w:type="paragraph" w:customStyle="1" w:styleId="Bullet2">
    <w:name w:val="Bullet 2"/>
    <w:basedOn w:val="Normal"/>
    <w:pPr>
      <w:numPr>
        <w:numId w:val="38"/>
      </w:numPr>
    </w:pPr>
  </w:style>
  <w:style w:type="paragraph" w:customStyle="1" w:styleId="Bullet3">
    <w:name w:val="Bullet 3"/>
    <w:basedOn w:val="Normal"/>
    <w:pPr>
      <w:numPr>
        <w:numId w:val="39"/>
      </w:numPr>
    </w:pPr>
  </w:style>
  <w:style w:type="paragraph" w:customStyle="1" w:styleId="Bullet4">
    <w:name w:val="Bullet 4"/>
    <w:basedOn w:val="Normal"/>
    <w:pPr>
      <w:numPr>
        <w:numId w:val="4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numPr>
        <w:ilvl w:val="1"/>
        <w:numId w:val="1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1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1"/>
      </w:numPr>
    </w:pPr>
    <w:rPr>
      <w:rFonts w:eastAsia="Times New Roman"/>
      <w:lang w:eastAsia="de-D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5">
    <w:name w:val="Tiret 5"/>
    <w:basedOn w:val="Point5"/>
    <w:pPr>
      <w:numPr>
        <w:numId w:val="1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2"/>
      </w:numPr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5"/>
      </w:numPr>
    </w:pPr>
  </w:style>
  <w:style w:type="paragraph" w:customStyle="1" w:styleId="Point1number">
    <w:name w:val="Point 1 (number)"/>
    <w:basedOn w:val="Normal"/>
    <w:pPr>
      <w:numPr>
        <w:ilvl w:val="2"/>
        <w:numId w:val="35"/>
      </w:numPr>
    </w:pPr>
  </w:style>
  <w:style w:type="paragraph" w:customStyle="1" w:styleId="Point2number">
    <w:name w:val="Point 2 (number)"/>
    <w:basedOn w:val="Normal"/>
    <w:pPr>
      <w:numPr>
        <w:ilvl w:val="4"/>
        <w:numId w:val="35"/>
      </w:numPr>
    </w:pPr>
  </w:style>
  <w:style w:type="paragraph" w:customStyle="1" w:styleId="Point3number">
    <w:name w:val="Point 3 (number)"/>
    <w:basedOn w:val="Normal"/>
    <w:pPr>
      <w:numPr>
        <w:ilvl w:val="6"/>
        <w:numId w:val="35"/>
      </w:numPr>
    </w:pPr>
  </w:style>
  <w:style w:type="paragraph" w:customStyle="1" w:styleId="Point0letter">
    <w:name w:val="Point 0 (letter)"/>
    <w:basedOn w:val="Normal"/>
    <w:pPr>
      <w:numPr>
        <w:ilvl w:val="1"/>
        <w:numId w:val="35"/>
      </w:numPr>
    </w:pPr>
  </w:style>
  <w:style w:type="paragraph" w:customStyle="1" w:styleId="Point1letter">
    <w:name w:val="Point 1 (letter)"/>
    <w:basedOn w:val="Normal"/>
    <w:pPr>
      <w:numPr>
        <w:ilvl w:val="3"/>
        <w:numId w:val="35"/>
      </w:numPr>
    </w:pPr>
  </w:style>
  <w:style w:type="paragraph" w:customStyle="1" w:styleId="Point2letter">
    <w:name w:val="Point 2 (letter)"/>
    <w:basedOn w:val="Normal"/>
    <w:pPr>
      <w:numPr>
        <w:ilvl w:val="5"/>
        <w:numId w:val="35"/>
      </w:numPr>
    </w:pPr>
  </w:style>
  <w:style w:type="paragraph" w:customStyle="1" w:styleId="Point3letter">
    <w:name w:val="Point 3 (letter)"/>
    <w:basedOn w:val="Normal"/>
    <w:pPr>
      <w:numPr>
        <w:ilvl w:val="7"/>
        <w:numId w:val="35"/>
      </w:numPr>
    </w:pPr>
  </w:style>
  <w:style w:type="paragraph" w:customStyle="1" w:styleId="Point4letter">
    <w:name w:val="Point 4 (letter)"/>
    <w:basedOn w:val="Normal"/>
    <w:pPr>
      <w:numPr>
        <w:ilvl w:val="8"/>
        <w:numId w:val="35"/>
      </w:numPr>
    </w:pPr>
  </w:style>
  <w:style w:type="paragraph" w:customStyle="1" w:styleId="Bullet0">
    <w:name w:val="Bullet 0"/>
    <w:basedOn w:val="Normal"/>
    <w:pPr>
      <w:numPr>
        <w:numId w:val="36"/>
      </w:numPr>
    </w:pPr>
  </w:style>
  <w:style w:type="paragraph" w:customStyle="1" w:styleId="Bullet1">
    <w:name w:val="Bullet 1"/>
    <w:basedOn w:val="Normal"/>
    <w:pPr>
      <w:numPr>
        <w:numId w:val="37"/>
      </w:numPr>
    </w:pPr>
  </w:style>
  <w:style w:type="paragraph" w:customStyle="1" w:styleId="Bullet2">
    <w:name w:val="Bullet 2"/>
    <w:basedOn w:val="Normal"/>
    <w:pPr>
      <w:numPr>
        <w:numId w:val="38"/>
      </w:numPr>
    </w:pPr>
  </w:style>
  <w:style w:type="paragraph" w:customStyle="1" w:styleId="Bullet3">
    <w:name w:val="Bullet 3"/>
    <w:basedOn w:val="Normal"/>
    <w:pPr>
      <w:numPr>
        <w:numId w:val="39"/>
      </w:numPr>
    </w:pPr>
  </w:style>
  <w:style w:type="paragraph" w:customStyle="1" w:styleId="Bullet4">
    <w:name w:val="Bullet 4"/>
    <w:basedOn w:val="Normal"/>
    <w:pPr>
      <w:numPr>
        <w:numId w:val="4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487E243C297AB4F87C50AEE7240B5C7" ma:contentTypeVersion="1" ma:contentTypeDescription="Create a new document in this library." ma:contentTypeScope="" ma:versionID="33f03b4ca9e6cf51888504d824ac3183">
  <xsd:schema xmlns:xsd="http://www.w3.org/2001/XMLSchema" xmlns:xs="http://www.w3.org/2001/XMLSchema" xmlns:p="http://schemas.microsoft.com/office/2006/metadata/properties" xmlns:ns2="http://schemas.microsoft.com/sharepoint/v3/fields" xmlns:ns3="4864868a-e3f4-49fb-89bc-2140a99fffcd" xmlns:ns4="http://schemas.microsoft.com/sharepoint/v4" targetNamespace="http://schemas.microsoft.com/office/2006/metadata/properties" ma:root="true" ma:fieldsID="5d7b58ef1124637429748f57a198fb13" ns2:_="" ns3:_="" ns4:_="">
    <xsd:import namespace="http://schemas.microsoft.com/sharepoint/v3/fields"/>
    <xsd:import namespace="4864868a-e3f4-49fb-89bc-2140a99fff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868a-e3f4-49fb-89bc-2140a99fffcd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4864868a-e3f4-49fb-89bc-2140a99fffcd">EN</EC_Collab_DocumentLanguage>
    <IconOverlay xmlns="http://schemas.microsoft.com/sharepoint/v4" xsi:nil="true"/>
    <EC_Collab_Reference xmlns="4864868a-e3f4-49fb-89bc-2140a99fffcd" xsi:nil="true"/>
    <EC_Collab_Status xmlns="4864868a-e3f4-49fb-89bc-2140a99fffcd">Not Started</EC_Collab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FFCF-044B-4AA6-9C01-EBD6B5D00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864868a-e3f4-49fb-89bc-2140a99fffc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0DB58-2A6D-437F-A67B-D18D86F78E8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864868a-e3f4-49fb-89bc-2140a99fffcd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833DB59-B94B-4320-BD56-DE4D539B5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D644-3772-47CA-98F5-0AF26A15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6</Pages>
  <Words>1365</Words>
  <Characters>7863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BONACINI Stefania (JUST)</dc:creator>
  <cp:keywords/>
  <dc:description/>
  <cp:lastModifiedBy>WES PDFC Administrator</cp:lastModifiedBy>
  <cp:revision>12</cp:revision>
  <dcterms:created xsi:type="dcterms:W3CDTF">2020-12-17T09:57:00Z</dcterms:created>
  <dcterms:modified xsi:type="dcterms:W3CDTF">2021-01-12T11:59:00Z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7.0.1, Build 20190916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0x010100258AA79CEB83498886A3A08681123250003487E243C297AB4F87C50AEE7240B5C7</vt:lpwstr>
  </property>
  <property fmtid="{D5CDD505-2E9C-101B-9397-08002B2CF9AE}" pid="14" name="DQCStatus">
    <vt:lpwstr>Green (DQC version 03)</vt:lpwstr>
  </property>
</Properties>
</file>