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282151B2-EF40-4C21-9927-5C3414C6553A" style="width:449.55pt;height:424.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I. MELLÉKLET</w:t>
      </w:r>
    </w:p>
    <w:p>
      <w:pPr>
        <w:rPr>
          <w:b/>
          <w:noProof/>
          <w:u w:val="single"/>
        </w:rPr>
      </w:pPr>
      <w:r>
        <w:rPr>
          <w:b/>
          <w:noProof/>
          <w:u w:val="single"/>
        </w:rPr>
        <w:t>Az e rendelet hatálya alá tartozó jogi eszközök</w:t>
      </w:r>
    </w:p>
    <w:p>
      <w:pPr>
        <w:rPr>
          <w:noProof/>
        </w:rPr>
      </w:pPr>
      <w:r>
        <w:rPr>
          <w:noProof/>
        </w:rPr>
        <w:t xml:space="preserve">Eszközök a polgári ügyekben folytatott igazságügyi együttműködés területén </w:t>
      </w:r>
    </w:p>
    <w:p>
      <w:pPr>
        <w:pStyle w:val="NumPar1"/>
        <w:numPr>
          <w:ilvl w:val="0"/>
          <w:numId w:val="43"/>
        </w:numPr>
        <w:rPr>
          <w:noProof/>
          <w:color w:val="000000" w:themeColor="text1"/>
        </w:rPr>
      </w:pPr>
      <w:r>
        <w:rPr>
          <w:noProof/>
        </w:rPr>
        <w:t>A Tanács 44/2001/EK rendelete (2000. december 22.) a polgári és kereskedelmi ügyekben a joghatóságról, valamint a határozatok elismeréséről és végrehajtásáról</w:t>
      </w:r>
      <w:r>
        <w:rPr>
          <w:rStyle w:val="FootnoteReference"/>
          <w:noProof/>
        </w:rPr>
        <w:footnoteReference w:id="2"/>
      </w:r>
    </w:p>
    <w:p>
      <w:pPr>
        <w:pStyle w:val="NumPar1"/>
        <w:rPr>
          <w:noProof/>
        </w:rPr>
      </w:pPr>
      <w:r>
        <w:rPr>
          <w:noProof/>
        </w:rPr>
        <w:t>A Tanács határozata (2001. május 28.) az Európai Igazságügyi Hálózat létrehozásáról polgári és kereskedelmi ügyekben (2001/470/EK)</w:t>
      </w:r>
      <w:r>
        <w:rPr>
          <w:rStyle w:val="FootnoteReference"/>
          <w:noProof/>
        </w:rPr>
        <w:footnoteReference w:id="3"/>
      </w:r>
    </w:p>
    <w:p>
      <w:pPr>
        <w:pStyle w:val="NumPar1"/>
        <w:rPr>
          <w:noProof/>
        </w:rPr>
      </w:pPr>
      <w:r>
        <w:rPr>
          <w:noProof/>
        </w:rPr>
        <w:t>A Tanács 1206/2001/EK rendelete (2001. május 28.) a polgári és kereskedelmi ügyekben a bizonyításfelvétel tekintetében történő, a tagállamok bíróságai közötti együttműködéséről</w:t>
      </w:r>
      <w:r>
        <w:rPr>
          <w:rStyle w:val="FootnoteReference"/>
          <w:noProof/>
        </w:rPr>
        <w:footnoteReference w:id="4"/>
      </w:r>
    </w:p>
    <w:p>
      <w:pPr>
        <w:pStyle w:val="NumPar1"/>
        <w:rPr>
          <w:noProof/>
        </w:rPr>
      </w:pPr>
      <w:r>
        <w:rPr>
          <w:noProof/>
        </w:rPr>
        <w:t>A Tanács 2003/8/EK irányelve (2003. január 27.) a határon átnyúló vonatkozású jogviták esetén az igazságszolgáltatáshoz való hozzáférés megkönnyítése érdekében az ilyen ügyekben alkalmazandó költségmentességre vonatkozó közös minimumszabályok megállapításáról</w:t>
      </w:r>
      <w:r>
        <w:rPr>
          <w:rStyle w:val="FootnoteReference"/>
          <w:noProof/>
        </w:rPr>
        <w:footnoteReference w:id="5"/>
      </w:r>
    </w:p>
    <w:p>
      <w:pPr>
        <w:pStyle w:val="NumPar1"/>
        <w:rPr>
          <w:noProof/>
        </w:rPr>
      </w:pPr>
      <w:r>
        <w:rPr>
          <w:noProof/>
        </w:rPr>
        <w:t>A Tanács 2201/2003/EK rendelete (2003. november 27.) a házassági ügyekben és a szülői felelősségre vonatkozó eljárásokban a joghatóságról, valamint a határozatok elismeréséről és végrehajtásáról, illetve az 1347/2000/EK rendelet hatályon kívül helyezéséről</w:t>
      </w:r>
      <w:r>
        <w:rPr>
          <w:rStyle w:val="FootnoteReference"/>
          <w:noProof/>
        </w:rPr>
        <w:footnoteReference w:id="6"/>
      </w:r>
    </w:p>
    <w:p>
      <w:pPr>
        <w:pStyle w:val="NumPar1"/>
        <w:rPr>
          <w:noProof/>
        </w:rPr>
      </w:pPr>
      <w:r>
        <w:rPr>
          <w:noProof/>
        </w:rPr>
        <w:t>Az Európai Parlament és a Tanács 805/2004/EK rendelete (2004. április 21.) a nem vitatott követelésekre vonatkozó európai végrehajtható okirat létrehozásáról</w:t>
      </w:r>
      <w:r>
        <w:rPr>
          <w:rStyle w:val="FootnoteReference"/>
          <w:noProof/>
        </w:rPr>
        <w:footnoteReference w:id="7"/>
      </w:r>
    </w:p>
    <w:p>
      <w:pPr>
        <w:pStyle w:val="NumPar1"/>
        <w:rPr>
          <w:noProof/>
        </w:rPr>
      </w:pPr>
      <w:r>
        <w:rPr>
          <w:noProof/>
        </w:rPr>
        <w:t>Az Európai Parlament és a Tanács 1896/2006/EK rendelete (2006. december 12.) az európai fizetési meghagyásos eljárás létrehozásáról</w:t>
      </w:r>
      <w:r>
        <w:rPr>
          <w:rStyle w:val="FootnoteReference"/>
          <w:noProof/>
        </w:rPr>
        <w:footnoteReference w:id="8"/>
      </w:r>
    </w:p>
    <w:p>
      <w:pPr>
        <w:pStyle w:val="NumPar1"/>
        <w:rPr>
          <w:noProof/>
        </w:rPr>
      </w:pPr>
      <w:r>
        <w:rPr>
          <w:noProof/>
        </w:rPr>
        <w:t>Az Európai Parlament és a Tanács 861/2007/EK rendelete (2007. július 11.) a kis értékű követelések európai eljárásának bevezetéséről</w:t>
      </w:r>
      <w:r>
        <w:rPr>
          <w:rStyle w:val="FootnoteReference"/>
          <w:noProof/>
        </w:rPr>
        <w:footnoteReference w:id="9"/>
      </w:r>
      <w:r>
        <w:rPr>
          <w:noProof/>
        </w:rPr>
        <w:t xml:space="preserve"> </w:t>
      </w:r>
    </w:p>
    <w:p>
      <w:pPr>
        <w:pStyle w:val="NumPar1"/>
        <w:rPr>
          <w:noProof/>
        </w:rPr>
      </w:pPr>
      <w:r>
        <w:rPr>
          <w:noProof/>
        </w:rPr>
        <w:t>Az Európai Parlament és a Tanács 864/2007/EK rendelete (2007. július 11.) a szerződésen kívüli kötelmi viszonyokra alkalmazandó jogról (Róma II.)</w:t>
      </w:r>
      <w:r>
        <w:rPr>
          <w:rStyle w:val="FootnoteReference"/>
          <w:noProof/>
        </w:rPr>
        <w:footnoteReference w:id="10"/>
      </w:r>
    </w:p>
    <w:p>
      <w:pPr>
        <w:pStyle w:val="NumPar1"/>
        <w:rPr>
          <w:noProof/>
        </w:rPr>
      </w:pPr>
      <w:r>
        <w:rPr>
          <w:noProof/>
        </w:rPr>
        <w:t>Az Európai Parlament és a Tanács 1393/2007/EK rendelete (2007. november 13.) a tagállamokban a polgári és kereskedelmi ügyekben a bírósági és bíróságon kívüli iratok kézbesítéséről (iratkézbesítés), és az 1348/2000/EK tanácsi rendelet hatályon kívül helyezéséről</w:t>
      </w:r>
      <w:r>
        <w:rPr>
          <w:rStyle w:val="FootnoteReference"/>
          <w:noProof/>
        </w:rPr>
        <w:footnoteReference w:id="11"/>
      </w:r>
    </w:p>
    <w:p>
      <w:pPr>
        <w:pStyle w:val="NumPar1"/>
        <w:rPr>
          <w:noProof/>
        </w:rPr>
      </w:pPr>
      <w:r>
        <w:rPr>
          <w:noProof/>
        </w:rPr>
        <w:t>Az Európai Parlament és a Tanács 2008/52/EK irányelve (2008. május 21.) a polgári és kereskedelmi ügyekben végzett közvetítés egyes szempontjairól</w:t>
      </w:r>
      <w:r>
        <w:rPr>
          <w:rStyle w:val="FootnoteReference"/>
          <w:noProof/>
        </w:rPr>
        <w:footnoteReference w:id="12"/>
      </w:r>
    </w:p>
    <w:p>
      <w:pPr>
        <w:pStyle w:val="NumPar1"/>
        <w:rPr>
          <w:noProof/>
        </w:rPr>
      </w:pPr>
      <w:r>
        <w:rPr>
          <w:noProof/>
        </w:rPr>
        <w:lastRenderedPageBreak/>
        <w:t>Az Európai Parlament és a Tanács 593/2008/EK rendelete (2008. június 17.) a szerződéses kötelezettségekre alkalmazandó jogról (Róma I.)</w:t>
      </w:r>
      <w:r>
        <w:rPr>
          <w:rStyle w:val="FootnoteReference"/>
          <w:noProof/>
        </w:rPr>
        <w:footnoteReference w:id="13"/>
      </w:r>
    </w:p>
    <w:p>
      <w:pPr>
        <w:pStyle w:val="NumPar1"/>
        <w:rPr>
          <w:noProof/>
        </w:rPr>
      </w:pPr>
      <w:r>
        <w:rPr>
          <w:noProof/>
        </w:rPr>
        <w:t>A Tanács 4/2009/EK rendelete (2008. december 18.) a tartással kapcsolatos ügyekben a joghatóságról, az alkalmazandó jogról, a határozatok elismeréséről és végrehajtásáról, valamint az e területen folytatott együttműködésről</w:t>
      </w:r>
      <w:r>
        <w:rPr>
          <w:rStyle w:val="FootnoteReference"/>
          <w:noProof/>
        </w:rPr>
        <w:footnoteReference w:id="14"/>
      </w:r>
    </w:p>
    <w:p>
      <w:pPr>
        <w:pStyle w:val="NumPar1"/>
        <w:rPr>
          <w:noProof/>
        </w:rPr>
      </w:pPr>
      <w:r>
        <w:rPr>
          <w:noProof/>
        </w:rPr>
        <w:t>A Tanács 1259/2010/EU rendelete (2010. december 20.) a házasság felbontására és a különválásra alkalmazandó jog területén létrehozandó megerősített együttműködés végrehajtásáról</w:t>
      </w:r>
      <w:r>
        <w:rPr>
          <w:rStyle w:val="FootnoteReference"/>
          <w:noProof/>
        </w:rPr>
        <w:footnoteReference w:id="15"/>
      </w:r>
    </w:p>
    <w:p>
      <w:pPr>
        <w:pStyle w:val="NumPar1"/>
        <w:rPr>
          <w:noProof/>
        </w:rPr>
      </w:pPr>
      <w:r>
        <w:rPr>
          <w:noProof/>
        </w:rPr>
        <w:t>Az Európai Parlament és a Tanács 650/2012/EU rendelete (2012. július 4.) az öröklési ügyekre irányadó joghatóságról, az alkalmazandó jogról, az öröklési ügyekben hozott határozatok elismeréséről és végrehajtásáról, valamint az öröklési ügyekben kiállított közokiratok elfogadásáról és végrehajtásáról, valamint az európai öröklési bizonyítvány bevezetéséről</w:t>
      </w:r>
      <w:r>
        <w:rPr>
          <w:rStyle w:val="FootnoteReference"/>
          <w:noProof/>
        </w:rPr>
        <w:footnoteReference w:id="16"/>
      </w:r>
    </w:p>
    <w:p>
      <w:pPr>
        <w:pStyle w:val="NumPar1"/>
        <w:rPr>
          <w:noProof/>
        </w:rPr>
      </w:pPr>
      <w:r>
        <w:rPr>
          <w:noProof/>
        </w:rPr>
        <w:t>Az Európai Parlament és a Tanács 1215/2012/EU rendelete (2012. december 12.) a polgári és kereskedelmi ügyekben a joghatóságról, valamint a határozatok elismeréséről és végrehajtásáról (átdolgozás)</w:t>
      </w:r>
      <w:r>
        <w:rPr>
          <w:rStyle w:val="FootnoteReference"/>
          <w:noProof/>
        </w:rPr>
        <w:footnoteReference w:id="17"/>
      </w:r>
    </w:p>
    <w:p>
      <w:pPr>
        <w:pStyle w:val="NumPar1"/>
        <w:rPr>
          <w:noProof/>
        </w:rPr>
      </w:pPr>
      <w:r>
        <w:rPr>
          <w:noProof/>
        </w:rPr>
        <w:t>Az Európai Parlament és a Tanács 606/2013/EU rendelete (2013. június 12.) a polgári ügyekben hozott védelmi intézkedések kölcsönös elismeréséről</w:t>
      </w:r>
      <w:r>
        <w:rPr>
          <w:rStyle w:val="FootnoteReference"/>
          <w:noProof/>
        </w:rPr>
        <w:footnoteReference w:id="18"/>
      </w:r>
    </w:p>
    <w:p>
      <w:pPr>
        <w:pStyle w:val="NumPar1"/>
        <w:rPr>
          <w:noProof/>
        </w:rPr>
      </w:pPr>
      <w:r>
        <w:rPr>
          <w:noProof/>
        </w:rPr>
        <w:t>Az Európai Parlament és a Tanács 655/2014/EU rendelete (2014. május 15.) polgári és kereskedelmi ügyekben a tagállamközi követelésbehajtás megkönnyítése érdekében az ideiglenes számlazárolást elrendelő európai végzés eljárásának létrehozásáról</w:t>
      </w:r>
      <w:r>
        <w:rPr>
          <w:rStyle w:val="FootnoteReference"/>
          <w:noProof/>
        </w:rPr>
        <w:footnoteReference w:id="19"/>
      </w:r>
    </w:p>
    <w:p>
      <w:pPr>
        <w:pStyle w:val="NumPar1"/>
        <w:rPr>
          <w:noProof/>
        </w:rPr>
      </w:pPr>
      <w:r>
        <w:rPr>
          <w:noProof/>
        </w:rPr>
        <w:t>Az Európai Parlament és a Tanács (EU) 2015/848 rendelete (2015. május 20.) a fizetésképtelenségi eljárásról</w:t>
      </w:r>
      <w:r>
        <w:rPr>
          <w:rStyle w:val="FootnoteReference"/>
          <w:noProof/>
        </w:rPr>
        <w:footnoteReference w:id="20"/>
      </w:r>
    </w:p>
    <w:p>
      <w:pPr>
        <w:pStyle w:val="NumPar1"/>
        <w:rPr>
          <w:noProof/>
        </w:rPr>
      </w:pPr>
      <w:r>
        <w:rPr>
          <w:noProof/>
        </w:rPr>
        <w:t>A Tanács (EU) 2016/1103 rendelete (2016. június 24.) a házassági vagyonjogi rendszerekkel kapcsolatos ügyekben a joghatóság, az alkalmazandó jog, valamint a határozatok elismerése és végrehajtása területén létrehozandó megerősített együttműködés végrehajtásáról</w:t>
      </w:r>
      <w:r>
        <w:rPr>
          <w:rStyle w:val="FootnoteReference"/>
          <w:noProof/>
        </w:rPr>
        <w:footnoteReference w:id="21"/>
      </w:r>
    </w:p>
    <w:p>
      <w:pPr>
        <w:pStyle w:val="NumPar1"/>
        <w:rPr>
          <w:noProof/>
        </w:rPr>
      </w:pPr>
      <w:r>
        <w:rPr>
          <w:noProof/>
        </w:rPr>
        <w:t>A Tanács (EU) 2016/1104 rendelete (2016. június 24.) a bejegyzett élettársi kapcsolatok vagyonjogi hatásaival kapcsolatos ügyekben a joghatóság, az alkalmazandó jog, valamint a határozatok elismerése és végrehajtása területén létrehozandó megerősített együttműködés végrehajtásáról</w:t>
      </w:r>
      <w:r>
        <w:rPr>
          <w:rStyle w:val="FootnoteReference"/>
          <w:noProof/>
        </w:rPr>
        <w:footnoteReference w:id="22"/>
      </w:r>
    </w:p>
    <w:p>
      <w:pPr>
        <w:pStyle w:val="NumPar1"/>
        <w:rPr>
          <w:noProof/>
        </w:rPr>
      </w:pPr>
      <w:r>
        <w:rPr>
          <w:noProof/>
        </w:rPr>
        <w:t>Az Európai Parlament és a Tanács (EU) 2016/1191 rendelete (2016. július 6.) egyes közokiratoknak az Európai Unión belüli bemutatására vonatkozó előírások egyszerűsítése révén a polgárok szabad mozgásának előmozdításáról és az 1024/2012/EU rendelet módosításáról</w:t>
      </w:r>
      <w:r>
        <w:rPr>
          <w:rStyle w:val="FootnoteReference"/>
          <w:noProof/>
        </w:rPr>
        <w:footnoteReference w:id="23"/>
      </w:r>
    </w:p>
    <w:p>
      <w:pPr>
        <w:pStyle w:val="NumPar1"/>
        <w:rPr>
          <w:noProof/>
        </w:rPr>
      </w:pPr>
      <w:r>
        <w:rPr>
          <w:noProof/>
        </w:rPr>
        <w:t>Az Európai Parlament és a Tanács (EU) 2019/1023 irányelve (2019. június 20.) a megelőző szerkezetátalakítási keretekről, az adósság alóli mentesítésről és az eltiltásokról, valamint a szerkezetátalakítási, fizetésképtelenségi és adósság alóli mentesítési eljárások hatékonyságának növelését célzó intézkedésekről, és az (EU) 2017/1132 irányelv módosításáról (Szerkezetátalakítási és fizetésképtelenségi irányelv)</w:t>
      </w:r>
      <w:r>
        <w:rPr>
          <w:rStyle w:val="FootnoteReference"/>
          <w:noProof/>
        </w:rPr>
        <w:footnoteReference w:id="24"/>
      </w:r>
    </w:p>
    <w:p>
      <w:pPr>
        <w:rPr>
          <w:noProof/>
        </w:rPr>
      </w:pPr>
      <w:r>
        <w:rPr>
          <w:noProof/>
        </w:rPr>
        <w:t>Eszközök a büntetőügyekben folytatott igazságügyi együttműködés területén</w:t>
      </w:r>
    </w:p>
    <w:p>
      <w:pPr>
        <w:pStyle w:val="NumPar1"/>
        <w:numPr>
          <w:ilvl w:val="0"/>
          <w:numId w:val="28"/>
        </w:numPr>
        <w:rPr>
          <w:noProof/>
        </w:rPr>
      </w:pPr>
      <w:r>
        <w:rPr>
          <w:noProof/>
        </w:rPr>
        <w:t>Egyezmény az Európai Unióról szóló szerződés K.3. cikke alapján, az Európai Unió tagállamai közötti kiadatásról</w:t>
      </w:r>
      <w:r>
        <w:rPr>
          <w:rStyle w:val="FootnoteReference"/>
          <w:noProof/>
        </w:rPr>
        <w:footnoteReference w:id="25"/>
      </w:r>
      <w:r>
        <w:rPr>
          <w:noProof/>
        </w:rPr>
        <w:t xml:space="preserve"> </w:t>
      </w:r>
    </w:p>
    <w:p>
      <w:pPr>
        <w:pStyle w:val="NumPar1"/>
        <w:rPr>
          <w:noProof/>
        </w:rPr>
      </w:pPr>
      <w:r>
        <w:rPr>
          <w:noProof/>
        </w:rPr>
        <w:t>Egyezmény az Európai Unióról szóló szerződés K.3. cikke alapján, az Európai Unió tagállamai közötti egyszerűsített kiadatási eljárásról</w:t>
      </w:r>
      <w:r>
        <w:rPr>
          <w:rStyle w:val="FootnoteReference"/>
          <w:noProof/>
        </w:rPr>
        <w:footnoteReference w:id="26"/>
      </w:r>
    </w:p>
    <w:p>
      <w:pPr>
        <w:pStyle w:val="NumPar1"/>
        <w:rPr>
          <w:noProof/>
        </w:rPr>
      </w:pPr>
      <w:r>
        <w:rPr>
          <w:noProof/>
        </w:rPr>
        <w:t>Egyezmény a Tanács által az Európai Unióról szóló szerződés 34. cikkének megfelelően létrehozott, az Európai Unió tagállamai közötti kölcsönös bűnügyi jogsegélyről</w:t>
      </w:r>
      <w:r>
        <w:rPr>
          <w:rStyle w:val="FootnoteReference"/>
          <w:noProof/>
        </w:rPr>
        <w:footnoteReference w:id="27"/>
      </w:r>
      <w:r>
        <w:rPr>
          <w:noProof/>
        </w:rPr>
        <w:t xml:space="preserve"> </w:t>
      </w:r>
    </w:p>
    <w:p>
      <w:pPr>
        <w:pStyle w:val="NumPar1"/>
        <w:rPr>
          <w:noProof/>
        </w:rPr>
      </w:pPr>
      <w:r>
        <w:rPr>
          <w:noProof/>
        </w:rPr>
        <w:t>Jegyzőkönyv a Tanács által az Európai Unióról szóló szerződés 34. cikkének megfelelően létrehozott, az Európai Unió tagállamai közötti kölcsönös bűnügyi jogsegélyről</w:t>
      </w:r>
      <w:r>
        <w:rPr>
          <w:rStyle w:val="FootnoteReference"/>
          <w:noProof/>
        </w:rPr>
        <w:footnoteReference w:id="28"/>
      </w:r>
      <w:r>
        <w:rPr>
          <w:noProof/>
        </w:rPr>
        <w:t xml:space="preserve"> </w:t>
      </w:r>
    </w:p>
    <w:p>
      <w:pPr>
        <w:pStyle w:val="NumPar1"/>
        <w:rPr>
          <w:noProof/>
        </w:rPr>
      </w:pPr>
      <w:r>
        <w:rPr>
          <w:noProof/>
        </w:rPr>
        <w:t>A Tanács 2002/584/IB kerethatározata (2002. június 13.) az európai elfogatóparancsról és a tagállamok közötti átadási eljárásokról</w:t>
      </w:r>
      <w:r>
        <w:rPr>
          <w:rStyle w:val="FootnoteReference"/>
          <w:noProof/>
        </w:rPr>
        <w:footnoteReference w:id="29"/>
      </w:r>
    </w:p>
    <w:p>
      <w:pPr>
        <w:pStyle w:val="NumPar1"/>
        <w:rPr>
          <w:noProof/>
        </w:rPr>
      </w:pPr>
      <w:r>
        <w:rPr>
          <w:noProof/>
        </w:rPr>
        <w:t>A Tanács kerethatározata (2002. június 13.) a közös nyomozócsoportokról 2002/465/IB</w:t>
      </w:r>
      <w:r>
        <w:rPr>
          <w:rStyle w:val="FootnoteReference"/>
          <w:noProof/>
        </w:rPr>
        <w:footnoteReference w:id="30"/>
      </w:r>
    </w:p>
    <w:p>
      <w:pPr>
        <w:pStyle w:val="NumPar1"/>
        <w:rPr>
          <w:noProof/>
        </w:rPr>
      </w:pPr>
      <w:r>
        <w:rPr>
          <w:noProof/>
        </w:rPr>
        <w:t>A Tanács 2003/577/IB kerethatározata (2003. július 22.) a vagyonnal vagy bizonyítékkal kapcsolatos biztosítási intézkedést elrendelő határozatoknak az Európai Unióban történő végrehajtásáról</w:t>
      </w:r>
      <w:r>
        <w:rPr>
          <w:rStyle w:val="FootnoteReference"/>
          <w:noProof/>
        </w:rPr>
        <w:footnoteReference w:id="31"/>
      </w:r>
    </w:p>
    <w:p>
      <w:pPr>
        <w:pStyle w:val="NumPar1"/>
        <w:rPr>
          <w:noProof/>
        </w:rPr>
      </w:pPr>
      <w:r>
        <w:rPr>
          <w:noProof/>
        </w:rPr>
        <w:t>A Tanács 2004/80/EK irányelve (2004. április 29.) a bűncselekmények áldozatainak kárenyhítéséről</w:t>
      </w:r>
      <w:r>
        <w:rPr>
          <w:rStyle w:val="FootnoteReference"/>
          <w:noProof/>
        </w:rPr>
        <w:footnoteReference w:id="32"/>
      </w:r>
    </w:p>
    <w:p>
      <w:pPr>
        <w:pStyle w:val="NumPar1"/>
        <w:rPr>
          <w:noProof/>
        </w:rPr>
      </w:pPr>
      <w:r>
        <w:rPr>
          <w:noProof/>
        </w:rPr>
        <w:t>A Tanács 2005/214/IB kerethatározata (2005. február 24.) a kölcsönös elismerés elvének a pénzbüntetésekre való alkalmazásáról</w:t>
      </w:r>
      <w:r>
        <w:rPr>
          <w:rStyle w:val="FootnoteReference"/>
          <w:noProof/>
        </w:rPr>
        <w:footnoteReference w:id="33"/>
      </w:r>
    </w:p>
    <w:p>
      <w:pPr>
        <w:pStyle w:val="NumPar1"/>
        <w:rPr>
          <w:noProof/>
        </w:rPr>
      </w:pPr>
      <w:r>
        <w:rPr>
          <w:noProof/>
        </w:rPr>
        <w:t>A Tanács 2006/783/IB kerethatározata (2006. október 6.) a kölcsönös elismerés elvének a vagyonelkobzást elrendelő határozatokra történő alkalmazásáról</w:t>
      </w:r>
      <w:r>
        <w:rPr>
          <w:rStyle w:val="FootnoteReference"/>
          <w:noProof/>
        </w:rPr>
        <w:footnoteReference w:id="34"/>
      </w:r>
      <w:r>
        <w:rPr>
          <w:noProof/>
        </w:rPr>
        <w:t xml:space="preserve"> </w:t>
      </w:r>
    </w:p>
    <w:p>
      <w:pPr>
        <w:pStyle w:val="NumPar1"/>
        <w:rPr>
          <w:noProof/>
        </w:rPr>
      </w:pPr>
      <w:r>
        <w:rPr>
          <w:noProof/>
        </w:rPr>
        <w:t>A Tanács 2008/909/IB kerethatározata (2008. november 27.) a kölcsönös elismerés elvének büntetőügyekben hozott, szabadságvesztés büntetéseket kiszabó vagy szabadságelvonással járó intézkedéseket alkalmazó ítéleteknek az Európai Unióban való végrehajtása céljából történő alkalmazásáról</w:t>
      </w:r>
      <w:r>
        <w:rPr>
          <w:rStyle w:val="FootnoteReference"/>
          <w:noProof/>
        </w:rPr>
        <w:footnoteReference w:id="35"/>
      </w:r>
      <w:r>
        <w:rPr>
          <w:noProof/>
        </w:rPr>
        <w:t xml:space="preserve"> </w:t>
      </w:r>
    </w:p>
    <w:p>
      <w:pPr>
        <w:pStyle w:val="NumPar1"/>
        <w:rPr>
          <w:noProof/>
        </w:rPr>
      </w:pPr>
      <w:r>
        <w:rPr>
          <w:noProof/>
        </w:rPr>
        <w:t>A Tanács 2008/947/IB kerethatározata (2008. november 27.) a kölcsönös elismerés elvének az ítéletekre és próbaidőt megállapító határozatokra való, a próbaidő alatti magatartási szabályok és alternatív szankciók felügyelete céljából történő alkalmazásáról</w:t>
      </w:r>
      <w:r>
        <w:rPr>
          <w:rStyle w:val="FootnoteReference"/>
          <w:noProof/>
        </w:rPr>
        <w:footnoteReference w:id="36"/>
      </w:r>
      <w:r>
        <w:rPr>
          <w:noProof/>
        </w:rPr>
        <w:t xml:space="preserve"> </w:t>
      </w:r>
    </w:p>
    <w:p>
      <w:pPr>
        <w:pStyle w:val="NumPar1"/>
        <w:rPr>
          <w:noProof/>
        </w:rPr>
      </w:pPr>
      <w:r>
        <w:rPr>
          <w:noProof/>
        </w:rPr>
        <w:t>A Tanács 2009/299/IB kerethatározata (2009. február 26.) a 2002/584/IB, a 2005/214/IB, a 2006/783/IB, a 2008/909/IB és a 2008/947/IB kerethatározat módosításáról a személyek eljárási jogainak megerősítése, valamint a kölcsönös elismerés elvének az érintett személy megjelenése nélkül lefolytatott eljárásokat követően hozott határozatokra való alkalmazásának előmozdítása tekintetében</w:t>
      </w:r>
      <w:r>
        <w:rPr>
          <w:rStyle w:val="FootnoteReference"/>
          <w:noProof/>
        </w:rPr>
        <w:footnoteReference w:id="37"/>
      </w:r>
    </w:p>
    <w:p>
      <w:pPr>
        <w:pStyle w:val="NumPar1"/>
        <w:rPr>
          <w:noProof/>
        </w:rPr>
      </w:pPr>
      <w:r>
        <w:rPr>
          <w:noProof/>
        </w:rPr>
        <w:t>A Tanács 2009/829/IB kerethatározata (2009. október 23.) a kölcsönös elismerés elvének az Európai Unió tagállamai közötti, az előzetes letartóztatás alternatívájaként felügyeleti intézkedéseket elrendelő határozatokra történő alkalmazásáról</w:t>
      </w:r>
      <w:r>
        <w:rPr>
          <w:rStyle w:val="FootnoteReference"/>
          <w:noProof/>
        </w:rPr>
        <w:footnoteReference w:id="38"/>
      </w:r>
    </w:p>
    <w:p>
      <w:pPr>
        <w:pStyle w:val="NumPar1"/>
        <w:rPr>
          <w:noProof/>
        </w:rPr>
      </w:pPr>
      <w:r>
        <w:rPr>
          <w:noProof/>
        </w:rPr>
        <w:t>A Tanács 2009/948/IB kerethatározata (2009. november 30.) a joghatóság gyakorlásával kapcsolatos, büntetőeljárások során felmerülő összeütközések megelőzéséről és rendezéséről</w:t>
      </w:r>
      <w:r>
        <w:rPr>
          <w:rStyle w:val="FootnoteReference"/>
          <w:noProof/>
        </w:rPr>
        <w:footnoteReference w:id="39"/>
      </w:r>
    </w:p>
    <w:p>
      <w:pPr>
        <w:pStyle w:val="NumPar1"/>
        <w:rPr>
          <w:noProof/>
        </w:rPr>
      </w:pPr>
      <w:r>
        <w:rPr>
          <w:noProof/>
        </w:rPr>
        <w:t>Az Európai Parlament és a Tanács 2011/99/EU irányelve (2011. december 13.) az európai védelmi határozatról</w:t>
      </w:r>
      <w:r>
        <w:rPr>
          <w:rStyle w:val="FootnoteReference"/>
          <w:noProof/>
        </w:rPr>
        <w:footnoteReference w:id="40"/>
      </w:r>
    </w:p>
    <w:p>
      <w:pPr>
        <w:pStyle w:val="NumPar1"/>
        <w:rPr>
          <w:noProof/>
        </w:rPr>
      </w:pPr>
      <w:r>
        <w:rPr>
          <w:noProof/>
        </w:rPr>
        <w:t>Az Európai Parlament és a Tanács 2012/29/EU irányelve (2012. október 25.) a bűncselekmények áldozatainak jogaira, támogatására és védelmére vonatkozó minimumszabályok megállapításáról és a 2001/220/IB tanácsi kerethatározat felváltásáról</w:t>
      </w:r>
      <w:r>
        <w:rPr>
          <w:rStyle w:val="FootnoteReference"/>
          <w:noProof/>
        </w:rPr>
        <w:footnoteReference w:id="41"/>
      </w:r>
    </w:p>
    <w:p>
      <w:pPr>
        <w:pStyle w:val="NumPar1"/>
        <w:rPr>
          <w:noProof/>
        </w:rPr>
      </w:pPr>
      <w:r>
        <w:rPr>
          <w:noProof/>
        </w:rPr>
        <w:t>Az Európai Parlament és a Tanács 2014/41/EU irányelve (2014. április 3.) a büntetőügyekben kibocsátott európai nyomozási határozatról</w:t>
      </w:r>
      <w:r>
        <w:rPr>
          <w:rStyle w:val="FootnoteReference"/>
          <w:noProof/>
        </w:rPr>
        <w:footnoteReference w:id="42"/>
      </w:r>
    </w:p>
    <w:p>
      <w:pPr>
        <w:pStyle w:val="NumPar1"/>
        <w:rPr>
          <w:noProof/>
        </w:rPr>
      </w:pPr>
      <w:r>
        <w:rPr>
          <w:noProof/>
        </w:rPr>
        <w:t>Az Európai Parlament és a Tanács (EU) 2018/1805 rendelete (2018. november 14.) a befagyasztást és az elkobzást elrendelő határozatok kölcsönös elismeréséről</w:t>
      </w:r>
      <w:r>
        <w:rPr>
          <w:rStyle w:val="FootnoteReference"/>
          <w:noProof/>
        </w:rPr>
        <w:footnoteReference w:id="43"/>
      </w:r>
    </w:p>
    <w:p>
      <w:pPr>
        <w:pStyle w:val="NumPar1"/>
        <w:rPr>
          <w:noProof/>
        </w:rPr>
      </w:pPr>
      <w:r>
        <w:rPr>
          <w:noProof/>
        </w:rPr>
        <w:t>[Javaslat – Az Európai Parlament és a Tanács (EU) rendelete a büntetőügybeli elektronikus bizonyítékokra vonatkozó, közlésre és megőrzésre kötelező európai határozatokról</w:t>
      </w:r>
      <w:r>
        <w:rPr>
          <w:rStyle w:val="FootnoteReference"/>
          <w:noProof/>
        </w:rPr>
        <w:footnoteReference w:id="44"/>
      </w:r>
      <w:r>
        <w:rPr>
          <w:noProof/>
        </w:rPr>
        <w:t>]</w:t>
      </w:r>
    </w:p>
    <w:p>
      <w:pPr>
        <w:rPr>
          <w:noProof/>
        </w:rPr>
        <w:sectPr>
          <w:footerReference w:type="default" r:id="rId19"/>
          <w:footerReference w:type="first" r:id="rId20"/>
          <w:pgSz w:w="11907" w:h="16839"/>
          <w:pgMar w:top="1134" w:right="1417" w:bottom="1134" w:left="1417" w:header="709" w:footer="709" w:gutter="0"/>
          <w:cols w:space="720"/>
          <w:docGrid w:linePitch="360"/>
        </w:sectPr>
      </w:pPr>
    </w:p>
    <w:p>
      <w:pPr>
        <w:pStyle w:val="Annexetitre"/>
        <w:rPr>
          <w:noProof/>
        </w:rPr>
      </w:pPr>
      <w:r>
        <w:rPr>
          <w:noProof/>
        </w:rPr>
        <w:t>II. MELLÉKLET</w:t>
      </w:r>
    </w:p>
    <w:p>
      <w:pPr>
        <w:rPr>
          <w:b/>
          <w:noProof/>
          <w:u w:val="single"/>
        </w:rPr>
      </w:pPr>
      <w:r>
        <w:rPr>
          <w:b/>
          <w:noProof/>
          <w:u w:val="single"/>
        </w:rPr>
        <w:t>A 9. cikk alapján az eu-LISA-nak átadandó szoftvertermékek és kapcsolódó dokumentáció</w:t>
      </w:r>
    </w:p>
    <w:p>
      <w:pPr>
        <w:pStyle w:val="NumPar1"/>
        <w:rPr>
          <w:noProof/>
        </w:rPr>
      </w:pPr>
      <w:r>
        <w:rPr>
          <w:noProof/>
        </w:rPr>
        <w:t>Központi tesztelési platform (olyan funkciókat biztosító szoftvertermék, amelyek felhasználhatók az e-CODEX hozzáférési pontok helyes működésének és az e-CODEX digitális eljárási szabványok helyes használatának ellenőrzésére az e hozzáférési pontokhoz csatlakozó kapcsolt rendszerekben)</w:t>
      </w:r>
    </w:p>
    <w:p>
      <w:pPr>
        <w:pStyle w:val="NumPar1"/>
        <w:rPr>
          <w:noProof/>
        </w:rPr>
      </w:pPr>
      <w:r>
        <w:rPr>
          <w:noProof/>
        </w:rPr>
        <w:t>Konfigurációkezelő eszköz (a 6. cikk (2) bekezdésének c) pontjában meghatározott feladat ellátásának elősegítésére használható szoftvertermék)</w:t>
      </w:r>
    </w:p>
    <w:p>
      <w:pPr>
        <w:pStyle w:val="NumPar1"/>
        <w:rPr>
          <w:noProof/>
        </w:rPr>
      </w:pPr>
      <w:r>
        <w:rPr>
          <w:noProof/>
        </w:rPr>
        <w:t>Metaadat Workbench (6. cikkben meghatározott feladatok ellátásának elősegítésére használható szoftvertermék)</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HU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Hyperlink"/>
          <w:lang w:val="de-DE"/>
        </w:rPr>
      </w:pPr>
      <w:r>
        <w:rPr>
          <w:rStyle w:val="FootnoteReference"/>
        </w:rPr>
        <w:footnoteRef/>
      </w:r>
      <w:r>
        <w:rPr>
          <w:lang w:val="de-DE"/>
        </w:rPr>
        <w:tab/>
        <w:t>HL L 12., 2001.1.16., 1. o.</w:t>
      </w:r>
    </w:p>
  </w:footnote>
  <w:footnote w:id="3">
    <w:p>
      <w:pPr>
        <w:pStyle w:val="FootnoteText"/>
        <w:rPr>
          <w:lang w:val="de-DE"/>
        </w:rPr>
      </w:pPr>
      <w:r>
        <w:rPr>
          <w:rStyle w:val="FootnoteReference"/>
        </w:rPr>
        <w:footnoteRef/>
      </w:r>
      <w:r>
        <w:rPr>
          <w:lang w:val="de-DE"/>
        </w:rPr>
        <w:tab/>
        <w:t>HL L 174., 2001.6.27., 25. o.</w:t>
      </w:r>
    </w:p>
  </w:footnote>
  <w:footnote w:id="4">
    <w:p>
      <w:pPr>
        <w:pStyle w:val="FootnoteText"/>
        <w:rPr>
          <w:lang w:val="de-DE"/>
        </w:rPr>
      </w:pPr>
      <w:r>
        <w:rPr>
          <w:rStyle w:val="FootnoteReference"/>
        </w:rPr>
        <w:footnoteRef/>
      </w:r>
      <w:r>
        <w:rPr>
          <w:lang w:val="de-DE"/>
        </w:rPr>
        <w:tab/>
        <w:t>HL L 174., 2001.6.27., 1. o.</w:t>
      </w:r>
    </w:p>
  </w:footnote>
  <w:footnote w:id="5">
    <w:p>
      <w:pPr>
        <w:pStyle w:val="FootnoteText"/>
        <w:rPr>
          <w:lang w:val="de-DE"/>
        </w:rPr>
      </w:pPr>
      <w:r>
        <w:rPr>
          <w:rStyle w:val="FootnoteReference"/>
        </w:rPr>
        <w:footnoteRef/>
      </w:r>
      <w:r>
        <w:rPr>
          <w:lang w:val="de-DE"/>
        </w:rPr>
        <w:tab/>
        <w:t>HL L 26., 2003.1.31., 41. o.</w:t>
      </w:r>
    </w:p>
  </w:footnote>
  <w:footnote w:id="6">
    <w:p>
      <w:pPr>
        <w:pStyle w:val="FootnoteText"/>
        <w:rPr>
          <w:lang w:val="de-DE"/>
        </w:rPr>
      </w:pPr>
      <w:r>
        <w:rPr>
          <w:rStyle w:val="FootnoteReference"/>
        </w:rPr>
        <w:footnoteRef/>
      </w:r>
      <w:r>
        <w:rPr>
          <w:lang w:val="de-DE"/>
        </w:rPr>
        <w:tab/>
        <w:t>HL L 338., 2003.12.23., 1. o.</w:t>
      </w:r>
    </w:p>
  </w:footnote>
  <w:footnote w:id="7">
    <w:p>
      <w:pPr>
        <w:pStyle w:val="FootnoteText"/>
        <w:rPr>
          <w:lang w:val="de-DE"/>
        </w:rPr>
      </w:pPr>
      <w:r>
        <w:rPr>
          <w:rStyle w:val="FootnoteReference"/>
        </w:rPr>
        <w:footnoteRef/>
      </w:r>
      <w:r>
        <w:rPr>
          <w:lang w:val="de-DE"/>
        </w:rPr>
        <w:tab/>
        <w:t>HL L 143., 2004.4.30., 15. o.</w:t>
      </w:r>
    </w:p>
  </w:footnote>
  <w:footnote w:id="8">
    <w:p>
      <w:pPr>
        <w:pStyle w:val="FootnoteText"/>
        <w:rPr>
          <w:lang w:val="de-DE"/>
        </w:rPr>
      </w:pPr>
      <w:r>
        <w:rPr>
          <w:rStyle w:val="FootnoteReference"/>
        </w:rPr>
        <w:footnoteRef/>
      </w:r>
      <w:r>
        <w:rPr>
          <w:lang w:val="de-DE"/>
        </w:rPr>
        <w:tab/>
        <w:t>HL L 399., 2006.12.30., 1. o.</w:t>
      </w:r>
    </w:p>
  </w:footnote>
  <w:footnote w:id="9">
    <w:p>
      <w:pPr>
        <w:pStyle w:val="FootnoteText"/>
        <w:rPr>
          <w:lang w:val="de-DE"/>
        </w:rPr>
      </w:pPr>
      <w:r>
        <w:rPr>
          <w:rStyle w:val="FootnoteReference"/>
        </w:rPr>
        <w:footnoteRef/>
      </w:r>
      <w:r>
        <w:rPr>
          <w:lang w:val="de-DE"/>
        </w:rPr>
        <w:tab/>
        <w:t>HL L 199., 2007.7.31., 1. o.</w:t>
      </w:r>
    </w:p>
  </w:footnote>
  <w:footnote w:id="10">
    <w:p>
      <w:pPr>
        <w:pStyle w:val="FootnoteText"/>
        <w:rPr>
          <w:lang w:val="de-DE"/>
        </w:rPr>
      </w:pPr>
      <w:r>
        <w:rPr>
          <w:rStyle w:val="FootnoteReference"/>
        </w:rPr>
        <w:footnoteRef/>
      </w:r>
      <w:r>
        <w:rPr>
          <w:lang w:val="de-DE"/>
        </w:rPr>
        <w:tab/>
        <w:t>HL L 199., 2007.7.31., 40. o.</w:t>
      </w:r>
    </w:p>
  </w:footnote>
  <w:footnote w:id="11">
    <w:p>
      <w:pPr>
        <w:pStyle w:val="FootnoteText"/>
        <w:rPr>
          <w:lang w:val="de-DE"/>
        </w:rPr>
      </w:pPr>
      <w:r>
        <w:rPr>
          <w:rStyle w:val="FootnoteReference"/>
        </w:rPr>
        <w:footnoteRef/>
      </w:r>
      <w:r>
        <w:rPr>
          <w:lang w:val="de-DE"/>
        </w:rPr>
        <w:tab/>
        <w:t>HL L 324., 2007.12.10., 79. o.</w:t>
      </w:r>
    </w:p>
  </w:footnote>
  <w:footnote w:id="12">
    <w:p>
      <w:pPr>
        <w:pStyle w:val="FootnoteText"/>
        <w:rPr>
          <w:lang w:val="de-DE"/>
        </w:rPr>
      </w:pPr>
      <w:r>
        <w:rPr>
          <w:rStyle w:val="FootnoteReference"/>
        </w:rPr>
        <w:footnoteRef/>
      </w:r>
      <w:r>
        <w:rPr>
          <w:lang w:val="de-DE"/>
        </w:rPr>
        <w:tab/>
        <w:t>HL L 136., 2008.5.24., 3. o.</w:t>
      </w:r>
    </w:p>
  </w:footnote>
  <w:footnote w:id="13">
    <w:p>
      <w:pPr>
        <w:pStyle w:val="FootnoteText"/>
        <w:rPr>
          <w:lang w:val="de-DE"/>
        </w:rPr>
      </w:pPr>
      <w:r>
        <w:rPr>
          <w:rStyle w:val="FootnoteReference"/>
        </w:rPr>
        <w:footnoteRef/>
      </w:r>
      <w:r>
        <w:rPr>
          <w:lang w:val="de-DE"/>
        </w:rPr>
        <w:tab/>
        <w:t>HL L 177., 2008.7.4., 6. o.</w:t>
      </w:r>
    </w:p>
  </w:footnote>
  <w:footnote w:id="14">
    <w:p>
      <w:pPr>
        <w:pStyle w:val="FootnoteText"/>
        <w:rPr>
          <w:lang w:val="de-DE"/>
        </w:rPr>
      </w:pPr>
      <w:r>
        <w:rPr>
          <w:rStyle w:val="FootnoteReference"/>
        </w:rPr>
        <w:footnoteRef/>
      </w:r>
      <w:r>
        <w:rPr>
          <w:lang w:val="de-DE"/>
        </w:rPr>
        <w:tab/>
        <w:t>HL L 7., 2009.1.10., 1. o.</w:t>
      </w:r>
    </w:p>
  </w:footnote>
  <w:footnote w:id="15">
    <w:p>
      <w:pPr>
        <w:pStyle w:val="FootnoteText"/>
        <w:rPr>
          <w:lang w:val="de-DE"/>
        </w:rPr>
      </w:pPr>
      <w:r>
        <w:rPr>
          <w:rStyle w:val="FootnoteReference"/>
        </w:rPr>
        <w:footnoteRef/>
      </w:r>
      <w:r>
        <w:rPr>
          <w:lang w:val="de-DE"/>
        </w:rPr>
        <w:tab/>
        <w:t>HL L 343., 2010.12.29., 10. o.</w:t>
      </w:r>
    </w:p>
  </w:footnote>
  <w:footnote w:id="16">
    <w:p>
      <w:pPr>
        <w:pStyle w:val="FootnoteText"/>
        <w:rPr>
          <w:lang w:val="de-DE"/>
        </w:rPr>
      </w:pPr>
      <w:r>
        <w:rPr>
          <w:rStyle w:val="FootnoteReference"/>
        </w:rPr>
        <w:footnoteRef/>
      </w:r>
      <w:r>
        <w:rPr>
          <w:lang w:val="de-DE"/>
        </w:rPr>
        <w:tab/>
        <w:t>HL L 201., 2012.7.27., 107. o.</w:t>
      </w:r>
    </w:p>
  </w:footnote>
  <w:footnote w:id="17">
    <w:p>
      <w:pPr>
        <w:pStyle w:val="FootnoteText"/>
        <w:rPr>
          <w:lang w:val="de-DE"/>
        </w:rPr>
      </w:pPr>
      <w:r>
        <w:rPr>
          <w:rStyle w:val="FootnoteReference"/>
        </w:rPr>
        <w:footnoteRef/>
      </w:r>
      <w:r>
        <w:rPr>
          <w:lang w:val="de-DE"/>
        </w:rPr>
        <w:tab/>
        <w:t>HL L 351., 2012.12.20., 1. o.</w:t>
      </w:r>
    </w:p>
  </w:footnote>
  <w:footnote w:id="18">
    <w:p>
      <w:pPr>
        <w:pStyle w:val="FootnoteText"/>
        <w:rPr>
          <w:lang w:val="de-DE"/>
        </w:rPr>
      </w:pPr>
      <w:r>
        <w:rPr>
          <w:rStyle w:val="FootnoteReference"/>
        </w:rPr>
        <w:footnoteRef/>
      </w:r>
      <w:r>
        <w:rPr>
          <w:lang w:val="de-DE"/>
        </w:rPr>
        <w:tab/>
        <w:t>HL L 181., 2013.6.29., 4. o.</w:t>
      </w:r>
    </w:p>
  </w:footnote>
  <w:footnote w:id="19">
    <w:p>
      <w:pPr>
        <w:pStyle w:val="FootnoteText"/>
        <w:rPr>
          <w:lang w:val="de-DE"/>
        </w:rPr>
      </w:pPr>
      <w:r>
        <w:rPr>
          <w:rStyle w:val="FootnoteReference"/>
        </w:rPr>
        <w:footnoteRef/>
      </w:r>
      <w:r>
        <w:rPr>
          <w:lang w:val="de-DE"/>
        </w:rPr>
        <w:tab/>
        <w:t>HL L 189., 2014.6.27., 59. o.</w:t>
      </w:r>
    </w:p>
  </w:footnote>
  <w:footnote w:id="20">
    <w:p>
      <w:pPr>
        <w:pStyle w:val="FootnoteText"/>
        <w:rPr>
          <w:lang w:val="de-DE"/>
        </w:rPr>
      </w:pPr>
      <w:r>
        <w:rPr>
          <w:rStyle w:val="FootnoteReference"/>
        </w:rPr>
        <w:footnoteRef/>
      </w:r>
      <w:r>
        <w:rPr>
          <w:lang w:val="de-DE"/>
        </w:rPr>
        <w:tab/>
        <w:t>HL L 141., 2015.6.5., 19. o.</w:t>
      </w:r>
    </w:p>
  </w:footnote>
  <w:footnote w:id="21">
    <w:p>
      <w:pPr>
        <w:pStyle w:val="FootnoteText"/>
        <w:rPr>
          <w:lang w:val="de-DE"/>
        </w:rPr>
      </w:pPr>
      <w:r>
        <w:rPr>
          <w:rStyle w:val="FootnoteReference"/>
        </w:rPr>
        <w:footnoteRef/>
      </w:r>
      <w:r>
        <w:rPr>
          <w:lang w:val="de-DE"/>
        </w:rPr>
        <w:tab/>
        <w:t>HL L 183., 2016.7.8., 1. o.</w:t>
      </w:r>
    </w:p>
  </w:footnote>
  <w:footnote w:id="22">
    <w:p>
      <w:pPr>
        <w:pStyle w:val="FootnoteText"/>
        <w:rPr>
          <w:lang w:val="de-DE"/>
        </w:rPr>
      </w:pPr>
      <w:r>
        <w:rPr>
          <w:rStyle w:val="FootnoteReference"/>
        </w:rPr>
        <w:footnoteRef/>
      </w:r>
      <w:r>
        <w:rPr>
          <w:lang w:val="de-DE"/>
        </w:rPr>
        <w:tab/>
        <w:t>HL L 183., 2016.7.8., 30. o.</w:t>
      </w:r>
    </w:p>
  </w:footnote>
  <w:footnote w:id="23">
    <w:p>
      <w:pPr>
        <w:pStyle w:val="FootnoteText"/>
        <w:rPr>
          <w:lang w:val="de-DE"/>
        </w:rPr>
      </w:pPr>
      <w:r>
        <w:rPr>
          <w:rStyle w:val="FootnoteReference"/>
        </w:rPr>
        <w:footnoteRef/>
      </w:r>
      <w:r>
        <w:rPr>
          <w:lang w:val="de-DE"/>
        </w:rPr>
        <w:tab/>
        <w:t>HL L 200., 2016.7.26., 1. o.</w:t>
      </w:r>
    </w:p>
  </w:footnote>
  <w:footnote w:id="24">
    <w:p>
      <w:pPr>
        <w:pStyle w:val="FootnoteText"/>
        <w:rPr>
          <w:lang w:val="de-DE"/>
        </w:rPr>
      </w:pPr>
      <w:r>
        <w:rPr>
          <w:rStyle w:val="FootnoteReference"/>
        </w:rPr>
        <w:footnoteRef/>
      </w:r>
      <w:r>
        <w:rPr>
          <w:lang w:val="de-DE"/>
        </w:rPr>
        <w:tab/>
        <w:t>HL L 172., 2019.6.26., 18. o.</w:t>
      </w:r>
    </w:p>
  </w:footnote>
  <w:footnote w:id="25">
    <w:p>
      <w:pPr>
        <w:pStyle w:val="FootnoteText"/>
        <w:rPr>
          <w:lang w:val="de-DE"/>
        </w:rPr>
      </w:pPr>
      <w:r>
        <w:rPr>
          <w:rStyle w:val="FootnoteReference"/>
        </w:rPr>
        <w:footnoteRef/>
      </w:r>
      <w:r>
        <w:rPr>
          <w:lang w:val="de-DE"/>
        </w:rPr>
        <w:tab/>
        <w:t>HL C 313., 1996.10.23., 12. o.</w:t>
      </w:r>
    </w:p>
  </w:footnote>
  <w:footnote w:id="26">
    <w:p>
      <w:pPr>
        <w:pStyle w:val="FootnoteText"/>
        <w:rPr>
          <w:lang w:val="de-DE"/>
        </w:rPr>
      </w:pPr>
      <w:r>
        <w:rPr>
          <w:rStyle w:val="FootnoteReference"/>
        </w:rPr>
        <w:footnoteRef/>
      </w:r>
      <w:r>
        <w:rPr>
          <w:lang w:val="de-DE"/>
        </w:rPr>
        <w:tab/>
        <w:t>HL C 78., 1995.3.30., 2. o.</w:t>
      </w:r>
    </w:p>
  </w:footnote>
  <w:footnote w:id="27">
    <w:p>
      <w:pPr>
        <w:pStyle w:val="FootnoteText"/>
        <w:rPr>
          <w:lang w:val="de-DE"/>
        </w:rPr>
      </w:pPr>
      <w:r>
        <w:rPr>
          <w:rStyle w:val="FootnoteReference"/>
        </w:rPr>
        <w:footnoteRef/>
      </w:r>
      <w:r>
        <w:rPr>
          <w:lang w:val="de-DE"/>
        </w:rPr>
        <w:tab/>
        <w:t>HL C 197., 2000.7.12., 3. o.</w:t>
      </w:r>
    </w:p>
  </w:footnote>
  <w:footnote w:id="28">
    <w:p>
      <w:pPr>
        <w:pStyle w:val="FootnoteText"/>
        <w:rPr>
          <w:lang w:val="de-DE"/>
        </w:rPr>
      </w:pPr>
      <w:r>
        <w:rPr>
          <w:rStyle w:val="FootnoteReference"/>
        </w:rPr>
        <w:footnoteRef/>
      </w:r>
      <w:r>
        <w:rPr>
          <w:lang w:val="de-DE"/>
        </w:rPr>
        <w:tab/>
        <w:t>HL C 326., 2001.11.21., 2. o.</w:t>
      </w:r>
    </w:p>
  </w:footnote>
  <w:footnote w:id="29">
    <w:p>
      <w:pPr>
        <w:pStyle w:val="FootnoteText"/>
        <w:rPr>
          <w:lang w:val="de-DE"/>
        </w:rPr>
      </w:pPr>
      <w:r>
        <w:rPr>
          <w:rStyle w:val="FootnoteReference"/>
        </w:rPr>
        <w:footnoteRef/>
      </w:r>
      <w:r>
        <w:rPr>
          <w:lang w:val="de-DE"/>
        </w:rPr>
        <w:tab/>
        <w:t>HL L 190., 2002.7.18., 1. o.</w:t>
      </w:r>
    </w:p>
  </w:footnote>
  <w:footnote w:id="30">
    <w:p>
      <w:pPr>
        <w:pStyle w:val="FootnoteText"/>
        <w:rPr>
          <w:lang w:val="de-DE"/>
        </w:rPr>
      </w:pPr>
      <w:r>
        <w:rPr>
          <w:rStyle w:val="FootnoteReference"/>
        </w:rPr>
        <w:footnoteRef/>
      </w:r>
      <w:r>
        <w:rPr>
          <w:lang w:val="de-DE"/>
        </w:rPr>
        <w:tab/>
        <w:t>HL L 162., 2002.6.20., 1. o.</w:t>
      </w:r>
    </w:p>
  </w:footnote>
  <w:footnote w:id="31">
    <w:p>
      <w:pPr>
        <w:pStyle w:val="FootnoteText"/>
        <w:rPr>
          <w:lang w:val="de-DE"/>
        </w:rPr>
      </w:pPr>
      <w:r>
        <w:rPr>
          <w:rStyle w:val="FootnoteReference"/>
        </w:rPr>
        <w:footnoteRef/>
      </w:r>
      <w:r>
        <w:rPr>
          <w:lang w:val="de-DE"/>
        </w:rPr>
        <w:tab/>
        <w:t>HL L 196., 2003.8.2., 45. o.</w:t>
      </w:r>
    </w:p>
  </w:footnote>
  <w:footnote w:id="32">
    <w:p>
      <w:pPr>
        <w:pStyle w:val="FootnoteText"/>
        <w:rPr>
          <w:lang w:val="de-DE"/>
        </w:rPr>
      </w:pPr>
      <w:r>
        <w:rPr>
          <w:rStyle w:val="FootnoteReference"/>
        </w:rPr>
        <w:footnoteRef/>
      </w:r>
      <w:r>
        <w:rPr>
          <w:lang w:val="de-DE"/>
        </w:rPr>
        <w:tab/>
        <w:t>HL L 261., 2004.8.6., 15. o.</w:t>
      </w:r>
    </w:p>
  </w:footnote>
  <w:footnote w:id="33">
    <w:p>
      <w:pPr>
        <w:pStyle w:val="FootnoteText"/>
        <w:rPr>
          <w:lang w:val="de-DE"/>
        </w:rPr>
      </w:pPr>
      <w:r>
        <w:rPr>
          <w:rStyle w:val="FootnoteReference"/>
        </w:rPr>
        <w:footnoteRef/>
      </w:r>
      <w:r>
        <w:rPr>
          <w:lang w:val="de-DE"/>
        </w:rPr>
        <w:tab/>
        <w:t>HL L 76., 2005.3.22., 16. o.</w:t>
      </w:r>
    </w:p>
  </w:footnote>
  <w:footnote w:id="34">
    <w:p>
      <w:pPr>
        <w:pStyle w:val="FootnoteText"/>
        <w:rPr>
          <w:lang w:val="de-DE"/>
        </w:rPr>
      </w:pPr>
      <w:r>
        <w:rPr>
          <w:rStyle w:val="FootnoteReference"/>
        </w:rPr>
        <w:footnoteRef/>
      </w:r>
      <w:r>
        <w:rPr>
          <w:lang w:val="de-DE"/>
        </w:rPr>
        <w:tab/>
        <w:t>HL L 328., 2006.11.24., 59. o.</w:t>
      </w:r>
    </w:p>
  </w:footnote>
  <w:footnote w:id="35">
    <w:p>
      <w:pPr>
        <w:pStyle w:val="FootnoteText"/>
        <w:rPr>
          <w:lang w:val="de-DE"/>
        </w:rPr>
      </w:pPr>
      <w:r>
        <w:rPr>
          <w:rStyle w:val="FootnoteReference"/>
        </w:rPr>
        <w:footnoteRef/>
      </w:r>
      <w:r>
        <w:rPr>
          <w:lang w:val="de-DE"/>
        </w:rPr>
        <w:tab/>
        <w:t>HL L 327., 2008.12.5., 27. o.</w:t>
      </w:r>
    </w:p>
  </w:footnote>
  <w:footnote w:id="36">
    <w:p>
      <w:pPr>
        <w:pStyle w:val="FootnoteText"/>
        <w:rPr>
          <w:lang w:val="de-DE"/>
        </w:rPr>
      </w:pPr>
      <w:r>
        <w:rPr>
          <w:rStyle w:val="FootnoteReference"/>
        </w:rPr>
        <w:footnoteRef/>
      </w:r>
      <w:r>
        <w:rPr>
          <w:lang w:val="de-DE"/>
        </w:rPr>
        <w:tab/>
        <w:t>HL L 337., 2008.12.16., 102. o.</w:t>
      </w:r>
    </w:p>
  </w:footnote>
  <w:footnote w:id="37">
    <w:p>
      <w:pPr>
        <w:pStyle w:val="FootnoteText"/>
        <w:rPr>
          <w:lang w:val="de-DE"/>
        </w:rPr>
      </w:pPr>
      <w:r>
        <w:rPr>
          <w:rStyle w:val="FootnoteReference"/>
        </w:rPr>
        <w:footnoteRef/>
      </w:r>
      <w:r>
        <w:rPr>
          <w:lang w:val="de-DE"/>
        </w:rPr>
        <w:tab/>
        <w:t>HL L 81., 2009.3.27., 24. o.</w:t>
      </w:r>
    </w:p>
  </w:footnote>
  <w:footnote w:id="38">
    <w:p>
      <w:pPr>
        <w:pStyle w:val="FootnoteText"/>
        <w:rPr>
          <w:lang w:val="de-DE"/>
        </w:rPr>
      </w:pPr>
      <w:r>
        <w:rPr>
          <w:rStyle w:val="FootnoteReference"/>
        </w:rPr>
        <w:footnoteRef/>
      </w:r>
      <w:r>
        <w:rPr>
          <w:lang w:val="de-DE"/>
        </w:rPr>
        <w:tab/>
        <w:t>HL L 294., 2009.11.11., 20. o.</w:t>
      </w:r>
    </w:p>
  </w:footnote>
  <w:footnote w:id="39">
    <w:p>
      <w:pPr>
        <w:pStyle w:val="FootnoteText"/>
        <w:rPr>
          <w:lang w:val="de-DE"/>
        </w:rPr>
      </w:pPr>
      <w:r>
        <w:rPr>
          <w:rStyle w:val="FootnoteReference"/>
        </w:rPr>
        <w:footnoteRef/>
      </w:r>
      <w:r>
        <w:rPr>
          <w:lang w:val="de-DE"/>
        </w:rPr>
        <w:tab/>
        <w:t>HL L 328., 2009.12.15., 42. o.</w:t>
      </w:r>
    </w:p>
  </w:footnote>
  <w:footnote w:id="40">
    <w:p>
      <w:pPr>
        <w:pStyle w:val="FootnoteText"/>
        <w:rPr>
          <w:lang w:val="de-DE"/>
        </w:rPr>
      </w:pPr>
      <w:r>
        <w:rPr>
          <w:rStyle w:val="FootnoteReference"/>
        </w:rPr>
        <w:footnoteRef/>
      </w:r>
      <w:r>
        <w:rPr>
          <w:lang w:val="de-DE"/>
        </w:rPr>
        <w:tab/>
        <w:t>HL L 338., 2011.12.21., 2. o.</w:t>
      </w:r>
    </w:p>
  </w:footnote>
  <w:footnote w:id="41">
    <w:p>
      <w:pPr>
        <w:pStyle w:val="FootnoteText"/>
        <w:rPr>
          <w:lang w:val="de-DE"/>
        </w:rPr>
      </w:pPr>
      <w:r>
        <w:rPr>
          <w:rStyle w:val="FootnoteReference"/>
        </w:rPr>
        <w:footnoteRef/>
      </w:r>
      <w:r>
        <w:rPr>
          <w:lang w:val="de-DE"/>
        </w:rPr>
        <w:tab/>
        <w:t>HL L 315., 2012.11.14., 57. o.</w:t>
      </w:r>
    </w:p>
  </w:footnote>
  <w:footnote w:id="42">
    <w:p>
      <w:pPr>
        <w:pStyle w:val="FootnoteText"/>
        <w:rPr>
          <w:lang w:val="de-DE"/>
        </w:rPr>
      </w:pPr>
      <w:r>
        <w:rPr>
          <w:rStyle w:val="FootnoteReference"/>
        </w:rPr>
        <w:footnoteRef/>
      </w:r>
      <w:r>
        <w:rPr>
          <w:lang w:val="de-DE"/>
        </w:rPr>
        <w:tab/>
        <w:t>HL L 130., 2014.5.1., 1. o.</w:t>
      </w:r>
    </w:p>
  </w:footnote>
  <w:footnote w:id="43">
    <w:p>
      <w:pPr>
        <w:pStyle w:val="FootnoteText"/>
        <w:rPr>
          <w:lang w:val="de-DE"/>
        </w:rPr>
      </w:pPr>
      <w:r>
        <w:rPr>
          <w:rStyle w:val="FootnoteReference"/>
        </w:rPr>
        <w:footnoteRef/>
      </w:r>
      <w:r>
        <w:rPr>
          <w:lang w:val="de-DE"/>
        </w:rPr>
        <w:tab/>
        <w:t xml:space="preserve">HL L 303., 2018.11.28., 1. o. </w:t>
      </w:r>
    </w:p>
  </w:footnote>
  <w:footnote w:id="44">
    <w:p>
      <w:pPr>
        <w:pStyle w:val="FootnoteText"/>
        <w:rPr>
          <w:lang w:val="de-DE"/>
        </w:rPr>
      </w:pPr>
      <w:r>
        <w:rPr>
          <w:rStyle w:val="FootnoteReference"/>
        </w:rPr>
        <w:footnoteRef/>
      </w:r>
      <w:r>
        <w:rPr>
          <w:lang w:val="de-DE"/>
        </w:rPr>
        <w:tab/>
        <w:t>COM(2018) 225 final (A javaslat esetében a jogalkotási eljárás folyamatban van).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43626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E12B7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33868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37CBA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7E11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14C61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1CE625A4"/>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pStyle w:val="NumPar5"/>
      <w:lvlText w:val="(%5)"/>
      <w:lvlJc w:val="left"/>
      <w:pPr>
        <w:ind w:left="1800" w:hanging="360"/>
      </w:pPr>
    </w:lvl>
    <w:lvl w:ilvl="5">
      <w:start w:val="1"/>
      <w:numFmt w:val="lowerRoman"/>
      <w:pStyle w:val="NumPar6"/>
      <w:lvlText w:val="(%6)"/>
      <w:lvlJc w:val="left"/>
      <w:pPr>
        <w:ind w:left="2160" w:hanging="360"/>
      </w:pPr>
    </w:lvl>
    <w:lvl w:ilvl="6">
      <w:start w:val="1"/>
      <w:numFmt w:val="decimal"/>
      <w:pStyle w:val="NumPar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1F06166"/>
    <w:multiLevelType w:val="multilevel"/>
    <w:tmpl w:val="C08066D2"/>
    <w:name w:val="0.3219111"/>
    <w:lvl w:ilvl="0">
      <w:start w:val="1"/>
      <w:numFmt w:val="decimal"/>
      <w:lvlRestart w:val="0"/>
      <w:pStyle w:val="ListNumber"/>
      <w:lvlText w:val="(%1)"/>
      <w:lvlJc w:val="left"/>
      <w:pPr>
        <w:tabs>
          <w:tab w:val="num" w:pos="851"/>
        </w:tabs>
        <w:ind w:left="851" w:hanging="709"/>
      </w:pPr>
    </w:lvl>
    <w:lvl w:ilvl="1">
      <w:start w:val="1"/>
      <w:numFmt w:val="lowerLetter"/>
      <w:pStyle w:val="ListNumberLevel2"/>
      <w:lvlText w:val="(%2)"/>
      <w:lvlJc w:val="left"/>
      <w:pPr>
        <w:tabs>
          <w:tab w:val="num" w:pos="1559"/>
        </w:tabs>
        <w:ind w:left="1559" w:hanging="708"/>
      </w:pPr>
    </w:lvl>
    <w:lvl w:ilvl="2">
      <w:start w:val="1"/>
      <w:numFmt w:val="bullet"/>
      <w:pStyle w:val="ListNumberLevel3"/>
      <w:lvlText w:val="–"/>
      <w:lvlJc w:val="left"/>
      <w:pPr>
        <w:tabs>
          <w:tab w:val="num" w:pos="2268"/>
        </w:tabs>
        <w:ind w:left="2268" w:hanging="709"/>
      </w:pPr>
      <w:rPr>
        <w:rFonts w:ascii="Times New Roman" w:hAnsi="Times New Roman" w:cs="Times New Roman"/>
      </w:rPr>
    </w:lvl>
    <w:lvl w:ilvl="3">
      <w:start w:val="1"/>
      <w:numFmt w:val="bullet"/>
      <w:pStyle w:val="ListNumberLevel4"/>
      <w:lvlText w:val=""/>
      <w:lvlJc w:val="left"/>
      <w:pPr>
        <w:tabs>
          <w:tab w:val="num" w:pos="2977"/>
        </w:tabs>
        <w:ind w:left="2977" w:hanging="709"/>
      </w:pPr>
      <w:rPr>
        <w:rFonts w:ascii="Symbol" w:hAnsi="Symbol" w:hint="default"/>
      </w:r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num>
  <w:num w:numId="13">
    <w:abstractNumId w:val="19"/>
  </w:num>
  <w:num w:numId="14">
    <w:abstractNumId w:val="18"/>
  </w:num>
  <w:num w:numId="15">
    <w:abstractNumId w:val="11"/>
  </w:num>
  <w:num w:numId="16">
    <w:abstractNumId w:val="20"/>
  </w:num>
  <w:num w:numId="17">
    <w:abstractNumId w:val="10"/>
  </w:num>
  <w:num w:numId="18">
    <w:abstractNumId w:val="12"/>
  </w:num>
  <w:num w:numId="19">
    <w:abstractNumId w:val="8"/>
  </w:num>
  <w:num w:numId="20">
    <w:abstractNumId w:val="19"/>
  </w:num>
  <w:num w:numId="21">
    <w:abstractNumId w:val="7"/>
  </w:num>
  <w:num w:numId="22">
    <w:abstractNumId w:val="14"/>
  </w:num>
  <w:num w:numId="23">
    <w:abstractNumId w:val="16"/>
  </w:num>
  <w:num w:numId="24">
    <w:abstractNumId w:val="17"/>
  </w:num>
  <w:num w:numId="25">
    <w:abstractNumId w:val="9"/>
  </w:num>
  <w:num w:numId="26">
    <w:abstractNumId w:val="15"/>
  </w:num>
  <w:num w:numId="27">
    <w:abstractNumId w:val="2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1"/>
  </w:num>
  <w:num w:numId="31">
    <w:abstractNumId w:val="20"/>
  </w:num>
  <w:num w:numId="32">
    <w:abstractNumId w:val="10"/>
  </w:num>
  <w:num w:numId="33">
    <w:abstractNumId w:val="12"/>
  </w:num>
  <w:num w:numId="34">
    <w:abstractNumId w:val="8"/>
  </w:num>
  <w:num w:numId="35">
    <w:abstractNumId w:val="19"/>
  </w:num>
  <w:num w:numId="36">
    <w:abstractNumId w:val="7"/>
  </w:num>
  <w:num w:numId="37">
    <w:abstractNumId w:val="14"/>
  </w:num>
  <w:num w:numId="38">
    <w:abstractNumId w:val="16"/>
  </w:num>
  <w:num w:numId="39">
    <w:abstractNumId w:val="17"/>
  </w:num>
  <w:num w:numId="40">
    <w:abstractNumId w:val="9"/>
  </w:num>
  <w:num w:numId="41">
    <w:abstractNumId w:val="15"/>
  </w:num>
  <w:num w:numId="42">
    <w:abstractNumId w:val="22"/>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2 12:59: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a következ\u337?höz:"/>
    <w:docVar w:name="LW_ACCOMPAGNANT.CP" w:val="a következ\u337?höz:"/>
    <w:docVar w:name="LW_ANNEX_NBR_FIRST" w:val="1"/>
    <w:docVar w:name="LW_ANNEX_NBR_LAST" w:val="2"/>
    <w:docVar w:name="LW_ANNEX_UNIQUE" w:val="0"/>
    <w:docVar w:name="LW_CORRIGENDUM" w:val="&lt;UNUSED&gt;"/>
    <w:docVar w:name="LW_COVERPAGE_EXISTS" w:val="True"/>
    <w:docVar w:name="LW_COVERPAGE_GUID" w:val="282151B2-EF40-4C21-9927-5C3414C6553A"/>
    <w:docVar w:name="LW_COVERPAGE_TYPE" w:val="1"/>
    <w:docVar w:name="LW_CROSSREFERENCE" w:val="{SEC(2020) 408 final} - {SWD(2020) 541 final} - {SWD(2020) 542 final}"/>
    <w:docVar w:name="LW_DocType" w:val="ANNEX"/>
    <w:docVar w:name="LW_EMISSION" w:val="2020.12.2."/>
    <w:docVar w:name="LW_EMISSION_ISODATE" w:val="2020-12-02"/>
    <w:docVar w:name="LW_EMISSION_LOCATION" w:val="BRX"/>
    <w:docVar w:name="LW_EMISSION_PREFIX" w:val="Brüsszel, "/>
    <w:docVar w:name="LW_EMISSION_SUFFIX" w:val=" "/>
    <w:docVar w:name="LW_ID_DOCSTRUCTURE" w:val="COM/ANNEX"/>
    <w:docVar w:name="LW_ID_DOCTYPE" w:val="SG-017"/>
    <w:docVar w:name="LW_LANGUE" w:val="HU"/>
    <w:docVar w:name="LW_LEVEL_OF_SENSITIVITY" w:val="Standard treatment"/>
    <w:docVar w:name="LW_NOM.INST" w:val="EURÓPAI BIZOTTSÁG"/>
    <w:docVar w:name="LW_NOM.INST_JOINTDOC" w:val="&lt;EMPTY&gt;"/>
    <w:docVar w:name="LW_OBJETACTEPRINCIPAL" w:val="a polgári és büntet\u337?ügyekben történ\u337? határokon átnyúló kommunikációra szolgáló számítógépes rendszerr\u337?l (e-CODEX rendszer) és az (EU) 2018/1726 rendelet módosításáról"/>
    <w:docVar w:name="LW_OBJETACTEPRINCIPAL.CP" w:val="a polgári és büntet\u337?ügyekben történ\u337? határokon átnyúló kommunikációra szolgáló számítógépes rendszerr\u337?l (e-CODEX rendszer) és az (EU) 2018/1726 rendelet módosításáról"/>
    <w:docVar w:name="LW_PART_NBR" w:val="&lt;UNUSED&gt;"/>
    <w:docVar w:name="LW_PART_NBR_TOTAL" w:val="&lt;UNUSED&gt;"/>
    <w:docVar w:name="LW_REF.INST.NEW" w:val="COM"/>
    <w:docVar w:name="LW_REF.INST.NEW_ADOPTED" w:val="final"/>
    <w:docVar w:name="LW_REF.INST.NEW_TEXT" w:val="(2020) 7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MELLÉKLETEK"/>
    <w:docVar w:name="LW_TYPE.DOC.CP" w:val="MELLÉKLETEK"/>
    <w:docVar w:name="LW_TYPEACTEPRINCIPAL" w:val="Javaslat_x000b_Az Európai Parlament és a Tanács rendelete"/>
    <w:docVar w:name="LW_TYPEACTEPRINCIPAL.CP" w:val="Javaslat_x000b_Az Európai Parlament és a Tanács rendelet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de-DE"/>
    </w:rPr>
  </w:style>
  <w:style w:type="paragraph" w:customStyle="1" w:styleId="ListNumberLevel2">
    <w:name w:val="List Number (Level 2)"/>
    <w:basedOn w:val="Normal"/>
    <w:pPr>
      <w:numPr>
        <w:ilvl w:val="1"/>
        <w:numId w:val="1"/>
      </w:numPr>
    </w:pPr>
    <w:rPr>
      <w:rFonts w:eastAsia="Times New Roman"/>
      <w:lang w:eastAsia="de-DE"/>
    </w:rPr>
  </w:style>
  <w:style w:type="paragraph" w:customStyle="1" w:styleId="ListNumberLevel3">
    <w:name w:val="List Number (Level 3)"/>
    <w:basedOn w:val="Normal"/>
    <w:pPr>
      <w:numPr>
        <w:ilvl w:val="2"/>
        <w:numId w:val="1"/>
      </w:numPr>
    </w:pPr>
    <w:rPr>
      <w:rFonts w:eastAsia="Times New Roman"/>
      <w:lang w:eastAsia="de-DE"/>
    </w:rPr>
  </w:style>
  <w:style w:type="paragraph" w:customStyle="1" w:styleId="ListNumberLevel4">
    <w:name w:val="List Number (Level 4)"/>
    <w:basedOn w:val="Normal"/>
    <w:pPr>
      <w:numPr>
        <w:ilvl w:val="3"/>
        <w:numId w:val="1"/>
      </w:numPr>
    </w:pPr>
    <w:rPr>
      <w:rFonts w:eastAsia="Times New Roman"/>
      <w:lang w:eastAsia="de-D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Point5">
    <w:name w:val="Point 5"/>
    <w:basedOn w:val="Normal"/>
    <w:pPr>
      <w:ind w:left="3685" w:hanging="567"/>
    </w:pPr>
  </w:style>
  <w:style w:type="paragraph" w:customStyle="1" w:styleId="Tiret5">
    <w:name w:val="Tiret 5"/>
    <w:basedOn w:val="Point5"/>
    <w:pPr>
      <w:numPr>
        <w:numId w:val="11"/>
      </w:numPr>
    </w:pPr>
  </w:style>
  <w:style w:type="paragraph" w:customStyle="1" w:styleId="NumPar5">
    <w:name w:val="NumPar 5"/>
    <w:basedOn w:val="Normal"/>
    <w:next w:val="Text2"/>
    <w:pPr>
      <w:numPr>
        <w:ilvl w:val="4"/>
        <w:numId w:val="12"/>
      </w:numPr>
    </w:pPr>
  </w:style>
  <w:style w:type="paragraph" w:customStyle="1" w:styleId="NumPar6">
    <w:name w:val="NumPar 6"/>
    <w:basedOn w:val="Normal"/>
    <w:next w:val="Text2"/>
    <w:pPr>
      <w:numPr>
        <w:ilvl w:val="5"/>
        <w:numId w:val="12"/>
      </w:numPr>
    </w:pPr>
  </w:style>
  <w:style w:type="paragraph" w:customStyle="1" w:styleId="NumPar7">
    <w:name w:val="NumPar 7"/>
    <w:basedOn w:val="Normal"/>
    <w:next w:val="Text2"/>
    <w:pPr>
      <w:numPr>
        <w:ilvl w:val="6"/>
        <w:numId w:val="12"/>
      </w:numPr>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de-DE"/>
    </w:rPr>
  </w:style>
  <w:style w:type="paragraph" w:customStyle="1" w:styleId="ListNumberLevel2">
    <w:name w:val="List Number (Level 2)"/>
    <w:basedOn w:val="Normal"/>
    <w:pPr>
      <w:numPr>
        <w:ilvl w:val="1"/>
        <w:numId w:val="1"/>
      </w:numPr>
    </w:pPr>
    <w:rPr>
      <w:rFonts w:eastAsia="Times New Roman"/>
      <w:lang w:eastAsia="de-DE"/>
    </w:rPr>
  </w:style>
  <w:style w:type="paragraph" w:customStyle="1" w:styleId="ListNumberLevel3">
    <w:name w:val="List Number (Level 3)"/>
    <w:basedOn w:val="Normal"/>
    <w:pPr>
      <w:numPr>
        <w:ilvl w:val="2"/>
        <w:numId w:val="1"/>
      </w:numPr>
    </w:pPr>
    <w:rPr>
      <w:rFonts w:eastAsia="Times New Roman"/>
      <w:lang w:eastAsia="de-DE"/>
    </w:rPr>
  </w:style>
  <w:style w:type="paragraph" w:customStyle="1" w:styleId="ListNumberLevel4">
    <w:name w:val="List Number (Level 4)"/>
    <w:basedOn w:val="Normal"/>
    <w:pPr>
      <w:numPr>
        <w:ilvl w:val="3"/>
        <w:numId w:val="1"/>
      </w:numPr>
    </w:pPr>
    <w:rPr>
      <w:rFonts w:eastAsia="Times New Roman"/>
      <w:lang w:eastAsia="de-D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Point5">
    <w:name w:val="Point 5"/>
    <w:basedOn w:val="Normal"/>
    <w:pPr>
      <w:ind w:left="3685" w:hanging="567"/>
    </w:pPr>
  </w:style>
  <w:style w:type="paragraph" w:customStyle="1" w:styleId="Tiret5">
    <w:name w:val="Tiret 5"/>
    <w:basedOn w:val="Point5"/>
    <w:pPr>
      <w:numPr>
        <w:numId w:val="11"/>
      </w:numPr>
    </w:pPr>
  </w:style>
  <w:style w:type="paragraph" w:customStyle="1" w:styleId="NumPar5">
    <w:name w:val="NumPar 5"/>
    <w:basedOn w:val="Normal"/>
    <w:next w:val="Text2"/>
    <w:pPr>
      <w:numPr>
        <w:ilvl w:val="4"/>
        <w:numId w:val="12"/>
      </w:numPr>
    </w:pPr>
  </w:style>
  <w:style w:type="paragraph" w:customStyle="1" w:styleId="NumPar6">
    <w:name w:val="NumPar 6"/>
    <w:basedOn w:val="Normal"/>
    <w:next w:val="Text2"/>
    <w:pPr>
      <w:numPr>
        <w:ilvl w:val="5"/>
        <w:numId w:val="12"/>
      </w:numPr>
    </w:pPr>
  </w:style>
  <w:style w:type="paragraph" w:customStyle="1" w:styleId="NumPar7">
    <w:name w:val="NumPar 7"/>
    <w:basedOn w:val="Normal"/>
    <w:next w:val="Text2"/>
    <w:pPr>
      <w:numPr>
        <w:ilvl w:val="6"/>
        <w:numId w:val="12"/>
      </w:numPr>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6180">
      <w:bodyDiv w:val="1"/>
      <w:marLeft w:val="0"/>
      <w:marRight w:val="0"/>
      <w:marTop w:val="0"/>
      <w:marBottom w:val="0"/>
      <w:divBdr>
        <w:top w:val="none" w:sz="0" w:space="0" w:color="auto"/>
        <w:left w:val="none" w:sz="0" w:space="0" w:color="auto"/>
        <w:bottom w:val="none" w:sz="0" w:space="0" w:color="auto"/>
        <w:right w:val="none" w:sz="0" w:space="0" w:color="auto"/>
      </w:divBdr>
    </w:div>
    <w:div w:id="42881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487E243C297AB4F87C50AEE7240B5C7" ma:contentTypeVersion="1" ma:contentTypeDescription="Create a new document in this library." ma:contentTypeScope="" ma:versionID="33f03b4ca9e6cf51888504d824ac3183">
  <xsd:schema xmlns:xsd="http://www.w3.org/2001/XMLSchema" xmlns:xs="http://www.w3.org/2001/XMLSchema" xmlns:p="http://schemas.microsoft.com/office/2006/metadata/properties" xmlns:ns2="http://schemas.microsoft.com/sharepoint/v3/fields" xmlns:ns3="4864868a-e3f4-49fb-89bc-2140a99fffcd" xmlns:ns4="http://schemas.microsoft.com/sharepoint/v4" targetNamespace="http://schemas.microsoft.com/office/2006/metadata/properties" ma:root="true" ma:fieldsID="5d7b58ef1124637429748f57a198fb13" ns2:_="" ns3:_="" ns4:_="">
    <xsd:import namespace="http://schemas.microsoft.com/sharepoint/v3/fields"/>
    <xsd:import namespace="4864868a-e3f4-49fb-89bc-2140a99fffcd"/>
    <xsd:import namespace="http://schemas.microsoft.com/sharepoint/v4"/>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864868a-e3f4-49fb-89bc-2140a99fffc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4864868a-e3f4-49fb-89bc-2140a99fffcd">EN</EC_Collab_DocumentLanguage>
    <IconOverlay xmlns="http://schemas.microsoft.com/sharepoint/v4" xsi:nil="true"/>
    <EC_Collab_Reference xmlns="4864868a-e3f4-49fb-89bc-2140a99fffcd" xsi:nil="true"/>
    <EC_Collab_Status xmlns="4864868a-e3f4-49fb-89bc-2140a99fffcd">Not Started</EC_Collab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3DB59-B94B-4320-BD56-DE4D539B5AB2}">
  <ds:schemaRefs>
    <ds:schemaRef ds:uri="http://schemas.microsoft.com/sharepoint/v3/contenttype/forms"/>
  </ds:schemaRefs>
</ds:datastoreItem>
</file>

<file path=customXml/itemProps2.xml><?xml version="1.0" encoding="utf-8"?>
<ds:datastoreItem xmlns:ds="http://schemas.openxmlformats.org/officeDocument/2006/customXml" ds:itemID="{FB08FFCF-044B-4AA6-9C01-EBD6B5D00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864868a-e3f4-49fb-89bc-2140a99fffc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0DB58-2A6D-437F-A67B-D18D86F78E88}">
  <ds:schemaRefs>
    <ds:schemaRef ds:uri="http://schemas.microsoft.com/office/2006/metadata/properties"/>
    <ds:schemaRef ds:uri="http://schemas.microsoft.com/office/infopath/2007/PartnerControls"/>
    <ds:schemaRef ds:uri="http://schemas.microsoft.com/sharepoint/v3/fields"/>
    <ds:schemaRef ds:uri="4864868a-e3f4-49fb-89bc-2140a99fffcd"/>
    <ds:schemaRef ds:uri="http://schemas.microsoft.com/sharepoint/v4"/>
  </ds:schemaRefs>
</ds:datastoreItem>
</file>

<file path=customXml/itemProps4.xml><?xml version="1.0" encoding="utf-8"?>
<ds:datastoreItem xmlns:ds="http://schemas.openxmlformats.org/officeDocument/2006/customXml" ds:itemID="{A5F87F6E-0BC9-4546-83CF-B2ABDE32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6</Pages>
  <Words>1114</Words>
  <Characters>8072</Characters>
  <Application>Microsoft Office Word</Application>
  <DocSecurity>0</DocSecurity>
  <Lines>144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BONACINI Stefania (JUST)</dc:creator>
  <cp:keywords/>
  <dc:description/>
  <cp:lastModifiedBy>WES PDFC Administrator</cp:lastModifiedBy>
  <cp:revision>12</cp:revision>
  <dcterms:created xsi:type="dcterms:W3CDTF">2020-12-18T16:56:00Z</dcterms:created>
  <dcterms:modified xsi:type="dcterms:W3CDTF">2021-01-12T11:59:00Z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0x010100258AA79CEB83498886A3A08681123250003487E243C297AB4F87C50AEE7240B5C7</vt:lpwstr>
  </property>
  <property fmtid="{D5CDD505-2E9C-101B-9397-08002B2CF9AE}" pid="14" name="DQCStatus">
    <vt:lpwstr>Green (DQC version 03)</vt:lpwstr>
  </property>
</Properties>
</file>