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081B353-D52C-46E2-809B-1DB87D29FBCF" style="width:450.8pt;height:379.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UZASADNIENIE</w:t>
      </w:r>
    </w:p>
    <w:p>
      <w:pPr>
        <w:widowControl w:val="0"/>
        <w:shd w:val="clear" w:color="auto" w:fill="FFFFFF"/>
        <w:autoSpaceDE w:val="0"/>
        <w:autoSpaceDN w:val="0"/>
        <w:adjustRightInd w:val="0"/>
        <w:spacing w:before="230" w:after="0" w:line="269" w:lineRule="exact"/>
        <w:rPr>
          <w:noProof/>
        </w:rPr>
      </w:pPr>
      <w:r>
        <w:rPr>
          <w:noProof/>
        </w:rPr>
        <w:t>Zgodnie z art. 395 ust. 1 dyrektywy Rady 2006/112/WE z dnia 28 listopada 2006 r. w sprawie wspólnego systemu podatku od wartości dodanej</w:t>
      </w:r>
      <w:r>
        <w:rPr>
          <w:rStyle w:val="FootnoteReference"/>
          <w:noProof/>
        </w:rPr>
        <w:footnoteReference w:id="1"/>
      </w:r>
      <w:r>
        <w:rPr>
          <w:noProof/>
        </w:rPr>
        <w:t xml:space="preserve"> („dyrektywa VAT”) Rada, stanowiąc jednomyślnie na wniosek Komisji, może upoważnić każde państwo członkowskie do wprowadzenia szczególnych środków stanowiących odstępstwo od przepisów wspomnianej dyrektywy w celu upraszczania poboru VAT lub zapobiegania niektórym formom uchylania się od opodatkowania lub unikania opodatkowania.</w:t>
      </w:r>
    </w:p>
    <w:p>
      <w:pPr>
        <w:widowControl w:val="0"/>
        <w:shd w:val="clear" w:color="auto" w:fill="FFFFFF"/>
        <w:autoSpaceDE w:val="0"/>
        <w:autoSpaceDN w:val="0"/>
        <w:adjustRightInd w:val="0"/>
        <w:spacing w:before="230" w:after="0" w:line="269" w:lineRule="exact"/>
        <w:rPr>
          <w:noProof/>
        </w:rPr>
      </w:pPr>
      <w:r>
        <w:rPr>
          <w:noProof/>
        </w:rPr>
        <w:t>Pismem, które wpłynęło do Komisji w dniu 9 października 2020 r., Estonia wystąpiła z wnioskiem o upoważnienie do dalszego stosowania do dnia 31 grudnia 2024 r. środka stanowiącego odstępstwo od art. 287 dyrektywy VAT, pozwalającego Estonii na zwolnienie z VAT podatników, których roczny obrót nie przekracza kwoty 40 000 EUR.</w:t>
      </w:r>
    </w:p>
    <w:p>
      <w:pPr>
        <w:widowControl w:val="0"/>
        <w:shd w:val="clear" w:color="auto" w:fill="FFFFFF"/>
        <w:autoSpaceDE w:val="0"/>
        <w:autoSpaceDN w:val="0"/>
        <w:adjustRightInd w:val="0"/>
        <w:spacing w:before="230" w:after="0" w:line="269" w:lineRule="exact"/>
        <w:rPr>
          <w:noProof/>
        </w:rPr>
      </w:pPr>
      <w:r>
        <w:rPr>
          <w:noProof/>
        </w:rPr>
        <w:t>Zgodnie z art. 395 ust. 2 dyrektywy VAT pismem z dnia 15 października 2020 r. Komisja poinformowała pozostałe państwa członkowskie o wniosku złożonym przez Estonię. Pismem z dnia 19 października 2020 r. Komisja powiadomiła Estonię, że posiada wszystkie informacje niezbędne do rozpatrzenia wniosku.</w:t>
      </w:r>
    </w:p>
    <w:p>
      <w:pPr>
        <w:pStyle w:val="ManualHeading1"/>
        <w:rPr>
          <w:noProof/>
        </w:rPr>
      </w:pPr>
      <w:r>
        <w:rPr>
          <w:noProof/>
        </w:rPr>
        <w:t>1.</w:t>
      </w:r>
      <w:r>
        <w:rPr>
          <w:noProof/>
        </w:rPr>
        <w:tab/>
        <w:t>KONTEKST WNIOSKU</w:t>
      </w:r>
    </w:p>
    <w:p>
      <w:pPr>
        <w:pStyle w:val="ManualHeading2"/>
        <w:rPr>
          <w:rFonts w:eastAsia="Arial Unicode MS"/>
          <w:noProof/>
        </w:rPr>
      </w:pPr>
      <w:r>
        <w:rPr>
          <w:noProof/>
          <w:color w:val="000000"/>
          <w:u w:color="000000"/>
          <w:bdr w:val="nil"/>
        </w:rPr>
        <w:t>•</w:t>
      </w:r>
      <w:r>
        <w:rPr>
          <w:noProof/>
        </w:rPr>
        <w:tab/>
        <w:t>Przyczyny i cele wniosku</w:t>
      </w:r>
    </w:p>
    <w:p>
      <w:pPr>
        <w:pBdr>
          <w:top w:val="nil"/>
          <w:left w:val="nil"/>
          <w:bottom w:val="nil"/>
          <w:right w:val="nil"/>
          <w:between w:val="nil"/>
          <w:bar w:val="nil"/>
        </w:pBdr>
        <w:spacing w:before="0" w:after="240"/>
        <w:rPr>
          <w:rFonts w:eastAsia="Arial Unicode MS"/>
          <w:noProof/>
        </w:rPr>
      </w:pPr>
      <w:r>
        <w:rPr>
          <w:noProof/>
        </w:rPr>
        <w:t>Przepisy tytułu XII rozdział 1 dyrektywy VAT umożliwiają państwom członkowskim stosowanie procedur szczególnych w odniesieniu do małych przedsiębiorstw, w tym przewidują możliwość przyznania zwolnienia z podatku podatnikom, których obrót roczny nie przekracza określonego progu. Zwolnienie takie oznacza, że podatnik nie musi naliczać podatku VAT za swoje dostawy towarów i świadczone przez siebie usług i w konsekwencji nie może odliczyć naliczonego VAT.</w:t>
      </w:r>
    </w:p>
    <w:p>
      <w:pPr>
        <w:pBdr>
          <w:top w:val="nil"/>
          <w:left w:val="nil"/>
          <w:bottom w:val="nil"/>
          <w:right w:val="nil"/>
          <w:between w:val="nil"/>
          <w:bar w:val="nil"/>
        </w:pBdr>
        <w:spacing w:before="0" w:after="240"/>
        <w:rPr>
          <w:rFonts w:eastAsia="Arial Unicode MS"/>
          <w:noProof/>
        </w:rPr>
      </w:pPr>
      <w:r>
        <w:rPr>
          <w:noProof/>
        </w:rPr>
        <w:t>Zgodnie z art. 287 pkt 8 dyrektywy VAT Estonia może przyznać zwolnienie z VAT podatnikom, których roczny obrót nie przekracza równowartości 16 000 EUR w walucie krajowej zgodnie z kursem wymiany w dniu jej przystąpienia.</w:t>
      </w:r>
    </w:p>
    <w:p>
      <w:pPr>
        <w:pBdr>
          <w:top w:val="nil"/>
          <w:left w:val="nil"/>
          <w:bottom w:val="nil"/>
          <w:right w:val="nil"/>
          <w:between w:val="nil"/>
          <w:bar w:val="nil"/>
        </w:pBdr>
        <w:spacing w:before="0" w:after="240"/>
        <w:rPr>
          <w:rFonts w:eastAsia="Arial Unicode MS"/>
          <w:noProof/>
        </w:rPr>
      </w:pPr>
      <w:r>
        <w:rPr>
          <w:noProof/>
        </w:rPr>
        <w:t>Decyzją wykonawczą Rady (UE) 2017/563</w:t>
      </w:r>
      <w:r>
        <w:rPr>
          <w:rStyle w:val="FootnoteReference"/>
          <w:rFonts w:eastAsia="Arial Unicode MS"/>
          <w:noProof/>
        </w:rPr>
        <w:footnoteReference w:id="2"/>
      </w:r>
      <w:r>
        <w:rPr>
          <w:noProof/>
        </w:rPr>
        <w:t xml:space="preserve"> upoważniono Estonię do podwyższenia progu w odniesieniu do podatników, których roczny obrót nie przekracza 40 000 EUR. Zgodnie z tą decyzją Estonia może stosować środek stanowiący odstępstwo od dnia 1 stycznia 2018 r. do dnia 31 grudnia 2020 r.</w:t>
      </w:r>
    </w:p>
    <w:p>
      <w:pPr>
        <w:pBdr>
          <w:top w:val="nil"/>
          <w:left w:val="nil"/>
          <w:bottom w:val="nil"/>
          <w:right w:val="nil"/>
          <w:between w:val="nil"/>
          <w:bar w:val="nil"/>
        </w:pBdr>
        <w:spacing w:before="0" w:after="240"/>
        <w:rPr>
          <w:rFonts w:eastAsia="Arial Unicode MS"/>
          <w:noProof/>
        </w:rPr>
      </w:pPr>
      <w:r>
        <w:rPr>
          <w:noProof/>
        </w:rPr>
        <w:t>Procedurę szczególną dla małych przedsiębiorstw zmieniono dyrektywą Rady (UE) 2020/285</w:t>
      </w:r>
      <w:r>
        <w:rPr>
          <w:rStyle w:val="FootnoteReference"/>
          <w:rFonts w:eastAsia="Arial Unicode MS"/>
          <w:noProof/>
        </w:rPr>
        <w:footnoteReference w:id="3"/>
      </w:r>
      <w:r>
        <w:rPr>
          <w:noProof/>
        </w:rPr>
        <w:t xml:space="preserve">, która wejdzie w życie w dniu 1 stycznia 2025 r. Estonia zwróciła się o przedłużenie stosowania środka stanowiącego odstępstwo do dnia 31 grudnia 2024 r. Zgodnie z art. 284 dyrektywy VAT nowy próg – począwszy od dnia 1 stycznia 2025 r. – </w:t>
      </w:r>
      <w:r>
        <w:rPr>
          <w:noProof/>
        </w:rPr>
        <w:lastRenderedPageBreak/>
        <w:t>wynosi 85 000 EUR. W związku z tym wartość progowa w wysokości 40 000 EUR ustalona dla małych przedsiębiorstw w Estonii jest zgodna z nowym przepisem.</w:t>
      </w:r>
    </w:p>
    <w:p>
      <w:pPr>
        <w:pBdr>
          <w:top w:val="nil"/>
          <w:left w:val="nil"/>
          <w:bottom w:val="nil"/>
          <w:right w:val="nil"/>
          <w:between w:val="nil"/>
          <w:bar w:val="nil"/>
        </w:pBdr>
        <w:spacing w:before="0" w:after="240"/>
        <w:rPr>
          <w:rFonts w:eastAsia="Arial Unicode MS"/>
          <w:noProof/>
        </w:rPr>
      </w:pPr>
      <w:r>
        <w:rPr>
          <w:noProof/>
        </w:rPr>
        <w:t>Utrzymanie wartości progu rejestracji podatników umożliwia ograniczenie obciążenia administracyjnego podatników, których obrót podlegający opodatkowaniu mieści się w przedziale od 16 001 EUR do 40 000 EUR, bez znaczącego wpływu na całkowity dochód z tytułu podatku od wartości dodanej (VAT). W niewielkim stopniu ogranicza się również obciążenie pracą organów podatkowych. Środek stanowiący odstępstwo pozostaje dla podatników nieobowiązkowy.</w:t>
      </w:r>
    </w:p>
    <w:p>
      <w:pPr>
        <w:rPr>
          <w:noProof/>
        </w:rPr>
      </w:pPr>
      <w:r>
        <w:rPr>
          <w:noProof/>
        </w:rPr>
        <w:t>Środek stanowiący odstępstwo, upraszczający obowiązki małych przedsiębiorstw, jest zgodny z celami określonymi przez Unię Europejską w odniesieniu do małych przedsiębiorstw.</w:t>
      </w:r>
    </w:p>
    <w:p>
      <w:pPr>
        <w:pBdr>
          <w:top w:val="nil"/>
          <w:left w:val="nil"/>
          <w:bottom w:val="nil"/>
          <w:right w:val="nil"/>
          <w:between w:val="nil"/>
          <w:bar w:val="nil"/>
        </w:pBdr>
        <w:spacing w:before="0" w:after="240"/>
        <w:rPr>
          <w:rFonts w:eastAsia="Arial Unicode MS"/>
          <w:noProof/>
        </w:rPr>
      </w:pPr>
      <w:r>
        <w:rPr>
          <w:noProof/>
        </w:rPr>
        <w:t>Zastosowanie go nie ma znaczącego wpływu na całkowite dochody z tytułu VAT pobieranego na końcowym etapie konsumpcji. W wyniku zastosowania środka kwota podatku VAT przekazywana do budżetu państwa zmniejszy się o 15,6 mln EUR rocznie, co stanowi 0,6 % całkowitych wpływów z podatku od wartości dodanej.</w:t>
      </w:r>
    </w:p>
    <w:p>
      <w:pPr>
        <w:pBdr>
          <w:top w:val="nil"/>
          <w:left w:val="nil"/>
          <w:bottom w:val="nil"/>
          <w:right w:val="nil"/>
          <w:between w:val="nil"/>
          <w:bar w:val="nil"/>
        </w:pBdr>
        <w:spacing w:before="0" w:after="240"/>
        <w:rPr>
          <w:rFonts w:eastAsia="Arial Unicode MS"/>
          <w:noProof/>
        </w:rPr>
      </w:pPr>
      <w:r>
        <w:rPr>
          <w:noProof/>
        </w:rPr>
        <w:t>Środek stanowiący odstępstwo nie wpłynie na zasoby własne Unii pochodzące z VAT, ponieważ Estonia obliczy rekompensatę zgodnie z art. 6 rozporządzenia Rady (EWG, Euratom) nr 1553/89.</w:t>
      </w:r>
    </w:p>
    <w:p>
      <w:pPr>
        <w:pBdr>
          <w:top w:val="nil"/>
          <w:left w:val="nil"/>
          <w:bottom w:val="nil"/>
          <w:right w:val="nil"/>
          <w:between w:val="nil"/>
          <w:bar w:val="nil"/>
        </w:pBdr>
        <w:spacing w:before="0" w:after="240"/>
        <w:rPr>
          <w:rFonts w:eastAsia="Arial Unicode MS"/>
          <w:noProof/>
        </w:rPr>
      </w:pPr>
      <w:r>
        <w:rPr>
          <w:noProof/>
        </w:rPr>
        <w:t xml:space="preserve">Należy zatem upoważnić Republikę Estońską do stosowania przedmiotowego środka do dnia 31 grudnia 2024 r. </w:t>
      </w:r>
    </w:p>
    <w:p>
      <w:pPr>
        <w:pStyle w:val="ManualHeading2"/>
        <w:rPr>
          <w:rFonts w:eastAsia="Arial Unicode MS"/>
          <w:noProof/>
          <w:color w:val="000000"/>
          <w:u w:color="000000"/>
          <w:bdr w:val="nil"/>
        </w:rPr>
      </w:pPr>
      <w:r>
        <w:rPr>
          <w:noProof/>
          <w:color w:val="000000"/>
          <w:u w:color="000000"/>
          <w:bdr w:val="nil"/>
        </w:rPr>
        <w:t>•</w:t>
      </w:r>
      <w:r>
        <w:rPr>
          <w:noProof/>
        </w:rPr>
        <w:tab/>
        <w:t>Spójność z przepisami obowiązującymi w tej dziedzinie polityki</w:t>
      </w:r>
    </w:p>
    <w:p>
      <w:pPr>
        <w:pBdr>
          <w:top w:val="nil"/>
          <w:left w:val="nil"/>
          <w:bottom w:val="nil"/>
          <w:right w:val="nil"/>
          <w:between w:val="nil"/>
          <w:bar w:val="nil"/>
        </w:pBdr>
        <w:spacing w:before="0" w:after="240"/>
        <w:rPr>
          <w:rFonts w:eastAsia="Arial Unicode MS"/>
          <w:noProof/>
        </w:rPr>
      </w:pPr>
      <w:r>
        <w:rPr>
          <w:noProof/>
        </w:rPr>
        <w:t>Środek stanowiący odstępstwo jest zgodny z duchem dyrektywy (UE) 2020/285 zmieniającej art. 281–294 dyrektywy VAT dotyczące procedury szczególnej dla małych przedsiębiorstw, która jest wynikiem planu działania w sprawie VAT</w:t>
      </w:r>
      <w:r>
        <w:rPr>
          <w:rStyle w:val="FootnoteReference"/>
          <w:rFonts w:eastAsia="Arial Unicode MS"/>
          <w:noProof/>
        </w:rPr>
        <w:footnoteReference w:id="4"/>
      </w:r>
      <w:r>
        <w:rPr>
          <w:noProof/>
        </w:rPr>
        <w:t xml:space="preserve"> i ma na celu stworzenie nowoczesnego i uproszczonego systemu dla tych przedsiębiorstw. W szczególności środek ten ma na celu ograniczenie kosztów przestrzegania przepisów w zakresie VAT oraz ograniczenie zakłóceń konkurencji (zarówno na szczeblu krajowym, jak i na szczeblu UE), ograniczenie negatywnych skutków efektu progowego oraz ułatwianie prowadzenia działalności gospodarczej, a także monitorowania przez organy podatkowe.</w:t>
      </w:r>
    </w:p>
    <w:p>
      <w:pPr>
        <w:pBdr>
          <w:top w:val="nil"/>
          <w:left w:val="nil"/>
          <w:bottom w:val="nil"/>
          <w:right w:val="nil"/>
          <w:between w:val="nil"/>
          <w:bar w:val="nil"/>
        </w:pBdr>
        <w:spacing w:before="0" w:after="240"/>
        <w:rPr>
          <w:rFonts w:eastAsia="Arial Unicode MS"/>
          <w:noProof/>
        </w:rPr>
      </w:pPr>
      <w:r>
        <w:rPr>
          <w:noProof/>
        </w:rPr>
        <w:t>Próg 40 000 EUR jest ponadto zgodny z dyrektywą (UE) 2020/285, gdyż umożliwia ona państwom członkowskim ustalenie progu rocznego obrotu wymaganego do zwolnienia z VAT na poziomie nie wyższym niż 85 000 EUR (lub jego równowartości w walucie krajowej).</w:t>
      </w:r>
    </w:p>
    <w:p>
      <w:pPr>
        <w:pBdr>
          <w:top w:val="nil"/>
          <w:left w:val="nil"/>
          <w:bottom w:val="nil"/>
          <w:right w:val="nil"/>
          <w:between w:val="nil"/>
          <w:bar w:val="nil"/>
        </w:pBdr>
        <w:spacing w:before="0" w:after="240"/>
        <w:rPr>
          <w:rFonts w:eastAsia="Arial Unicode MS"/>
          <w:noProof/>
        </w:rPr>
      </w:pPr>
      <w:r>
        <w:rPr>
          <w:noProof/>
        </w:rPr>
        <w:t>Podobne odstępstwa, umożliwiające zwolnienie z VAT podatników, których roczny obrót nie przekracza określonego progu – jak przewidziano w art. 285 i 287 dyrektywy VAT – zostały przyznane innym państwom członkowskim. Niderlandom</w:t>
      </w:r>
      <w:r>
        <w:rPr>
          <w:rStyle w:val="FootnoteReference"/>
          <w:rFonts w:eastAsia="Arial Unicode MS"/>
          <w:noProof/>
        </w:rPr>
        <w:footnoteReference w:id="5"/>
      </w:r>
      <w:r>
        <w:rPr>
          <w:noProof/>
        </w:rPr>
        <w:t xml:space="preserve"> przyznano próg w wysokości 25 </w:t>
      </w:r>
      <w:r>
        <w:rPr>
          <w:noProof/>
        </w:rPr>
        <w:lastRenderedPageBreak/>
        <w:t>000 EUR; Włochom</w:t>
      </w:r>
      <w:r>
        <w:rPr>
          <w:rStyle w:val="FootnoteReference"/>
          <w:rFonts w:eastAsia="Arial Unicode MS"/>
          <w:noProof/>
        </w:rPr>
        <w:footnoteReference w:id="6"/>
      </w:r>
      <w:r>
        <w:rPr>
          <w:noProof/>
        </w:rPr>
        <w:t xml:space="preserve"> – w wysokości 30 000 EUR; Luksemburgowi</w:t>
      </w:r>
      <w:r>
        <w:rPr>
          <w:rStyle w:val="FootnoteReference"/>
          <w:rFonts w:eastAsia="Arial Unicode MS"/>
          <w:noProof/>
        </w:rPr>
        <w:footnoteReference w:id="7"/>
      </w:r>
      <w:r>
        <w:rPr>
          <w:noProof/>
        </w:rPr>
        <w:t xml:space="preserve"> – w wysokości 35 000 EUR; Łotwie</w:t>
      </w:r>
      <w:r>
        <w:rPr>
          <w:rStyle w:val="FootnoteReference"/>
          <w:rFonts w:eastAsia="Arial Unicode MS"/>
          <w:noProof/>
        </w:rPr>
        <w:footnoteReference w:id="8"/>
      </w:r>
      <w:r>
        <w:rPr>
          <w:noProof/>
        </w:rPr>
        <w:t>, Polsce</w:t>
      </w:r>
      <w:r>
        <w:rPr>
          <w:rStyle w:val="FootnoteReference"/>
          <w:rFonts w:eastAsia="Arial Unicode MS"/>
          <w:noProof/>
        </w:rPr>
        <w:footnoteReference w:id="9"/>
      </w:r>
      <w:r>
        <w:rPr>
          <w:noProof/>
        </w:rPr>
        <w:t xml:space="preserve"> – w wysokości 40 000 EUR; Litwie</w:t>
      </w:r>
      <w:r>
        <w:rPr>
          <w:rStyle w:val="FootnoteReference"/>
          <w:rFonts w:eastAsia="Arial Unicode MS"/>
          <w:noProof/>
        </w:rPr>
        <w:footnoteReference w:id="10"/>
      </w:r>
      <w:r>
        <w:rPr>
          <w:noProof/>
        </w:rPr>
        <w:t xml:space="preserve"> – w wysokości 55 000 EUR; Chorwacji</w:t>
      </w:r>
      <w:r>
        <w:rPr>
          <w:rStyle w:val="FootnoteReference"/>
          <w:rFonts w:eastAsia="Arial Unicode MS"/>
          <w:noProof/>
        </w:rPr>
        <w:footnoteReference w:id="11"/>
      </w:r>
      <w:r>
        <w:rPr>
          <w:noProof/>
        </w:rPr>
        <w:t xml:space="preserve"> – w wysokości 45 000 EUR, a Malcie</w:t>
      </w:r>
      <w:r>
        <w:rPr>
          <w:rStyle w:val="FootnoteReference"/>
          <w:rFonts w:eastAsia="Arial Unicode MS"/>
          <w:noProof/>
        </w:rPr>
        <w:footnoteReference w:id="12"/>
      </w:r>
      <w:r>
        <w:rPr>
          <w:noProof/>
        </w:rPr>
        <w:t xml:space="preserve"> – w wysokości 20 000 EUR; Węgrom</w:t>
      </w:r>
      <w:r>
        <w:rPr>
          <w:rStyle w:val="FootnoteReference"/>
          <w:rFonts w:eastAsia="Arial Unicode MS"/>
          <w:noProof/>
        </w:rPr>
        <w:footnoteReference w:id="13"/>
      </w:r>
      <w:r>
        <w:rPr>
          <w:noProof/>
        </w:rPr>
        <w:t xml:space="preserve"> – w wysokości 48 000 EUR; Słowenii</w:t>
      </w:r>
      <w:r>
        <w:rPr>
          <w:rStyle w:val="FootnoteReference"/>
          <w:rFonts w:eastAsia="Arial Unicode MS"/>
          <w:noProof/>
        </w:rPr>
        <w:footnoteReference w:id="14"/>
      </w:r>
      <w:r>
        <w:rPr>
          <w:noProof/>
        </w:rPr>
        <w:t xml:space="preserve"> – w wysokości 50 000 EUR, a Rumunii</w:t>
      </w:r>
      <w:r>
        <w:rPr>
          <w:rStyle w:val="FootnoteReference"/>
          <w:rFonts w:eastAsia="Arial Unicode MS"/>
          <w:noProof/>
        </w:rPr>
        <w:footnoteReference w:id="15"/>
      </w:r>
      <w:r>
        <w:rPr>
          <w:noProof/>
        </w:rPr>
        <w:t xml:space="preserve"> – w wysokości 88 500 EUR.</w:t>
      </w:r>
    </w:p>
    <w:p>
      <w:pPr>
        <w:pBdr>
          <w:top w:val="nil"/>
          <w:left w:val="nil"/>
          <w:bottom w:val="nil"/>
          <w:right w:val="nil"/>
          <w:between w:val="nil"/>
          <w:bar w:val="nil"/>
        </w:pBdr>
        <w:spacing w:before="0" w:after="240"/>
        <w:rPr>
          <w:rFonts w:eastAsia="Arial Unicode MS"/>
          <w:noProof/>
        </w:rPr>
      </w:pPr>
      <w:r>
        <w:rPr>
          <w:noProof/>
        </w:rPr>
        <w:t>Jak już wspomniano, odstępstwa od dyrektywy VAT powinny być zawsze ograniczone w czasie, aby można było ocenić ich efekty. Uwzględnienie daty wygaśnięcia środka szczególnego w dniu 31 grudnia 2024 r., o które ubiega się Republika Estońska, jest zgodne z wymogami dyrektywy (UE) 2020/285 w sprawie uproszczenia przepisów w zakresie VAT dla małych i średnich przedsiębiorstw. Dyrektywa ta stanowi, że z dniem 1 stycznia 2025 r. państwa członkowskie będą musiały stosować przepisy krajowe, do przyjęcia których będą zobowiązane w celu zapewnienia przestrzegania przepisów tej dyrektywy.</w:t>
      </w:r>
    </w:p>
    <w:p>
      <w:pPr>
        <w:pBdr>
          <w:top w:val="nil"/>
          <w:left w:val="nil"/>
          <w:bottom w:val="nil"/>
          <w:right w:val="nil"/>
          <w:between w:val="nil"/>
          <w:bar w:val="nil"/>
        </w:pBdr>
        <w:spacing w:before="0" w:after="240"/>
        <w:rPr>
          <w:rFonts w:eastAsia="Arial Unicode MS"/>
          <w:noProof/>
        </w:rPr>
      </w:pPr>
      <w:r>
        <w:rPr>
          <w:noProof/>
        </w:rPr>
        <w:t>Proponowany środek jest zatem zgodny z przepisami dyrektywy VAT.</w:t>
      </w:r>
    </w:p>
    <w:p>
      <w:pPr>
        <w:pStyle w:val="ManualHeading2"/>
        <w:rPr>
          <w:rFonts w:eastAsia="Arial Unicode MS"/>
          <w:noProof/>
        </w:rPr>
      </w:pPr>
      <w:r>
        <w:rPr>
          <w:noProof/>
          <w:color w:val="000000"/>
          <w:u w:color="000000"/>
          <w:bdr w:val="nil"/>
        </w:rPr>
        <w:lastRenderedPageBreak/>
        <w:t>•</w:t>
      </w:r>
      <w:r>
        <w:rPr>
          <w:noProof/>
        </w:rPr>
        <w:tab/>
        <w:t>Spójność z innymi politykami Unii</w:t>
      </w:r>
    </w:p>
    <w:p>
      <w:pPr>
        <w:pBdr>
          <w:top w:val="nil"/>
          <w:left w:val="nil"/>
          <w:bottom w:val="nil"/>
          <w:right w:val="nil"/>
          <w:between w:val="nil"/>
          <w:bar w:val="nil"/>
        </w:pBdr>
        <w:spacing w:before="0" w:after="240"/>
        <w:rPr>
          <w:noProof/>
        </w:rPr>
      </w:pPr>
      <w:r>
        <w:rPr>
          <w:noProof/>
        </w:rPr>
        <w:t>W swoich rocznych programach prac Komisja stale podkreśla potrzebę upraszczania przepisów dotyczących małych przedsiębiorstw. W tym względzie w programie prac Komisji na 2020 r.</w:t>
      </w:r>
      <w:r>
        <w:rPr>
          <w:rStyle w:val="FootnoteReference"/>
          <w:rFonts w:eastAsia="Arial Unicode MS"/>
          <w:noProof/>
        </w:rPr>
        <w:footnoteReference w:id="16"/>
      </w:r>
      <w:r>
        <w:rPr>
          <w:noProof/>
        </w:rPr>
        <w:t xml:space="preserve"> ujęto specjalną strategię na rzecz małych i średnich przedsiębiorstw, która pomoże im w prowadzeniu i rozszerzaniu działalności. Szczególny środek jest zgodny z takimi celami, jeśli chodzi o reguły fiskalne. Jest on zgodny zwłaszcza z programem prac Komisji na 2017 r.</w:t>
      </w:r>
      <w:r>
        <w:rPr>
          <w:rStyle w:val="FootnoteReference"/>
          <w:rFonts w:eastAsia="Arial Unicode MS"/>
          <w:noProof/>
        </w:rPr>
        <w:footnoteReference w:id="17"/>
      </w:r>
      <w:r>
        <w:rPr>
          <w:noProof/>
        </w:rPr>
        <w:t>, w którym odniesiono się w szczególności do kwestii VAT i wskazano, że obciążenie administracyjne dla małych przedsiębiorstw związane z przestrzeganiem przepisów dotyczących VAT jest znaczne, a innowacje techniczne są źródłem nowych wyzwań dla skutecznego poboru podatków; w programie tym podkreślono także potrzebę uproszczenia VAT dla mniejszych przedsiębiorstw.</w:t>
      </w:r>
    </w:p>
    <w:p>
      <w:pPr>
        <w:pBdr>
          <w:top w:val="nil"/>
          <w:left w:val="nil"/>
          <w:bottom w:val="nil"/>
          <w:right w:val="nil"/>
          <w:between w:val="nil"/>
          <w:bar w:val="nil"/>
        </w:pBdr>
        <w:spacing w:before="0" w:after="240"/>
        <w:rPr>
          <w:noProof/>
        </w:rPr>
      </w:pPr>
      <w:r>
        <w:rPr>
          <w:noProof/>
        </w:rPr>
        <w:t>Środek jest również zgodny ze strategią jednolitego rynku z 2015 r.</w:t>
      </w:r>
      <w:r>
        <w:rPr>
          <w:rStyle w:val="FootnoteReference"/>
          <w:rFonts w:eastAsia="Arial Unicode MS"/>
          <w:noProof/>
        </w:rPr>
        <w:footnoteReference w:id="18"/>
      </w:r>
      <w:r>
        <w:rPr>
          <w:noProof/>
        </w:rPr>
        <w:t>, w ramach której Komisja określiła środki mające wspomóc rozwój małych i średnich przedsiębiorstw, między innymi poprzez zmniejszenie obciążeń administracyjnych, które uniemożliwiają im pełne korzystanie z jednolitego rynku. Jest on również zgodny z duchem komunikatu Komisji z 2013 r. pt. „Plan działania na rzecz przedsiębiorczości do 2020 r.: Pobudzanie ducha przedsiębiorczości w Europie”</w:t>
      </w:r>
      <w:r>
        <w:rPr>
          <w:rStyle w:val="FootnoteReference"/>
          <w:rFonts w:eastAsia="Arial Unicode MS"/>
          <w:noProof/>
        </w:rPr>
        <w:footnoteReference w:id="19"/>
      </w:r>
      <w:r>
        <w:rPr>
          <w:noProof/>
        </w:rPr>
        <w:t>, w którym podkreślono potrzebę uproszczenia przepisów podatkowych dla małych przedsiębiorstw.</w:t>
      </w:r>
    </w:p>
    <w:p>
      <w:pPr>
        <w:pBdr>
          <w:top w:val="nil"/>
          <w:left w:val="nil"/>
          <w:bottom w:val="nil"/>
          <w:right w:val="nil"/>
          <w:between w:val="nil"/>
          <w:bar w:val="nil"/>
        </w:pBdr>
        <w:spacing w:before="0" w:after="240"/>
        <w:rPr>
          <w:rFonts w:eastAsia="Arial Unicode MS"/>
          <w:noProof/>
        </w:rPr>
      </w:pPr>
      <w:r>
        <w:rPr>
          <w:noProof/>
        </w:rPr>
        <w:t>I wreszcie środek jest zgodny z polityką UE dotyczącą małych i średnich przedsiębiorstw, określoną w komunikacie z 2016 r. w sprawie przedsiębiorstw typu start-up</w:t>
      </w:r>
      <w:r>
        <w:rPr>
          <w:rStyle w:val="FootnoteReference"/>
          <w:rFonts w:eastAsia="Arial Unicode MS"/>
          <w:noProof/>
        </w:rPr>
        <w:footnoteReference w:id="20"/>
      </w:r>
      <w:r>
        <w:rPr>
          <w:noProof/>
        </w:rPr>
        <w:t>, oraz z komunikatem z 2008 r. „Najpierw myśl na małą skalę” – Program „Small Business Act” dla Europy</w:t>
      </w:r>
      <w:r>
        <w:rPr>
          <w:rStyle w:val="FootnoteReference"/>
          <w:rFonts w:eastAsia="Arial Unicode MS"/>
          <w:noProof/>
        </w:rPr>
        <w:footnoteReference w:id="21"/>
      </w:r>
      <w:r>
        <w:rPr>
          <w:noProof/>
        </w:rPr>
        <w:t>, w którym wezwano państwa członkowskie do uwzględnienia szczególnego charakteru MŚP przy opracowywaniu prawodawstwa i do uproszczenia istniejącego otoczenia regulacyjnego.</w:t>
      </w:r>
    </w:p>
    <w:p>
      <w:pPr>
        <w:pStyle w:val="ManualHeading1"/>
        <w:rPr>
          <w:noProof/>
        </w:rPr>
      </w:pPr>
      <w:r>
        <w:rPr>
          <w:noProof/>
        </w:rPr>
        <w:t>2.</w:t>
      </w:r>
      <w:r>
        <w:rPr>
          <w:noProof/>
        </w:rPr>
        <w:tab/>
        <w:t>PODSTAWA PRAWNA, POMOCNICZOŚĆ I PROPORCJONALNOŚĆ</w:t>
      </w:r>
    </w:p>
    <w:p>
      <w:pPr>
        <w:pStyle w:val="ManualHeading2"/>
        <w:rPr>
          <w:rFonts w:eastAsia="Arial Unicode MS"/>
          <w:noProof/>
          <w:u w:color="000000"/>
          <w:bdr w:val="nil"/>
        </w:rPr>
      </w:pPr>
      <w:r>
        <w:rPr>
          <w:noProof/>
          <w:u w:color="000000"/>
          <w:bdr w:val="nil"/>
        </w:rPr>
        <w:t>•</w:t>
      </w:r>
      <w:r>
        <w:rPr>
          <w:noProof/>
        </w:rPr>
        <w:tab/>
      </w:r>
      <w:r>
        <w:rPr>
          <w:noProof/>
          <w:u w:color="000000"/>
          <w:bdr w:val="nil"/>
        </w:rPr>
        <w:t>Podstawa prawna</w:t>
      </w:r>
    </w:p>
    <w:p>
      <w:pPr>
        <w:pStyle w:val="Text1"/>
        <w:ind w:left="0"/>
        <w:rPr>
          <w:noProof/>
        </w:rPr>
      </w:pPr>
      <w:r>
        <w:rPr>
          <w:noProof/>
        </w:rPr>
        <w:t>Art. 395 dyrektywy VAT.</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 xml:space="preserve">Pomocniczość (w przypadku kompetencji niewyłącznych) </w:t>
      </w:r>
    </w:p>
    <w:p>
      <w:pPr>
        <w:pBdr>
          <w:top w:val="nil"/>
          <w:left w:val="nil"/>
          <w:bottom w:val="nil"/>
          <w:right w:val="nil"/>
          <w:between w:val="nil"/>
          <w:bar w:val="nil"/>
        </w:pBdr>
        <w:spacing w:before="0" w:after="240"/>
        <w:rPr>
          <w:rFonts w:eastAsia="Arial Unicode MS"/>
          <w:noProof/>
        </w:rPr>
      </w:pPr>
      <w:r>
        <w:rPr>
          <w:noProof/>
        </w:rPr>
        <w:t>Biorąc pod uwagę przepis dyrektywy VAT będący podstawą wniosku, należy stwierdzić, że wniosek wchodzi w zakres wyłącznych kompetencji Unii Europejskiej. Zasada pomocniczości nie ma zatem zastosowania.</w:t>
      </w:r>
    </w:p>
    <w:p>
      <w:pPr>
        <w:pStyle w:val="ManualHeading2"/>
        <w:rPr>
          <w:rFonts w:eastAsia="Arial Unicode MS"/>
          <w:noProof/>
          <w:u w:color="000000"/>
          <w:bdr w:val="nil"/>
        </w:rPr>
      </w:pPr>
      <w:r>
        <w:rPr>
          <w:noProof/>
          <w:u w:color="000000"/>
          <w:bdr w:val="nil"/>
        </w:rPr>
        <w:t>•</w:t>
      </w:r>
      <w:r>
        <w:rPr>
          <w:noProof/>
        </w:rPr>
        <w:tab/>
      </w:r>
      <w:r>
        <w:rPr>
          <w:noProof/>
          <w:u w:color="000000"/>
          <w:bdr w:val="nil"/>
        </w:rPr>
        <w:t>Proporcjonalność</w:t>
      </w:r>
    </w:p>
    <w:p>
      <w:pPr>
        <w:pStyle w:val="Text1"/>
        <w:ind w:left="0"/>
        <w:rPr>
          <w:noProof/>
        </w:rPr>
      </w:pPr>
      <w:r>
        <w:rPr>
          <w:noProof/>
        </w:rPr>
        <w:t>Niniejsza decyzja dotyczy upoważnienia udzielonego państwu członkowskiemu w odpowiedzi na jego własny wniosek i nie stanowi żadnego zobowiązania.</w:t>
      </w:r>
    </w:p>
    <w:p>
      <w:pPr>
        <w:pStyle w:val="Text1"/>
        <w:ind w:left="0"/>
        <w:rPr>
          <w:noProof/>
        </w:rPr>
      </w:pPr>
      <w:r>
        <w:rPr>
          <w:noProof/>
        </w:rPr>
        <w:t>Zważywszy na ograniczony zakres odstępstwa, omawiany środek szczególny jest proporcjonalny do wyznaczonego celu, tj. uproszczenia poboru podatku VAT dla małych podatników oraz dla organów podatkowych.</w:t>
      </w:r>
    </w:p>
    <w:p>
      <w:pPr>
        <w:pStyle w:val="ManualHeading2"/>
        <w:rPr>
          <w:rFonts w:eastAsia="Arial Unicode MS"/>
          <w:noProof/>
          <w:u w:color="000000"/>
          <w:bdr w:val="nil"/>
        </w:rPr>
      </w:pPr>
      <w:r>
        <w:rPr>
          <w:noProof/>
          <w:u w:color="000000"/>
          <w:bdr w:val="nil"/>
        </w:rPr>
        <w:t>•</w:t>
      </w:r>
      <w:r>
        <w:rPr>
          <w:noProof/>
        </w:rPr>
        <w:tab/>
      </w:r>
      <w:r>
        <w:rPr>
          <w:noProof/>
          <w:u w:color="000000"/>
          <w:bdr w:val="nil"/>
        </w:rPr>
        <w:t>Wybór instrumentu</w:t>
      </w:r>
    </w:p>
    <w:p>
      <w:pPr>
        <w:pBdr>
          <w:top w:val="nil"/>
          <w:left w:val="nil"/>
          <w:bottom w:val="nil"/>
          <w:right w:val="nil"/>
          <w:between w:val="nil"/>
          <w:bar w:val="nil"/>
        </w:pBdr>
        <w:spacing w:before="0" w:after="240"/>
        <w:rPr>
          <w:noProof/>
          <w:shd w:val="clear" w:color="auto" w:fill="FFFFFF"/>
        </w:rPr>
      </w:pPr>
      <w:r>
        <w:rPr>
          <w:noProof/>
          <w:shd w:val="clear" w:color="auto" w:fill="FFFFFF"/>
        </w:rPr>
        <w:t>Proponowany instrument: DECYZJA WYKONAWCZA RADY</w:t>
      </w:r>
    </w:p>
    <w:p>
      <w:pPr>
        <w:pBdr>
          <w:top w:val="nil"/>
          <w:left w:val="nil"/>
          <w:bottom w:val="nil"/>
          <w:right w:val="nil"/>
          <w:between w:val="nil"/>
          <w:bar w:val="nil"/>
        </w:pBdr>
        <w:spacing w:before="0" w:after="240"/>
        <w:rPr>
          <w:rFonts w:eastAsia="Arial Unicode MS"/>
          <w:noProof/>
        </w:rPr>
      </w:pPr>
      <w:r>
        <w:rPr>
          <w:noProof/>
        </w:rPr>
        <w:t>Zgodnie z art. 395 dyrektywy VAT odstępstwo od wspólnych przepisów dotyczących podatku VAT jest możliwe jedynie na podstawie upoważnienia Rady, stanowiącej jednomyślnie na wniosek Komisji. Ponadto decyzja Rady jest najwłaściwszym instrumentem, ponieważ może być skierowana do poszczególnych państw członkowskich.</w:t>
      </w:r>
    </w:p>
    <w:p>
      <w:pPr>
        <w:pStyle w:val="ManualHeading1"/>
        <w:rPr>
          <w:noProof/>
        </w:rPr>
      </w:pPr>
      <w:r>
        <w:rPr>
          <w:noProof/>
        </w:rPr>
        <w:t>3.</w:t>
      </w:r>
      <w:r>
        <w:rPr>
          <w:noProof/>
        </w:rPr>
        <w:tab/>
        <w:t>WYNIKI OCEN EX POST, KONSULTACJI Z ZAINTERESOWANYMI STRONAMI I OCEN SKUTKÓW</w:t>
      </w:r>
    </w:p>
    <w:p>
      <w:pPr>
        <w:pStyle w:val="ManualHeading2"/>
        <w:rPr>
          <w:rFonts w:eastAsia="Arial Unicode MS"/>
          <w:noProof/>
          <w:u w:color="000000"/>
          <w:bdr w:val="nil"/>
        </w:rPr>
      </w:pPr>
      <w:r>
        <w:rPr>
          <w:noProof/>
          <w:u w:color="000000"/>
          <w:bdr w:val="nil"/>
        </w:rPr>
        <w:t>•</w:t>
      </w:r>
      <w:r>
        <w:rPr>
          <w:noProof/>
        </w:rPr>
        <w:tab/>
      </w:r>
      <w:r>
        <w:rPr>
          <w:noProof/>
          <w:u w:color="000000"/>
          <w:bdr w:val="nil"/>
        </w:rPr>
        <w:t>Konsultacje z zainteresowanymi stronami</w:t>
      </w:r>
    </w:p>
    <w:p>
      <w:pPr>
        <w:pBdr>
          <w:top w:val="nil"/>
          <w:left w:val="nil"/>
          <w:bottom w:val="nil"/>
          <w:right w:val="nil"/>
          <w:between w:val="nil"/>
          <w:bar w:val="nil"/>
        </w:pBdr>
        <w:spacing w:before="0" w:after="240"/>
        <w:rPr>
          <w:rFonts w:eastAsia="Arial Unicode MS"/>
          <w:noProof/>
        </w:rPr>
      </w:pPr>
      <w:r>
        <w:rPr>
          <w:noProof/>
        </w:rPr>
        <w:t>Nie przeprowadzono konsultacji z zainteresowanymi stronami. Niniejszy wniosek opiera się na wniosku złożonym przez Estonię i dotyczy wyłącznie tego państwa członkowskiego.</w:t>
      </w:r>
    </w:p>
    <w:p>
      <w:pPr>
        <w:pStyle w:val="ManualHeading2"/>
        <w:rPr>
          <w:rFonts w:eastAsia="Arial Unicode MS"/>
          <w:noProof/>
          <w:u w:color="000000"/>
          <w:bdr w:val="nil"/>
        </w:rPr>
      </w:pPr>
      <w:r>
        <w:rPr>
          <w:noProof/>
          <w:u w:color="000000"/>
          <w:bdr w:val="nil"/>
        </w:rPr>
        <w:t>•</w:t>
      </w:r>
      <w:r>
        <w:rPr>
          <w:noProof/>
        </w:rPr>
        <w:tab/>
      </w:r>
      <w:r>
        <w:rPr>
          <w:noProof/>
          <w:u w:color="000000"/>
          <w:bdr w:val="nil"/>
        </w:rPr>
        <w:t>Gromadzenie i wykorzystanie wiedzy eksperckiej</w:t>
      </w:r>
    </w:p>
    <w:p>
      <w:pPr>
        <w:pBdr>
          <w:top w:val="nil"/>
          <w:left w:val="nil"/>
          <w:bottom w:val="nil"/>
          <w:right w:val="nil"/>
          <w:between w:val="nil"/>
          <w:bar w:val="nil"/>
        </w:pBdr>
        <w:spacing w:before="0" w:after="240"/>
        <w:rPr>
          <w:rFonts w:eastAsia="Arial Unicode MS"/>
          <w:noProof/>
        </w:rPr>
      </w:pPr>
      <w:r>
        <w:rPr>
          <w:noProof/>
        </w:rPr>
        <w:t>Nie zaistniała potrzeba skorzystania z pomocy ekspertów zewnętrznych.</w:t>
      </w:r>
    </w:p>
    <w:p>
      <w:pPr>
        <w:pStyle w:val="ManualHeading2"/>
        <w:rPr>
          <w:rFonts w:eastAsia="Arial Unicode MS"/>
          <w:noProof/>
          <w:u w:color="000000"/>
          <w:bdr w:val="nil"/>
        </w:rPr>
      </w:pPr>
      <w:r>
        <w:rPr>
          <w:noProof/>
          <w:u w:color="000000"/>
          <w:bdr w:val="nil"/>
        </w:rPr>
        <w:t>•</w:t>
      </w:r>
      <w:r>
        <w:rPr>
          <w:noProof/>
        </w:rPr>
        <w:tab/>
      </w:r>
      <w:r>
        <w:rPr>
          <w:noProof/>
          <w:u w:color="000000"/>
          <w:bdr w:val="nil"/>
        </w:rPr>
        <w:t>Ocena skutków</w:t>
      </w:r>
    </w:p>
    <w:p>
      <w:pPr>
        <w:pBdr>
          <w:top w:val="nil"/>
          <w:left w:val="nil"/>
          <w:bottom w:val="nil"/>
          <w:right w:val="nil"/>
          <w:between w:val="nil"/>
          <w:bar w:val="nil"/>
        </w:pBdr>
        <w:spacing w:before="0" w:after="240"/>
        <w:rPr>
          <w:noProof/>
        </w:rPr>
      </w:pPr>
      <w:r>
        <w:rPr>
          <w:noProof/>
        </w:rPr>
        <w:t xml:space="preserve">Wniosek w sprawie decyzji wykonawczej Rady dotyczy podwyższenia progu rocznego obrotu, poniżej którego podatnicy mogą być zwolnieni z podatku VAT. We wniosku rozszerza się zatem zakres środka upraszczającego, znoszącego wiele obowiązków związanych z VAT w przypadku przedsiębiorstw, których roczny obrót nie przekracza 40 000 EUR. </w:t>
      </w:r>
    </w:p>
    <w:p>
      <w:pPr>
        <w:pBdr>
          <w:top w:val="nil"/>
          <w:left w:val="nil"/>
          <w:bottom w:val="nil"/>
          <w:right w:val="nil"/>
          <w:between w:val="nil"/>
          <w:bar w:val="nil"/>
        </w:pBdr>
        <w:spacing w:before="0" w:after="240"/>
        <w:rPr>
          <w:rFonts w:eastAsia="Arial Unicode MS"/>
          <w:noProof/>
        </w:rPr>
      </w:pPr>
      <w:r>
        <w:rPr>
          <w:noProof/>
        </w:rPr>
        <w:t xml:space="preserve">Podatnicy, których obrót podlegający opodatkowaniu nie przekracza tego progu, nie będą musieli rejestrować się do celów podatku VAT, a tym samym w wyniku zastosowania tego środka zmniejszy się ich obciążenie administracyjne, gdyż nie będą zobowiązani do prowadzenia ewidencji VAT i składania deklaracji VAT. Nastąpi również zmniejszenie obciążenia pracą organów podatkowych. Będzie to miało potencjalnie pozytywny wpływ na zmniejszenie obciążenia administracyjnego podatników zarejestrowanych aktualnie w Estonii do celów VAT, a także organów podatkowych. </w:t>
      </w:r>
    </w:p>
    <w:p>
      <w:pPr>
        <w:pBdr>
          <w:top w:val="nil"/>
          <w:left w:val="nil"/>
          <w:bottom w:val="nil"/>
          <w:right w:val="nil"/>
          <w:between w:val="nil"/>
          <w:bar w:val="nil"/>
        </w:pBdr>
        <w:spacing w:before="0" w:after="240"/>
        <w:rPr>
          <w:rFonts w:eastAsia="Arial Unicode MS"/>
          <w:noProof/>
        </w:rPr>
      </w:pPr>
      <w:r>
        <w:rPr>
          <w:noProof/>
        </w:rPr>
        <w:t xml:space="preserve">Według Estonii w latach 2016 i 2017 odsetek podatników zidentyfikowanych do celów VAT, których roczny obrót mieścił się w przedziale 16 001-40 000 EUR, stanowił 18 % łącznej liczby podatników zidentyfikowanych do celów VAT. W 2019 r. odsetek ten wynosił 15 %. Łączna liczba podatników zidentyfikowanych do celów VAT w Estonii na dzień 14 września </w:t>
      </w:r>
      <w:r>
        <w:rPr>
          <w:noProof/>
        </w:rPr>
        <w:lastRenderedPageBreak/>
        <w:t>2020 r. wynosiła 98 160. Środek stanowiący odstępstwo dotyczy zatem bezpośrednio około 3 000 przedsiębiorstw.</w:t>
      </w:r>
    </w:p>
    <w:p>
      <w:pPr>
        <w:rPr>
          <w:noProof/>
        </w:rPr>
      </w:pPr>
      <w:r>
        <w:rPr>
          <w:noProof/>
        </w:rPr>
        <w:t>Jeśli chodzi o dochody budżetu krajowego, wpływ na budżet Estonii pod względem dochodów z VAT nie jest znaczący. W wyniku zastosowania środka dochody państwa z tytułu VAT zmniejszą się o 15,6 mln EUR rocznie, co stanowi 0,6 % całkowitych wpływów z VAT. Wpływ na budżet jest niewielki.</w:t>
      </w:r>
    </w:p>
    <w:p>
      <w:pPr>
        <w:pStyle w:val="ManualHeading2"/>
        <w:rPr>
          <w:rFonts w:eastAsia="Arial Unicode MS"/>
          <w:noProof/>
          <w:u w:color="000000"/>
          <w:bdr w:val="nil"/>
        </w:rPr>
      </w:pPr>
      <w:r>
        <w:rPr>
          <w:noProof/>
          <w:u w:color="000000"/>
          <w:bdr w:val="nil"/>
        </w:rPr>
        <w:t>•</w:t>
      </w:r>
      <w:r>
        <w:rPr>
          <w:noProof/>
        </w:rPr>
        <w:tab/>
      </w:r>
      <w:r>
        <w:rPr>
          <w:noProof/>
          <w:u w:color="000000"/>
          <w:bdr w:val="nil"/>
        </w:rPr>
        <w:t>Prawa podstawowe</w:t>
      </w:r>
    </w:p>
    <w:p>
      <w:pPr>
        <w:pBdr>
          <w:top w:val="nil"/>
          <w:left w:val="nil"/>
          <w:bottom w:val="nil"/>
          <w:right w:val="nil"/>
          <w:between w:val="nil"/>
          <w:bar w:val="nil"/>
        </w:pBdr>
        <w:spacing w:before="0" w:after="240"/>
        <w:rPr>
          <w:rFonts w:eastAsia="Arial Unicode MS"/>
          <w:noProof/>
        </w:rPr>
      </w:pPr>
      <w:r>
        <w:rPr>
          <w:noProof/>
        </w:rPr>
        <w:t>Wniosek nie ma żadnych skutków dla ochrony praw podstawowych.</w:t>
      </w:r>
    </w:p>
    <w:p>
      <w:pPr>
        <w:pStyle w:val="ManualHeading1"/>
        <w:rPr>
          <w:noProof/>
        </w:rPr>
      </w:pPr>
      <w:r>
        <w:rPr>
          <w:noProof/>
        </w:rPr>
        <w:t>4.</w:t>
      </w:r>
      <w:r>
        <w:rPr>
          <w:noProof/>
        </w:rPr>
        <w:tab/>
        <w:t>WPŁYW NA BUDŻET</w:t>
      </w:r>
    </w:p>
    <w:p>
      <w:pPr>
        <w:rPr>
          <w:noProof/>
        </w:rPr>
      </w:pPr>
      <w:r>
        <w:rPr>
          <w:noProof/>
        </w:rPr>
        <w:t>Wniosek nie ma negatywnego wpływu na budżet UE, ponieważ Estonia dokona obliczenia rekompensaty zgodnie z art. 6 rozporządzenia Rady (EWG, Euratom) nr 1553/89</w:t>
      </w:r>
      <w:r>
        <w:rPr>
          <w:rStyle w:val="FootnoteReference"/>
          <w:noProof/>
        </w:rPr>
        <w:footnoteReference w:id="22"/>
      </w:r>
      <w:r>
        <w:rPr>
          <w:noProof/>
        </w:rPr>
        <w:t>.</w:t>
      </w:r>
    </w:p>
    <w:p>
      <w:pPr>
        <w:rPr>
          <w:noProof/>
        </w:rPr>
        <w:sectPr>
          <w:footerReference w:type="default" r:id="rId11"/>
          <w:footerReference w:type="first" r:id="rId12"/>
          <w:pgSz w:w="11907" w:h="16839"/>
          <w:pgMar w:top="1134" w:right="1418" w:bottom="1134" w:left="1418" w:header="709" w:footer="709" w:gutter="0"/>
          <w:cols w:space="708"/>
          <w:docGrid w:linePitch="360"/>
        </w:sectPr>
      </w:pPr>
    </w:p>
    <w:p>
      <w:pPr>
        <w:pStyle w:val="Rfrenceinterinstitutionnelle"/>
        <w:rPr>
          <w:noProof/>
        </w:rPr>
      </w:pPr>
      <w:r>
        <w:rPr>
          <w:noProof/>
        </w:rPr>
        <w:lastRenderedPageBreak/>
        <w:t>2021/0006 (NLE)</w:t>
      </w:r>
    </w:p>
    <w:p>
      <w:pPr>
        <w:pStyle w:val="Statut"/>
        <w:rPr>
          <w:noProof/>
        </w:rPr>
      </w:pPr>
      <w:r>
        <w:rPr>
          <w:noProof/>
        </w:rPr>
        <w:t>Wniosek</w:t>
      </w:r>
    </w:p>
    <w:p>
      <w:pPr>
        <w:pStyle w:val="Typedudocument"/>
        <w:rPr>
          <w:noProof/>
        </w:rPr>
      </w:pPr>
      <w:r>
        <w:rPr>
          <w:noProof/>
        </w:rPr>
        <w:t>DECYZJA WYKONAWCZA RADY</w:t>
      </w:r>
    </w:p>
    <w:p>
      <w:pPr>
        <w:pStyle w:val="Titreobjet"/>
        <w:rPr>
          <w:noProof/>
        </w:rPr>
      </w:pPr>
      <w:r>
        <w:rPr>
          <w:noProof/>
        </w:rPr>
        <w:t xml:space="preserve">zmieniająca decyzję wykonawczą (UE) 2017/563 upoważniającą Republikę Estońską do stosowania szczególnego środka stanowiącego odstępstwo od art. 287 dyrektywy 2006/112/WE w sprawie wspólnego systemu podatku od wartości dodanej </w:t>
      </w:r>
      <w:r>
        <w:rPr>
          <w:noProof/>
        </w:rPr>
        <w:br/>
      </w:r>
    </w:p>
    <w:p>
      <w:pPr>
        <w:pStyle w:val="Institutionquiagit"/>
        <w:rPr>
          <w:noProof/>
        </w:rPr>
      </w:pPr>
      <w:r>
        <w:rPr>
          <w:noProof/>
        </w:rPr>
        <w:t>RADA UNII EUROPEJSKIEJ,</w:t>
      </w:r>
    </w:p>
    <w:p>
      <w:pPr>
        <w:rPr>
          <w:noProof/>
        </w:rPr>
      </w:pPr>
      <w:r>
        <w:rPr>
          <w:noProof/>
        </w:rPr>
        <w:t xml:space="preserve">uwzględniając Traktat o funkcjonowaniu Unii Europejskiej, </w:t>
      </w:r>
    </w:p>
    <w:p>
      <w:pPr>
        <w:rPr>
          <w:noProof/>
        </w:rPr>
      </w:pPr>
      <w:r>
        <w:rPr>
          <w:noProof/>
        </w:rPr>
        <w:t>uwzględniając dyrektywę Rady 2006/112/WE z dnia 28 listopada 2006 r. w sprawie wspólnego systemu podatku od wartości dodanej</w:t>
      </w:r>
      <w:r>
        <w:rPr>
          <w:rStyle w:val="FootnoteReference"/>
          <w:noProof/>
        </w:rPr>
        <w:footnoteReference w:id="23"/>
      </w:r>
      <w:r>
        <w:rPr>
          <w:noProof/>
        </w:rPr>
        <w:t>, w szczególności jej art. 395 ust. 1 akapit pierwszy,</w:t>
      </w:r>
    </w:p>
    <w:p>
      <w:pPr>
        <w:rPr>
          <w:noProof/>
        </w:rPr>
      </w:pPr>
      <w:r>
        <w:rPr>
          <w:noProof/>
        </w:rPr>
        <w:t>uwzględniając wniosek Komisji Europejskiej,</w:t>
      </w:r>
    </w:p>
    <w:p>
      <w:pPr>
        <w:rPr>
          <w:noProof/>
        </w:rPr>
      </w:pPr>
      <w:r>
        <w:rPr>
          <w:noProof/>
        </w:rPr>
        <w:t>a także mając na uwadze, co następuje:</w:t>
      </w:r>
    </w:p>
    <w:p>
      <w:pPr>
        <w:pStyle w:val="ManualConsidrant"/>
        <w:rPr>
          <w:noProof/>
        </w:rPr>
      </w:pPr>
      <w:r>
        <w:t>(1)</w:t>
      </w:r>
      <w:r>
        <w:tab/>
      </w:r>
      <w:r>
        <w:rPr>
          <w:noProof/>
        </w:rPr>
        <w:t>Zgodnie z art. 287 ust. 8 dyrektywy 2006/112/WE Estonia może przyznać zwolnienie z podatku od wartości dodanej (VAT) podatnikom, których roczny obrót nie przekracza równowartości 16 000 EUR w walucie krajowej zgodnie z kursem wymiany w dniu jej przystąpienia.</w:t>
      </w:r>
    </w:p>
    <w:p>
      <w:pPr>
        <w:pStyle w:val="ManualConsidrant"/>
        <w:rPr>
          <w:noProof/>
        </w:rPr>
      </w:pPr>
      <w:r>
        <w:t>(2)</w:t>
      </w:r>
      <w:r>
        <w:tab/>
      </w:r>
      <w:r>
        <w:rPr>
          <w:noProof/>
        </w:rPr>
        <w:t>Decyzją wykonawczą Rady (UE) 2017/563</w:t>
      </w:r>
      <w:r>
        <w:rPr>
          <w:rStyle w:val="FootnoteReference"/>
          <w:noProof/>
        </w:rPr>
        <w:footnoteReference w:id="24"/>
      </w:r>
      <w:r>
        <w:rPr>
          <w:noProof/>
        </w:rPr>
        <w:t xml:space="preserve"> upoważniono Estonię do wprowadzenia – w drodze środka szczególnego stanowiącego odstępstwo od art. 287 dyrektywy 2006/112/WE („środek stanowiący odstępstwo”) – zwolnienia z VAT podatników, których roczny obrót nie przekracza 40 000 EUR. Upoważnienie do stosowania środka stanowiącego odstępstwo przyznano Estonii na okres do dnia 1 stycznia 2018 r. do dnia 31 grudnia 2020 r. albo do dnia wejścia w życie dyrektywy zmieniającej przepisy art. 281–294 dyrektywy 2006/112/WE, w zależności od tego, która z tych dat będzie wcześniejsza.</w:t>
      </w:r>
    </w:p>
    <w:p>
      <w:pPr>
        <w:pStyle w:val="ManualConsidrant"/>
        <w:rPr>
          <w:noProof/>
        </w:rPr>
      </w:pPr>
      <w:r>
        <w:t>(3)</w:t>
      </w:r>
      <w:r>
        <w:tab/>
      </w:r>
      <w:r>
        <w:rPr>
          <w:noProof/>
        </w:rPr>
        <w:t>W dniu 18 lutego 2020 r. Rada przyjęła dyrektywę (UE) 2020/285</w:t>
      </w:r>
      <w:r>
        <w:rPr>
          <w:rStyle w:val="FootnoteReference"/>
          <w:noProof/>
          <w:szCs w:val="24"/>
        </w:rPr>
        <w:footnoteReference w:id="25"/>
      </w:r>
      <w:r>
        <w:rPr>
          <w:noProof/>
        </w:rPr>
        <w:t xml:space="preserve"> zmieniającą art. 281–294 dyrektywy 2006/112/WE w odniesieniu do procedury szczególnej dla małych przedsiębiorstw i ustanawiającą dla tych przedsiębiorstw nowe zasady, w tym maksymalny próg rocznego obrotu w odniesieniu do danego państwa członkowskiego w wysokości 85 000 EUR lub równowartości tej kwoty w walucie krajowej. </w:t>
      </w:r>
    </w:p>
    <w:p>
      <w:pPr>
        <w:pStyle w:val="ManualConsidrant"/>
        <w:rPr>
          <w:noProof/>
        </w:rPr>
      </w:pPr>
      <w:r>
        <w:lastRenderedPageBreak/>
        <w:t>(4)</w:t>
      </w:r>
      <w:r>
        <w:tab/>
      </w:r>
      <w:r>
        <w:rPr>
          <w:noProof/>
        </w:rPr>
        <w:t>Pismem, które wpłynęło do Komisji w dniu 9 października 2020 r., Estonia wystąpiła z wnioskiem o upoważnienie do dalszego stosowania środka stanowiącego odstępstwo do dnia 31 grudnia 2024 r.</w:t>
      </w:r>
    </w:p>
    <w:p>
      <w:pPr>
        <w:pStyle w:val="ManualConsidrant"/>
        <w:rPr>
          <w:noProof/>
        </w:rPr>
      </w:pPr>
      <w:r>
        <w:t>(5)</w:t>
      </w:r>
      <w:r>
        <w:tab/>
      </w:r>
      <w:r>
        <w:rPr>
          <w:noProof/>
        </w:rPr>
        <w:t>Zgodnie z art. 395 ust. 2 akapit drugi dyrektywy 2006/112/WE pismem z dnia 15 października 2020 r. Komisja poinformowała pozostałe państwa członkowskie o wniosku złożonym przez Estonię. Pismem z dnia 19 października 2020 r. Komisja zawiadomiła Estonię, że posiada wszystkie informacje niezbędne do rozpatrzenia wniosku.</w:t>
      </w:r>
    </w:p>
    <w:p>
      <w:pPr>
        <w:pStyle w:val="ManualConsidrant"/>
        <w:rPr>
          <w:noProof/>
        </w:rPr>
      </w:pPr>
      <w:r>
        <w:t>(6)</w:t>
      </w:r>
      <w:r>
        <w:tab/>
      </w:r>
      <w:r>
        <w:rPr>
          <w:noProof/>
        </w:rPr>
        <w:t>Środek stanowiący odstępstwo jest zgodny z celami przedstawionymi w komunikacie Komisji „Najpierw myśl na małą skalę” – Program „Small Business Act” dla Europy</w:t>
      </w:r>
      <w:r>
        <w:rPr>
          <w:rStyle w:val="FootnoteReference"/>
          <w:noProof/>
        </w:rPr>
        <w:footnoteReference w:id="26"/>
      </w:r>
      <w:r>
        <w:rPr>
          <w:noProof/>
        </w:rPr>
        <w:t>.</w:t>
      </w:r>
    </w:p>
    <w:p>
      <w:pPr>
        <w:pStyle w:val="ManualConsidrant"/>
        <w:rPr>
          <w:noProof/>
        </w:rPr>
      </w:pPr>
      <w:r>
        <w:t>(7)</w:t>
      </w:r>
      <w:r>
        <w:tab/>
      </w:r>
      <w:r>
        <w:rPr>
          <w:noProof/>
        </w:rPr>
        <w:t xml:space="preserve">Według informacji przedstawionych przez Estonię środek stanowiący odstępstwo będzie miał tylko nieznaczny wpływ na łączną kwotę dochodów podatkowych pobieranych przez Estonię na etapie ostatecznej konsumpcji. Podatnicy nadal będą mogli wybrać stosowanie zasad ogólnych VAT, zgodnie z art. 290 dyrektywy 2006/112/WE. </w:t>
      </w:r>
    </w:p>
    <w:p>
      <w:pPr>
        <w:pStyle w:val="ManualConsidrant"/>
        <w:rPr>
          <w:noProof/>
        </w:rPr>
      </w:pPr>
      <w:r>
        <w:t>(8)</w:t>
      </w:r>
      <w:r>
        <w:tab/>
      </w:r>
      <w:r>
        <w:rPr>
          <w:noProof/>
        </w:rPr>
        <w:t>Środek stanowiący odstępstwo nie wpłynie negatywnie na zasoby własne Unii pochodzące z VAT, ponieważ Estonia obliczy rekompensatę zgodnie z art. 6 rozporządzenia Rady (EWG, Euratom) nr 1553/89</w:t>
      </w:r>
      <w:r>
        <w:rPr>
          <w:rStyle w:val="FootnoteReference"/>
          <w:noProof/>
        </w:rPr>
        <w:footnoteReference w:id="27"/>
      </w:r>
      <w:r>
        <w:rPr>
          <w:noProof/>
        </w:rPr>
        <w:t>.</w:t>
      </w:r>
    </w:p>
    <w:p>
      <w:pPr>
        <w:pStyle w:val="ManualConsidrant"/>
        <w:rPr>
          <w:noProof/>
        </w:rPr>
      </w:pPr>
      <w:r>
        <w:t>(9)</w:t>
      </w:r>
      <w:r>
        <w:tab/>
      </w:r>
      <w:r>
        <w:rPr>
          <w:noProof/>
        </w:rPr>
        <w:t xml:space="preserve">Biorąc pod uwagę potencjalny pozytywny wpływ środka stanowiącego odstępstwo na zmniejszenie obciążenia administracyjnego i kosztów ponoszonych przez małe przedsiębiorstwa, należy upoważnić Estonię do dalszego stosowania tego środka. </w:t>
      </w:r>
    </w:p>
    <w:p>
      <w:pPr>
        <w:pStyle w:val="ManualConsidrant"/>
        <w:rPr>
          <w:noProof/>
        </w:rPr>
      </w:pPr>
      <w:r>
        <w:t>(10)</w:t>
      </w:r>
      <w:r>
        <w:tab/>
      </w:r>
      <w:r>
        <w:rPr>
          <w:noProof/>
        </w:rPr>
        <w:t>Upoważnienie do stosowania środka stanowiącego odstępstwo powinno być ograniczone w czasie. Termin powinien być wystarczający, aby umożliwić ocenę skuteczności i adekwatności progu. Zgodnie z dyrektywą (UE) 2020/285 państwa członkowskie mają ponadto do dnia 31 grudnia 2024 r. przyjąć i opublikować przepisy ustawowe, wykonawcze i administracyjne niezbędne do wykonania art. 1 tej dyrektywy i stosować te przepisy od dnia 1 stycznia 2025 r. Należy zatem upoważnić Estonię do stosowania środka stanowiącego odstępstwo do dnia 31 grudnia 2024 r.</w:t>
      </w:r>
    </w:p>
    <w:p>
      <w:pPr>
        <w:pStyle w:val="ManualConsidrant"/>
        <w:rPr>
          <w:noProof/>
        </w:rPr>
      </w:pPr>
      <w:r>
        <w:t>(11)</w:t>
      </w:r>
      <w:r>
        <w:tab/>
      </w:r>
      <w:r>
        <w:rPr>
          <w:noProof/>
        </w:rPr>
        <w:t>Należy zatem odpowiednio zmienić decyzję wykonawczą (UE) 2017/563,</w:t>
      </w:r>
    </w:p>
    <w:p>
      <w:pPr>
        <w:rPr>
          <w:noProof/>
        </w:rPr>
      </w:pPr>
    </w:p>
    <w:p>
      <w:pPr>
        <w:pStyle w:val="Formuledadoption"/>
        <w:rPr>
          <w:noProof/>
        </w:rPr>
      </w:pPr>
      <w:r>
        <w:rPr>
          <w:noProof/>
        </w:rPr>
        <w:t xml:space="preserve">PRZYJMUJE NINIEJSZĄ DECYZJĘ: </w:t>
      </w:r>
    </w:p>
    <w:p>
      <w:pPr>
        <w:pStyle w:val="Titrearticle"/>
        <w:rPr>
          <w:noProof/>
        </w:rPr>
      </w:pPr>
      <w:r>
        <w:rPr>
          <w:noProof/>
        </w:rPr>
        <w:t>Artykuł 1</w:t>
      </w:r>
    </w:p>
    <w:p>
      <w:pPr>
        <w:rPr>
          <w:noProof/>
        </w:rPr>
      </w:pPr>
      <w:r>
        <w:rPr>
          <w:noProof/>
        </w:rPr>
        <w:t>W art. 2 decyzji wykonawczej (UE) 2017/563 akapit drugi otrzymuje brzmienie:</w:t>
      </w:r>
    </w:p>
    <w:p>
      <w:pPr>
        <w:rPr>
          <w:noProof/>
          <w:color w:val="000000" w:themeColor="text1"/>
        </w:rPr>
      </w:pPr>
      <w:r>
        <w:rPr>
          <w:noProof/>
        </w:rPr>
        <w:t>„Niniejszą decyzję stosuje się od dnia 1 stycznia 2018 r. do dnia 31 grudnia 2024 r.”.</w:t>
      </w:r>
    </w:p>
    <w:p>
      <w:pPr>
        <w:pStyle w:val="Titrearticle"/>
        <w:rPr>
          <w:noProof/>
        </w:rPr>
      </w:pPr>
      <w:r>
        <w:rPr>
          <w:noProof/>
        </w:rPr>
        <w:lastRenderedPageBreak/>
        <w:t>Artykuł 2</w:t>
      </w:r>
    </w:p>
    <w:p>
      <w:pPr>
        <w:keepNext/>
        <w:keepLines/>
        <w:rPr>
          <w:noProof/>
        </w:rPr>
      </w:pPr>
      <w:r>
        <w:rPr>
          <w:noProof/>
        </w:rPr>
        <w:t>Niniejsza decyzja skierowana jest do Republiki Estońskiej.</w:t>
      </w:r>
    </w:p>
    <w:p>
      <w:pPr>
        <w:pStyle w:val="Fait"/>
        <w:rPr>
          <w:noProof/>
        </w:rPr>
      </w:pPr>
      <w:r>
        <w:t xml:space="preserve">Sporządzono w Brukseli dnia </w:t>
      </w:r>
      <w:r>
        <w:rPr>
          <w:rStyle w:val="Marker"/>
        </w:rPr>
        <w:t>[…]</w:t>
      </w:r>
      <w:r>
        <w:t xml:space="preserve"> r.</w:t>
      </w:r>
    </w:p>
    <w:p>
      <w:pPr>
        <w:pStyle w:val="Institutionquisigne"/>
        <w:rPr>
          <w:noProof/>
        </w:rPr>
      </w:pPr>
      <w:r>
        <w:rPr>
          <w:noProof/>
        </w:rPr>
        <w:tab/>
        <w:t>W imieniu Rady</w:t>
      </w:r>
    </w:p>
    <w:p>
      <w:pPr>
        <w:pStyle w:val="Personnequisigne"/>
        <w:rPr>
          <w:noProof/>
        </w:rPr>
      </w:pPr>
      <w:r>
        <w:rPr>
          <w:noProof/>
        </w:rPr>
        <w:tab/>
        <w:t>Przewodniczący</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Dz.U. L 347 z 11.12.2006, s. 1.</w:t>
      </w:r>
    </w:p>
  </w:footnote>
  <w:footnote w:id="2">
    <w:p>
      <w:pPr>
        <w:pStyle w:val="FootnoteText"/>
      </w:pPr>
      <w:r>
        <w:rPr>
          <w:rStyle w:val="FootnoteReference"/>
        </w:rPr>
        <w:footnoteRef/>
      </w:r>
      <w:r>
        <w:tab/>
        <w:t>Decyzja wykonawcza Rady (UE) 2017/563 z dnia 21 marca 2017 r. upoważniająca Republikę Estońską do stosowania szczególnego środka stanowiącego odstępstwo od art. 287 dyrektywy 2006/112/WE w sprawie wspólnego systemu podatku od wartości dodanej (Dz.U. L 80 z 25.3.2017, s. 33).</w:t>
      </w:r>
    </w:p>
  </w:footnote>
  <w:footnote w:id="3">
    <w:p>
      <w:pPr>
        <w:pStyle w:val="FootnoteText"/>
      </w:pPr>
      <w:r>
        <w:rPr>
          <w:rStyle w:val="FootnoteReference"/>
        </w:rPr>
        <w:footnoteRef/>
      </w:r>
      <w:r>
        <w:tab/>
        <w:t>Dyrektywa Rady (UE) 2020/285 z dnia 18 lutego 2020 r. zmieniająca dyrektywę 2006/112/WE w sprawie wspólnego systemu podatku od wartości dodanej w odniesieniu do procedury szczególnej dla małych przedsiębiorstw oraz rozporządzenie (UE) nr 904/2010 w odniesieniu do współpracy administracyjnej i wymiany informacji do celów monitorowania i prawidłowego stosowania procedury szczególnej dla małych przedsiębiorstw (Dz.U. L 62 z 2.3.2020, s. 13).</w:t>
      </w:r>
    </w:p>
  </w:footnote>
  <w:footnote w:id="4">
    <w:p>
      <w:pPr>
        <w:pStyle w:val="FootnoteText"/>
      </w:pPr>
      <w:r>
        <w:rPr>
          <w:rStyle w:val="FootnoteReference"/>
        </w:rPr>
        <w:footnoteRef/>
      </w:r>
      <w:r>
        <w:tab/>
        <w:t>Komunikat Komisji do Parlamentu Europejskiego, Rady i Europejskiego Komitetu Ekonomiczno-Społecznego dotyczący planu działania w sprawie VAT „W kierunku jednolitego unijnego obszaru VAT – czas na decyzje”, COM(2016) 148 final.</w:t>
      </w:r>
    </w:p>
  </w:footnote>
  <w:footnote w:id="5">
    <w:p>
      <w:pPr>
        <w:pStyle w:val="FootnoteText"/>
      </w:pPr>
      <w:r>
        <w:rPr>
          <w:rStyle w:val="FootnoteReference"/>
        </w:rPr>
        <w:footnoteRef/>
      </w:r>
      <w:r>
        <w:tab/>
        <w:t>Decyzja wykonawcza Rady (UE) 2018/1904 z dnia 4 grudnia 2018 r. w sprawie upoważnienia Niderlandów do wprowadzenia szczególnego środka stanowiącego odstępstwo od art. 285 dyrektywy 2006/112/WE w sprawie wspólnego systemu podatku od wartości dodanej (Dz.U. L 310 z 6.12.2018, s. 25).</w:t>
      </w:r>
    </w:p>
  </w:footnote>
  <w:footnote w:id="6">
    <w:p>
      <w:pPr>
        <w:pStyle w:val="FootnoteText"/>
      </w:pPr>
      <w:r>
        <w:rPr>
          <w:rStyle w:val="FootnoteReference"/>
        </w:rPr>
        <w:footnoteRef/>
      </w:r>
      <w:r>
        <w:tab/>
        <w:t>Decyzja wykonawcza Rady (UE) 2016/1988 z dnia 8 listopada 2016 r. zmieniająca decyzję wykonawczą 2013/678/UE upoważniającą Republikę Włoską do dalszego stosowania szczególnego środka stanowiącego odstępstwo od art. 285 dyrektywy 2006/112/WE w sprawie wspólnego systemu podatku od wartości dodanej (Dz.U. L 306 z 15.11.2016, s. 11).</w:t>
      </w:r>
    </w:p>
  </w:footnote>
  <w:footnote w:id="7">
    <w:p>
      <w:pPr>
        <w:pStyle w:val="FootnoteText"/>
      </w:pPr>
      <w:r>
        <w:rPr>
          <w:rStyle w:val="FootnoteReference"/>
        </w:rPr>
        <w:footnoteRef/>
      </w:r>
      <w:r>
        <w:tab/>
        <w:t>Decyzja wykonawcza Rady (UE) 2019/2210 z dnia 19 grudnia 2019 r. zmieniająca decyzję wykonawczą 2013/677/UE w sprawie upoważnienia Luksemburga do wprowadzenia szczególnego środka stanowiącego odstępstwo od art. 285 dyrektywy 2006/112/WE w sprawie wspólnego systemu podatku od wartości dodanej (Dz.U. L 332 z 23.12.2019, s. 155).</w:t>
      </w:r>
    </w:p>
  </w:footnote>
  <w:footnote w:id="8">
    <w:p>
      <w:pPr>
        <w:pStyle w:val="FootnoteText"/>
      </w:pPr>
      <w:r>
        <w:rPr>
          <w:rStyle w:val="FootnoteReference"/>
        </w:rPr>
        <w:footnoteRef/>
      </w:r>
      <w:r>
        <w:tab/>
        <w:t>Decyzja wykonawcza Rady (UE) 2020/1261 z dnia 4 września 2020 r. zmieniająca decyzję wykonawczą (UE) 2017/2408 upoważniającą Republikę Łotewską do stosowania szczególnego środka stanowiącego odstępstwo od art. 287 dyrektywy 2006/112/WE w sprawie wspólnego systemu podatku od wartości dodanej (Dz.U. L 296 z 10.9.2020, s. 4).</w:t>
      </w:r>
    </w:p>
  </w:footnote>
  <w:footnote w:id="9">
    <w:p>
      <w:pPr>
        <w:pStyle w:val="FootnoteText"/>
      </w:pPr>
      <w:r>
        <w:rPr>
          <w:rStyle w:val="FootnoteReference"/>
        </w:rPr>
        <w:footnoteRef/>
      </w:r>
      <w:r>
        <w:tab/>
        <w:t>Decyzja wykonawcza Rady (UE) 2018/1919 z dnia 4 grudnia 2018 r. zmieniająca decyzję 2009/790/WE upoważniającą Rzeczpospolitą Polską do stosowania środka stanowiącego odstępstwo od art. 287 dyrektywy 2006/112/WE w sprawie wspólnego systemu podatku od wartości dodanej (Dz.U. L 311 z 7.12.2018, s. 32).</w:t>
      </w:r>
    </w:p>
  </w:footnote>
  <w:footnote w:id="10">
    <w:p>
      <w:pPr>
        <w:pStyle w:val="FootnoteText"/>
      </w:pPr>
      <w:r>
        <w:rPr>
          <w:rStyle w:val="FootnoteReference"/>
        </w:rPr>
        <w:footnoteRef/>
      </w:r>
      <w:r>
        <w:tab/>
        <w:t>Decyzja wykonawcza Rady (UE) 2017/1853 z dnia 10 października 2017 r. zmieniająca decyzję wykonawczą 2011/335/UE upoważniającą Republikę Litewską do zastosowania środka stanowiącego odstępstwo od art. 287 dyrektywy 2006/112/WE w sprawie wspólnego systemu podatku od wartości dodanej (Dz.U. L 265 z 14.10.2017, s. 15). Trwa procedura pisemna dotycząca nowego środka.</w:t>
      </w:r>
    </w:p>
  </w:footnote>
  <w:footnote w:id="11">
    <w:p>
      <w:pPr>
        <w:pStyle w:val="FootnoteText"/>
      </w:pPr>
      <w:r>
        <w:rPr>
          <w:rStyle w:val="FootnoteReference"/>
        </w:rPr>
        <w:footnoteRef/>
      </w:r>
      <w:r>
        <w:tab/>
        <w:t>Decyzja wykonawcza Rady (UE) 2020/1661 z dnia 3 listopada 2020 r. zmieniająca decyzję wykonawczą (UE) 2017/1768 w sprawie upoważnienia Republiki Chorwacji do wprowadzenia szczególnego środka stanowiącego odstępstwo od art. 287 dyrektywy 2006/112/WE w sprawie wspólnego systemu podatku od wartości dodanej (Dz.U. L 374 z 10.11.2020, s. 4).</w:t>
      </w:r>
    </w:p>
  </w:footnote>
  <w:footnote w:id="12">
    <w:p>
      <w:pPr>
        <w:pStyle w:val="FootnoteText"/>
      </w:pPr>
      <w:r>
        <w:rPr>
          <w:rStyle w:val="FootnoteReference"/>
        </w:rPr>
        <w:footnoteRef/>
      </w:r>
      <w:r>
        <w:tab/>
        <w:t>Decyzja wykonawcza Rady (UE) 2020/1662 z dnia 3 listopada 2020 r. zmieniająca decyzję wykonawczą (UE) 2018/279 upoważniającą Maltę do stosowania szczególnego środka stanowiącego odstępstwo od art. 287 dyrektywy 2006/112/WE w sprawie wspólnego systemu podatku od wartości dodanej (Dz.U. L 374 z 10.11.2020, s. 6).</w:t>
      </w:r>
    </w:p>
  </w:footnote>
  <w:footnote w:id="13">
    <w:p>
      <w:pPr>
        <w:pStyle w:val="FootnoteText"/>
      </w:pPr>
      <w:r>
        <w:rPr>
          <w:rStyle w:val="FootnoteReference"/>
        </w:rPr>
        <w:footnoteRef/>
      </w:r>
      <w:r>
        <w:tab/>
        <w:t>Decyzja wykonawcza Rady (UE) 2018/1490 z dnia 2 października 2018 r. upoważniająca Węgry do wprowadzenia szczególnego środka stanowiącego odstępstwo od art. 287 dyrektywy 2006/112/WE w sprawie wspólnego systemu podatku od wartości dodanej (Dz.U. L 252 z 8.10.2018, s. 38).</w:t>
      </w:r>
    </w:p>
  </w:footnote>
  <w:footnote w:id="14">
    <w:p>
      <w:pPr>
        <w:pStyle w:val="FootnoteText"/>
      </w:pPr>
      <w:r>
        <w:rPr>
          <w:rStyle w:val="FootnoteReference"/>
        </w:rPr>
        <w:footnoteRef/>
      </w:r>
      <w:r>
        <w:tab/>
        <w:t>Decyzja wykonawcza Rady (UE) 2018/1700 z dnia 6 listopada 2018 r. zmieniająca decyzję wykonawczą 2013/54/UE w sprawie upoważnienia Republiki Słowenii do wprowadzenia szczególnego środka stanowiącego odstępstwo od art. 287 dyrektywy 2006/112/WE w sprawie wspólnego systemu podatku od wartości dodanej (Dz.U. L 285 z 13.11.2018, s. 78).</w:t>
      </w:r>
    </w:p>
  </w:footnote>
  <w:footnote w:id="15">
    <w:p>
      <w:pPr>
        <w:pStyle w:val="FootnoteText"/>
      </w:pPr>
      <w:r>
        <w:rPr>
          <w:rStyle w:val="FootnoteReference"/>
        </w:rPr>
        <w:footnoteRef/>
      </w:r>
      <w:r>
        <w:tab/>
        <w:t>Decyzja wykonawcza Rady (UE) 2020/1260 z dnia 4 września 2020 r. zmieniająca decyzję wykonawczą (UE) 2017/1855 upoważniająca Rumunię do stosowania szczególnego środka stanowiącego odstępstwo od art. 287 dyrektywy 2006/112/WE w sprawie wspólnego systemu podatku od wartości dodanej (Dz.U. L 296 z 10.9.2020, s. 1).</w:t>
      </w:r>
    </w:p>
  </w:footnote>
  <w:footnote w:id="16">
    <w:p>
      <w:pPr>
        <w:pStyle w:val="FootnoteText"/>
      </w:pPr>
      <w:r>
        <w:rPr>
          <w:rStyle w:val="FootnoteReference"/>
        </w:rPr>
        <w:footnoteRef/>
      </w:r>
      <w:r>
        <w:tab/>
        <w:t>Komunikat Komisji do Parlamentu Europejskiego, Rady, Europejskiego Komitetu Ekonomiczno-Społecznego i Komitetu Regionów – Program prac Komisji na 2020 r. – Unia, która mierzy wyżej (COM(2020) 37 final).</w:t>
      </w:r>
    </w:p>
  </w:footnote>
  <w:footnote w:id="17">
    <w:p>
      <w:pPr>
        <w:pStyle w:val="FootnoteText"/>
      </w:pPr>
      <w:r>
        <w:rPr>
          <w:rStyle w:val="FootnoteReference"/>
        </w:rPr>
        <w:footnoteRef/>
      </w:r>
      <w:r>
        <w:tab/>
        <w:t>Komunikat Komisji do Parlamentu Europejskiego, Rady, Europejskiego Komitetu Ekonomiczno-Społecznego i Komitetu Regionów – Program prac Komisji na 2017 r. (COM(2016) 710 final).</w:t>
      </w:r>
    </w:p>
  </w:footnote>
  <w:footnote w:id="18">
    <w:p>
      <w:pPr>
        <w:pStyle w:val="FootnoteText"/>
      </w:pPr>
      <w:r>
        <w:rPr>
          <w:rStyle w:val="FootnoteReference"/>
        </w:rPr>
        <w:footnoteRef/>
      </w:r>
      <w:r>
        <w:tab/>
        <w:t>Komunikat Komisji do Parlamentu Europejskiego, Rady, Europejskiego Komitetu Ekonomiczno-Społecznego i Komitetu Regionów – Usprawnianie jednolitego rynku: więcej możliwości dla obywateli i przedsiębiorstw (COM(2015) 550 final).</w:t>
      </w:r>
    </w:p>
  </w:footnote>
  <w:footnote w:id="19">
    <w:p>
      <w:pPr>
        <w:pStyle w:val="FootnoteText"/>
      </w:pPr>
      <w:r>
        <w:rPr>
          <w:rStyle w:val="FootnoteReference"/>
        </w:rPr>
        <w:footnoteRef/>
      </w:r>
      <w:r>
        <w:tab/>
        <w:t>Komunikat Komisji do Parlamentu Europejskiego, Rady, Europejskiego Komitetu Ekonomiczno-Społecznego i Komitetu Regionów – Plan działania na rzecz przedsiębiorczości do 2020 r.: Pobudzanie ducha przedsiębiorczości w Europie (COM(2012) 795 final).</w:t>
      </w:r>
    </w:p>
  </w:footnote>
  <w:footnote w:id="20">
    <w:p>
      <w:pPr>
        <w:pStyle w:val="FootnoteText"/>
      </w:pPr>
      <w:r>
        <w:rPr>
          <w:rStyle w:val="FootnoteReference"/>
        </w:rPr>
        <w:footnoteRef/>
      </w:r>
      <w:r>
        <w:tab/>
        <w:t>Komunikat Komisji do Parlamentu Europejskiego, Rady, Europejskiego Komitetu Ekonomiczno-Społecznego i Komitetu Regionów – Przyszli liderzy Europy: inicjatywa na rzecz przedsiębiorstw typu start-up i przedsiębiorstw scale-up (COM(2016) 733 final).</w:t>
      </w:r>
    </w:p>
  </w:footnote>
  <w:footnote w:id="21">
    <w:p>
      <w:pPr>
        <w:pStyle w:val="FootnoteText"/>
      </w:pPr>
      <w:r>
        <w:rPr>
          <w:rStyle w:val="FootnoteReference"/>
        </w:rPr>
        <w:footnoteRef/>
      </w:r>
      <w:r>
        <w:tab/>
        <w:t>Komunikat Komisji do Rady, Parlamentu Europejskiego, Europejskiego Komitetu Ekonomiczno-Społecznego i Komitetu Regionów – „Najpierw myśl na małą skalę” – Program „Small Business Act” dla Europy (COM(2008) 394 final).</w:t>
      </w:r>
    </w:p>
  </w:footnote>
  <w:footnote w:id="22">
    <w:p>
      <w:pPr>
        <w:pStyle w:val="FootnoteText"/>
      </w:pPr>
      <w:r>
        <w:rPr>
          <w:rStyle w:val="FootnoteReference"/>
        </w:rPr>
        <w:footnoteRef/>
      </w:r>
      <w:r>
        <w:tab/>
        <w:t>Dz.U. L 155 z 7.6.1989, s. 9.</w:t>
      </w:r>
    </w:p>
  </w:footnote>
  <w:footnote w:id="23">
    <w:p>
      <w:pPr>
        <w:pStyle w:val="FootnoteText"/>
      </w:pPr>
      <w:r>
        <w:rPr>
          <w:rStyle w:val="FootnoteReference"/>
        </w:rPr>
        <w:footnoteRef/>
      </w:r>
      <w:r>
        <w:tab/>
        <w:t>Dz.U. L 347 z 11.12.2006, s. 1.</w:t>
      </w:r>
    </w:p>
  </w:footnote>
  <w:footnote w:id="24">
    <w:p>
      <w:pPr>
        <w:pStyle w:val="FootnoteText"/>
      </w:pPr>
      <w:r>
        <w:rPr>
          <w:rStyle w:val="FootnoteReference"/>
        </w:rPr>
        <w:footnoteRef/>
      </w:r>
      <w:r>
        <w:tab/>
        <w:t>Decyzja wykonawcza Rady (UE) 2017/563 z dnia 21 marca 2017 r. upoważniająca Republikę Estońską do stosowania szczególnego środka stanowiącego odstępstwo od art. 287 dyrektywy 2006/112/WE w sprawie wspólnego systemu podatku od wartości dodanej (Dz.U. L 80 z 25.3.2017, s. 33).</w:t>
      </w:r>
    </w:p>
  </w:footnote>
  <w:footnote w:id="25">
    <w:p>
      <w:pPr>
        <w:pStyle w:val="FootnoteText"/>
      </w:pPr>
      <w:r>
        <w:rPr>
          <w:rStyle w:val="FootnoteReference"/>
        </w:rPr>
        <w:footnoteRef/>
      </w:r>
      <w:r>
        <w:tab/>
      </w:r>
      <w:r>
        <w:rPr>
          <w:color w:val="000000"/>
          <w:szCs w:val="24"/>
        </w:rPr>
        <w:t xml:space="preserve">Dyrektywa Rady (UE) 2020/285 z dnia 18 lutego 2020 r. </w:t>
      </w:r>
      <w:r>
        <w:t>zmieniająca dyrektywę 2006/112/WE w sprawie wspólnego systemu podatku od wartości dodanej w odniesieniu do procedury szczególnej dla małych przedsiębiorstw oraz rozporządzenie (UE) nr 904/2010 w odniesieniu do współpracy administracyjnej i wymiany informacji do celów monitorowania i prawidłowego stosowania procedury szczególnej dla małych przedsiębiorstw (Dz.U. L 62 z 2.3.2020, s. 13).</w:t>
      </w:r>
    </w:p>
  </w:footnote>
  <w:footnote w:id="26">
    <w:p>
      <w:pPr>
        <w:pStyle w:val="FootnoteText"/>
      </w:pPr>
      <w:r>
        <w:rPr>
          <w:rStyle w:val="FootnoteReference"/>
        </w:rPr>
        <w:footnoteRef/>
      </w:r>
      <w:r>
        <w:tab/>
        <w:t>Komunikat Komisji do Rady, Parlamentu Europejskiego, Europejskiego Komitetu Ekonomiczno-Społecznego i Komitetu Regionów – „Najpierw myśl na małą skalę” – Program „Small Business Act” dla Europy, Bruksela, dnia 25 czerwca 2008 r. (COM(2008) 394 final).</w:t>
      </w:r>
      <w:r>
        <w:rPr>
          <w:rStyle w:val="Strong"/>
          <w:rFonts w:ascii="Lucida Sans Unicode" w:hAnsi="Lucida Sans Unicode"/>
          <w:color w:val="444444"/>
          <w:sz w:val="19"/>
          <w:szCs w:val="19"/>
        </w:rPr>
        <w:t xml:space="preserve"> </w:t>
      </w:r>
    </w:p>
  </w:footnote>
  <w:footnote w:id="27">
    <w:p>
      <w:pPr>
        <w:pStyle w:val="FootnoteText"/>
      </w:pPr>
      <w:r>
        <w:rPr>
          <w:rStyle w:val="FootnoteReference"/>
        </w:rPr>
        <w:footnoteRef/>
      </w:r>
      <w:r>
        <w:tab/>
        <w:t>Rozporządzenie Rady (EWG, Euratom) nr 1553/89 z dnia 29 maja 1989 r. w sprawie ostatecznych jednolitych warunków poboru środków własnych pochodzących z podatku od wartości dodanej (Dz.U. L 155 z 7.6.1989, s.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7A1D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98E6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2A22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6BA29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883D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3A02C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E42C89A"/>
    <w:lvl w:ilvl="0">
      <w:start w:val="1"/>
      <w:numFmt w:val="decimal"/>
      <w:pStyle w:val="ListNumber"/>
      <w:lvlText w:val="%1."/>
      <w:lvlJc w:val="left"/>
      <w:pPr>
        <w:tabs>
          <w:tab w:val="num" w:pos="360"/>
        </w:tabs>
        <w:ind w:left="360" w:hanging="360"/>
      </w:pPr>
    </w:lvl>
  </w:abstractNum>
  <w:abstractNum w:abstractNumId="7">
    <w:nsid w:val="FFFFFF89"/>
    <w:multiLevelType w:val="singleLevel"/>
    <w:tmpl w:val="FEEC2E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283"/>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9 12:35: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081B353-D52C-46E2-809B-1DB87D29FBCF"/>
    <w:docVar w:name="LW_COVERPAGE_TYPE" w:val="1"/>
    <w:docVar w:name="LW_CROSSREFERENCE" w:val="&lt;UNUSED&gt;"/>
    <w:docVar w:name="LW_DocType" w:val="COM"/>
    <w:docVar w:name="LW_EMISSION" w:val="20.1.2021"/>
    <w:docVar w:name="LW_EMISSION_ISODATE" w:val="2021-01-20"/>
    <w:docVar w:name="LW_EMISSION_LOCATION" w:val="BRX"/>
    <w:docVar w:name="LW_EMISSION_PREFIX" w:val="Bruksela, dnia "/>
    <w:docVar w:name="LW_EMISSION_SUFFIX" w:val=" r."/>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NLE"/>
    <w:docVar w:name="LW_REF.II.NEW.CP_NUMBER" w:val="0006"/>
    <w:docVar w:name="LW_REF.II.NEW.CP_YEAR" w:val="2021"/>
    <w:docVar w:name="LW_REF.INST.NEW" w:val="COM"/>
    <w:docVar w:name="LW_REF.INST.NEW_ADOPTED" w:val="final"/>
    <w:docVar w:name="LW_REF.INST.NEW_TEXT" w:val="(2021) 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zmieniaj\u261?ca decyzj\u281? wykonawcz\u261? (UE) 2017/563 upowa\u380?niaj\u261?c\u261? Republik\u281? Esto\u324?sk\u261? do stosowania szczególnego \u347?rodka stanowi\u261?cego odst\u281?pstwo od art. 287 dyrektywy 2006/112/WE w sprawie wspólnego systemu podatku od warto\u347?ci dodanej _x000b_"/>
    <w:docVar w:name="LW_TYPE.DOC.CP" w:val="DECYZJA WYKONAWCZA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customStyle="1" w:styleId="Normal1">
    <w:name w:val="Normal1"/>
    <w:basedOn w:val="Normal"/>
    <w:pPr>
      <w:spacing w:before="100" w:beforeAutospacing="1" w:after="100" w:afterAutospacing="1"/>
      <w:jc w:val="left"/>
    </w:pPr>
    <w:rPr>
      <w:rFonts w:eastAsia="Times New Roman"/>
      <w:szCs w:val="24"/>
      <w:lang w:eastAsia="it-IT"/>
    </w:rPr>
  </w:style>
  <w:style w:type="paragraph" w:customStyle="1" w:styleId="ti-art">
    <w:name w:val="ti-art"/>
    <w:basedOn w:val="Normal"/>
    <w:pPr>
      <w:spacing w:before="100" w:beforeAutospacing="1" w:after="100" w:afterAutospacing="1"/>
      <w:jc w:val="left"/>
    </w:pPr>
    <w:rPr>
      <w:rFonts w:eastAsia="Times New Roman"/>
      <w:szCs w:val="24"/>
      <w:lang w:eastAsia="it-IT"/>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customStyle="1" w:styleId="Normal1">
    <w:name w:val="Normal1"/>
    <w:basedOn w:val="Normal"/>
    <w:pPr>
      <w:spacing w:before="100" w:beforeAutospacing="1" w:after="100" w:afterAutospacing="1"/>
      <w:jc w:val="left"/>
    </w:pPr>
    <w:rPr>
      <w:rFonts w:eastAsia="Times New Roman"/>
      <w:szCs w:val="24"/>
      <w:lang w:eastAsia="it-IT"/>
    </w:rPr>
  </w:style>
  <w:style w:type="paragraph" w:customStyle="1" w:styleId="ti-art">
    <w:name w:val="ti-art"/>
    <w:basedOn w:val="Normal"/>
    <w:pPr>
      <w:spacing w:before="100" w:beforeAutospacing="1" w:after="100" w:afterAutospacing="1"/>
      <w:jc w:val="left"/>
    </w:pPr>
    <w:rPr>
      <w:rFonts w:eastAsia="Times New Roman"/>
      <w:szCs w:val="24"/>
      <w:lang w:eastAsia="it-IT"/>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45706">
      <w:bodyDiv w:val="1"/>
      <w:marLeft w:val="0"/>
      <w:marRight w:val="0"/>
      <w:marTop w:val="0"/>
      <w:marBottom w:val="0"/>
      <w:divBdr>
        <w:top w:val="none" w:sz="0" w:space="0" w:color="auto"/>
        <w:left w:val="none" w:sz="0" w:space="0" w:color="auto"/>
        <w:bottom w:val="none" w:sz="0" w:space="0" w:color="auto"/>
        <w:right w:val="none" w:sz="0" w:space="0" w:color="auto"/>
      </w:divBdr>
    </w:div>
    <w:div w:id="495270311">
      <w:bodyDiv w:val="1"/>
      <w:marLeft w:val="0"/>
      <w:marRight w:val="0"/>
      <w:marTop w:val="0"/>
      <w:marBottom w:val="0"/>
      <w:divBdr>
        <w:top w:val="none" w:sz="0" w:space="0" w:color="auto"/>
        <w:left w:val="none" w:sz="0" w:space="0" w:color="auto"/>
        <w:bottom w:val="none" w:sz="0" w:space="0" w:color="auto"/>
        <w:right w:val="none" w:sz="0" w:space="0" w:color="auto"/>
      </w:divBdr>
    </w:div>
    <w:div w:id="515772455">
      <w:bodyDiv w:val="1"/>
      <w:marLeft w:val="0"/>
      <w:marRight w:val="0"/>
      <w:marTop w:val="0"/>
      <w:marBottom w:val="0"/>
      <w:divBdr>
        <w:top w:val="none" w:sz="0" w:space="0" w:color="auto"/>
        <w:left w:val="none" w:sz="0" w:space="0" w:color="auto"/>
        <w:bottom w:val="none" w:sz="0" w:space="0" w:color="auto"/>
        <w:right w:val="none" w:sz="0" w:space="0" w:color="auto"/>
      </w:divBdr>
    </w:div>
    <w:div w:id="1173254571">
      <w:bodyDiv w:val="1"/>
      <w:marLeft w:val="0"/>
      <w:marRight w:val="0"/>
      <w:marTop w:val="0"/>
      <w:marBottom w:val="0"/>
      <w:divBdr>
        <w:top w:val="none" w:sz="0" w:space="0" w:color="auto"/>
        <w:left w:val="none" w:sz="0" w:space="0" w:color="auto"/>
        <w:bottom w:val="none" w:sz="0" w:space="0" w:color="auto"/>
        <w:right w:val="none" w:sz="0" w:space="0" w:color="auto"/>
      </w:divBdr>
    </w:div>
    <w:div w:id="1255473522">
      <w:bodyDiv w:val="1"/>
      <w:marLeft w:val="0"/>
      <w:marRight w:val="0"/>
      <w:marTop w:val="0"/>
      <w:marBottom w:val="0"/>
      <w:divBdr>
        <w:top w:val="none" w:sz="0" w:space="0" w:color="auto"/>
        <w:left w:val="none" w:sz="0" w:space="0" w:color="auto"/>
        <w:bottom w:val="none" w:sz="0" w:space="0" w:color="auto"/>
        <w:right w:val="none" w:sz="0" w:space="0" w:color="auto"/>
      </w:divBdr>
    </w:div>
    <w:div w:id="1299455575">
      <w:bodyDiv w:val="1"/>
      <w:marLeft w:val="0"/>
      <w:marRight w:val="0"/>
      <w:marTop w:val="0"/>
      <w:marBottom w:val="0"/>
      <w:divBdr>
        <w:top w:val="none" w:sz="0" w:space="0" w:color="auto"/>
        <w:left w:val="none" w:sz="0" w:space="0" w:color="auto"/>
        <w:bottom w:val="none" w:sz="0" w:space="0" w:color="auto"/>
        <w:right w:val="none" w:sz="0" w:space="0" w:color="auto"/>
      </w:divBdr>
    </w:div>
    <w:div w:id="1341661239">
      <w:bodyDiv w:val="1"/>
      <w:marLeft w:val="0"/>
      <w:marRight w:val="0"/>
      <w:marTop w:val="0"/>
      <w:marBottom w:val="0"/>
      <w:divBdr>
        <w:top w:val="none" w:sz="0" w:space="0" w:color="auto"/>
        <w:left w:val="none" w:sz="0" w:space="0" w:color="auto"/>
        <w:bottom w:val="none" w:sz="0" w:space="0" w:color="auto"/>
        <w:right w:val="none" w:sz="0" w:space="0" w:color="auto"/>
      </w:divBdr>
    </w:div>
    <w:div w:id="1429697903">
      <w:bodyDiv w:val="1"/>
      <w:marLeft w:val="0"/>
      <w:marRight w:val="0"/>
      <w:marTop w:val="0"/>
      <w:marBottom w:val="0"/>
      <w:divBdr>
        <w:top w:val="none" w:sz="0" w:space="0" w:color="auto"/>
        <w:left w:val="none" w:sz="0" w:space="0" w:color="auto"/>
        <w:bottom w:val="none" w:sz="0" w:space="0" w:color="auto"/>
        <w:right w:val="none" w:sz="0" w:space="0" w:color="auto"/>
      </w:divBdr>
    </w:div>
    <w:div w:id="1529559712">
      <w:bodyDiv w:val="1"/>
      <w:marLeft w:val="0"/>
      <w:marRight w:val="0"/>
      <w:marTop w:val="0"/>
      <w:marBottom w:val="0"/>
      <w:divBdr>
        <w:top w:val="none" w:sz="0" w:space="0" w:color="auto"/>
        <w:left w:val="none" w:sz="0" w:space="0" w:color="auto"/>
        <w:bottom w:val="none" w:sz="0" w:space="0" w:color="auto"/>
        <w:right w:val="none" w:sz="0" w:space="0" w:color="auto"/>
      </w:divBdr>
    </w:div>
    <w:div w:id="1612124344">
      <w:bodyDiv w:val="1"/>
      <w:marLeft w:val="0"/>
      <w:marRight w:val="0"/>
      <w:marTop w:val="0"/>
      <w:marBottom w:val="0"/>
      <w:divBdr>
        <w:top w:val="none" w:sz="0" w:space="0" w:color="auto"/>
        <w:left w:val="none" w:sz="0" w:space="0" w:color="auto"/>
        <w:bottom w:val="none" w:sz="0" w:space="0" w:color="auto"/>
        <w:right w:val="none" w:sz="0" w:space="0" w:color="auto"/>
      </w:divBdr>
    </w:div>
    <w:div w:id="1690638192">
      <w:bodyDiv w:val="1"/>
      <w:marLeft w:val="0"/>
      <w:marRight w:val="0"/>
      <w:marTop w:val="0"/>
      <w:marBottom w:val="0"/>
      <w:divBdr>
        <w:top w:val="none" w:sz="0" w:space="0" w:color="auto"/>
        <w:left w:val="none" w:sz="0" w:space="0" w:color="auto"/>
        <w:bottom w:val="none" w:sz="0" w:space="0" w:color="auto"/>
        <w:right w:val="none" w:sz="0" w:space="0" w:color="auto"/>
      </w:divBdr>
    </w:div>
    <w:div w:id="183267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F7D819F-173E-426A-B434-3025B791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2177</Words>
  <Characters>13370</Characters>
  <Application>Microsoft Office Word</Application>
  <DocSecurity>0</DocSecurity>
  <Lines>234</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2021-01-15T09:38:00Z</dcterms:created>
  <dcterms:modified xsi:type="dcterms:W3CDTF">2021-01-19T11:35:00Z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