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B27E6EF-CD3C-4F24-81B5-5EF703D2EC19" style="width:450.75pt;height:41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CRSeparator"/>
        <w:rPr>
          <w:noProof/>
          <w:lang w:val="da-DK"/>
        </w:rPr>
      </w:pPr>
      <w:bookmarkStart w:id="0" w:name="_GoBack"/>
      <w:bookmarkEnd w:id="0"/>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Annexetitre"/>
        <w:rPr>
          <w:noProof/>
        </w:rPr>
      </w:pPr>
      <w:r>
        <w:rPr>
          <w:noProof/>
        </w:rPr>
        <w:t>BILAG I</w:t>
      </w:r>
    </w:p>
    <w:p>
      <w:pPr>
        <w:pStyle w:val="NormalCentered"/>
        <w:rPr>
          <w:b/>
          <w:bCs/>
          <w:noProof/>
        </w:rPr>
      </w:pPr>
      <w:r>
        <w:rPr>
          <w:b/>
          <w:bCs/>
          <w:noProof/>
        </w:rPr>
        <w:t>MINIMUMSKRAV TIL KVALIFIKATIONER OG UDDANNELSE</w:t>
      </w:r>
    </w:p>
    <w:p>
      <w:pPr>
        <w:pStyle w:val="SectionTitle"/>
        <w:rPr>
          <w:noProof/>
        </w:rPr>
      </w:pPr>
      <w:r>
        <w:rPr>
          <w:noProof/>
        </w:rPr>
        <w:t>Afdeling 1:</w:t>
      </w:r>
      <w:r>
        <w:rPr>
          <w:noProof/>
        </w:rPr>
        <w:tab/>
        <w:t>Emneliste</w:t>
      </w:r>
    </w:p>
    <w:p>
      <w:pPr>
        <w:rPr>
          <w:noProof/>
        </w:rPr>
      </w:pPr>
      <w:r>
        <w:rPr>
          <w:noProof/>
        </w:rPr>
        <w:t>De kundskaber, som skal tages i betragtning ved medlemsstaternes konstatering af chaufførens grundlæggende kvalifikationer og efteruddannelse, skal som minimum omfatte de emner, der er opført på denne liste. Personer, der ønsker at blive chauffører, skal opnå et sådant niveau af kundskaber og praktiske færdigheder, som er nødvendigt, for at de på sikker vis kan føre et køretøj af den relevante kørekortskategori.</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rPr>
          <w:noProof/>
        </w:rPr>
      </w:pPr>
      <w:r>
        <w:rPr>
          <w:noProof/>
        </w:rPr>
        <w:t>Minimumsniveauet for kundskaberne skal mindst være sammenlignelige med niveau 2 i den europæiske referenceramme for kvalifikationer, jf. bilag II til Europa-Parlamentets og Rådets henstilling af 23. april 2008</w:t>
      </w:r>
      <w:r>
        <w:rPr>
          <w:rStyle w:val="FootnoteReference"/>
          <w:noProof/>
        </w:rPr>
        <w:footnoteReference w:id="1"/>
      </w:r>
      <w:r>
        <w:rPr>
          <w:noProof/>
        </w:rPr>
        <w:t>.</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2"/>
        <w:ind w:left="851" w:hanging="851"/>
        <w:rPr>
          <w:noProof/>
        </w:rPr>
      </w:pPr>
      <w:r>
        <w:rPr>
          <w:noProof/>
        </w:rPr>
        <w:t>1.</w:t>
      </w:r>
      <w:r>
        <w:rPr>
          <w:noProof/>
        </w:rPr>
        <w:tab/>
        <w:t>Videreuddannelse i rationel kørsel med hovedvægt på sikkerhed</w:t>
      </w:r>
    </w:p>
    <w:p>
      <w:pPr>
        <w:pStyle w:val="ManualHeading3"/>
        <w:rPr>
          <w:noProof/>
        </w:rPr>
      </w:pPr>
      <w:r>
        <w:rPr>
          <w:noProof/>
        </w:rPr>
        <w:t>Alle kørekort</w:t>
      </w:r>
    </w:p>
    <w:p>
      <w:pPr>
        <w:pStyle w:val="Point0"/>
        <w:rPr>
          <w:noProof/>
        </w:rPr>
      </w:pPr>
      <w:r>
        <w:rPr>
          <w:noProof/>
        </w:rPr>
        <w:t>1.1.</w:t>
      </w:r>
      <w:r>
        <w:rPr>
          <w:noProof/>
        </w:rPr>
        <w:tab/>
        <w:t>Mål: at kende de karakteristiske egenskaber ved kraftoverføring for at kunne optimere brugen heraf</w:t>
      </w:r>
    </w:p>
    <w:p>
      <w:pPr>
        <w:pStyle w:val="Text1"/>
        <w:rPr>
          <w:noProof/>
        </w:rPr>
      </w:pPr>
      <w:r>
        <w:rPr>
          <w:noProof/>
        </w:rPr>
        <w:t>Motorers drejningsmoment, effektkurver og brændstofforbrugskurver, optimalt køreområde på omdrejningstælleren samt diagrammer for gearenes overlapning.</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1.2.</w:t>
      </w:r>
      <w:r>
        <w:rPr>
          <w:noProof/>
        </w:rPr>
        <w:tab/>
        <w:t>Mål: at kende sikkerhedsanordningernes karakteristiske egenskaber og funktioner med henblik på at beherske køretøjet, mindske slid og forebygge fejl</w:t>
      </w:r>
    </w:p>
    <w:p>
      <w:pPr>
        <w:pStyle w:val="Text1"/>
        <w:rPr>
          <w:noProof/>
        </w:rPr>
      </w:pPr>
      <w:r>
        <w:rPr>
          <w:noProof/>
        </w:rPr>
        <w:t>grænser for brug af bremser og retarder, kombineret brug af bremser og retarder, bedste valg af hastighed og gear, brug af køretøjets inerti, brug af forskellige metoder til at nedsætte hastigheden og til bremsning ved kørsel ned ad bakke samt reaktion ved funktionssvigt, brug af elektroniske og mekaniske anordninger såsom elektronisk stabilitetsprogram (ESP), avanceret nødbremsesystem (AEBS), antiblokeringssystem (ABS), trækkraftkontrolsystemer (TCS), overvågningssystemer i køretøjet (IVMS) og andre, som er godkendt til brug, førerstøtte eller automatiske anordninger.</w:t>
      </w:r>
    </w:p>
    <w:p>
      <w:pPr>
        <w:pStyle w:val="Point0"/>
        <w:rPr>
          <w:noProof/>
        </w:rPr>
      </w:pPr>
      <w:r>
        <w:rPr>
          <w:noProof/>
        </w:rPr>
        <w:t>1.3.</w:t>
      </w:r>
      <w:r>
        <w:rPr>
          <w:noProof/>
        </w:rPr>
        <w:tab/>
        <w:t>Mål: at kunne optimere brændstofforbruget</w:t>
      </w:r>
    </w:p>
    <w:p>
      <w:pPr>
        <w:pStyle w:val="Text1"/>
        <w:rPr>
          <w:noProof/>
        </w:rPr>
      </w:pPr>
      <w:r>
        <w:rPr>
          <w:noProof/>
        </w:rPr>
        <w:t>Optimering af brændstofforbruget ved anvendelse af, hvad der er lært under punkt 1.1 og 1.2, betydningen af at kunne forudse trafikken, passende afstand til andre køretøjer og brug af køretøjets fremdrift, stabil hastighed, smidig kørsel og passende dæktryk samt kendskab til intelligente transportsystemer, der muliggør effektiv kørsel og bedre ruteplanlægning.</w:t>
      </w:r>
    </w:p>
    <w:p>
      <w:pPr>
        <w:pStyle w:val="Point0"/>
        <w:rPr>
          <w:noProof/>
        </w:rPr>
      </w:pPr>
      <w:r>
        <w:rPr>
          <w:noProof/>
        </w:rPr>
        <w:t>1.4.</w:t>
      </w:r>
      <w:r>
        <w:rPr>
          <w:noProof/>
        </w:rPr>
        <w:tab/>
        <w:t>Mål: evne til at forudse, vurdere og tilpasse sig risici i trafikken</w:t>
      </w:r>
    </w:p>
    <w:p>
      <w:pPr>
        <w:pStyle w:val="Text1"/>
        <w:rPr>
          <w:noProof/>
        </w:rPr>
      </w:pPr>
      <w:r>
        <w:rPr>
          <w:noProof/>
        </w:rPr>
        <w:t>At være klar over og tilpasse sig forskellige vej-, trafik- og vejrforhold, forudse kommende begivenheder, at forstå, hvordan man skal forberede og planlægge en tur under unormale vejrforhold, at have kendskab til brugen af sikkerhedsudstyr og forstå, når en tur må udsættes eller aflyses på grund af ekstreme vejrforhold, at tilpasse sig trafikrisici, herunder farlig adfærd i trafikken eller distraheret kørsel (gennem anvendelse af elektronisk udstyr, at spise, drikke, osv.), at anerkende og tilpasse sig farlige situationer og være i stand til at håndtere stress, der er afledt heraf, navnlig med hensyn til køretøjernes størrelse og vægt samt sårbare trafikanter såsom fodgængere, cyklister og tohjulede motoriserede køretøjer.</w:t>
      </w:r>
    </w:p>
    <w:p>
      <w:pPr>
        <w:pStyle w:val="Text1"/>
        <w:rPr>
          <w:noProof/>
        </w:rPr>
      </w:pPr>
      <w:r>
        <w:rPr>
          <w:noProof/>
        </w:rPr>
        <w:t>At identificere mulige farlige situationer og korrekt fortolke, hvordan disse potentielt farlige situationer kan blive til situationer, hvor sammenstød ikke længere kan undgås, og vælge og foretage handlinger, der øger sikkerhedsmargenen i en sådan grad, at et sammenstød stadig kan undgås, hvis den potentielle farlige situation opstår.</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3"/>
        <w:rPr>
          <w:noProof/>
        </w:rPr>
      </w:pPr>
      <w:r>
        <w:rPr>
          <w:noProof/>
        </w:rPr>
        <w:t>Kørekort til kategori C, C + E, C1 og C1 + 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1.5.</w:t>
      </w:r>
      <w:r>
        <w:rPr>
          <w:noProof/>
        </w:rPr>
        <w:tab/>
        <w:t>Mål: at kunne stå for lastning af et køretøj under overholdelse af sikkerhedsforskrifterne og den korrekte brug af køretøjet</w:t>
      </w:r>
    </w:p>
    <w:p>
      <w:pPr>
        <w:pStyle w:val="Text1"/>
        <w:rPr>
          <w:noProof/>
        </w:rPr>
      </w:pPr>
      <w:r>
        <w:rPr>
          <w:noProof/>
        </w:rPr>
        <w:t>Kræfter på køretøjet under kørsel, brug af forskellige gear alt efter køretøjets belæsningstilstand og vejens længdeprofil, brug af automatiske transmissionssystemer, beregning af køretøjets eller vogntogets nyttelast, beregning af lastrummets størrelse, placering af godset, følgerne af for stort akseltryk, køretøjets stabilitet og tyngdepunkt, emballagetyper og paller.</w:t>
      </w:r>
    </w:p>
    <w:p>
      <w:pPr>
        <w:pStyle w:val="Text1"/>
        <w:rPr>
          <w:noProof/>
        </w:rPr>
      </w:pPr>
      <w:r>
        <w:rPr>
          <w:noProof/>
        </w:rPr>
        <w:t>Hovedkategorier af gods, der kræver surring, sikrings- og surringsteknikker, brug af surringsremme, kontrol af surringsanordningerne, brug af udstyr til godshåndtering samt brug af presenning.</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3"/>
        <w:rPr>
          <w:noProof/>
        </w:rPr>
      </w:pPr>
      <w:r>
        <w:rPr>
          <w:noProof/>
        </w:rPr>
        <w:t>Kørekort til kategori D, D + E, D1 og D1 + 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1.6.</w:t>
      </w:r>
      <w:r>
        <w:rPr>
          <w:noProof/>
        </w:rPr>
        <w:tab/>
        <w:t>Mål: at kunne varetage passagerernes sikkerhed og komfort</w:t>
      </w:r>
    </w:p>
    <w:p>
      <w:pPr>
        <w:pStyle w:val="Text1"/>
        <w:rPr>
          <w:noProof/>
        </w:rPr>
      </w:pPr>
      <w:r>
        <w:rPr>
          <w:noProof/>
        </w:rPr>
        <w:t>Justering af langsgående og sidelæns bevægelser, fælles brug af vejnettet, placering på kørebanen, smidig opbremsning, overhæng, brug af særlige infrastrukturer (offentlige arealer, særlige kørebaner), løsning af konflikter mellem sikker kørsel og andre af chaufførens funktioner, kontakt med passagerer samt særlige forhold ved befordring af visse typer passagerer (handicappede, børn).</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1.7.</w:t>
      </w:r>
      <w:r>
        <w:rPr>
          <w:noProof/>
        </w:rPr>
        <w:tab/>
        <w:t>Mål: at kunne stå for lastning af et køretøj under overholdelse af sikkerhedsforskrifterne og den korrekte brug af køretøjet</w:t>
      </w:r>
    </w:p>
    <w:p>
      <w:pPr>
        <w:pStyle w:val="Text1"/>
        <w:rPr>
          <w:noProof/>
        </w:rPr>
      </w:pPr>
      <w:r>
        <w:rPr>
          <w:noProof/>
        </w:rPr>
        <w:t>Kræfter på køretøjet under kørsel, brug af forskellige gear alt efter køretøjets belæsningstilstand og vejens længdeprofil, brug af automatiske transmissionssystemer, beregning af køretøjets eller vogntogets nyttelast, placering af godset, følgerne af for stort akseltryk, køretøjets stabilitet og tyngdepunkt.</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2"/>
        <w:ind w:left="851" w:hanging="851"/>
        <w:rPr>
          <w:noProof/>
        </w:rPr>
      </w:pPr>
      <w:r>
        <w:rPr>
          <w:noProof/>
        </w:rPr>
        <w:t>2.</w:t>
      </w:r>
      <w:r>
        <w:rPr>
          <w:noProof/>
        </w:rPr>
        <w:tab/>
        <w:t>Anvendelse af reglerne</w:t>
      </w:r>
    </w:p>
    <w:p>
      <w:pPr>
        <w:pStyle w:val="ManualHeading3"/>
        <w:rPr>
          <w:noProof/>
        </w:rPr>
      </w:pPr>
      <w:r>
        <w:rPr>
          <w:noProof/>
        </w:rPr>
        <w:t>Alle kørekort</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2.1.</w:t>
      </w:r>
      <w:r>
        <w:rPr>
          <w:noProof/>
        </w:rPr>
        <w:tab/>
        <w:t>Mål: at kende vejtransportens sociale kontekst og reglerne</w:t>
      </w:r>
    </w:p>
    <w:p>
      <w:pPr>
        <w:pStyle w:val="Text1"/>
        <w:rPr>
          <w:noProof/>
        </w:rPr>
      </w:pPr>
      <w:r>
        <w:rPr>
          <w:noProof/>
        </w:rPr>
        <w:t>Specifikke arbejdstidsregler for transport, Europa-Parlamentets og Rådets forordning (EF) nr. 561/2006</w:t>
      </w:r>
      <w:r>
        <w:rPr>
          <w:rStyle w:val="FootnoteReference"/>
          <w:noProof/>
        </w:rPr>
        <w:footnoteReference w:id="2"/>
      </w:r>
      <w:r>
        <w:rPr>
          <w:noProof/>
        </w:rPr>
        <w:t xml:space="preserve"> og (EU) nr. 165/2014</w:t>
      </w:r>
      <w:r>
        <w:rPr>
          <w:rStyle w:val="FootnoteReference"/>
          <w:noProof/>
        </w:rPr>
        <w:footnoteReference w:id="3"/>
      </w:r>
      <w:r>
        <w:rPr>
          <w:noProof/>
        </w:rPr>
        <w:t xml:space="preserve"> og deres principper, anvendelse og konsekvenser, sanktioner for mangelfuld, ukorrekt eller svigagtig brug af fartskriver; kendskab til vejtransportens sociale kontekst: chaufførernes rettigheder og pligter med hensyn til grundlæggende kvalifikationer og efteruddannelse.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3"/>
        <w:rPr>
          <w:noProof/>
        </w:rPr>
      </w:pPr>
      <w:r>
        <w:rPr>
          <w:noProof/>
        </w:rPr>
        <w:t>Kørekort til kategori C, C + E, C1 og C1 + 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2.2.</w:t>
      </w:r>
      <w:r>
        <w:rPr>
          <w:noProof/>
        </w:rPr>
        <w:tab/>
        <w:t>Mål: at kende reglerne på godstransportområdet</w:t>
      </w:r>
    </w:p>
    <w:p>
      <w:pPr>
        <w:pStyle w:val="Text1"/>
        <w:rPr>
          <w:noProof/>
        </w:rPr>
      </w:pPr>
      <w:r>
        <w:rPr>
          <w:noProof/>
        </w:rPr>
        <w:t>Transporttilladelser, dokumenter, der skal medbringes, kørselsforbud på bestemte veje, vejafgifter, forpligtelser i henhold til standardkontrakter for godstransport, udfærdigelse af transportdokumenter, internationale transporttilladelser, forpligtelser i henhold til CMR-konventionen, udfærdigelse af internationalt fragtbrev, krydsning af landegrænser, speditører samt særlige ledsagedokumenter til gods.</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3"/>
        <w:rPr>
          <w:noProof/>
        </w:rPr>
      </w:pPr>
      <w:r>
        <w:rPr>
          <w:noProof/>
        </w:rPr>
        <w:t>Kørekort til kategori D, D + E, D1 og D1 + E</w:t>
      </w:r>
    </w:p>
    <w:p>
      <w:pPr>
        <w:pStyle w:val="Point0"/>
        <w:rPr>
          <w:noProof/>
        </w:rPr>
      </w:pPr>
      <w:r>
        <w:rPr>
          <w:noProof/>
        </w:rPr>
        <w:t>2.3.</w:t>
      </w:r>
      <w:r>
        <w:rPr>
          <w:noProof/>
        </w:rPr>
        <w:tab/>
        <w:t>Mål: at kende reglerne for passagerbefordring</w:t>
      </w:r>
    </w:p>
    <w:p>
      <w:pPr>
        <w:pStyle w:val="Text1"/>
        <w:rPr>
          <w:noProof/>
        </w:rPr>
      </w:pPr>
      <w:r>
        <w:rPr>
          <w:noProof/>
        </w:rPr>
        <w:t>Transport af særlige grupper, sikkerhedsudstyr om bord på bussen, sikkerhedsseler og lastning af køretøjet.</w:t>
      </w:r>
    </w:p>
    <w:p>
      <w:pPr>
        <w:pStyle w:val="ManualHeading2"/>
        <w:ind w:left="851" w:hanging="851"/>
        <w:rPr>
          <w:noProof/>
        </w:rPr>
      </w:pPr>
      <w:r>
        <w:rPr>
          <w:noProof/>
        </w:rPr>
        <w:t>3.</w:t>
      </w:r>
      <w:r>
        <w:rPr>
          <w:noProof/>
        </w:rPr>
        <w:tab/>
        <w:t>Sundhed, færdselssikkerhed og miljøsikkerhed, service og logistik</w:t>
      </w:r>
    </w:p>
    <w:p>
      <w:pPr>
        <w:pStyle w:val="ManualHeading3"/>
        <w:rPr>
          <w:noProof/>
        </w:rPr>
      </w:pPr>
      <w:r>
        <w:rPr>
          <w:noProof/>
        </w:rPr>
        <w:t>Alle kørekort</w:t>
      </w:r>
    </w:p>
    <w:p>
      <w:pPr>
        <w:pStyle w:val="Point0"/>
        <w:rPr>
          <w:noProof/>
        </w:rPr>
      </w:pPr>
      <w:r>
        <w:rPr>
          <w:noProof/>
        </w:rPr>
        <w:t>3.1.</w:t>
      </w:r>
      <w:r>
        <w:rPr>
          <w:noProof/>
        </w:rPr>
        <w:tab/>
        <w:t>Mål: at være opmærksom på farer i trafikken og arbejdsulykker</w:t>
      </w:r>
    </w:p>
    <w:p>
      <w:pPr>
        <w:pStyle w:val="Text1"/>
        <w:rPr>
          <w:noProof/>
        </w:rPr>
      </w:pPr>
      <w:r>
        <w:rPr>
          <w:noProof/>
        </w:rPr>
        <w:t>Arbejdsulykkestyper på transportområdet, statistikker for færdselsulykker, indblanding af store køretøjer samt menneskelige, materielle og økonomiske følger.</w:t>
      </w:r>
    </w:p>
    <w:p>
      <w:pPr>
        <w:pStyle w:val="Point0"/>
        <w:rPr>
          <w:noProof/>
        </w:rPr>
      </w:pPr>
      <w:r>
        <w:rPr>
          <w:noProof/>
        </w:rPr>
        <w:t>3.2.</w:t>
      </w:r>
      <w:r>
        <w:rPr>
          <w:noProof/>
        </w:rPr>
        <w:tab/>
        <w:t>Mål: at kunne forebygge kriminalitet og menneskesmugling</w:t>
      </w:r>
    </w:p>
    <w:p>
      <w:pPr>
        <w:pStyle w:val="Text1"/>
        <w:rPr>
          <w:noProof/>
        </w:rPr>
      </w:pPr>
      <w:r>
        <w:rPr>
          <w:noProof/>
        </w:rPr>
        <w:t>Generel information, følger for chaufføren, forebyggende foranstaltninger, checkliste samt lovgivning om transportvirksomhedens ansvar.</w:t>
      </w:r>
    </w:p>
    <w:p>
      <w:pPr>
        <w:pStyle w:val="Point0"/>
        <w:rPr>
          <w:noProof/>
        </w:rPr>
      </w:pPr>
      <w:r>
        <w:rPr>
          <w:noProof/>
        </w:rPr>
        <w:t>3.3.</w:t>
      </w:r>
      <w:r>
        <w:rPr>
          <w:noProof/>
        </w:rPr>
        <w:tab/>
        <w:t>Mål: at kunne forebygge fysiske risici</w:t>
      </w:r>
    </w:p>
    <w:p>
      <w:pPr>
        <w:pStyle w:val="Text1"/>
        <w:rPr>
          <w:noProof/>
        </w:rPr>
      </w:pPr>
      <w:r>
        <w:rPr>
          <w:noProof/>
        </w:rPr>
        <w:t>Ergonomi: farlige bevægelser og stillinger, fysisk kondition, øvelser i håndtering af gods samt personlige værnemidler.</w:t>
      </w:r>
    </w:p>
    <w:p>
      <w:pPr>
        <w:pStyle w:val="Point0"/>
        <w:rPr>
          <w:noProof/>
        </w:rPr>
      </w:pPr>
      <w:r>
        <w:rPr>
          <w:noProof/>
        </w:rPr>
        <w:t>3.4.</w:t>
      </w:r>
      <w:r>
        <w:rPr>
          <w:noProof/>
        </w:rPr>
        <w:tab/>
        <w:t>Mål: at være bevidst om betydningen af fysisk og psykisk egnethed</w:t>
      </w:r>
    </w:p>
    <w:p>
      <w:pPr>
        <w:pStyle w:val="Text1"/>
        <w:rPr>
          <w:noProof/>
        </w:rPr>
      </w:pPr>
      <w:r>
        <w:rPr>
          <w:noProof/>
        </w:rPr>
        <w:t>Principperne om sunde og afbalancerede spisevaner, virkninger af alkohol, medicin og andre stoffer, der kan ændre adfærden, symptomer på træthed og stress og disses årsager og virkninger samt den grundlæggende betydning af skift mellem arbejde og hvile.</w:t>
      </w:r>
    </w:p>
    <w:p>
      <w:pPr>
        <w:pStyle w:val="Point0"/>
        <w:rPr>
          <w:noProof/>
        </w:rPr>
      </w:pPr>
      <w:r>
        <w:rPr>
          <w:noProof/>
        </w:rPr>
        <w:t>3.5.</w:t>
      </w:r>
      <w:r>
        <w:rPr>
          <w:noProof/>
        </w:rPr>
        <w:tab/>
        <w:t>Mål: at kunne vurdere nødsituationer</w:t>
      </w:r>
    </w:p>
    <w:p>
      <w:pPr>
        <w:pStyle w:val="Text1"/>
        <w:rPr>
          <w:noProof/>
        </w:rPr>
      </w:pPr>
      <w:r>
        <w:rPr>
          <w:noProof/>
        </w:rPr>
        <w:t>Adfærd i nødsituationer: vurdere situationen, undgå forværring af en ulykke, tilkalde hjælp, hjælpe tilskadekomne og yde førstehjælp, reaktion ved brand, evakuering af personer i tunge erhvervskøretøjer og buspassagerer, sørge for alle passagerers sikkerhed, reaktion i tilfælde af aggression, grundprincipperne for udfyldelse af fælles skadeanmeldelse.</w:t>
      </w:r>
    </w:p>
    <w:p>
      <w:pPr>
        <w:pStyle w:val="Point0"/>
        <w:rPr>
          <w:noProof/>
        </w:rPr>
      </w:pPr>
      <w:r>
        <w:rPr>
          <w:noProof/>
        </w:rPr>
        <w:t>3.6.</w:t>
      </w:r>
      <w:r>
        <w:rPr>
          <w:noProof/>
        </w:rPr>
        <w:tab/>
        <w:t>Mål: at kunne tilpasse sin optræden på en måde, der bidrager til at højne en servicevirksomheds image</w:t>
      </w:r>
    </w:p>
    <w:p>
      <w:pPr>
        <w:pStyle w:val="Text1"/>
        <w:rPr>
          <w:noProof/>
        </w:rPr>
      </w:pPr>
      <w:r>
        <w:rPr>
          <w:noProof/>
        </w:rPr>
        <w:t>Chaufførens optræden og image: betydningen for virksomheden af kvaliteten af den ydelse, chaufføren leverer, chaufførens forskellige roller, forskellige personer, som chaufføren kommer i kontakt med, vedligeholdelse af køretøjet, tilrettelæggelse af arbejdet, kommercielle og finansielle følger af tvister.</w:t>
      </w:r>
    </w:p>
    <w:p>
      <w:pPr>
        <w:pStyle w:val="ManualHeading3"/>
        <w:rPr>
          <w:noProof/>
        </w:rPr>
      </w:pPr>
      <w:r>
        <w:rPr>
          <w:noProof/>
        </w:rPr>
        <w:t>Kørekort til kategori C, C + E, C1 og C1 + 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keepNext/>
        <w:keepLines/>
        <w:ind w:left="851" w:hanging="851"/>
        <w:rPr>
          <w:noProof/>
        </w:rPr>
      </w:pPr>
      <w:r>
        <w:rPr>
          <w:noProof/>
        </w:rPr>
        <w:t>3.7.</w:t>
      </w:r>
      <w:r>
        <w:rPr>
          <w:noProof/>
        </w:rPr>
        <w:tab/>
        <w:t>Mål: at kende vejgodstransportens økonomiske kontekst og markedsorganisationen</w:t>
      </w:r>
    </w:p>
    <w:p>
      <w:pPr>
        <w:pStyle w:val="Text1"/>
        <w:rPr>
          <w:noProof/>
        </w:rPr>
      </w:pPr>
      <w:r>
        <w:rPr>
          <w:noProof/>
        </w:rPr>
        <w:t>Vejtransport i forhold til andre transportmåder (konkurrence, speditører), forskellige vejtransportaktiviteter (transport for tredjemands regning, egen virksomhed, transportrelaterede aktiviteter), hovedtyper af transportvirksomheder og transportrelaterede aktiviteter og deres organisation, specialisering inden for transport (tank, kontrolleret temperatur, farligt gods, dyretransport mv.) samt sektorens udvikling (diversificering af ydelser, kombination af bane og vej, underentreprise mv.).</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ManualHeading3"/>
        <w:rPr>
          <w:noProof/>
        </w:rPr>
      </w:pPr>
      <w:r>
        <w:rPr>
          <w:noProof/>
        </w:rPr>
        <w:t>Kørekort til kategori D, D + E, D1 og D1 + 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a)</w:t>
      </w:r>
    </w:p>
    <w:p>
      <w:pPr>
        <w:pStyle w:val="Point0"/>
        <w:rPr>
          <w:noProof/>
        </w:rPr>
      </w:pPr>
      <w:r>
        <w:rPr>
          <w:noProof/>
        </w:rPr>
        <w:t>3.8.</w:t>
      </w:r>
      <w:r>
        <w:rPr>
          <w:noProof/>
        </w:rPr>
        <w:tab/>
        <w:t>Mål: at kende den økonomiske kontekst for personbefordring ad vej og markedsorganisationen</w:t>
      </w:r>
    </w:p>
    <w:p>
      <w:pPr>
        <w:pStyle w:val="Text1"/>
        <w:rPr>
          <w:noProof/>
        </w:rPr>
      </w:pPr>
      <w:r>
        <w:rPr>
          <w:noProof/>
        </w:rPr>
        <w:t>Personbefordring ad vej i forhold til de forskellige personbefordringsmåder (tog, personbiler), forskellige aktiviteter inden for personbefordring ad vej, handicapbevidstgørelse, grænsepassage (international befordring) samt hovedtyper af virksomheder, der udfører personbefordring ad vej.</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SectionTitle"/>
        <w:rPr>
          <w:noProof/>
        </w:rPr>
      </w:pPr>
      <w:r>
        <w:rPr>
          <w:noProof/>
        </w:rPr>
        <w:t>Afdeling 2:</w:t>
      </w:r>
      <w:r>
        <w:rPr>
          <w:noProof/>
        </w:rPr>
        <w:tab/>
        <w:t>Obligatoriske grundlæggende kvalifikationer, jf. artikel 3, stk. 1, litra a)</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b)</w:t>
      </w:r>
    </w:p>
    <w:p>
      <w:pPr>
        <w:pStyle w:val="ManualHeading2"/>
        <w:ind w:left="851" w:hanging="851"/>
        <w:rPr>
          <w:noProof/>
        </w:rPr>
      </w:pPr>
      <w:r>
        <w:rPr>
          <w:noProof/>
        </w:rPr>
        <w:t>2.1.</w:t>
      </w:r>
      <w:r>
        <w:rPr>
          <w:noProof/>
        </w:rPr>
        <w:tab/>
        <w:t>Grundlæggende kvalifikationer: en ordning med både deltagelse i undervisning og en prøve.</w:t>
      </w:r>
    </w:p>
    <w:p>
      <w:pPr>
        <w:rPr>
          <w:noProof/>
        </w:rPr>
      </w:pPr>
      <w:r>
        <w:rPr>
          <w:noProof/>
        </w:rPr>
        <w:t>Det grundlæggende kvalifikationskursus omfatter undervisning i samtlige emner på listen i afdeling 1. Dette grundlæggende kvalifikationskursus har en varighed på 280 timer.</w:t>
      </w:r>
    </w:p>
    <w:p>
      <w:pPr>
        <w:rPr>
          <w:noProof/>
        </w:rPr>
      </w:pPr>
      <w:r>
        <w:rPr>
          <w:noProof/>
        </w:rPr>
        <w:t>Hver person, der ønsker at blive chauffør, skal have mindst 20 individuelle køretimer i et køretøj af den pågældende kategori, som mindst opfylder kravene til prøvekøretøjer i direktiv 2006/126/EF.</w:t>
      </w:r>
    </w:p>
    <w:p>
      <w:pPr>
        <w:rPr>
          <w:noProof/>
        </w:rPr>
      </w:pPr>
      <w:r>
        <w:rPr>
          <w:noProof/>
        </w:rPr>
        <w:t>I ovennævnte individuelle køreundervisning ledsages den person, der ønsker at blive chauffør, af en lærer ved et godkendt uddannelsescenter. Hver person, der ønsker at blive chauffør, kan få højst 8 af de 20 individuelle køretimer på et særligt område eller i en avanceret simulator, hvor chaufførens evne til rationel kørsel kan bedømmes med hovedvægt på sikkerhed, herunder navnlig hans beherskelse af køretøjet på veje i forskelligartet tilstand samt under forskellige vejrforhold og på forskellige tidspunkter af døgnet og evnen til at optimere brændstofforbruget.</w:t>
      </w:r>
    </w:p>
    <w:p>
      <w:pPr>
        <w:rPr>
          <w:noProof/>
        </w:rPr>
      </w:pPr>
      <w:r>
        <w:rPr>
          <w:noProof/>
        </w:rPr>
        <w:t>Medlemsstaterne kan tillade, at dele af uddannelsen udbydes af det godkendte uddannelsescenter ved hjælp af IKT som e-læring, men det skal i denne forbindelse sikres, at uddannelsens kvalitet og effektivitet opretholdes, idet der udvælges de emner, der er mest velegnede til anvendelse af IKT. Medlemsstaterne skal navnlig stille krav om pålidelig brugeridentifikation og passende kontrolforanstaltninger. Medlemsstaterne kan medregne særlige uddannelseskrav i anden EU-lovgivning som en del af uddannelsen. Dette omfatter, men er ikke begrænset til, uddannelse som krævet i Europa-Parlamentets og Rådets direktiv 2008/68/EF</w:t>
      </w:r>
      <w:r>
        <w:rPr>
          <w:rStyle w:val="FootnoteReference"/>
          <w:noProof/>
        </w:rPr>
        <w:footnoteReference w:id="4"/>
      </w:r>
      <w:r>
        <w:rPr>
          <w:noProof/>
        </w:rPr>
        <w:t xml:space="preserve"> for transport af farligt gods, handicapbevidstgørende uddannelse i henhold til Europa-Parlamentets og Rådets forordning (EU) nr. 181/2011</w:t>
      </w:r>
      <w:r>
        <w:rPr>
          <w:rStyle w:val="FootnoteReference"/>
          <w:noProof/>
        </w:rPr>
        <w:footnoteReference w:id="5"/>
      </w:r>
      <w:r>
        <w:rPr>
          <w:noProof/>
        </w:rPr>
        <w:t xml:space="preserve"> og uddannelse i dyretransport i henhold til Rådets forordning (EF) nr. 1/2005</w:t>
      </w:r>
      <w:r>
        <w:rPr>
          <w:rStyle w:val="FootnoteReference"/>
          <w:noProof/>
        </w:rPr>
        <w:footnoteReference w:id="6"/>
      </w:r>
      <w:r>
        <w:rPr>
          <w:noProof/>
        </w:rPr>
        <w:t>.</w:t>
      </w:r>
    </w:p>
    <w:p>
      <w:pPr>
        <w:rPr>
          <w:noProof/>
        </w:rPr>
      </w:pPr>
      <w:r>
        <w:rPr>
          <w:noProof/>
        </w:rPr>
        <w:t>For de chauffører, der er nævnt i artikel 5, stk. 5, er varigheden af det grundlæggende kvalifikationskursus på 70 timer, heraf 5 individuelle køretimer.</w:t>
      </w:r>
    </w:p>
    <w:p>
      <w:pPr>
        <w:rPr>
          <w:noProof/>
        </w:rPr>
      </w:pPr>
      <w:r>
        <w:rPr>
          <w:noProof/>
        </w:rPr>
        <w:t>Ved uddannelsens afslutning underkaster medlemsstaternes kompetente myndigheder eller den enhed, som de har udpeget, chaufføren en skriftlig eller mundtlig prøve. Prøven omfatter mindst et spørgsmål for hvert mål på listen over emner i afdeling 1.</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 (tilpasset)</w:t>
      </w:r>
    </w:p>
    <w:p>
      <w:pPr>
        <w:pStyle w:val="ManualHeading2"/>
        <w:ind w:left="851" w:hanging="851"/>
        <w:rPr>
          <w:noProof/>
        </w:rPr>
      </w:pPr>
      <w:r>
        <w:rPr>
          <w:noProof/>
        </w:rPr>
        <w:t>2.2.</w:t>
      </w:r>
      <w:r>
        <w:rPr>
          <w:noProof/>
        </w:rPr>
        <w:tab/>
        <w:t>Grundlæggende kvalifikationer: en ordning med kun prøver</w:t>
      </w:r>
    </w:p>
    <w:p>
      <w:pPr>
        <w:rPr>
          <w:noProof/>
        </w:rPr>
      </w:pPr>
      <w:r>
        <w:rPr>
          <w:noProof/>
        </w:rPr>
        <w:t>Medlemsstaternes kompetente myndigheder eller den enhed, som de har udpeget, tilrettelægger teoretiske og praktiske prøver, jf. nedenfor, for at efterprøve, om chaufførerne har de nødvendige kundskaber, der kræves i afdeling 1 med hensyn til samtlige mål og emner.</w:t>
      </w:r>
    </w:p>
    <w:p>
      <w:pPr>
        <w:pStyle w:val="Point0"/>
        <w:rPr>
          <w:noProof/>
        </w:rPr>
      </w:pPr>
      <w:r>
        <w:rPr>
          <w:noProof/>
        </w:rPr>
        <w:t>a)</w:t>
      </w:r>
      <w:r>
        <w:rPr>
          <w:noProof/>
        </w:rPr>
        <w:tab/>
        <w:t>Den teoretiske prøve består af mindst to delprøver:</w:t>
      </w:r>
    </w:p>
    <w:p>
      <w:pPr>
        <w:pStyle w:val="Point1"/>
        <w:rPr>
          <w:noProof/>
        </w:rPr>
      </w:pPr>
      <w:r>
        <w:rPr>
          <w:noProof/>
        </w:rPr>
        <w:t>i)</w:t>
      </w:r>
      <w:r>
        <w:rPr>
          <w:noProof/>
        </w:rPr>
        <w:tab/>
        <w:t>spørgsmål, enten multiple choice-spørgsmål eller spørgsmål, der skal besvares direkte, eller en kombination af begge dele</w:t>
      </w:r>
    </w:p>
    <w:p>
      <w:pPr>
        <w:pStyle w:val="Point1"/>
        <w:rPr>
          <w:noProof/>
        </w:rPr>
      </w:pPr>
      <w:r>
        <w:rPr>
          <w:noProof/>
        </w:rPr>
        <w:t>ii)</w:t>
      </w:r>
      <w:r>
        <w:rPr>
          <w:noProof/>
        </w:rPr>
        <w:tab/>
        <w:t>case studies.</w:t>
      </w:r>
    </w:p>
    <w:p>
      <w:pPr>
        <w:pStyle w:val="Point1"/>
        <w:rPr>
          <w:noProof/>
        </w:rPr>
      </w:pPr>
      <w:r>
        <w:rPr>
          <w:noProof/>
        </w:rPr>
        <w:t>Den teoretiske prøve skal mindst strække sig over fire timer.</w:t>
      </w:r>
    </w:p>
    <w:p>
      <w:pPr>
        <w:pStyle w:val="Point0"/>
        <w:keepNext/>
        <w:keepLines/>
        <w:rPr>
          <w:noProof/>
        </w:rPr>
      </w:pPr>
      <w:r>
        <w:rPr>
          <w:noProof/>
        </w:rPr>
        <w:t>b)</w:t>
      </w:r>
      <w:r>
        <w:rPr>
          <w:noProof/>
        </w:rPr>
        <w:tab/>
        <w:t>Den praktiske prøve består af to delprøver:</w:t>
      </w:r>
    </w:p>
    <w:p>
      <w:pPr>
        <w:pStyle w:val="Point1"/>
        <w:ind w:left="1418"/>
        <w:rPr>
          <w:noProof/>
        </w:rPr>
      </w:pPr>
      <w:r>
        <w:rPr>
          <w:noProof/>
        </w:rPr>
        <w:t>i)</w:t>
      </w:r>
      <w:r>
        <w:rPr>
          <w:noProof/>
        </w:rPr>
        <w:tab/>
        <w:t>en køreprøve, hvis formål er at bedømme evnen til rationel kørsel med hovedvægt på sikkerhed. Denne prøve foretages om muligt på veje uden for bymæssig bebyggelse, gennemkørselsveje og motorveje (eller lignende) samt på alle former for kørselsveje i byer, som skal repræsentere de forskellige typer vanskeligheder, som en chauffør kan forventes at komme ud for. Prøven skal helst afvikles under forskellige grader af trafiktæthed. Under kørslen skal tiden udnyttes bedst muligt til at bedømme chaufføren i alle de typer kørselsområder, som han kan forventes at komme ud for. Prøven skal mindst vare 90 minutter</w:t>
      </w:r>
    </w:p>
    <w:p>
      <w:pPr>
        <w:pStyle w:val="Point1"/>
        <w:rPr>
          <w:noProof/>
        </w:rPr>
      </w:pPr>
      <w:r>
        <w:rPr>
          <w:noProof/>
        </w:rPr>
        <w:t>ii)</w:t>
      </w:r>
      <w:r>
        <w:rPr>
          <w:noProof/>
        </w:rPr>
        <w:tab/>
        <w:t>en praktisk prøve, som mindst skal vedrøre punkt 1.5, 1.6, 1.7, 3.2, 3.3 og 3.5. Prøven skal mindst vare 30 minutter.</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b)</w:t>
      </w:r>
    </w:p>
    <w:p>
      <w:pPr>
        <w:pStyle w:val="Text1"/>
        <w:rPr>
          <w:noProof/>
        </w:rPr>
      </w:pPr>
      <w:r>
        <w:rPr>
          <w:noProof/>
        </w:rPr>
        <w:t>De køretøjer, der anvendes ved de praktiske prøver, skal mindst opfylde kravene til prøvekøretøjer i direktiv 2006/126/EF.</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Text1"/>
        <w:rPr>
          <w:noProof/>
        </w:rPr>
      </w:pPr>
      <w:r>
        <w:rPr>
          <w:noProof/>
        </w:rPr>
        <w:t>Den praktiske prøve kan suppleres med en tredje delprøve, som afholdes på et særligt område eller i en avanceret simulator for at bedømme chaufførens evne til rationel kørsel med hovedvægt på sikkerhed, herunder navnlig hans beherskelse af køretøjet på veje i forskelligartet tilstand samt under forskellige vejrforhold og på forskellige tidspunkter af døgnet.</w:t>
      </w:r>
    </w:p>
    <w:p>
      <w:pPr>
        <w:pStyle w:val="Text1"/>
        <w:rPr>
          <w:noProof/>
        </w:rPr>
      </w:pPr>
      <w:r>
        <w:rPr>
          <w:noProof/>
        </w:rPr>
        <w:t>Varigheden af denne ikke-obligatoriske delprøve er ikke fastsat. Hvis chaufføren består denne delprøve, kan dens varighed trækkes fra de 90 minutter, som er afsat til delprøven i nr. i), dog således at der ikke fratrækkes mere end 30 minutter.</w:t>
      </w:r>
    </w:p>
    <w:p>
      <w:pPr>
        <w:pStyle w:val="Text1"/>
        <w:rPr>
          <w:noProof/>
        </w:rPr>
      </w:pPr>
      <w:r>
        <w:rPr>
          <w:noProof/>
        </w:rPr>
        <w:t>For de chauffører, der er nævnt i artikel 5, stk. 5, handler den teoretiske prøve udelukkende om de emner i afdeling 1, der vedrører de køretøjer, som det nye grundlæggende kvalifikationskursus tager sigte på. Disse chauffører skal dog aflægge hele den praktiske prøve.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1, litra c)</w:t>
      </w:r>
    </w:p>
    <w:p>
      <w:pPr>
        <w:pStyle w:val="SectionTitle"/>
        <w:rPr>
          <w:noProof/>
        </w:rPr>
      </w:pPr>
      <w:r>
        <w:rPr>
          <w:noProof/>
        </w:rPr>
        <w:t>Afdeling 3:</w:t>
      </w:r>
      <w:r>
        <w:rPr>
          <w:noProof/>
        </w:rPr>
        <w:tab/>
        <w:t>Intensivt grundlæggende kvalifikationskursus, jf. artikel 3, stk. 2</w:t>
      </w:r>
    </w:p>
    <w:p>
      <w:pPr>
        <w:rPr>
          <w:noProof/>
        </w:rPr>
      </w:pPr>
      <w:r>
        <w:rPr>
          <w:noProof/>
        </w:rPr>
        <w:t>Det intensive grundlæggende kvalifikationskursus omfatter undervisning i samtlige emner på listen i afdeling 1. Dette intensive grundlæggende kvalifikationskursus har en varighed på 140 timer.</w:t>
      </w:r>
    </w:p>
    <w:p>
      <w:pPr>
        <w:rPr>
          <w:noProof/>
        </w:rPr>
      </w:pPr>
      <w:r>
        <w:rPr>
          <w:noProof/>
        </w:rPr>
        <w:t>Hver person, der ønsker at blive chauffør, skal have mindst 10 individuelle køretimer i et køretøj af den pågældende kategori, som mindst opfylder kravene til prøvekøretøjer i direktiv 2006/126/EF.</w:t>
      </w:r>
    </w:p>
    <w:p>
      <w:pPr>
        <w:rPr>
          <w:noProof/>
        </w:rPr>
      </w:pPr>
      <w:r>
        <w:rPr>
          <w:noProof/>
        </w:rPr>
        <w:t>I ovennævnte individuelle køreundervisning ledsages den person, der ønsker at blive chauffør, af en lærer ved et godkendt uddannelsescenter. Hver person, der ønsker at blive chauffør, kan få højst 4 af de 10 individuelle køretimer på et særligt område eller i en avanceret simulator, hvor chaufførens evne til rationel kørsel kan bedømmes med hovedvægt på sikkerhed, herunder navnlig hans beherskelse af køretøjet på veje i forskelligartet tilstand og med den måde, vejforholdene ændrer sig på under forskellige vejrforhold og på forskellige tidspunkter af døgnet, samt evnen til at optimere brændstofforbruget.</w:t>
      </w:r>
    </w:p>
    <w:p>
      <w:pPr>
        <w:rPr>
          <w:noProof/>
        </w:rPr>
      </w:pPr>
      <w:r>
        <w:rPr>
          <w:noProof/>
        </w:rPr>
        <w:t>Bestemmelserne i punkt 2.1, fjerde afsnit, finder også anvendelse på de fremskyndede grundlæggende kvalifikationer.</w:t>
      </w:r>
    </w:p>
    <w:p>
      <w:pPr>
        <w:rPr>
          <w:noProof/>
        </w:rPr>
      </w:pPr>
      <w:r>
        <w:rPr>
          <w:noProof/>
        </w:rPr>
        <w:t>For de chauffører, der er nævnt i artikel 5, stk. 5, er varigheden af det intensive grundlæggende kvalifikationskursus på 35 timer, heraf 2 individuelle køretimer.</w:t>
      </w:r>
    </w:p>
    <w:p>
      <w:pPr>
        <w:rPr>
          <w:noProof/>
        </w:rPr>
      </w:pPr>
      <w:r>
        <w:rPr>
          <w:noProof/>
        </w:rPr>
        <w:t>Ved uddannelsens afslutning underkaster medlemsstaternes kompetente myndigheder eller den enhed, som de har udpeget, chaufføren en skriftlig eller mundtlig prøve. Prøven omfatter mindst et spørgsmål for hvert mål på listen over emner i afdeling 1.</w:t>
      </w:r>
    </w:p>
    <w:p>
      <w:pPr>
        <w:pStyle w:val="SectionTitle"/>
        <w:rPr>
          <w:noProof/>
        </w:rPr>
      </w:pPr>
      <w:r>
        <w:rPr>
          <w:noProof/>
        </w:rPr>
        <w:t>Afdeling 4:</w:t>
      </w:r>
      <w:r>
        <w:rPr>
          <w:noProof/>
        </w:rPr>
        <w:tab/>
        <w:t>Obligatorisk efteruddannelse, jf. artikel 3, stk. 1, litra b)</w:t>
      </w:r>
    </w:p>
    <w:p>
      <w:pPr>
        <w:rPr>
          <w:noProof/>
        </w:rPr>
      </w:pPr>
      <w:r>
        <w:rPr>
          <w:noProof/>
        </w:rPr>
        <w:t>Der tilrettelægges obligatoriske efteruddannelseskurser på et godkendt uddannelsescenter. De har en varighed på 35 timer hvert femte år og afholdes over perioder på mindst 7 timer, som kan fordeles på to på hinanden følgende dage. Hvis der anvendes e-læring, skal det godkendte uddannelsescenter sikre, at kvaliteten af uddannelsen opretholdes, herunder ved at vælge de emner, hvor der mest effektivt kan anvendes IKT-værktøjer. Medlemsstaterne stiller navnlig krav om pålidelig brugeridentifikation og passende kontrolforanstaltninger. Undervisningen med e-læring må højst vare i 12 timer. Mindst et af kurserne skal omfatte et trafiksikkerhedsrelateret emne. I uddannelsens emner skal der tages højde for specifikke uddannelsesmæssige behov i forhold til de transportaktiviteter, som chaufføren udfører, og udviklingen inden for den relevante lovgivning og teknologi, og der tages i videst muligt omfang hensyn til chaufførens særlige uddannelsesmæssige behov. De 35 timer skal dække en række forskellige emner, herunder gentagelse af undervisningsindholdet, hvis det viser sig, at chaufføren har behov for særlig pædagogisk bistand.</w:t>
      </w:r>
    </w:p>
    <w:p>
      <w:pPr>
        <w:rPr>
          <w:noProof/>
        </w:rPr>
      </w:pPr>
      <w:r>
        <w:rPr>
          <w:noProof/>
        </w:rPr>
        <w:t>Medlemsstaterne kan overveje at medregne afsluttet specifik uddannelse, som kræves i henhold til anden EU-lovgivning, af en varighed på indtil en af de foreskrevne syvtimersperioder. Dette omfatter, men er ikke begrænset til, uddannelse som krævet i direktiv 2008/68/EF for transport af farligt gods, uddannelse i dyretransport i henhold til Rådets forordning (EF) nr. 1/2005 og for personbefordring handicapbevidstgørende uddannelse i henhold til forordning (EU) nr. 181/2011. Medlemsstaterne kan dog beslutte, at afsluttet specifik uddannelse som krævet i direktiv 2008/68/EF for transport af farligt gods kan tælle som to af syvtimersperioderne, forudsat at denne er den eneste anden uddannelse, der tages i betragtning i den periodiske træning.</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SectionTitle"/>
        <w:rPr>
          <w:noProof/>
        </w:rPr>
      </w:pPr>
      <w:r>
        <w:rPr>
          <w:noProof/>
        </w:rPr>
        <w:t>Afdeling 5:</w:t>
      </w:r>
      <w:r>
        <w:rPr>
          <w:noProof/>
        </w:rPr>
        <w:tab/>
        <w:t>Godkendelse af de grundlæggende kvalifikationskurser og af efteruddannelsen</w:t>
      </w:r>
    </w:p>
    <w:p>
      <w:pPr>
        <w:pStyle w:val="Point0"/>
        <w:keepNext/>
        <w:rPr>
          <w:noProof/>
        </w:rPr>
      </w:pPr>
      <w:r>
        <w:rPr>
          <w:noProof/>
        </w:rPr>
        <w:t>5.1.</w:t>
      </w:r>
      <w:r>
        <w:rPr>
          <w:noProof/>
        </w:rPr>
        <w:tab/>
        <w:t>De uddannelsescentre, som er involveret i de grundlæggende kvalifikationskurser og efteruddannelsen, godkendes af medlemsstaternes kompetente myndigheder. Godkendelse kan kun meddeles efter skriftlig ansøgning. Ansøgningen skal vedlægges dokumenter med følgende oplysninger:</w:t>
      </w:r>
    </w:p>
    <w:p>
      <w:pPr>
        <w:pStyle w:val="Point1"/>
        <w:keepNext/>
        <w:rPr>
          <w:noProof/>
        </w:rPr>
      </w:pPr>
      <w:r>
        <w:rPr>
          <w:noProof/>
        </w:rPr>
        <w:t>5.1.1.</w:t>
      </w:r>
      <w:r>
        <w:rPr>
          <w:noProof/>
        </w:rPr>
        <w:tab/>
        <w:t>Et passende kvalifikations- og uddannelsesprogram med angivelse af, hvilke fag der undervises i, en undervisningsplan og hvilke undervisningsmetoder der vil blive anvendt.</w:t>
      </w:r>
    </w:p>
    <w:p>
      <w:pPr>
        <w:pStyle w:val="Point1"/>
        <w:rPr>
          <w:noProof/>
        </w:rPr>
      </w:pPr>
      <w:r>
        <w:rPr>
          <w:noProof/>
        </w:rPr>
        <w:t>5.1.2.</w:t>
      </w:r>
      <w:r>
        <w:rPr>
          <w:noProof/>
        </w:rPr>
        <w:tab/>
        <w:t>Undervisernes kvalifikationer og kompetenceområder.</w:t>
      </w:r>
    </w:p>
    <w:p>
      <w:pPr>
        <w:pStyle w:val="Point1"/>
        <w:rPr>
          <w:noProof/>
        </w:rPr>
      </w:pPr>
      <w:r>
        <w:rPr>
          <w:noProof/>
        </w:rPr>
        <w:t>5.1.3.</w:t>
      </w:r>
      <w:r>
        <w:rPr>
          <w:noProof/>
        </w:rPr>
        <w:tab/>
        <w:t>Oplysninger om undervisningslokaler, undervisningsmaterialer, udstyr til praktikdelen og køretøjspark.</w:t>
      </w:r>
    </w:p>
    <w:p>
      <w:pPr>
        <w:pStyle w:val="Point1"/>
        <w:rPr>
          <w:noProof/>
        </w:rPr>
      </w:pPr>
      <w:r>
        <w:rPr>
          <w:noProof/>
        </w:rPr>
        <w:t>5.1.4.</w:t>
      </w:r>
      <w:r>
        <w:rPr>
          <w:noProof/>
        </w:rPr>
        <w:tab/>
        <w:t>Betingelser for deltagelse i undervisningen (antal deltagere).</w:t>
      </w:r>
    </w:p>
    <w:p>
      <w:pPr>
        <w:pStyle w:val="Point0"/>
        <w:rPr>
          <w:noProof/>
        </w:rPr>
      </w:pPr>
      <w:r>
        <w:rPr>
          <w:noProof/>
        </w:rPr>
        <w:t>5.2.</w:t>
      </w:r>
      <w:r>
        <w:rPr>
          <w:noProof/>
        </w:rPr>
        <w:tab/>
        <w:t>Den kompetente myndighed meddeler skriftligt sin godkendelse på følgende vilkår:</w:t>
      </w:r>
    </w:p>
    <w:p>
      <w:pPr>
        <w:pStyle w:val="Point1"/>
        <w:rPr>
          <w:noProof/>
        </w:rPr>
      </w:pPr>
      <w:r>
        <w:rPr>
          <w:noProof/>
        </w:rPr>
        <w:t>5.2.1.</w:t>
      </w:r>
      <w:r>
        <w:rPr>
          <w:noProof/>
        </w:rPr>
        <w:tab/>
        <w:t>Uddannelsen skal gennemføres i overensstemmelse med de dokumenter, der er vedlagt ansøgningen.</w:t>
      </w:r>
    </w:p>
    <w:p>
      <w:pPr>
        <w:pStyle w:val="Point1"/>
        <w:rPr>
          <w:noProof/>
        </w:rPr>
      </w:pPr>
      <w:r>
        <w:rPr>
          <w:noProof/>
        </w:rPr>
        <w:t>5.2.2.</w:t>
      </w:r>
      <w:r>
        <w:rPr>
          <w:noProof/>
        </w:rPr>
        <w:tab/>
        <w:t>Den kompetente myndighed skal kunne udsende dertil bemyndigede personer til at overvære undervisningen og føre tilsyn med de godkendte centre med særligt henblik på deres arbejdsmetoder og afvikling af undervisning og prøver.</w:t>
      </w:r>
    </w:p>
    <w:p>
      <w:pPr>
        <w:pStyle w:val="Point1"/>
        <w:rPr>
          <w:noProof/>
        </w:rPr>
      </w:pPr>
      <w:r>
        <w:rPr>
          <w:noProof/>
        </w:rPr>
        <w:t>5.2.3.</w:t>
      </w:r>
      <w:r>
        <w:rPr>
          <w:noProof/>
        </w:rPr>
        <w:tab/>
        <w:t>Godkendelsen skal kunne inddrages varigt eller midlertidigt, hvis betingelserne ikke opfyldes.</w:t>
      </w:r>
    </w:p>
    <w:p>
      <w:pPr>
        <w:pStyle w:val="Text1"/>
        <w:rPr>
          <w:noProof/>
        </w:rPr>
      </w:pPr>
      <w:r>
        <w:rPr>
          <w:noProof/>
        </w:rPr>
        <w:t>Det godkendte uddannelsescenter skal garantere, at underviserne har indgående kendskab til den seneste udvikling i regler og uddannelseskrav. Underviserne skal som led i en specifik udvælgelsesprocedure dokumentere, at de er i besiddelse af både fagkundskaber og pædagogisk viden. Med hensyn til den praktiske del af uddannelsen skal underviserne dokumentere, at de har erfaring som erhvervschauffører eller tilsvarende kørselserfaring, f.eks. som kørelærer til tunge erhvervskøretøjer.</w:t>
      </w:r>
    </w:p>
    <w:p>
      <w:pPr>
        <w:pStyle w:val="Text1"/>
        <w:rPr>
          <w:noProof/>
        </w:rPr>
      </w:pPr>
      <w:r>
        <w:rPr>
          <w:noProof/>
        </w:rPr>
        <w:t>Undervisningsprogrammet skal udformes som anført i godkendelsen med udgangspunkt i emnerne i afdeling 1.</w:t>
      </w:r>
    </w:p>
    <w:p>
      <w:pPr>
        <w:adjustRightInd w:val="0"/>
        <w:spacing w:before="0" w:after="0"/>
        <w:jc w:val="center"/>
        <w:rPr>
          <w:noProof/>
        </w:rPr>
      </w:pPr>
      <w:r>
        <w:rPr>
          <w:noProof/>
        </w:rPr>
        <w:t>_____________</w:t>
      </w:r>
    </w:p>
    <w:p>
      <w:pPr>
        <w:adjustRightInd w:val="0"/>
        <w:spacing w:before="0" w:after="0"/>
        <w:jc w:val="center"/>
        <w:rPr>
          <w:noProof/>
        </w:rPr>
        <w:sectPr>
          <w:footerReference w:type="default" r:id="rId16"/>
          <w:footerReference w:type="first" r:id="rId17"/>
          <w:pgSz w:w="11906" w:h="16838"/>
          <w:pgMar w:top="1134" w:right="1418" w:bottom="1134" w:left="1418" w:header="709" w:footer="709" w:gutter="0"/>
          <w:cols w:space="709"/>
          <w:docGrid w:linePitch="326"/>
        </w:sectPr>
      </w:pPr>
    </w:p>
    <w:p>
      <w:pPr>
        <w:pStyle w:val="Annexetitre"/>
        <w:rPr>
          <w:noProof/>
        </w:rPr>
      </w:pPr>
      <w:r>
        <w:rPr>
          <w:noProof/>
        </w:rPr>
        <w:t>BILAG II</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2, litra a)</w:t>
      </w:r>
    </w:p>
    <w:p>
      <w:pPr>
        <w:pStyle w:val="NormalCentered"/>
        <w:rPr>
          <w:b/>
          <w:bCs/>
          <w:noProof/>
        </w:rPr>
      </w:pPr>
      <w:r>
        <w:rPr>
          <w:b/>
          <w:bCs/>
          <w:noProof/>
        </w:rPr>
        <w:t>BESTEMMELSER VEDRØRENDE EU-MODELLEN FOR CHAUFFØRUDDANNELSESBEVIS</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 (tilpasset)</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1</w:t>
      </w:r>
      <w:r>
        <w:rPr>
          <w:noProof/>
          <w:lang w:val="da-DK"/>
        </w:rPr>
        <w:t xml:space="preserve"> 2004/66/EF Art. 1 og bilag </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2</w:t>
      </w:r>
      <w:r>
        <w:rPr>
          <w:noProof/>
          <w:lang w:val="da-DK"/>
        </w:rPr>
        <w:t> 2006/103/EF Art. 1 og bilag, nr. A, litra 6)</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3</w:t>
      </w:r>
      <w:r>
        <w:rPr>
          <w:noProof/>
          <w:lang w:val="da-DK"/>
        </w:rPr>
        <w:t xml:space="preserve"> 2013/22/EU Art. 1 og bilag </w:t>
      </w:r>
    </w:p>
    <w:p>
      <w:pPr>
        <w:pStyle w:val="Point0"/>
        <w:rPr>
          <w:noProof/>
        </w:rPr>
      </w:pPr>
      <w:r>
        <w:rPr>
          <w:noProof/>
        </w:rPr>
        <w:t>1.</w:t>
      </w:r>
      <w:r>
        <w:rPr>
          <w:noProof/>
        </w:rPr>
        <w:tab/>
        <w:t>De fysiske egenskaber ved EF-modellen for chaufføruddannelsesbevis skal være i overensstemmelse med ISO-standard 7810 og 7816-1.</w:t>
      </w:r>
    </w:p>
    <w:p>
      <w:pPr>
        <w:pStyle w:val="Text1"/>
        <w:rPr>
          <w:noProof/>
        </w:rPr>
      </w:pPr>
      <w:r>
        <w:rPr>
          <w:noProof/>
        </w:rPr>
        <w:t>Verifikationsmetoderne for chaufføruddannelsesbevis med henblik på at sikre overensstemmelse med internationale standarder skal være i overensstemmelse med ISO-standard 10373.</w:t>
      </w:r>
    </w:p>
    <w:p>
      <w:pPr>
        <w:pStyle w:val="Point0"/>
        <w:rPr>
          <w:noProof/>
        </w:rPr>
      </w:pPr>
      <w:r>
        <w:rPr>
          <w:noProof/>
        </w:rPr>
        <w:t>2.</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har to sider:</w:t>
      </w:r>
    </w:p>
    <w:p>
      <w:pPr>
        <w:pStyle w:val="Text1"/>
        <w:rPr>
          <w:noProof/>
        </w:rPr>
      </w:pPr>
      <w:r>
        <w:rPr>
          <w:noProof/>
        </w:rPr>
        <w:t>Forside:</w:t>
      </w:r>
    </w:p>
    <w:p>
      <w:pPr>
        <w:pStyle w:val="Point1"/>
        <w:rPr>
          <w:noProof/>
        </w:rPr>
      </w:pPr>
      <w:r>
        <w:rPr>
          <w:noProof/>
        </w:rPr>
        <w:t>a)</w:t>
      </w:r>
      <w:r>
        <w:rPr>
          <w:noProof/>
        </w:rPr>
        <w:tab/>
        <w:t>betegnelsen »chaufføruddannelsesbevis« trykt med store bogstaver på den udstedende medlemsstats sprog</w:t>
      </w:r>
    </w:p>
    <w:p>
      <w:pPr>
        <w:pStyle w:val="Point1"/>
        <w:rPr>
          <w:noProof/>
        </w:rPr>
      </w:pPr>
      <w:r>
        <w:rPr>
          <w:noProof/>
        </w:rPr>
        <w:t>b)</w:t>
      </w:r>
      <w:r>
        <w:rPr>
          <w:noProof/>
        </w:rPr>
        <w:tab/>
        <w:t>angivelse af navnet på den udstedende medlemsstat er valgfrit</w:t>
      </w:r>
    </w:p>
    <w:p>
      <w:pPr>
        <w:pStyle w:val="Point1"/>
        <w:rPr>
          <w:noProof/>
        </w:rPr>
      </w:pPr>
      <w:r>
        <w:rPr>
          <w:noProof/>
        </w:rPr>
        <w:t>c)</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den udstedende medlemsstats nationalitetsmærke trykt i negativ i et blåt rektangel og omgivet af tolv 12 stjerner. Nationalitetsmærkerne er følgende:</w:t>
      </w:r>
    </w:p>
    <w:tbl>
      <w:tblPr>
        <w:tblW w:w="0" w:type="auto"/>
        <w:tblInd w:w="1068" w:type="dxa"/>
        <w:tblLayout w:type="fixed"/>
        <w:tblLook w:val="0000" w:firstRow="0" w:lastRow="0" w:firstColumn="0" w:lastColumn="0" w:noHBand="0" w:noVBand="0"/>
      </w:tblPr>
      <w:tblGrid>
        <w:gridCol w:w="2418"/>
        <w:gridCol w:w="1062"/>
        <w:gridCol w:w="4680"/>
      </w:tblGrid>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Belgien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lang w:val="en-US"/>
              </w:rPr>
              <w:fldChar w:fldCharType="begin"/>
            </w:r>
            <w:r>
              <w:rPr>
                <w:noProof/>
                <w:lang w:val="en-US"/>
              </w:rPr>
              <w:instrText xml:space="preserve"> QUOTE "</w:instrText>
            </w:r>
            <w:r>
              <w:rPr>
                <w:rStyle w:val="CRMarker"/>
                <w:noProof/>
                <w:lang w:val="en-US"/>
              </w:rPr>
              <w:instrText>è</w:instrText>
            </w:r>
            <w:r>
              <w:rPr>
                <w:noProof/>
                <w:lang w:val="en-US"/>
              </w:rPr>
              <w:instrText xml:space="preserve">" </w:instrText>
            </w:r>
            <w:r>
              <w:rPr>
                <w:noProof/>
                <w:lang w:val="en-US"/>
              </w:rPr>
              <w:fldChar w:fldCharType="separate"/>
            </w:r>
            <w:r>
              <w:rPr>
                <w:rStyle w:val="CRMarker"/>
                <w:noProof/>
                <w:lang w:val="en-US"/>
              </w:rPr>
              <w:t>è</w:t>
            </w:r>
            <w:r>
              <w:rPr>
                <w:noProof/>
                <w:lang w:val="en-US"/>
              </w:rPr>
              <w:fldChar w:fldCharType="end"/>
            </w:r>
            <w:r>
              <w:rPr>
                <w:rStyle w:val="CRRefNum"/>
                <w:noProof/>
                <w:lang w:val="en-US"/>
              </w:rPr>
              <w:t>2</w:t>
            </w:r>
            <w:r>
              <w:rPr>
                <w:noProof/>
                <w:lang w:val="en-US"/>
              </w:rPr>
              <w:t> </w:t>
            </w:r>
            <w:r>
              <w:rPr>
                <w:noProof/>
              </w:rPr>
              <w:t>BG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r>
              <w:rPr>
                <w:noProof/>
              </w:rPr>
              <w:t>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Bulgarien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CZ</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Tjekkiet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DK</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Danmark</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Tyskland</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EST</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Estland</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IRL</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Irland</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GR</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Grækenland</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E</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Spanien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Frankrig</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lang w:val="en-US"/>
              </w:rPr>
              <w:fldChar w:fldCharType="begin"/>
            </w:r>
            <w:r>
              <w:rPr>
                <w:noProof/>
                <w:lang w:val="en-US"/>
              </w:rPr>
              <w:instrText xml:space="preserve"> QUOTE "</w:instrText>
            </w:r>
            <w:r>
              <w:rPr>
                <w:rStyle w:val="CRMarker"/>
                <w:noProof/>
                <w:lang w:val="en-US"/>
              </w:rPr>
              <w:instrText>è</w:instrText>
            </w:r>
            <w:r>
              <w:rPr>
                <w:noProof/>
                <w:lang w:val="en-US"/>
              </w:rPr>
              <w:instrText xml:space="preserve">" </w:instrText>
            </w:r>
            <w:r>
              <w:rPr>
                <w:noProof/>
                <w:lang w:val="en-US"/>
              </w:rPr>
              <w:fldChar w:fldCharType="separate"/>
            </w:r>
            <w:r>
              <w:rPr>
                <w:rStyle w:val="CRMarker"/>
                <w:noProof/>
                <w:lang w:val="en-US"/>
              </w:rPr>
              <w:t>è</w:t>
            </w:r>
            <w:r>
              <w:rPr>
                <w:noProof/>
                <w:lang w:val="en-US"/>
              </w:rPr>
              <w:fldChar w:fldCharType="end"/>
            </w:r>
            <w:r>
              <w:rPr>
                <w:rStyle w:val="CRRefNum"/>
                <w:noProof/>
                <w:lang w:val="en-US"/>
              </w:rPr>
              <w:t>3</w:t>
            </w:r>
            <w:r>
              <w:rPr>
                <w:noProof/>
                <w:lang w:val="en-US"/>
              </w:rPr>
              <w:t> </w:t>
            </w:r>
            <w:r>
              <w:rPr>
                <w:noProof/>
              </w:rPr>
              <w:t>HR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3</w:t>
            </w:r>
            <w:r>
              <w:rPr>
                <w:noProof/>
              </w:rPr>
              <w:t> :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3</w:t>
            </w:r>
            <w:r>
              <w:rPr>
                <w:noProof/>
              </w:rPr>
              <w:t> Kroatien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Italien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CY</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Cypern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LV</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Letland</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LT</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Litauen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Luxembourg</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H</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Ungarn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M</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Malta</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NL</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Nederlandene</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A</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Østrig</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PL</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Polen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Portugal</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lang w:val="en-US"/>
              </w:rPr>
              <w:fldChar w:fldCharType="begin"/>
            </w:r>
            <w:r>
              <w:rPr>
                <w:noProof/>
                <w:lang w:val="en-US"/>
              </w:rPr>
              <w:instrText xml:space="preserve"> QUOTE "</w:instrText>
            </w:r>
            <w:r>
              <w:rPr>
                <w:rStyle w:val="CRMarker"/>
                <w:noProof/>
                <w:lang w:val="en-US"/>
              </w:rPr>
              <w:instrText>è</w:instrText>
            </w:r>
            <w:r>
              <w:rPr>
                <w:noProof/>
                <w:lang w:val="en-US"/>
              </w:rPr>
              <w:instrText xml:space="preserve">" </w:instrText>
            </w:r>
            <w:r>
              <w:rPr>
                <w:noProof/>
                <w:lang w:val="en-US"/>
              </w:rPr>
              <w:fldChar w:fldCharType="separate"/>
            </w:r>
            <w:r>
              <w:rPr>
                <w:rStyle w:val="CRMarker"/>
                <w:noProof/>
                <w:lang w:val="en-US"/>
              </w:rPr>
              <w:t>è</w:t>
            </w:r>
            <w:r>
              <w:rPr>
                <w:noProof/>
                <w:lang w:val="en-US"/>
              </w:rPr>
              <w:fldChar w:fldCharType="end"/>
            </w:r>
            <w:r>
              <w:rPr>
                <w:rStyle w:val="CRRefNum"/>
                <w:noProof/>
                <w:lang w:val="en-US"/>
              </w:rPr>
              <w:t>2</w:t>
            </w:r>
            <w:r>
              <w:rPr>
                <w:noProof/>
                <w:lang w:val="en-US"/>
              </w:rPr>
              <w:t> </w:t>
            </w:r>
            <w:r>
              <w:rPr>
                <w:noProof/>
              </w:rPr>
              <w:t>RO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Rumænien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SLO</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Slovenien</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SK</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Slovakiet</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FIN</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Finland</w:t>
            </w:r>
          </w:p>
        </w:tc>
      </w:tr>
      <w:tr>
        <w:tc>
          <w:tcPr>
            <w:tcW w:w="241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w:t>
            </w:r>
          </w:p>
        </w:tc>
        <w:tc>
          <w:tcPr>
            <w:tcW w:w="106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6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Sverige</w:t>
            </w:r>
          </w:p>
        </w:tc>
      </w:tr>
    </w:tbl>
    <w:p>
      <w:pPr>
        <w:rPr>
          <w:noProof/>
        </w:rPr>
      </w:pPr>
    </w:p>
    <w:p>
      <w:pPr>
        <w:pStyle w:val="Point1"/>
        <w:rPr>
          <w:noProof/>
        </w:rPr>
      </w:pPr>
      <w:r>
        <w:rPr>
          <w:noProof/>
        </w:rPr>
        <w:t>d)</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specifikke oplysninger nummereret således</w:t>
      </w:r>
    </w:p>
    <w:p>
      <w:pPr>
        <w:pStyle w:val="Point2"/>
        <w:rPr>
          <w:noProof/>
        </w:rPr>
      </w:pPr>
      <w:r>
        <w:rPr>
          <w:noProof/>
        </w:rPr>
        <w:t>1.</w:t>
      </w:r>
      <w:r>
        <w:rPr>
          <w:noProof/>
        </w:rPr>
        <w:tab/>
        <w:t>indehaverens efternavn</w:t>
      </w:r>
    </w:p>
    <w:p>
      <w:pPr>
        <w:pStyle w:val="Point2"/>
        <w:rPr>
          <w:noProof/>
        </w:rPr>
      </w:pPr>
      <w:r>
        <w:rPr>
          <w:noProof/>
        </w:rPr>
        <w:t>2.</w:t>
      </w:r>
      <w:r>
        <w:rPr>
          <w:noProof/>
        </w:rPr>
        <w:tab/>
        <w:t>indehaverens fornavn(e)</w:t>
      </w:r>
    </w:p>
    <w:p>
      <w:pPr>
        <w:pStyle w:val="Point2"/>
        <w:rPr>
          <w:noProof/>
        </w:rPr>
      </w:pPr>
      <w:r>
        <w:rPr>
          <w:noProof/>
        </w:rPr>
        <w:t>3.</w:t>
      </w:r>
      <w:r>
        <w:rPr>
          <w:noProof/>
        </w:rPr>
        <w:tab/>
        <w:t>indehaverens fødselsdato og fødested</w:t>
      </w:r>
    </w:p>
    <w:p>
      <w:pPr>
        <w:pStyle w:val="PointDouble2"/>
        <w:rPr>
          <w:noProof/>
        </w:rPr>
      </w:pPr>
      <w:r>
        <w:rPr>
          <w:noProof/>
        </w:rPr>
        <w:t>4.</w:t>
      </w:r>
      <w:r>
        <w:rPr>
          <w:noProof/>
        </w:rPr>
        <w:tab/>
        <w:t>a)</w:t>
      </w:r>
      <w:r>
        <w:rPr>
          <w:noProof/>
        </w:rPr>
        <w:tab/>
        <w:t>udstedelsesdato</w:t>
      </w:r>
    </w:p>
    <w:p>
      <w:pPr>
        <w:pStyle w:val="Point3"/>
        <w:rPr>
          <w:noProof/>
        </w:rPr>
      </w:pPr>
      <w:r>
        <w:rPr>
          <w:noProof/>
        </w:rPr>
        <w:t>b)</w:t>
      </w:r>
      <w:r>
        <w:rPr>
          <w:noProof/>
        </w:rPr>
        <w:tab/>
        <w:t>udløbsdato</w:t>
      </w:r>
    </w:p>
    <w:p>
      <w:pPr>
        <w:pStyle w:val="Point3"/>
        <w:rPr>
          <w:noProof/>
        </w:rPr>
      </w:pPr>
      <w:r>
        <w:rPr>
          <w:noProof/>
        </w:rPr>
        <w:t>c)</w:t>
      </w:r>
      <w:r>
        <w:rPr>
          <w:noProof/>
        </w:rPr>
        <w:tab/>
        <w:t xml:space="preserve">angivelse af den myndighed, der udsteder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(kan trykkes på bagsiden)</w:t>
      </w:r>
    </w:p>
    <w:p>
      <w:pPr>
        <w:pStyle w:val="Point3"/>
        <w:rPr>
          <w:noProof/>
        </w:rPr>
      </w:pPr>
      <w:r>
        <w:rPr>
          <w:noProof/>
        </w:rPr>
        <w:t>d)</w:t>
      </w:r>
      <w:r>
        <w:rPr>
          <w:noProof/>
        </w:rPr>
        <w:tab/>
        <w:t>et andet nummer end kørekortsnummeret, der tjener administrative hensyn (valgfrit)</w:t>
      </w:r>
    </w:p>
    <w:p>
      <w:pPr>
        <w:pStyle w:val="PointDouble2"/>
        <w:rPr>
          <w:noProof/>
        </w:rPr>
      </w:pPr>
      <w:r>
        <w:rPr>
          <w:noProof/>
        </w:rPr>
        <w:t>5.</w:t>
      </w:r>
      <w:r>
        <w:rPr>
          <w:noProof/>
        </w:rPr>
        <w:tab/>
        <w:t>a)</w:t>
      </w:r>
      <w:r>
        <w:rPr>
          <w:noProof/>
        </w:rPr>
        <w:tab/>
        <w:t>kørekortets nummer</w:t>
      </w:r>
    </w:p>
    <w:p>
      <w:pPr>
        <w:pStyle w:val="Point3"/>
        <w:rPr>
          <w:noProof/>
        </w:rPr>
      </w:pPr>
      <w:r>
        <w:rPr>
          <w:noProof/>
        </w:rPr>
        <w:t>b)</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løbenummer</w:t>
      </w:r>
    </w:p>
    <w:p>
      <w:pPr>
        <w:pStyle w:val="Point2"/>
        <w:rPr>
          <w:noProof/>
        </w:rPr>
      </w:pPr>
      <w:r>
        <w:rPr>
          <w:noProof/>
        </w:rPr>
        <w:t>6.</w:t>
      </w:r>
      <w:r>
        <w:rPr>
          <w:noProof/>
        </w:rPr>
        <w:tab/>
        <w:t>foto af indehaveren</w:t>
      </w:r>
    </w:p>
    <w:p>
      <w:pPr>
        <w:pStyle w:val="Point2"/>
        <w:rPr>
          <w:noProof/>
        </w:rPr>
      </w:pPr>
      <w:r>
        <w:rPr>
          <w:noProof/>
        </w:rPr>
        <w:t>7.</w:t>
      </w:r>
      <w:r>
        <w:rPr>
          <w:noProof/>
        </w:rPr>
        <w:tab/>
        <w:t>indehaverens underskrift</w:t>
      </w:r>
    </w:p>
    <w:p>
      <w:pPr>
        <w:pStyle w:val="Point2"/>
        <w:rPr>
          <w:noProof/>
        </w:rPr>
      </w:pPr>
      <w:r>
        <w:rPr>
          <w:noProof/>
        </w:rPr>
        <w:t>8.</w:t>
      </w:r>
      <w:r>
        <w:rPr>
          <w:noProof/>
        </w:rPr>
        <w:tab/>
        <w:t>bopæl eller postadresse (valgfrit)</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2, litra b)</w:t>
      </w:r>
    </w:p>
    <w:p>
      <w:pPr>
        <w:pStyle w:val="Point2"/>
        <w:rPr>
          <w:noProof/>
        </w:rPr>
      </w:pPr>
      <w:r>
        <w:rPr>
          <w:noProof/>
        </w:rPr>
        <w:t>9.</w:t>
      </w:r>
      <w:r>
        <w:rPr>
          <w:noProof/>
        </w:rPr>
        <w:tab/>
        <w:t>kategorier af køretøjer, for hvilke chaufføren opfylder kravene til grundlæggende kvalifikationer og efteruddannelse</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 (tilpasset)</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1</w:t>
      </w:r>
      <w:r>
        <w:rPr>
          <w:noProof/>
          <w:lang w:val="da-DK"/>
        </w:rPr>
        <w:t xml:space="preserve"> 2004/66/EF Art. 1 og bilag </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2</w:t>
      </w:r>
      <w:r>
        <w:rPr>
          <w:noProof/>
          <w:lang w:val="da-DK"/>
        </w:rPr>
        <w:t> 2018/645 Art. 1, nr. 7 og bilag, nr. 2, litra b)</w:t>
      </w:r>
    </w:p>
    <w:p>
      <w:pPr>
        <w:pStyle w:val="Point1"/>
        <w:rPr>
          <w:noProof/>
        </w:rPr>
      </w:pPr>
      <w:r>
        <w:rPr>
          <w:noProof/>
        </w:rPr>
        <w:t>e)</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w:t>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xml:space="preserve"> betegnelsen »EU-model« på den udstedende medlemsstats sprog og betegnelsen »chaufføruddannelsesbevis« på de øvrige EU-sprog trykt i blåt på en sådan måde, at det udgør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baggrund: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r>
        <w:rPr>
          <w:noProof/>
        </w:rPr>
        <w:t>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2006/103/EF Art. 1 og bilag, nr. A, litra 6)</w:t>
      </w:r>
    </w:p>
    <w:p>
      <w:pPr>
        <w:pStyle w:val="Point2"/>
        <w:rPr>
          <w:noProof/>
        </w:rPr>
      </w:pPr>
      <w:r>
        <w:rPr>
          <w:noProof/>
        </w:rPr>
        <w:t>карта за квалификация на водача</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Point2"/>
        <w:rPr>
          <w:noProof/>
        </w:rPr>
      </w:pPr>
      <w:r>
        <w:rPr>
          <w:noProof/>
        </w:rPr>
        <w:t>tarjeta de cualificación del conductor</w:t>
      </w:r>
    </w:p>
    <w:p>
      <w:pPr>
        <w:pStyle w:val="Point2"/>
        <w:rPr>
          <w:noProof/>
        </w:rPr>
      </w:pPr>
      <w:r>
        <w:rPr>
          <w:noProof/>
        </w:rPr>
        <w:t>osvědčení profesní způsobilosti řidiče</w:t>
      </w:r>
    </w:p>
    <w:p>
      <w:pPr>
        <w:pStyle w:val="Point2"/>
        <w:rPr>
          <w:noProof/>
        </w:rPr>
      </w:pPr>
      <w:r>
        <w:rPr>
          <w:noProof/>
        </w:rPr>
        <w:t>chaufføruddannelsesbevis</w:t>
      </w:r>
    </w:p>
    <w:p>
      <w:pPr>
        <w:pStyle w:val="Point2"/>
        <w:rPr>
          <w:noProof/>
        </w:rPr>
      </w:pPr>
      <w:r>
        <w:rPr>
          <w:noProof/>
        </w:rPr>
        <w:t>Fahrerqualifizierungsnachweis</w:t>
      </w:r>
    </w:p>
    <w:p>
      <w:pPr>
        <w:pStyle w:val="Point2"/>
        <w:rPr>
          <w:noProof/>
        </w:rPr>
      </w:pPr>
      <w:r>
        <w:rPr>
          <w:noProof/>
        </w:rPr>
        <w:t>juhi ametipädevuse kaart</w:t>
      </w:r>
    </w:p>
    <w:p>
      <w:pPr>
        <w:pStyle w:val="Point2"/>
        <w:rPr>
          <w:noProof/>
        </w:rPr>
      </w:pPr>
      <w:r>
        <w:rPr>
          <w:noProof/>
        </w:rPr>
        <w:t>δελτίο επιμόρφωσης οδηγού</w:t>
      </w:r>
    </w:p>
    <w:p>
      <w:pPr>
        <w:pStyle w:val="Point2"/>
        <w:rPr>
          <w:noProof/>
          <w:lang w:val="fr-BE"/>
        </w:rPr>
      </w:pPr>
      <w:r>
        <w:rPr>
          <w:noProof/>
          <w:lang w:val="fr-BE"/>
        </w:rPr>
        <w:t>driver qualification card</w:t>
      </w:r>
    </w:p>
    <w:p>
      <w:pPr>
        <w:pStyle w:val="Point2"/>
        <w:rPr>
          <w:noProof/>
          <w:lang w:val="fr-BE"/>
        </w:rPr>
      </w:pPr>
      <w:r>
        <w:rPr>
          <w:noProof/>
          <w:lang w:val="fr-BE"/>
        </w:rPr>
        <w:t>carte de qualification de conducteur</w:t>
      </w:r>
    </w:p>
    <w:p>
      <w:pPr>
        <w:pStyle w:val="Point2"/>
        <w:rPr>
          <w:noProof/>
          <w:lang w:val="fr-BE"/>
        </w:rPr>
      </w:pPr>
      <w:r>
        <w:rPr>
          <w:noProof/>
          <w:lang w:val="fr-BE"/>
        </w:rPr>
        <w:t>cárta cáilíochta tiomána</w:t>
      </w:r>
    </w:p>
    <w:p>
      <w:pPr>
        <w:pStyle w:val="CRSeparator"/>
        <w:rPr>
          <w:noProof/>
          <w:lang w:val="fr-BE"/>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xml:space="preserve"> 2013/22/EU Art. 1 og bilag </w:t>
      </w:r>
    </w:p>
    <w:p>
      <w:pPr>
        <w:pStyle w:val="Point2"/>
        <w:rPr>
          <w:noProof/>
          <w:lang w:val="fr-BE"/>
        </w:rPr>
      </w:pPr>
      <w:r>
        <w:rPr>
          <w:noProof/>
          <w:lang w:val="fr-BE"/>
        </w:rPr>
        <w:t>kvalifikacijska kartica vozača</w:t>
      </w:r>
    </w:p>
    <w:p>
      <w:pPr>
        <w:pStyle w:val="CRSeparator"/>
        <w:rPr>
          <w:noProof/>
          <w:lang w:val="fr-BE"/>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2003/59/EF</w:t>
      </w:r>
    </w:p>
    <w:p>
      <w:pPr>
        <w:pStyle w:val="Point2"/>
        <w:rPr>
          <w:noProof/>
          <w:lang w:val="fr-BE"/>
        </w:rPr>
      </w:pPr>
      <w:r>
        <w:rPr>
          <w:noProof/>
          <w:lang w:val="fr-BE"/>
        </w:rPr>
        <w:t>carta di qualificazione del conducente</w:t>
      </w:r>
    </w:p>
    <w:p>
      <w:pPr>
        <w:pStyle w:val="Point2"/>
        <w:rPr>
          <w:noProof/>
          <w:lang w:val="fr-BE"/>
        </w:rPr>
      </w:pPr>
      <w:r>
        <w:rPr>
          <w:noProof/>
          <w:lang w:val="fr-BE"/>
        </w:rPr>
        <w:t>vadītāja kvalifikācijas apliecība</w:t>
      </w:r>
    </w:p>
    <w:p>
      <w:pPr>
        <w:pStyle w:val="Point2"/>
        <w:rPr>
          <w:noProof/>
          <w:lang w:val="fr-BE"/>
        </w:rPr>
      </w:pPr>
      <w:r>
        <w:rPr>
          <w:noProof/>
          <w:lang w:val="fr-BE"/>
        </w:rPr>
        <w:t>vairuotojo kvalifikacinė kortelė</w:t>
      </w:r>
    </w:p>
    <w:p>
      <w:pPr>
        <w:pStyle w:val="Point2"/>
        <w:rPr>
          <w:noProof/>
          <w:lang w:val="fr-BE"/>
        </w:rPr>
      </w:pPr>
      <w:r>
        <w:rPr>
          <w:noProof/>
          <w:lang w:val="fr-BE"/>
        </w:rPr>
        <w:t>gépjárművezetői képesítési igazolvány</w:t>
      </w:r>
    </w:p>
    <w:p>
      <w:pPr>
        <w:pStyle w:val="Point2"/>
        <w:rPr>
          <w:noProof/>
          <w:lang w:val="fr-BE"/>
        </w:rPr>
      </w:pPr>
      <w:r>
        <w:rPr>
          <w:noProof/>
          <w:lang w:val="fr-BE"/>
        </w:rPr>
        <w:t>karta ta’kwalifikazzjoni tas-sewwieq</w:t>
      </w:r>
    </w:p>
    <w:p>
      <w:pPr>
        <w:pStyle w:val="Point2"/>
        <w:rPr>
          <w:noProof/>
          <w:lang w:val="fr-BE"/>
        </w:rPr>
      </w:pPr>
      <w:r>
        <w:rPr>
          <w:noProof/>
          <w:lang w:val="fr-BE"/>
        </w:rPr>
        <w:t>kwalificatiekaart bestuurder</w:t>
      </w:r>
    </w:p>
    <w:p>
      <w:pPr>
        <w:pStyle w:val="Point2"/>
        <w:rPr>
          <w:noProof/>
          <w:lang w:val="fr-BE"/>
        </w:rPr>
      </w:pPr>
      <w:r>
        <w:rPr>
          <w:noProof/>
          <w:lang w:val="fr-BE"/>
        </w:rPr>
        <w:t>karta kwalifikacji kierowcy</w:t>
      </w:r>
    </w:p>
    <w:p>
      <w:pPr>
        <w:pStyle w:val="Point2"/>
        <w:rPr>
          <w:noProof/>
          <w:lang w:val="fr-BE"/>
        </w:rPr>
      </w:pPr>
      <w:r>
        <w:rPr>
          <w:noProof/>
          <w:lang w:val="fr-BE"/>
        </w:rPr>
        <w:t>carta de qualificação do motorista</w:t>
      </w:r>
    </w:p>
    <w:p>
      <w:pPr>
        <w:pStyle w:val="CRSeparator"/>
        <w:rPr>
          <w:noProof/>
          <w:lang w:val="fr-BE"/>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2006/103/EF Art. 1 og bilag, nr. A, litra 6)</w:t>
      </w:r>
    </w:p>
    <w:p>
      <w:pPr>
        <w:pStyle w:val="Point2"/>
        <w:rPr>
          <w:noProof/>
          <w:lang w:val="fr-BE"/>
        </w:rPr>
      </w:pPr>
      <w:r>
        <w:rPr>
          <w:noProof/>
          <w:lang w:val="fr-BE"/>
        </w:rPr>
        <w:t>cartela de pregătire profesională a conducătorului auto</w:t>
      </w:r>
    </w:p>
    <w:p>
      <w:pPr>
        <w:pStyle w:val="CRSeparator"/>
        <w:rPr>
          <w:noProof/>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 (tilpasset)</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1</w:t>
      </w:r>
      <w:r>
        <w:rPr>
          <w:noProof/>
          <w:lang w:val="da-DK"/>
        </w:rPr>
        <w:t> 2018/645 Art. 1, nr. 7 og bilag, nr. 2, litra b)</w:t>
      </w:r>
    </w:p>
    <w:p>
      <w:pPr>
        <w:pStyle w:val="Point2"/>
        <w:rPr>
          <w:noProof/>
        </w:rPr>
      </w:pPr>
      <w:r>
        <w:rPr>
          <w:noProof/>
        </w:rPr>
        <w:t>preukaz o kvalifikácii vodiča</w:t>
      </w:r>
    </w:p>
    <w:p>
      <w:pPr>
        <w:pStyle w:val="Point2"/>
        <w:rPr>
          <w:noProof/>
        </w:rPr>
      </w:pPr>
      <w:r>
        <w:rPr>
          <w:noProof/>
        </w:rPr>
        <w:t>kartica o usposobljenosti voznika</w:t>
      </w:r>
    </w:p>
    <w:p>
      <w:pPr>
        <w:pStyle w:val="Point2"/>
        <w:rPr>
          <w:noProof/>
          <w:lang w:val="sv-SE"/>
        </w:rPr>
      </w:pPr>
      <w:r>
        <w:rPr>
          <w:noProof/>
          <w:lang w:val="sv-SE"/>
        </w:rPr>
        <w:t>kuljettajan ammattipätevyyskortti</w:t>
      </w:r>
    </w:p>
    <w:p>
      <w:pPr>
        <w:pStyle w:val="Point2"/>
        <w:rPr>
          <w:noProof/>
          <w:lang w:val="sv-SE"/>
        </w:rPr>
      </w:pPr>
      <w:r>
        <w:rPr>
          <w:noProof/>
          <w:lang w:val="sv-SE"/>
        </w:rPr>
        <w:t>yrkeskompetensbevis för förare</w:t>
      </w:r>
    </w:p>
    <w:p>
      <w:pPr>
        <w:pStyle w:val="Point1"/>
        <w:rPr>
          <w:noProof/>
          <w:lang w:val="sv-SE"/>
        </w:rPr>
      </w:pPr>
      <w:r>
        <w:rPr>
          <w:noProof/>
          <w:lang w:val="sv-SE"/>
        </w:rPr>
        <w:t>f)</w:t>
      </w:r>
      <w:r>
        <w:rPr>
          <w:noProof/>
          <w:lang w:val="sv-SE"/>
        </w:rPr>
        <w:tab/>
        <w:t>farveangivelse:</w:t>
      </w:r>
    </w:p>
    <w:p>
      <w:pPr>
        <w:pStyle w:val="Tiret2"/>
        <w:numPr>
          <w:ilvl w:val="0"/>
          <w:numId w:val="7"/>
        </w:numPr>
        <w:rPr>
          <w:noProof/>
        </w:rPr>
      </w:pPr>
      <w:r>
        <w:rPr>
          <w:noProof/>
        </w:rPr>
        <w:t>blå: Pantone Reflex blue</w:t>
      </w:r>
    </w:p>
    <w:p>
      <w:pPr>
        <w:pStyle w:val="Tiret2"/>
        <w:rPr>
          <w:noProof/>
        </w:rPr>
      </w:pPr>
      <w:r>
        <w:rPr>
          <w:noProof/>
        </w:rPr>
        <w:t>gul: Pantone yellow</w:t>
      </w:r>
    </w:p>
    <w:p>
      <w:pPr>
        <w:pStyle w:val="Text2"/>
        <w:rPr>
          <w:noProof/>
        </w:rPr>
      </w:pPr>
      <w:r>
        <w:rPr>
          <w:noProof/>
        </w:rPr>
        <w:t>Bagside:</w:t>
      </w:r>
    </w:p>
    <w:p>
      <w:pPr>
        <w:pStyle w:val="PointDouble2"/>
        <w:rPr>
          <w:noProof/>
        </w:rPr>
      </w:pPr>
      <w:r>
        <w:rPr>
          <w:noProof/>
        </w:rPr>
        <w:t>a)</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9.</w:t>
      </w:r>
      <w:r>
        <w:rPr>
          <w:noProof/>
        </w:rPr>
        <w:tab/>
        <w:t>kategorier af køretøjer, for hvilke chaufføren opfylder kravene til grundlæggende kvalifikationer og efteruddannelse</w:t>
      </w:r>
    </w:p>
    <w:p>
      <w:pPr>
        <w:pStyle w:val="Point3"/>
        <w:rPr>
          <w:noProof/>
        </w:rPr>
      </w:pPr>
      <w:r>
        <w:rPr>
          <w:noProof/>
        </w:rPr>
        <w:t>10.</w:t>
      </w:r>
      <w:r>
        <w:rPr>
          <w:noProof/>
        </w:rPr>
        <w:tab/>
        <w:t>den harmoniserede EU-kode 95, der er omhandlet i bilag I til direktiv 2006/126/EF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pStyle w:val="Point3"/>
        <w:rPr>
          <w:noProof/>
        </w:rPr>
      </w:pPr>
      <w:r>
        <w:rPr>
          <w:noProof/>
        </w:rPr>
        <w:t>11.</w:t>
      </w:r>
      <w:r>
        <w:rPr>
          <w:noProof/>
        </w:rPr>
        <w:tab/>
        <w:t xml:space="preserve">plads til, at den udstedende medlemsstat kan påføre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påtegninger, der er nødvendige af administrative hensyn, eller som vedrører trafiksikkerheden (valgfrit). Hvis påtegningen falder ind under en af de rubrikker, der er anført i dette bilag, skal nummeret på denne rubrik angives foran påtegningen</w:t>
      </w:r>
    </w:p>
    <w:p>
      <w:pPr>
        <w:pStyle w:val="Point2"/>
        <w:rPr>
          <w:noProof/>
        </w:rPr>
      </w:pPr>
      <w:r>
        <w:rPr>
          <w:noProof/>
        </w:rPr>
        <w:t>b)</w:t>
      </w:r>
      <w:r>
        <w:rPr>
          <w:noProof/>
        </w:rPr>
        <w:tab/>
        <w:t xml:space="preserve">en forklaring på de nummererede rubrikker på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for- og bagside (mindst rubrik 1, 2, 3, 4a, 4b, 4c, 5a, 5b og 10). </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2013/22/EU Art. 1 og bilag (tilpasset)</w:t>
      </w:r>
    </w:p>
    <w:p>
      <w:pPr>
        <w:pStyle w:val="Text1"/>
        <w:rPr>
          <w:noProof/>
        </w:rPr>
      </w:pPr>
      <w:r>
        <w:rPr>
          <w:noProof/>
        </w:rPr>
        <w:t xml:space="preserve">Hvis en medlemsstat ønsker at affatte disse angivelser på et andet nationalt sprog end et af følgende sprog: bulgarsk, dansk, engelsk, estisk, finsk, fransk, græsk, italiensk, kroatisk, lettisk, litauisk, maltesisk, nederlandsk, polsk, portugisisk, rumænsk, slovakisk, slovensk, spansk, svensk, tjekkisk, tysk og ungarsk, udarbejder den en tosproget udgave af kørekortet med et af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disse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sprog, med forbehold af de øvrige bestemmelser i dette bilag.</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 (tilpasset)</w:t>
      </w:r>
    </w:p>
    <w:p>
      <w:pPr>
        <w:pStyle w:val="ManualHeading1"/>
        <w:ind w:left="851" w:hanging="851"/>
        <w:rPr>
          <w:noProof/>
        </w:rPr>
      </w:pPr>
      <w:r>
        <w:rPr>
          <w:noProof/>
        </w:rPr>
        <w:t>3.</w:t>
      </w:r>
      <w:r>
        <w:rPr>
          <w:noProof/>
        </w:rPr>
        <w:tab/>
        <w:t>Sikkerhed, herunder databeskyttelse</w:t>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forskellige elementer skal udelukke risiko for forfalskning eller manipulation og afsløre forsøg herpå.</w:t>
      </w:r>
    </w:p>
    <w:p>
      <w:pPr>
        <w:rPr>
          <w:noProof/>
        </w:rPr>
      </w:pPr>
      <w:r>
        <w:rPr>
          <w:noProof/>
        </w:rPr>
        <w:t xml:space="preserve">Medlemsstaten drager omsorg for, at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sikkerhedsniveau mindst svarer til kørekortets sikkerhedsniveau.</w:t>
      </w:r>
    </w:p>
    <w:p>
      <w:pPr>
        <w:pStyle w:val="ManualHeading1"/>
        <w:ind w:left="851" w:hanging="851"/>
        <w:rPr>
          <w:noProof/>
        </w:rPr>
      </w:pPr>
      <w:r>
        <w:rPr>
          <w:noProof/>
        </w:rPr>
        <w:t>4.</w:t>
      </w:r>
      <w:r>
        <w:rPr>
          <w:noProof/>
        </w:rPr>
        <w:tab/>
        <w:t>Særlige bestemmelser</w:t>
      </w:r>
    </w:p>
    <w:p>
      <w:pPr>
        <w:rPr>
          <w:noProof/>
        </w:rPr>
      </w:pPr>
      <w:r>
        <w:rPr>
          <w:noProof/>
        </w:rPr>
        <w:t>Medlemsstaterne kan efter høring af Kommissionen tilføje farver eller mærkning, som f.eks. stregkoder, nationale symboler og sikkerhedsfeatures, med forbehold af de øvrige bestemmelser i dette bilag.</w:t>
      </w:r>
    </w:p>
    <w:p>
      <w:pPr>
        <w:rPr>
          <w:noProof/>
        </w:rPr>
      </w:pPr>
      <w:r>
        <w:rPr>
          <w:noProof/>
        </w:rPr>
        <w:t xml:space="preserve">Af hensyn til den gensidige anerkendelse af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chaufføruddannelsesbeviserne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må stregkoden ikke indeholde andre oplysninger end dem, der allerede findes i læsbar form på chaufføruddannelsesbeviset, eller som er nødvendige for proceduren ved udstedelse af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chaufføruddannelsesbeviset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2, litra d)</w:t>
      </w:r>
    </w:p>
    <w:p>
      <w:pPr>
        <w:pStyle w:val="ManualHeading1"/>
        <w:ind w:left="851" w:hanging="851"/>
        <w:rPr>
          <w:noProof/>
        </w:rPr>
      </w:pPr>
      <w:r>
        <w:rPr>
          <w:noProof/>
        </w:rPr>
        <w:t>5.</w:t>
      </w:r>
      <w:r>
        <w:rPr>
          <w:noProof/>
        </w:rPr>
        <w:tab/>
        <w:t>Overgangsbestemmelser</w:t>
      </w:r>
    </w:p>
    <w:p>
      <w:pPr>
        <w:rPr>
          <w:noProof/>
        </w:rPr>
      </w:pPr>
      <w:r>
        <w:rPr>
          <w:noProof/>
        </w:rPr>
        <w:t>Chaufføruddannelsesbeviser, der er udstedt før den 23. maj 2020, er gyldige indtil deres udløbsdato.</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2, litra c)</w:t>
      </w:r>
    </w:p>
    <w:p>
      <w:pPr>
        <w:pStyle w:val="ManualHeading1"/>
        <w:ind w:left="851" w:hanging="851"/>
        <w:rPr>
          <w:noProof/>
        </w:rPr>
      </w:pPr>
      <w:r>
        <w:rPr>
          <w:noProof/>
        </w:rPr>
        <w:t>EU-MODEL FOR CHAUFFØRUDDANNELSESBEVIS</w:t>
      </w: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2003/59/EF</w:t>
      </w: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è</w:instrText>
      </w:r>
      <w:r>
        <w:rPr>
          <w:noProof/>
          <w:lang w:val="da-DK"/>
        </w:rPr>
        <w:instrText xml:space="preserve">" </w:instrText>
      </w:r>
      <w:r>
        <w:rPr>
          <w:noProof/>
        </w:rPr>
        <w:fldChar w:fldCharType="separate"/>
      </w:r>
      <w:r>
        <w:rPr>
          <w:rStyle w:val="CRMarker"/>
          <w:noProof/>
          <w:lang w:val="da-DK"/>
        </w:rPr>
        <w:t>è</w:t>
      </w:r>
      <w:r>
        <w:rPr>
          <w:noProof/>
        </w:rPr>
        <w:fldChar w:fldCharType="end"/>
      </w:r>
      <w:r>
        <w:rPr>
          <w:rStyle w:val="CRRefNum"/>
          <w:noProof/>
          <w:lang w:val="da-DK"/>
        </w:rPr>
        <w:t>1</w:t>
      </w:r>
      <w:r>
        <w:rPr>
          <w:noProof/>
          <w:lang w:val="da-DK"/>
        </w:rPr>
        <w:t> 2018/645 Art. 1, nr. 7 og bilag, nr. 2, litra c)</w:t>
      </w:r>
    </w:p>
    <w:p>
      <w:pPr>
        <w:pStyle w:val="NormalCentered"/>
        <w:rPr>
          <w:iCs/>
          <w:noProof/>
        </w:rPr>
      </w:pPr>
      <w:r>
        <w:rPr>
          <w:noProof/>
          <w:lang w:val="en-GB" w:eastAsia="en-GB"/>
        </w:rPr>
        <w:drawing>
          <wp:inline distT="0" distB="0" distL="0" distR="0">
            <wp:extent cx="3084830" cy="5581650"/>
            <wp:effectExtent l="0" t="0" r="1270" b="0"/>
            <wp:docPr id="2" name="Picture 2" descr="U:\UsersWorkspace\lindeme\ASTREV REVISIONS FROM SCRATCH\DA\CL2003L0059DA005001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UsersWorkspace\lindeme\ASTREV REVISIONS FROM SCRATCH\DA\CL2003L0059DA0050010.0001.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84830" cy="5581650"/>
                    </a:xfrm>
                    <a:prstGeom prst="rect">
                      <a:avLst/>
                    </a:prstGeom>
                    <a:noFill/>
                    <a:ln>
                      <a:noFill/>
                    </a:ln>
                  </pic:spPr>
                </pic:pic>
              </a:graphicData>
            </a:graphic>
          </wp:inline>
        </w:drawing>
      </w:r>
    </w:p>
    <w:p>
      <w:pPr>
        <w:pStyle w:val="NormalCentered"/>
        <w:rPr>
          <w:iCs/>
          <w:noProof/>
        </w:rPr>
      </w:pPr>
      <w:r>
        <w:rPr>
          <w:iCs/>
          <w:noProof/>
        </w:rPr>
        <w:fldChar w:fldCharType="begin"/>
      </w:r>
      <w:r>
        <w:rPr>
          <w:iCs/>
          <w:noProof/>
        </w:rPr>
        <w:instrText xml:space="preserve"> QUOTE "</w:instrText>
      </w:r>
      <w:r>
        <w:rPr>
          <w:rStyle w:val="CRMarker"/>
          <w:iCs/>
          <w:noProof/>
        </w:rPr>
        <w:instrText>è</w:instrText>
      </w:r>
      <w:r>
        <w:rPr>
          <w:iCs/>
          <w:noProof/>
        </w:rPr>
        <w:instrText xml:space="preserve">" </w:instrText>
      </w:r>
      <w:r>
        <w:rPr>
          <w:iCs/>
          <w:noProof/>
        </w:rPr>
        <w:fldChar w:fldCharType="separate"/>
      </w:r>
      <w:r>
        <w:rPr>
          <w:rStyle w:val="CRMarker"/>
          <w:iCs/>
          <w:noProof/>
        </w:rPr>
        <w:t>è</w:t>
      </w:r>
      <w:r>
        <w:rPr>
          <w:iCs/>
          <w:noProof/>
        </w:rPr>
        <w:fldChar w:fldCharType="end"/>
      </w:r>
      <w:r>
        <w:rPr>
          <w:rStyle w:val="CRRefNum"/>
          <w:iCs/>
          <w:noProof/>
        </w:rPr>
        <w:t>1</w:t>
      </w:r>
      <w:r>
        <w:rPr>
          <w:iCs/>
          <w:noProof/>
        </w:rPr>
        <w:t> </w:t>
      </w:r>
      <w:r>
        <w:rPr>
          <w:iCs/>
          <w:noProof/>
        </w:rPr>
        <w:fldChar w:fldCharType="begin"/>
      </w:r>
      <w:r>
        <w:rPr>
          <w:iCs/>
          <w:noProof/>
        </w:rPr>
        <w:instrText xml:space="preserve"> QUOTE "</w:instrText>
      </w:r>
      <w:r>
        <w:rPr>
          <w:rStyle w:val="CRMarker"/>
          <w:iCs/>
          <w:noProof/>
        </w:rPr>
        <w:instrText>ç</w:instrText>
      </w:r>
      <w:r>
        <w:rPr>
          <w:iCs/>
          <w:noProof/>
        </w:rPr>
        <w:instrText xml:space="preserve">" </w:instrText>
      </w:r>
      <w:r>
        <w:rPr>
          <w:iCs/>
          <w:noProof/>
        </w:rPr>
        <w:fldChar w:fldCharType="separate"/>
      </w:r>
      <w:r>
        <w:rPr>
          <w:rStyle w:val="CRMarker"/>
          <w:iCs/>
          <w:noProof/>
        </w:rPr>
        <w:t>ç</w:t>
      </w:r>
      <w:r>
        <w:rPr>
          <w:iCs/>
          <w:noProof/>
        </w:rPr>
        <w:fldChar w:fldCharType="end"/>
      </w:r>
    </w:p>
    <w:p>
      <w:pPr>
        <w:adjustRightInd w:val="0"/>
        <w:spacing w:before="0" w:after="0"/>
        <w:jc w:val="center"/>
        <w:rPr>
          <w:noProof/>
        </w:rPr>
      </w:pPr>
      <w:r>
        <w:rPr>
          <w:noProof/>
        </w:rPr>
        <w:t>_____________</w:t>
      </w:r>
    </w:p>
    <w:p>
      <w:pPr>
        <w:adjustRightInd w:val="0"/>
        <w:spacing w:before="0" w:after="0"/>
        <w:jc w:val="center"/>
        <w:rPr>
          <w:noProof/>
        </w:rPr>
        <w:sectPr>
          <w:pgSz w:w="11906" w:h="16838"/>
          <w:pgMar w:top="1134" w:right="1418" w:bottom="1134" w:left="1418" w:header="709" w:footer="709" w:gutter="0"/>
          <w:cols w:space="709"/>
          <w:docGrid w:linePitch="326"/>
        </w:sectPr>
      </w:pPr>
    </w:p>
    <w:p>
      <w:pPr>
        <w:pStyle w:val="CRSeparator"/>
        <w:rPr>
          <w:noProof/>
          <w:lang w:val="da-DK"/>
        </w:rPr>
      </w:pPr>
    </w:p>
    <w:p>
      <w:pPr>
        <w:pStyle w:val="CRReference"/>
        <w:rPr>
          <w:noProof/>
          <w:lang w:val="da-DK"/>
        </w:rPr>
      </w:pPr>
      <w:r>
        <w:rPr>
          <w:noProof/>
        </w:rPr>
        <w:fldChar w:fldCharType="begin"/>
      </w:r>
      <w:r>
        <w:rPr>
          <w:noProof/>
          <w:lang w:val="da-DK"/>
        </w:rPr>
        <w:instrText xml:space="preserve"> QUOTE "</w:instrText>
      </w:r>
      <w:r>
        <w:rPr>
          <w:rStyle w:val="CRMarker"/>
          <w:noProof/>
          <w:lang w:val="da-DK"/>
        </w:rPr>
        <w:instrText>ê</w:instrText>
      </w:r>
      <w:r>
        <w:rPr>
          <w:noProof/>
          <w:lang w:val="da-DK"/>
        </w:rPr>
        <w:instrText xml:space="preserve">" </w:instrText>
      </w:r>
      <w:r>
        <w:rPr>
          <w:noProof/>
        </w:rPr>
        <w:fldChar w:fldCharType="separate"/>
      </w:r>
      <w:r>
        <w:rPr>
          <w:rStyle w:val="CRMarker"/>
          <w:noProof/>
          <w:lang w:val="da-DK"/>
        </w:rPr>
        <w:t>ê</w:t>
      </w:r>
      <w:r>
        <w:rPr>
          <w:noProof/>
        </w:rPr>
        <w:fldChar w:fldCharType="end"/>
      </w:r>
      <w:r>
        <w:rPr>
          <w:noProof/>
          <w:lang w:val="da-DK"/>
        </w:rPr>
        <w:t> 2018/645 Art. 1, nr. 7 og bilag, nr. 3</w:t>
      </w:r>
    </w:p>
    <w:p>
      <w:pPr>
        <w:pStyle w:val="Annexetitre"/>
        <w:rPr>
          <w:noProof/>
        </w:rPr>
      </w:pPr>
      <w:r>
        <w:rPr>
          <w:noProof/>
        </w:rPr>
        <w:t>BILAG III</w:t>
      </w:r>
    </w:p>
    <w:p>
      <w:pPr>
        <w:jc w:val="center"/>
        <w:rPr>
          <w:b/>
          <w:noProof/>
        </w:rPr>
      </w:pPr>
      <w:r>
        <w:rPr>
          <w:b/>
          <w:noProof/>
        </w:rPr>
        <w:t>SAMMENLIGNINGSTABEL FOR HENVISNINGERNE TIL VISSE KATEGORIER AF KØREKORT</w:t>
      </w:r>
    </w:p>
    <w:tbl>
      <w:tblPr>
        <w:tblW w:w="8040" w:type="dxa"/>
        <w:tblInd w:w="948" w:type="dxa"/>
        <w:tblLayout w:type="fixed"/>
        <w:tblLook w:val="0000" w:firstRow="0" w:lastRow="0" w:firstColumn="0" w:lastColumn="0" w:noHBand="0" w:noVBand="0"/>
      </w:tblPr>
      <w:tblGrid>
        <w:gridCol w:w="3840"/>
        <w:gridCol w:w="4200"/>
      </w:tblGrid>
      <w:tr>
        <w:tc>
          <w:tcPr>
            <w:tcW w:w="3840" w:type="dxa"/>
            <w:tcBorders>
              <w:top w:val="single" w:sz="2" w:space="0" w:color="auto"/>
              <w:left w:val="single" w:sz="2" w:space="0" w:color="auto"/>
              <w:bottom w:val="single" w:sz="2" w:space="0" w:color="auto"/>
              <w:right w:val="single" w:sz="2" w:space="0" w:color="auto"/>
            </w:tcBorders>
          </w:tcPr>
          <w:p>
            <w:pPr>
              <w:pStyle w:val="NormalCentered"/>
              <w:rPr>
                <w:noProof/>
              </w:rPr>
            </w:pPr>
            <w:r>
              <w:rPr>
                <w:noProof/>
              </w:rPr>
              <w:t>Henvisning i dette direktiv</w:t>
            </w:r>
          </w:p>
        </w:tc>
        <w:tc>
          <w:tcPr>
            <w:tcW w:w="4200" w:type="dxa"/>
            <w:tcBorders>
              <w:top w:val="single" w:sz="2" w:space="0" w:color="auto"/>
              <w:left w:val="single" w:sz="2" w:space="0" w:color="auto"/>
              <w:bottom w:val="single" w:sz="2" w:space="0" w:color="auto"/>
              <w:right w:val="single" w:sz="2" w:space="0" w:color="auto"/>
            </w:tcBorders>
          </w:tcPr>
          <w:p>
            <w:pPr>
              <w:pStyle w:val="NormalCentered"/>
              <w:rPr>
                <w:noProof/>
              </w:rPr>
            </w:pPr>
            <w:r>
              <w:rPr>
                <w:noProof/>
              </w:rPr>
              <w:t>Henvisning i direktiv 2006/126/EF</w:t>
            </w:r>
          </w:p>
        </w:tc>
      </w:tr>
      <w:tr>
        <w:tc>
          <w:tcPr>
            <w:tcW w:w="384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 + E</w:t>
            </w:r>
          </w:p>
        </w:tc>
        <w:tc>
          <w:tcPr>
            <w:tcW w:w="420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CE</w:t>
            </w:r>
          </w:p>
        </w:tc>
      </w:tr>
      <w:tr>
        <w:tc>
          <w:tcPr>
            <w:tcW w:w="384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C1 + E</w:t>
            </w:r>
          </w:p>
        </w:tc>
        <w:tc>
          <w:tcPr>
            <w:tcW w:w="420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C1E</w:t>
            </w:r>
          </w:p>
        </w:tc>
      </w:tr>
      <w:tr>
        <w:tc>
          <w:tcPr>
            <w:tcW w:w="384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 + E</w:t>
            </w:r>
          </w:p>
        </w:tc>
        <w:tc>
          <w:tcPr>
            <w:tcW w:w="420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DE</w:t>
            </w:r>
          </w:p>
        </w:tc>
      </w:tr>
      <w:tr>
        <w:tc>
          <w:tcPr>
            <w:tcW w:w="384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D1 + E</w:t>
            </w:r>
          </w:p>
        </w:tc>
        <w:tc>
          <w:tcPr>
            <w:tcW w:w="420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D1E</w:t>
            </w:r>
          </w:p>
        </w:tc>
      </w:tr>
    </w:tbl>
    <w:p>
      <w:pPr>
        <w:rPr>
          <w:noProof/>
        </w:rPr>
      </w:pPr>
    </w:p>
    <w:p>
      <w:pPr>
        <w:adjustRightInd w:val="0"/>
        <w:spacing w:before="0" w:after="0"/>
        <w:jc w:val="center"/>
        <w:rPr>
          <w:noProof/>
          <w:lang w:val="en-US"/>
        </w:rPr>
      </w:pPr>
      <w:r>
        <w:rPr>
          <w:noProof/>
          <w:lang w:val="en-US"/>
        </w:rPr>
        <w:t>_____________</w:t>
      </w:r>
    </w:p>
    <w:p>
      <w:pPr>
        <w:adjustRightInd w:val="0"/>
        <w:spacing w:before="0" w:after="0"/>
        <w:jc w:val="center"/>
        <w:rPr>
          <w:noProof/>
          <w:lang w:val="en-US"/>
        </w:rPr>
        <w:sectPr>
          <w:pgSz w:w="11906" w:h="16838"/>
          <w:pgMar w:top="1134" w:right="1418" w:bottom="1134" w:left="1418" w:header="709" w:footer="709" w:gutter="0"/>
          <w:cols w:space="709"/>
          <w:docGrid w:linePitch="326"/>
        </w:sectPr>
      </w:pPr>
    </w:p>
    <w:p>
      <w:pPr>
        <w:pStyle w:val="CRSeparator"/>
        <w:rPr>
          <w:noProof/>
        </w:rPr>
      </w:pPr>
    </w:p>
    <w:p>
      <w:pPr>
        <w:pStyle w:val="CRReference"/>
        <w:rPr>
          <w:noProof/>
          <w:lang w:val="en-IE"/>
        </w:rPr>
      </w:pPr>
      <w:r>
        <w:rPr>
          <w:noProof/>
        </w:rPr>
        <w:fldChar w:fldCharType="begin"/>
      </w:r>
      <w:r>
        <w:rPr>
          <w:noProof/>
          <w:lang w:val="en-IE"/>
        </w:rPr>
        <w:instrText xml:space="preserve"> QUOTE "</w:instrText>
      </w:r>
      <w:r>
        <w:rPr>
          <w:rStyle w:val="CRMarker"/>
          <w:noProof/>
          <w:lang w:val="en-IE"/>
        </w:rPr>
        <w:instrText>é</w:instrText>
      </w:r>
      <w:r>
        <w:rPr>
          <w:noProof/>
          <w:lang w:val="en-IE"/>
        </w:rPr>
        <w:instrText xml:space="preserve">" </w:instrText>
      </w:r>
      <w:r>
        <w:rPr>
          <w:noProof/>
        </w:rPr>
        <w:fldChar w:fldCharType="separate"/>
      </w:r>
      <w:r>
        <w:rPr>
          <w:rStyle w:val="CRMarker"/>
          <w:noProof/>
          <w:lang w:val="en-IE"/>
        </w:rPr>
        <w:t>é</w:t>
      </w:r>
      <w:r>
        <w:rPr>
          <w:noProof/>
        </w:rPr>
        <w:fldChar w:fldCharType="end"/>
      </w:r>
    </w:p>
    <w:p>
      <w:pPr>
        <w:pStyle w:val="Annexetitre"/>
        <w:rPr>
          <w:noProof/>
        </w:rPr>
      </w:pPr>
      <w:r>
        <w:rPr>
          <w:noProof/>
        </w:rPr>
        <w:t>BILAG IV</w:t>
      </w:r>
    </w:p>
    <w:p>
      <w:pPr>
        <w:widowControl w:val="0"/>
        <w:tabs>
          <w:tab w:val="right" w:pos="9600"/>
        </w:tabs>
        <w:suppressAutoHyphens/>
        <w:spacing w:before="0" w:after="240"/>
        <w:jc w:val="center"/>
        <w:rPr>
          <w:rFonts w:eastAsia="Times New Roman"/>
          <w:noProof/>
          <w:lang w:val="en-IE" w:eastAsia="fr-BE"/>
        </w:rPr>
      </w:pPr>
      <w:r>
        <w:rPr>
          <w:rFonts w:eastAsia="Times New Roman"/>
          <w:noProof/>
          <w:lang w:val="en-IE" w:eastAsia="fr-BE"/>
        </w:rPr>
        <w:t>Del A</w:t>
      </w:r>
    </w:p>
    <w:p>
      <w:pPr>
        <w:widowControl w:val="0"/>
        <w:tabs>
          <w:tab w:val="left" w:pos="-720"/>
          <w:tab w:val="center" w:pos="7344"/>
        </w:tabs>
        <w:suppressAutoHyphens/>
        <w:spacing w:before="0" w:after="240"/>
        <w:jc w:val="center"/>
        <w:rPr>
          <w:rFonts w:eastAsia="Times New Roman"/>
          <w:b/>
          <w:noProof/>
          <w:lang w:eastAsia="fr-BE"/>
        </w:rPr>
      </w:pPr>
      <w:r>
        <w:rPr>
          <w:rFonts w:eastAsia="Times New Roman"/>
          <w:b/>
          <w:bCs/>
          <w:noProof/>
          <w:lang w:eastAsia="fr-BE"/>
        </w:rPr>
        <w:t>Ophævet direktiv med oversigt over efterfølgende ændringer</w:t>
      </w:r>
      <w:r>
        <w:rPr>
          <w:rFonts w:eastAsia="Times New Roman"/>
          <w:b/>
          <w:bCs/>
          <w:noProof/>
          <w:lang w:eastAsia="fr-BE"/>
        </w:rPr>
        <w:br/>
      </w:r>
      <w:r>
        <w:rPr>
          <w:rFonts w:eastAsia="Times New Roman"/>
          <w:b/>
          <w:noProof/>
          <w:lang w:eastAsia="fr-BE"/>
        </w:rPr>
        <w:t>(jf. artikel 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974"/>
        <w:gridCol w:w="720"/>
        <w:gridCol w:w="3059"/>
      </w:tblGrid>
      <w:tr>
        <w:tc>
          <w:tcPr>
            <w:tcW w:w="5508" w:type="dxa"/>
            <w:gridSpan w:val="2"/>
          </w:tcPr>
          <w:p>
            <w:pPr>
              <w:widowControl w:val="0"/>
              <w:tabs>
                <w:tab w:val="left" w:pos="-720"/>
                <w:tab w:val="center" w:pos="7344"/>
              </w:tabs>
              <w:suppressAutoHyphens/>
              <w:jc w:val="left"/>
              <w:rPr>
                <w:b/>
                <w:noProof/>
                <w:lang w:eastAsia="fr-BE"/>
              </w:rPr>
            </w:pPr>
            <w:r>
              <w:rPr>
                <w:rFonts w:eastAsia="Times New Roman"/>
                <w:noProof/>
              </w:rPr>
              <w:t xml:space="preserve">Europa-Parlamentets og Rådets direktiv </w:t>
            </w:r>
            <w:r>
              <w:rPr>
                <w:noProof/>
              </w:rPr>
              <w:t>2003/59/EF</w:t>
            </w:r>
            <w:r>
              <w:rPr>
                <w:noProof/>
              </w:rPr>
              <w:br/>
              <w:t>(EUT L 226 af 10.9.2003, s. 4)</w:t>
            </w:r>
          </w:p>
        </w:tc>
        <w:tc>
          <w:tcPr>
            <w:tcW w:w="3779" w:type="dxa"/>
            <w:gridSpan w:val="2"/>
          </w:tcPr>
          <w:p>
            <w:pPr>
              <w:widowControl w:val="0"/>
              <w:tabs>
                <w:tab w:val="left" w:pos="-720"/>
                <w:tab w:val="center" w:pos="7344"/>
              </w:tabs>
              <w:suppressAutoHyphens/>
              <w:jc w:val="left"/>
              <w:rPr>
                <w:b/>
                <w:noProof/>
                <w:lang w:eastAsia="fr-BE"/>
              </w:rPr>
            </w:pPr>
          </w:p>
        </w:tc>
      </w:tr>
      <w:tr>
        <w:trPr>
          <w:gridBefore w:val="1"/>
          <w:wBefore w:w="534" w:type="dxa"/>
        </w:trPr>
        <w:tc>
          <w:tcPr>
            <w:tcW w:w="5694" w:type="dxa"/>
            <w:gridSpan w:val="2"/>
          </w:tcPr>
          <w:p>
            <w:pPr>
              <w:widowControl w:val="0"/>
              <w:tabs>
                <w:tab w:val="left" w:pos="-720"/>
                <w:tab w:val="center" w:pos="7344"/>
              </w:tabs>
              <w:suppressAutoHyphens/>
              <w:jc w:val="left"/>
              <w:rPr>
                <w:b/>
                <w:noProof/>
                <w:lang w:eastAsia="fr-BE"/>
              </w:rPr>
            </w:pPr>
            <w:r>
              <w:rPr>
                <w:noProof/>
              </w:rPr>
              <w:t>Rådets direktiv 2004/66/EF</w:t>
            </w:r>
            <w:r>
              <w:rPr>
                <w:noProof/>
              </w:rPr>
              <w:br/>
              <w:t>(EUT L 168 af 1.5.2004, s. 35)</w:t>
            </w:r>
          </w:p>
        </w:tc>
        <w:tc>
          <w:tcPr>
            <w:tcW w:w="3059" w:type="dxa"/>
          </w:tcPr>
          <w:p>
            <w:pPr>
              <w:widowControl w:val="0"/>
              <w:tabs>
                <w:tab w:val="left" w:pos="-720"/>
                <w:tab w:val="center" w:pos="7344"/>
              </w:tabs>
              <w:suppressAutoHyphens/>
              <w:jc w:val="left"/>
              <w:rPr>
                <w:noProof/>
                <w:lang w:eastAsia="fr-BE"/>
              </w:rPr>
            </w:pPr>
            <w:r>
              <w:rPr>
                <w:noProof/>
              </w:rPr>
              <w:t>Kun punkt</w:t>
            </w:r>
            <w:r>
              <w:rPr>
                <w:noProof/>
                <w:lang w:eastAsia="fr-BE"/>
              </w:rPr>
              <w:t xml:space="preserve"> IV.2 i bilaget</w:t>
            </w:r>
          </w:p>
        </w:tc>
      </w:tr>
      <w:tr>
        <w:trPr>
          <w:gridBefore w:val="1"/>
          <w:wBefore w:w="534" w:type="dxa"/>
        </w:trPr>
        <w:tc>
          <w:tcPr>
            <w:tcW w:w="5694" w:type="dxa"/>
            <w:gridSpan w:val="2"/>
          </w:tcPr>
          <w:p>
            <w:pPr>
              <w:widowControl w:val="0"/>
              <w:tabs>
                <w:tab w:val="left" w:pos="-720"/>
                <w:tab w:val="center" w:pos="7344"/>
              </w:tabs>
              <w:suppressAutoHyphens/>
              <w:jc w:val="left"/>
              <w:rPr>
                <w:b/>
                <w:noProof/>
                <w:lang w:eastAsia="fr-BE"/>
              </w:rPr>
            </w:pPr>
            <w:r>
              <w:rPr>
                <w:noProof/>
              </w:rPr>
              <w:t>Rådets direktiv 2006/103/EF</w:t>
            </w:r>
            <w:r>
              <w:rPr>
                <w:noProof/>
              </w:rPr>
              <w:br/>
              <w:t>(EUT L 363 af 20.12.2006, s. 344)</w:t>
            </w:r>
          </w:p>
        </w:tc>
        <w:tc>
          <w:tcPr>
            <w:tcW w:w="3059" w:type="dxa"/>
          </w:tcPr>
          <w:p>
            <w:pPr>
              <w:widowControl w:val="0"/>
              <w:tabs>
                <w:tab w:val="left" w:pos="-720"/>
                <w:tab w:val="center" w:pos="7344"/>
              </w:tabs>
              <w:suppressAutoHyphens/>
              <w:jc w:val="left"/>
              <w:rPr>
                <w:b/>
                <w:noProof/>
                <w:lang w:eastAsia="fr-BE"/>
              </w:rPr>
            </w:pPr>
            <w:r>
              <w:rPr>
                <w:noProof/>
              </w:rPr>
              <w:t>Kun punkt</w:t>
            </w:r>
            <w:r>
              <w:rPr>
                <w:noProof/>
                <w:lang w:eastAsia="fr-BE"/>
              </w:rPr>
              <w:t xml:space="preserve"> A.6 i bilaget</w:t>
            </w:r>
          </w:p>
        </w:tc>
      </w:tr>
      <w:tr>
        <w:trPr>
          <w:gridBefore w:val="1"/>
          <w:wBefore w:w="534" w:type="dxa"/>
        </w:trPr>
        <w:tc>
          <w:tcPr>
            <w:tcW w:w="5694" w:type="dxa"/>
            <w:gridSpan w:val="2"/>
          </w:tcPr>
          <w:p>
            <w:pPr>
              <w:widowControl w:val="0"/>
              <w:tabs>
                <w:tab w:val="left" w:pos="-720"/>
                <w:tab w:val="center" w:pos="7344"/>
              </w:tabs>
              <w:suppressAutoHyphens/>
              <w:jc w:val="left"/>
              <w:rPr>
                <w:rFonts w:eastAsia="Times New Roman"/>
                <w:noProof/>
              </w:rPr>
            </w:pPr>
            <w:r>
              <w:rPr>
                <w:noProof/>
              </w:rPr>
              <w:t xml:space="preserve">Europa-Parlamentets og Rådets forordning (EF) nr. 1137/2008 </w:t>
            </w:r>
            <w:r>
              <w:rPr>
                <w:noProof/>
              </w:rPr>
              <w:br/>
              <w:t>(EUT L 311 af 21.11.2008, s. 1)</w:t>
            </w:r>
          </w:p>
        </w:tc>
        <w:tc>
          <w:tcPr>
            <w:tcW w:w="3059" w:type="dxa"/>
          </w:tcPr>
          <w:p>
            <w:pPr>
              <w:widowControl w:val="0"/>
              <w:tabs>
                <w:tab w:val="left" w:pos="-720"/>
                <w:tab w:val="center" w:pos="7344"/>
              </w:tabs>
              <w:suppressAutoHyphens/>
              <w:jc w:val="left"/>
              <w:rPr>
                <w:noProof/>
              </w:rPr>
            </w:pPr>
            <w:r>
              <w:rPr>
                <w:noProof/>
              </w:rPr>
              <w:t>Kun punkt</w:t>
            </w:r>
            <w:r>
              <w:rPr>
                <w:noProof/>
                <w:lang w:eastAsia="fr-BE"/>
              </w:rPr>
              <w:t xml:space="preserve"> 9.11 i bilaget</w:t>
            </w:r>
          </w:p>
        </w:tc>
      </w:tr>
      <w:tr>
        <w:trPr>
          <w:gridBefore w:val="1"/>
          <w:wBefore w:w="534" w:type="dxa"/>
        </w:trPr>
        <w:tc>
          <w:tcPr>
            <w:tcW w:w="5694" w:type="dxa"/>
            <w:gridSpan w:val="2"/>
          </w:tcPr>
          <w:p>
            <w:pPr>
              <w:widowControl w:val="0"/>
              <w:tabs>
                <w:tab w:val="left" w:pos="-720"/>
                <w:tab w:val="center" w:pos="7344"/>
              </w:tabs>
              <w:suppressAutoHyphens/>
              <w:jc w:val="left"/>
              <w:rPr>
                <w:rFonts w:eastAsia="Times New Roman"/>
                <w:noProof/>
              </w:rPr>
            </w:pPr>
            <w:r>
              <w:rPr>
                <w:noProof/>
              </w:rPr>
              <w:t>Rådets direktiv 2013/22/EU</w:t>
            </w:r>
            <w:r>
              <w:rPr>
                <w:noProof/>
              </w:rPr>
              <w:br/>
              <w:t>(EUT L 158 af 10.6.2013, s. 356)</w:t>
            </w:r>
          </w:p>
        </w:tc>
        <w:tc>
          <w:tcPr>
            <w:tcW w:w="3059" w:type="dxa"/>
          </w:tcPr>
          <w:p>
            <w:pPr>
              <w:widowControl w:val="0"/>
              <w:tabs>
                <w:tab w:val="left" w:pos="-720"/>
                <w:tab w:val="center" w:pos="7344"/>
              </w:tabs>
              <w:suppressAutoHyphens/>
              <w:jc w:val="left"/>
              <w:rPr>
                <w:noProof/>
              </w:rPr>
            </w:pPr>
            <w:r>
              <w:rPr>
                <w:noProof/>
              </w:rPr>
              <w:t>Kun punkt</w:t>
            </w:r>
            <w:r>
              <w:rPr>
                <w:noProof/>
                <w:lang w:eastAsia="fr-BE"/>
              </w:rPr>
              <w:t xml:space="preserve"> A.4 i bilaget</w:t>
            </w:r>
          </w:p>
        </w:tc>
      </w:tr>
      <w:tr>
        <w:trPr>
          <w:gridBefore w:val="1"/>
          <w:wBefore w:w="534" w:type="dxa"/>
        </w:trPr>
        <w:tc>
          <w:tcPr>
            <w:tcW w:w="5694" w:type="dxa"/>
            <w:gridSpan w:val="2"/>
          </w:tcPr>
          <w:p>
            <w:pPr>
              <w:widowControl w:val="0"/>
              <w:tabs>
                <w:tab w:val="left" w:pos="-720"/>
                <w:tab w:val="center" w:pos="7344"/>
              </w:tabs>
              <w:suppressAutoHyphens/>
              <w:jc w:val="left"/>
              <w:rPr>
                <w:rFonts w:eastAsia="Times New Roman"/>
                <w:noProof/>
              </w:rPr>
            </w:pPr>
            <w:r>
              <w:rPr>
                <w:noProof/>
              </w:rPr>
              <w:t>Europa-Parlamentets og Rådets direktiv (EU) 2018/645</w:t>
            </w:r>
            <w:r>
              <w:rPr>
                <w:noProof/>
              </w:rPr>
              <w:br/>
              <w:t>(EUT L 112 af 2.5.2018, s. 29)</w:t>
            </w:r>
          </w:p>
        </w:tc>
        <w:tc>
          <w:tcPr>
            <w:tcW w:w="3059" w:type="dxa"/>
          </w:tcPr>
          <w:p>
            <w:pPr>
              <w:widowControl w:val="0"/>
              <w:tabs>
                <w:tab w:val="left" w:pos="-720"/>
                <w:tab w:val="center" w:pos="7344"/>
              </w:tabs>
              <w:suppressAutoHyphens/>
              <w:jc w:val="left"/>
              <w:rPr>
                <w:noProof/>
              </w:rPr>
            </w:pPr>
            <w:r>
              <w:rPr>
                <w:noProof/>
                <w:lang w:val="en-GB"/>
              </w:rPr>
              <w:t>Kun artikel 1 og bilag</w:t>
            </w:r>
          </w:p>
        </w:tc>
      </w:tr>
      <w:tr>
        <w:trPr>
          <w:gridBefore w:val="1"/>
          <w:wBefore w:w="534" w:type="dxa"/>
        </w:trPr>
        <w:tc>
          <w:tcPr>
            <w:tcW w:w="5694" w:type="dxa"/>
            <w:gridSpan w:val="2"/>
          </w:tcPr>
          <w:p>
            <w:pPr>
              <w:widowControl w:val="0"/>
              <w:tabs>
                <w:tab w:val="left" w:pos="-720"/>
                <w:tab w:val="center" w:pos="7344"/>
              </w:tabs>
              <w:suppressAutoHyphens/>
              <w:jc w:val="left"/>
              <w:rPr>
                <w:noProof/>
              </w:rPr>
            </w:pPr>
            <w:r>
              <w:rPr>
                <w:noProof/>
              </w:rPr>
              <w:t>Europa-Parlamentets og Rådets forordning (EU) 2019/1243</w:t>
            </w:r>
            <w:r>
              <w:rPr>
                <w:noProof/>
              </w:rPr>
              <w:br/>
              <w:t>(EUT L 198 af 25.7.2019, s. 241)</w:t>
            </w:r>
          </w:p>
        </w:tc>
        <w:tc>
          <w:tcPr>
            <w:tcW w:w="3059" w:type="dxa"/>
          </w:tcPr>
          <w:p>
            <w:pPr>
              <w:widowControl w:val="0"/>
              <w:tabs>
                <w:tab w:val="left" w:pos="-720"/>
                <w:tab w:val="center" w:pos="7344"/>
              </w:tabs>
              <w:suppressAutoHyphens/>
              <w:jc w:val="left"/>
              <w:rPr>
                <w:noProof/>
              </w:rPr>
            </w:pPr>
            <w:r>
              <w:rPr>
                <w:noProof/>
              </w:rPr>
              <w:t>Kun punkt</w:t>
            </w:r>
            <w:r>
              <w:rPr>
                <w:noProof/>
                <w:lang w:eastAsia="fr-BE"/>
              </w:rPr>
              <w:t xml:space="preserve"> IX.5 i bilaget</w:t>
            </w:r>
          </w:p>
        </w:tc>
      </w:tr>
    </w:tbl>
    <w:p>
      <w:pPr>
        <w:keepNext/>
        <w:keepLines/>
        <w:tabs>
          <w:tab w:val="right" w:pos="9600"/>
        </w:tabs>
        <w:suppressAutoHyphens/>
        <w:spacing w:before="0" w:after="240"/>
        <w:jc w:val="center"/>
        <w:outlineLvl w:val="0"/>
        <w:rPr>
          <w:rFonts w:eastAsia="Times New Roman"/>
          <w:noProof/>
          <w:lang w:eastAsia="fr-BE"/>
        </w:rPr>
      </w:pPr>
      <w:r>
        <w:rPr>
          <w:rFonts w:eastAsia="Times New Roman"/>
          <w:noProof/>
          <w:lang w:eastAsia="fr-BE"/>
        </w:rPr>
        <w:t>Del B</w:t>
      </w:r>
    </w:p>
    <w:p>
      <w:pPr>
        <w:keepNext/>
        <w:keepLines/>
        <w:tabs>
          <w:tab w:val="right" w:pos="9600"/>
        </w:tabs>
        <w:suppressAutoHyphens/>
        <w:spacing w:before="0" w:after="240"/>
        <w:jc w:val="center"/>
        <w:rPr>
          <w:rFonts w:eastAsia="Times New Roman"/>
          <w:b/>
          <w:noProof/>
          <w:lang w:eastAsia="fr-BE"/>
        </w:rPr>
      </w:pPr>
      <w:r>
        <w:rPr>
          <w:rFonts w:eastAsia="Times New Roman"/>
          <w:b/>
          <w:bCs/>
          <w:noProof/>
          <w:lang w:eastAsia="fr-BE"/>
        </w:rPr>
        <w:t>Frister for gennemførelse i national ret og anvendelsesdatoer</w:t>
      </w:r>
      <w:r>
        <w:rPr>
          <w:rFonts w:eastAsia="Times New Roman"/>
          <w:b/>
          <w:bCs/>
          <w:noProof/>
          <w:lang w:eastAsia="fr-BE"/>
        </w:rPr>
        <w:br/>
      </w:r>
      <w:r>
        <w:rPr>
          <w:rFonts w:eastAsia="Times New Roman"/>
          <w:b/>
          <w:noProof/>
          <w:lang w:eastAsia="fr-BE"/>
        </w:rPr>
        <w:t>(jf. artikel 14)</w:t>
      </w:r>
    </w:p>
    <w:tbl>
      <w:tblPr>
        <w:tblW w:w="0" w:type="auto"/>
        <w:jc w:val="center"/>
        <w:tblLook w:val="01E0" w:firstRow="1" w:lastRow="1" w:firstColumn="1" w:lastColumn="1" w:noHBand="0" w:noVBand="0"/>
      </w:tblPr>
      <w:tblGrid>
        <w:gridCol w:w="2482"/>
        <w:gridCol w:w="3096"/>
        <w:gridCol w:w="3368"/>
      </w:tblGrid>
      <w:tr>
        <w:trPr>
          <w:jc w:val="center"/>
        </w:trPr>
        <w:tc>
          <w:tcPr>
            <w:tcW w:w="2482" w:type="dxa"/>
            <w:tcBorders>
              <w:top w:val="single" w:sz="4" w:space="0" w:color="auto"/>
              <w:bottom w:val="single" w:sz="4" w:space="0" w:color="auto"/>
              <w:right w:val="single" w:sz="4" w:space="0" w:color="auto"/>
            </w:tcBorders>
          </w:tcPr>
          <w:p>
            <w:pPr>
              <w:keepNext/>
              <w:keepLines/>
              <w:tabs>
                <w:tab w:val="right" w:pos="9600"/>
              </w:tabs>
              <w:suppressAutoHyphens/>
              <w:jc w:val="center"/>
              <w:rPr>
                <w:rFonts w:eastAsia="Times New Roman"/>
                <w:noProof/>
                <w:lang w:val="fr-BE" w:eastAsia="fr-BE"/>
              </w:rPr>
            </w:pPr>
            <w:r>
              <w:rPr>
                <w:rFonts w:eastAsia="Times New Roman"/>
                <w:noProof/>
              </w:rPr>
              <w:t>Direktiv</w:t>
            </w:r>
          </w:p>
        </w:tc>
        <w:tc>
          <w:tcPr>
            <w:tcW w:w="3096" w:type="dxa"/>
            <w:tcBorders>
              <w:top w:val="single" w:sz="4" w:space="0" w:color="auto"/>
              <w:left w:val="single" w:sz="4" w:space="0" w:color="auto"/>
              <w:bottom w:val="single" w:sz="4" w:space="0" w:color="auto"/>
            </w:tcBorders>
          </w:tcPr>
          <w:p>
            <w:pPr>
              <w:keepNext/>
              <w:keepLines/>
              <w:tabs>
                <w:tab w:val="right" w:pos="9600"/>
              </w:tabs>
              <w:suppressAutoHyphens/>
              <w:jc w:val="center"/>
              <w:rPr>
                <w:rFonts w:eastAsia="Times New Roman"/>
                <w:noProof/>
                <w:lang w:val="fr-BE" w:eastAsia="fr-BE"/>
              </w:rPr>
            </w:pPr>
            <w:r>
              <w:rPr>
                <w:noProof/>
              </w:rPr>
              <w:t>Gennemførelsesfrist</w:t>
            </w:r>
          </w:p>
        </w:tc>
        <w:tc>
          <w:tcPr>
            <w:tcW w:w="3368" w:type="dxa"/>
            <w:tcBorders>
              <w:top w:val="single" w:sz="4" w:space="0" w:color="auto"/>
              <w:left w:val="single" w:sz="4" w:space="0" w:color="auto"/>
              <w:bottom w:val="single" w:sz="4" w:space="0" w:color="auto"/>
            </w:tcBorders>
          </w:tcPr>
          <w:p>
            <w:pPr>
              <w:keepNext/>
              <w:keepLines/>
              <w:tabs>
                <w:tab w:val="right" w:pos="9600"/>
              </w:tabs>
              <w:suppressAutoHyphens/>
              <w:jc w:val="center"/>
              <w:rPr>
                <w:rFonts w:eastAsia="Times New Roman"/>
                <w:noProof/>
                <w:lang w:val="fr-BE" w:eastAsia="fr-BE"/>
              </w:rPr>
            </w:pPr>
            <w:r>
              <w:rPr>
                <w:noProof/>
              </w:rPr>
              <w:t>Anvendelsesdato</w:t>
            </w:r>
          </w:p>
        </w:tc>
      </w:tr>
      <w:tr>
        <w:trPr>
          <w:jc w:val="center"/>
        </w:trPr>
        <w:tc>
          <w:tcPr>
            <w:tcW w:w="2482" w:type="dxa"/>
            <w:tcBorders>
              <w:top w:val="single" w:sz="4" w:space="0" w:color="auto"/>
              <w:right w:val="single" w:sz="4" w:space="0" w:color="auto"/>
            </w:tcBorders>
          </w:tcPr>
          <w:p>
            <w:pPr>
              <w:keepNext/>
              <w:keepLines/>
              <w:tabs>
                <w:tab w:val="right" w:pos="9600"/>
              </w:tabs>
              <w:suppressAutoHyphens/>
              <w:jc w:val="center"/>
              <w:rPr>
                <w:rFonts w:eastAsia="Times New Roman"/>
                <w:noProof/>
                <w:lang w:val="fr-BE" w:eastAsia="fr-BE"/>
              </w:rPr>
            </w:pPr>
            <w:r>
              <w:rPr>
                <w:noProof/>
                <w:lang w:val="en-GB"/>
              </w:rPr>
              <w:t>2003/59/EF</w:t>
            </w:r>
          </w:p>
        </w:tc>
        <w:tc>
          <w:tcPr>
            <w:tcW w:w="3096" w:type="dxa"/>
            <w:tcBorders>
              <w:top w:val="single" w:sz="4" w:space="0" w:color="auto"/>
              <w:left w:val="single" w:sz="4" w:space="0" w:color="auto"/>
            </w:tcBorders>
          </w:tcPr>
          <w:p>
            <w:pPr>
              <w:keepNext/>
              <w:keepLines/>
              <w:tabs>
                <w:tab w:val="right" w:pos="9600"/>
              </w:tabs>
              <w:suppressAutoHyphens/>
              <w:jc w:val="center"/>
              <w:rPr>
                <w:rFonts w:eastAsia="Times New Roman"/>
                <w:noProof/>
                <w:lang w:eastAsia="fr-BE"/>
              </w:rPr>
            </w:pPr>
            <w:r>
              <w:rPr>
                <w:rFonts w:eastAsia="Times New Roman"/>
                <w:noProof/>
                <w:lang w:eastAsia="fr-BE"/>
              </w:rPr>
              <w:t>10. September 2006</w:t>
            </w:r>
          </w:p>
        </w:tc>
        <w:tc>
          <w:tcPr>
            <w:tcW w:w="3368" w:type="dxa"/>
            <w:tcBorders>
              <w:top w:val="single" w:sz="4" w:space="0" w:color="auto"/>
              <w:left w:val="single" w:sz="4" w:space="0" w:color="auto"/>
            </w:tcBorders>
          </w:tcPr>
          <w:p>
            <w:pPr>
              <w:keepNext/>
              <w:keepLines/>
              <w:tabs>
                <w:tab w:val="right" w:pos="9600"/>
              </w:tabs>
              <w:suppressAutoHyphens/>
              <w:jc w:val="center"/>
              <w:rPr>
                <w:rFonts w:eastAsia="Times New Roman"/>
                <w:noProof/>
                <w:lang w:eastAsia="fr-BE"/>
              </w:rPr>
            </w:pPr>
            <w:r>
              <w:rPr>
                <w:rFonts w:eastAsia="Times New Roman"/>
                <w:noProof/>
                <w:lang w:eastAsia="fr-BE"/>
              </w:rPr>
              <w:t>for så vidt angår de grundlæggende kvalifikationer for førere af køretøjer af kørekortskategori D1, D1 + E, D og D + E fra den 10. september 2008</w:t>
            </w:r>
          </w:p>
          <w:p>
            <w:pPr>
              <w:keepNext/>
              <w:keepLines/>
              <w:tabs>
                <w:tab w:val="right" w:pos="9600"/>
              </w:tabs>
              <w:suppressAutoHyphens/>
              <w:jc w:val="center"/>
              <w:rPr>
                <w:rFonts w:eastAsia="Times New Roman"/>
                <w:noProof/>
                <w:lang w:eastAsia="fr-BE"/>
              </w:rPr>
            </w:pPr>
            <w:r>
              <w:rPr>
                <w:rFonts w:eastAsia="Times New Roman"/>
                <w:noProof/>
                <w:lang w:eastAsia="fr-BE"/>
              </w:rPr>
              <w:t>for så vidt angår de grundlæggende kvalifikationer for førere af køretøjer af køretøjskategori C1, C1 + E, C og C + E fra den 10. september 2009</w:t>
            </w:r>
          </w:p>
        </w:tc>
      </w:tr>
      <w:tr>
        <w:trPr>
          <w:jc w:val="center"/>
        </w:trPr>
        <w:tc>
          <w:tcPr>
            <w:tcW w:w="2482" w:type="dxa"/>
            <w:tcBorders>
              <w:right w:val="single" w:sz="4" w:space="0" w:color="auto"/>
            </w:tcBorders>
          </w:tcPr>
          <w:p>
            <w:pPr>
              <w:widowControl w:val="0"/>
              <w:tabs>
                <w:tab w:val="right" w:pos="9600"/>
              </w:tabs>
              <w:suppressAutoHyphens/>
              <w:jc w:val="center"/>
              <w:rPr>
                <w:rFonts w:eastAsia="Times New Roman"/>
                <w:noProof/>
                <w:lang w:eastAsia="fr-BE"/>
              </w:rPr>
            </w:pPr>
            <w:r>
              <w:rPr>
                <w:noProof/>
              </w:rPr>
              <w:t>(EU) 2018/645</w:t>
            </w:r>
          </w:p>
        </w:tc>
        <w:tc>
          <w:tcPr>
            <w:tcW w:w="3096" w:type="dxa"/>
            <w:tcBorders>
              <w:left w:val="single" w:sz="4" w:space="0" w:color="auto"/>
            </w:tcBorders>
          </w:tcPr>
          <w:p>
            <w:pPr>
              <w:widowControl w:val="0"/>
              <w:tabs>
                <w:tab w:val="right" w:pos="9600"/>
              </w:tabs>
              <w:suppressAutoHyphens/>
              <w:jc w:val="center"/>
              <w:rPr>
                <w:rFonts w:eastAsia="Times New Roman"/>
                <w:noProof/>
                <w:lang w:eastAsia="fr-BE"/>
              </w:rPr>
            </w:pPr>
            <w:r>
              <w:rPr>
                <w:rFonts w:eastAsia="Times New Roman"/>
                <w:noProof/>
                <w:lang w:eastAsia="fr-BE"/>
              </w:rPr>
              <w:t>23. maj 2020 med undtagelse af artikel 1, nr. 6)</w:t>
            </w:r>
          </w:p>
          <w:p>
            <w:pPr>
              <w:widowControl w:val="0"/>
              <w:tabs>
                <w:tab w:val="right" w:pos="9600"/>
              </w:tabs>
              <w:suppressAutoHyphens/>
              <w:jc w:val="center"/>
              <w:rPr>
                <w:rFonts w:eastAsia="Times New Roman"/>
                <w:noProof/>
                <w:lang w:eastAsia="fr-BE"/>
              </w:rPr>
            </w:pPr>
            <w:r>
              <w:rPr>
                <w:rFonts w:eastAsia="Times New Roman"/>
                <w:noProof/>
                <w:lang w:eastAsia="fr-BE"/>
              </w:rPr>
              <w:t>23. maj 2021 med hensyn til artikel 1, nr. 6)</w:t>
            </w:r>
          </w:p>
        </w:tc>
        <w:tc>
          <w:tcPr>
            <w:tcW w:w="3368" w:type="dxa"/>
            <w:tcBorders>
              <w:left w:val="single" w:sz="4" w:space="0" w:color="auto"/>
            </w:tcBorders>
          </w:tcPr>
          <w:p>
            <w:pPr>
              <w:widowControl w:val="0"/>
              <w:tabs>
                <w:tab w:val="right" w:pos="9600"/>
              </w:tabs>
              <w:suppressAutoHyphens/>
              <w:jc w:val="center"/>
              <w:rPr>
                <w:rFonts w:eastAsia="Times New Roman"/>
                <w:noProof/>
                <w:lang w:eastAsia="fr-BE"/>
              </w:rPr>
            </w:pPr>
          </w:p>
        </w:tc>
      </w:tr>
    </w:tbl>
    <w:p>
      <w:pPr>
        <w:jc w:val="center"/>
        <w:rPr>
          <w:rFonts w:eastAsia="Times New Roman"/>
          <w:noProof/>
          <w:szCs w:val="20"/>
        </w:rPr>
      </w:pPr>
      <w:r>
        <w:rPr>
          <w:rFonts w:eastAsia="Times New Roman"/>
          <w:noProof/>
          <w:szCs w:val="20"/>
        </w:rPr>
        <w:t>_____________</w:t>
      </w:r>
    </w:p>
    <w:p>
      <w:pPr>
        <w:jc w:val="center"/>
        <w:rPr>
          <w:rFonts w:eastAsia="Times New Roman"/>
          <w:noProof/>
          <w:szCs w:val="20"/>
        </w:rPr>
        <w:sectPr>
          <w:pgSz w:w="11907" w:h="16839"/>
          <w:pgMar w:top="1134" w:right="1418" w:bottom="1134" w:left="1418" w:header="709" w:footer="709" w:gutter="0"/>
          <w:cols w:space="708"/>
          <w:docGrid w:linePitch="360"/>
        </w:sectPr>
      </w:pPr>
    </w:p>
    <w:p>
      <w:pPr>
        <w:pStyle w:val="Annexetitre"/>
        <w:rPr>
          <w:noProof/>
        </w:rPr>
      </w:pPr>
      <w:r>
        <w:rPr>
          <w:noProof/>
        </w:rPr>
        <w:t>BILAG V</w:t>
      </w:r>
    </w:p>
    <w:p>
      <w:pPr>
        <w:keepNext/>
        <w:spacing w:before="360"/>
        <w:jc w:val="center"/>
        <w:outlineLvl w:val="0"/>
        <w:rPr>
          <w:rFonts w:eastAsia="Times New Roman"/>
          <w:b/>
          <w:smallCaps/>
          <w:noProof/>
          <w:szCs w:val="20"/>
        </w:rPr>
      </w:pPr>
      <w:r>
        <w:rPr>
          <w:rFonts w:eastAsia="Times New Roman"/>
          <w:b/>
          <w:smallCaps/>
          <w:noProof/>
          <w:szCs w:val="20"/>
        </w:rPr>
        <w:t>Sammenligningstabel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674"/>
      </w:tblGrid>
      <w:tr>
        <w:tc>
          <w:tcPr>
            <w:tcW w:w="4674" w:type="dxa"/>
            <w:tcBorders>
              <w:left w:val="nil"/>
            </w:tcBorders>
          </w:tcPr>
          <w:p>
            <w:pPr>
              <w:jc w:val="center"/>
              <w:rPr>
                <w:rFonts w:eastAsia="Times New Roman"/>
                <w:noProof/>
              </w:rPr>
            </w:pPr>
            <w:r>
              <w:rPr>
                <w:rFonts w:eastAsia="Times New Roman"/>
                <w:noProof/>
              </w:rPr>
              <w:t>Direktiv 2003/59/EF</w:t>
            </w:r>
          </w:p>
        </w:tc>
        <w:tc>
          <w:tcPr>
            <w:tcW w:w="4674" w:type="dxa"/>
            <w:tcBorders>
              <w:right w:val="nil"/>
            </w:tcBorders>
          </w:tcPr>
          <w:p>
            <w:pPr>
              <w:jc w:val="center"/>
              <w:rPr>
                <w:rFonts w:eastAsia="Times New Roman"/>
                <w:noProof/>
              </w:rPr>
            </w:pPr>
            <w:r>
              <w:rPr>
                <w:rFonts w:eastAsia="Times New Roman"/>
                <w:noProof/>
              </w:rPr>
              <w:t>Nærværende direktiv</w:t>
            </w:r>
          </w:p>
        </w:tc>
      </w:tr>
      <w:tr>
        <w:tc>
          <w:tcPr>
            <w:tcW w:w="4674" w:type="dxa"/>
            <w:tcBorders>
              <w:top w:val="nil"/>
              <w:left w:val="nil"/>
              <w:bottom w:val="nil"/>
            </w:tcBorders>
          </w:tcPr>
          <w:p>
            <w:pPr>
              <w:jc w:val="left"/>
              <w:rPr>
                <w:rFonts w:eastAsia="Times New Roman"/>
                <w:noProof/>
              </w:rPr>
            </w:pPr>
            <w:r>
              <w:rPr>
                <w:rFonts w:eastAsia="Times New Roman"/>
                <w:noProof/>
              </w:rPr>
              <w:t>Artikel 1-7</w:t>
            </w:r>
          </w:p>
        </w:tc>
        <w:tc>
          <w:tcPr>
            <w:tcW w:w="4674" w:type="dxa"/>
            <w:tcBorders>
              <w:top w:val="nil"/>
              <w:bottom w:val="nil"/>
              <w:right w:val="nil"/>
            </w:tcBorders>
          </w:tcPr>
          <w:p>
            <w:pPr>
              <w:jc w:val="left"/>
              <w:rPr>
                <w:rFonts w:eastAsia="Times New Roman"/>
                <w:noProof/>
              </w:rPr>
            </w:pPr>
            <w:r>
              <w:rPr>
                <w:rFonts w:eastAsia="Times New Roman"/>
                <w:noProof/>
              </w:rPr>
              <w:t>Artikel 1-7</w:t>
            </w:r>
          </w:p>
        </w:tc>
      </w:tr>
      <w:tr>
        <w:tc>
          <w:tcPr>
            <w:tcW w:w="4674" w:type="dxa"/>
            <w:tcBorders>
              <w:top w:val="nil"/>
              <w:left w:val="nil"/>
              <w:bottom w:val="nil"/>
            </w:tcBorders>
          </w:tcPr>
          <w:p>
            <w:pPr>
              <w:jc w:val="left"/>
              <w:rPr>
                <w:rFonts w:eastAsia="Times New Roman"/>
                <w:noProof/>
              </w:rPr>
            </w:pPr>
            <w:r>
              <w:rPr>
                <w:rFonts w:eastAsia="Times New Roman"/>
                <w:noProof/>
              </w:rPr>
              <w:t>Artikel 8 stk. 1</w:t>
            </w:r>
          </w:p>
        </w:tc>
        <w:tc>
          <w:tcPr>
            <w:tcW w:w="4674" w:type="dxa"/>
            <w:tcBorders>
              <w:top w:val="nil"/>
              <w:bottom w:val="nil"/>
              <w:right w:val="nil"/>
            </w:tcBorders>
          </w:tcPr>
          <w:p>
            <w:pPr>
              <w:jc w:val="left"/>
              <w:rPr>
                <w:rFonts w:eastAsia="Times New Roman"/>
                <w:noProof/>
              </w:rPr>
            </w:pPr>
            <w:r>
              <w:rPr>
                <w:rFonts w:eastAsia="Times New Roman"/>
                <w:noProof/>
              </w:rPr>
              <w:t>Artikel 8 stk. 1</w:t>
            </w:r>
          </w:p>
        </w:tc>
      </w:tr>
      <w:tr>
        <w:tc>
          <w:tcPr>
            <w:tcW w:w="4674" w:type="dxa"/>
            <w:tcBorders>
              <w:top w:val="nil"/>
              <w:left w:val="nil"/>
              <w:bottom w:val="nil"/>
            </w:tcBorders>
          </w:tcPr>
          <w:p>
            <w:pPr>
              <w:jc w:val="left"/>
              <w:rPr>
                <w:rFonts w:eastAsia="Times New Roman"/>
                <w:noProof/>
              </w:rPr>
            </w:pPr>
            <w:r>
              <w:rPr>
                <w:rFonts w:eastAsia="Times New Roman"/>
                <w:noProof/>
              </w:rPr>
              <w:t xml:space="preserve">Artikel 8 stk. 2, første afsnit, indledningen og </w:t>
            </w:r>
            <w:r>
              <w:rPr>
                <w:noProof/>
              </w:rPr>
              <w:t xml:space="preserve">litra </w:t>
            </w:r>
            <w:r>
              <w:rPr>
                <w:rFonts w:eastAsia="Times New Roman"/>
                <w:noProof/>
              </w:rPr>
              <w:t>a)</w:t>
            </w:r>
          </w:p>
        </w:tc>
        <w:tc>
          <w:tcPr>
            <w:tcW w:w="4674" w:type="dxa"/>
            <w:tcBorders>
              <w:top w:val="nil"/>
              <w:bottom w:val="nil"/>
              <w:right w:val="nil"/>
            </w:tcBorders>
          </w:tcPr>
          <w:p>
            <w:pPr>
              <w:jc w:val="left"/>
              <w:rPr>
                <w:rFonts w:eastAsia="Times New Roman"/>
                <w:noProof/>
              </w:rPr>
            </w:pPr>
            <w:r>
              <w:rPr>
                <w:rFonts w:eastAsia="Times New Roman"/>
                <w:noProof/>
                <w:lang w:val="en-GB"/>
              </w:rPr>
              <w:t>Artikel 8 stk. 2, første afsnit</w:t>
            </w:r>
          </w:p>
        </w:tc>
      </w:tr>
      <w:tr>
        <w:tc>
          <w:tcPr>
            <w:tcW w:w="4674" w:type="dxa"/>
            <w:tcBorders>
              <w:top w:val="nil"/>
              <w:left w:val="nil"/>
              <w:bottom w:val="nil"/>
            </w:tcBorders>
          </w:tcPr>
          <w:p>
            <w:pPr>
              <w:jc w:val="left"/>
              <w:rPr>
                <w:rFonts w:eastAsia="Times New Roman"/>
                <w:noProof/>
              </w:rPr>
            </w:pPr>
            <w:r>
              <w:rPr>
                <w:rFonts w:eastAsia="Times New Roman"/>
                <w:noProof/>
              </w:rPr>
              <w:t xml:space="preserve">Artikel 8 stk. 2, første afsnit, </w:t>
            </w:r>
            <w:r>
              <w:rPr>
                <w:noProof/>
              </w:rPr>
              <w:t xml:space="preserve">litra </w:t>
            </w:r>
            <w:r>
              <w:rPr>
                <w:rFonts w:eastAsia="Times New Roman"/>
                <w:noProof/>
              </w:rPr>
              <w:t>b)</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lang w:val="en-GB"/>
              </w:rPr>
              <w:t xml:space="preserve">Artikel 8 stk. 2, </w:t>
            </w:r>
            <w:r>
              <w:rPr>
                <w:noProof/>
              </w:rPr>
              <w:t xml:space="preserve">andet </w:t>
            </w:r>
            <w:r>
              <w:rPr>
                <w:rFonts w:eastAsia="Times New Roman"/>
                <w:noProof/>
                <w:lang w:val="en-GB"/>
              </w:rPr>
              <w:t>afsnit</w:t>
            </w:r>
          </w:p>
        </w:tc>
        <w:tc>
          <w:tcPr>
            <w:tcW w:w="4674" w:type="dxa"/>
            <w:tcBorders>
              <w:top w:val="nil"/>
              <w:bottom w:val="nil"/>
              <w:right w:val="nil"/>
            </w:tcBorders>
          </w:tcPr>
          <w:p>
            <w:pPr>
              <w:jc w:val="left"/>
              <w:rPr>
                <w:rFonts w:eastAsia="Times New Roman"/>
                <w:noProof/>
              </w:rPr>
            </w:pPr>
            <w:r>
              <w:rPr>
                <w:rFonts w:eastAsia="Times New Roman"/>
                <w:noProof/>
                <w:lang w:val="en-GB"/>
              </w:rPr>
              <w:t xml:space="preserve">Artikel 8 stk. 2, </w:t>
            </w:r>
            <w:r>
              <w:rPr>
                <w:noProof/>
              </w:rPr>
              <w:t xml:space="preserve">andet </w:t>
            </w:r>
            <w:r>
              <w:rPr>
                <w:rFonts w:eastAsia="Times New Roman"/>
                <w:noProof/>
                <w:lang w:val="en-GB"/>
              </w:rPr>
              <w:t>afsnit</w:t>
            </w:r>
          </w:p>
        </w:tc>
      </w:tr>
      <w:tr>
        <w:tc>
          <w:tcPr>
            <w:tcW w:w="4674" w:type="dxa"/>
            <w:tcBorders>
              <w:top w:val="nil"/>
              <w:left w:val="nil"/>
              <w:bottom w:val="nil"/>
            </w:tcBorders>
          </w:tcPr>
          <w:p>
            <w:pPr>
              <w:jc w:val="left"/>
              <w:rPr>
                <w:rFonts w:eastAsia="Times New Roman"/>
                <w:noProof/>
              </w:rPr>
            </w:pPr>
            <w:r>
              <w:rPr>
                <w:rFonts w:eastAsia="Times New Roman"/>
                <w:noProof/>
              </w:rPr>
              <w:t>Artikel 8 stk. 3, 4 og 5</w:t>
            </w:r>
          </w:p>
        </w:tc>
        <w:tc>
          <w:tcPr>
            <w:tcW w:w="4674" w:type="dxa"/>
            <w:tcBorders>
              <w:top w:val="nil"/>
              <w:bottom w:val="nil"/>
              <w:right w:val="nil"/>
            </w:tcBorders>
          </w:tcPr>
          <w:p>
            <w:pPr>
              <w:jc w:val="left"/>
              <w:rPr>
                <w:rFonts w:eastAsia="Times New Roman"/>
                <w:noProof/>
              </w:rPr>
            </w:pPr>
            <w:r>
              <w:rPr>
                <w:rFonts w:eastAsia="Times New Roman"/>
                <w:noProof/>
              </w:rPr>
              <w:t>Artikel 8 stk. 3, 4 og 5</w:t>
            </w:r>
          </w:p>
        </w:tc>
      </w:tr>
      <w:tr>
        <w:tc>
          <w:tcPr>
            <w:tcW w:w="4674" w:type="dxa"/>
            <w:tcBorders>
              <w:top w:val="nil"/>
              <w:left w:val="nil"/>
              <w:bottom w:val="nil"/>
            </w:tcBorders>
          </w:tcPr>
          <w:p>
            <w:pPr>
              <w:jc w:val="left"/>
              <w:rPr>
                <w:rFonts w:eastAsia="Times New Roman"/>
                <w:noProof/>
              </w:rPr>
            </w:pPr>
            <w:r>
              <w:rPr>
                <w:rFonts w:eastAsia="Times New Roman"/>
                <w:noProof/>
              </w:rPr>
              <w:t>Artikel 9 og 10</w:t>
            </w:r>
          </w:p>
        </w:tc>
        <w:tc>
          <w:tcPr>
            <w:tcW w:w="4674" w:type="dxa"/>
            <w:tcBorders>
              <w:top w:val="nil"/>
              <w:bottom w:val="nil"/>
              <w:right w:val="nil"/>
            </w:tcBorders>
          </w:tcPr>
          <w:p>
            <w:pPr>
              <w:jc w:val="left"/>
              <w:rPr>
                <w:rFonts w:eastAsia="Times New Roman"/>
                <w:noProof/>
              </w:rPr>
            </w:pPr>
            <w:r>
              <w:rPr>
                <w:rFonts w:eastAsia="Times New Roman"/>
                <w:noProof/>
              </w:rPr>
              <w:t>Artikel 9 og 10</w:t>
            </w:r>
          </w:p>
        </w:tc>
      </w:tr>
      <w:tr>
        <w:tc>
          <w:tcPr>
            <w:tcW w:w="4674" w:type="dxa"/>
            <w:tcBorders>
              <w:top w:val="nil"/>
              <w:left w:val="nil"/>
              <w:bottom w:val="nil"/>
            </w:tcBorders>
          </w:tcPr>
          <w:p>
            <w:pPr>
              <w:jc w:val="left"/>
              <w:rPr>
                <w:rFonts w:eastAsia="Times New Roman"/>
                <w:noProof/>
              </w:rPr>
            </w:pPr>
            <w:r>
              <w:rPr>
                <w:rFonts w:eastAsia="Times New Roman"/>
                <w:noProof/>
              </w:rPr>
              <w:t>Artikel 10a</w:t>
            </w:r>
          </w:p>
        </w:tc>
        <w:tc>
          <w:tcPr>
            <w:tcW w:w="4674" w:type="dxa"/>
            <w:tcBorders>
              <w:top w:val="nil"/>
              <w:bottom w:val="nil"/>
              <w:right w:val="nil"/>
            </w:tcBorders>
          </w:tcPr>
          <w:p>
            <w:pPr>
              <w:jc w:val="left"/>
              <w:rPr>
                <w:rFonts w:eastAsia="Times New Roman"/>
                <w:noProof/>
              </w:rPr>
            </w:pPr>
            <w:r>
              <w:rPr>
                <w:rFonts w:eastAsia="Times New Roman"/>
                <w:noProof/>
              </w:rPr>
              <w:t>Artikel 11</w:t>
            </w:r>
          </w:p>
        </w:tc>
      </w:tr>
      <w:tr>
        <w:tc>
          <w:tcPr>
            <w:tcW w:w="4674" w:type="dxa"/>
            <w:tcBorders>
              <w:top w:val="nil"/>
              <w:left w:val="nil"/>
              <w:bottom w:val="nil"/>
            </w:tcBorders>
          </w:tcPr>
          <w:p>
            <w:pPr>
              <w:jc w:val="left"/>
              <w:rPr>
                <w:rFonts w:eastAsia="Times New Roman"/>
                <w:noProof/>
              </w:rPr>
            </w:pPr>
            <w:r>
              <w:rPr>
                <w:rFonts w:eastAsia="Times New Roman"/>
                <w:noProof/>
              </w:rPr>
              <w:t>Artikel 11</w:t>
            </w:r>
          </w:p>
        </w:tc>
        <w:tc>
          <w:tcPr>
            <w:tcW w:w="4674" w:type="dxa"/>
            <w:tcBorders>
              <w:top w:val="nil"/>
              <w:bottom w:val="nil"/>
              <w:right w:val="nil"/>
            </w:tcBorders>
          </w:tcPr>
          <w:p>
            <w:pPr>
              <w:jc w:val="left"/>
              <w:rPr>
                <w:rFonts w:eastAsia="Times New Roman"/>
                <w:noProof/>
              </w:rPr>
            </w:pPr>
            <w:r>
              <w:rPr>
                <w:rFonts w:eastAsia="Times New Roman"/>
                <w:noProof/>
              </w:rPr>
              <w:t>Artikel 12</w:t>
            </w:r>
          </w:p>
        </w:tc>
      </w:tr>
      <w:tr>
        <w:tc>
          <w:tcPr>
            <w:tcW w:w="4674" w:type="dxa"/>
            <w:tcBorders>
              <w:top w:val="nil"/>
              <w:left w:val="nil"/>
              <w:bottom w:val="nil"/>
            </w:tcBorders>
          </w:tcPr>
          <w:p>
            <w:pPr>
              <w:jc w:val="left"/>
              <w:rPr>
                <w:rFonts w:eastAsia="Times New Roman"/>
                <w:noProof/>
              </w:rPr>
            </w:pPr>
            <w:r>
              <w:rPr>
                <w:rFonts w:eastAsia="Times New Roman"/>
                <w:noProof/>
              </w:rPr>
              <w:t>Artikel 11a</w:t>
            </w:r>
          </w:p>
        </w:tc>
        <w:tc>
          <w:tcPr>
            <w:tcW w:w="4674" w:type="dxa"/>
            <w:tcBorders>
              <w:top w:val="nil"/>
              <w:bottom w:val="nil"/>
              <w:right w:val="nil"/>
            </w:tcBorders>
          </w:tcPr>
          <w:p>
            <w:pPr>
              <w:jc w:val="left"/>
              <w:rPr>
                <w:rFonts w:eastAsia="Times New Roman"/>
                <w:noProof/>
              </w:rPr>
            </w:pPr>
            <w:r>
              <w:rPr>
                <w:rFonts w:eastAsia="Times New Roman"/>
                <w:noProof/>
              </w:rPr>
              <w:t>Artikel 13</w:t>
            </w:r>
          </w:p>
        </w:tc>
      </w:tr>
      <w:tr>
        <w:tc>
          <w:tcPr>
            <w:tcW w:w="4674" w:type="dxa"/>
            <w:tcBorders>
              <w:top w:val="nil"/>
              <w:left w:val="nil"/>
              <w:bottom w:val="nil"/>
            </w:tcBorders>
          </w:tcPr>
          <w:p>
            <w:pPr>
              <w:jc w:val="left"/>
              <w:rPr>
                <w:rFonts w:eastAsia="Times New Roman"/>
                <w:noProof/>
              </w:rPr>
            </w:pPr>
            <w:r>
              <w:rPr>
                <w:rFonts w:eastAsia="Times New Roman"/>
                <w:noProof/>
              </w:rPr>
              <w:t>Artikel 13</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rPr>
              <w:t>Artikel 14</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rPr>
              <w:t>Artikel 15</w:t>
            </w:r>
          </w:p>
        </w:tc>
        <w:tc>
          <w:tcPr>
            <w:tcW w:w="4674" w:type="dxa"/>
            <w:tcBorders>
              <w:top w:val="nil"/>
              <w:bottom w:val="nil"/>
              <w:right w:val="nil"/>
            </w:tcBorders>
          </w:tcPr>
          <w:p>
            <w:pPr>
              <w:jc w:val="left"/>
              <w:rPr>
                <w:rFonts w:eastAsia="Times New Roman"/>
                <w:noProof/>
              </w:rPr>
            </w:pPr>
            <w:r>
              <w:rPr>
                <w:rFonts w:eastAsia="Times New Roman"/>
                <w:noProof/>
              </w:rPr>
              <w:t>Artikel 14</w:t>
            </w:r>
          </w:p>
        </w:tc>
      </w:tr>
      <w:tr>
        <w:tc>
          <w:tcPr>
            <w:tcW w:w="4674" w:type="dxa"/>
            <w:tcBorders>
              <w:top w:val="nil"/>
              <w:left w:val="nil"/>
              <w:bottom w:val="nil"/>
            </w:tcBorders>
          </w:tcPr>
          <w:p>
            <w:pPr>
              <w:jc w:val="left"/>
              <w:rPr>
                <w:rFonts w:eastAsia="Times New Roman"/>
                <w:noProof/>
              </w:rPr>
            </w:pPr>
            <w:r>
              <w:rPr>
                <w:rFonts w:eastAsia="Times New Roman"/>
                <w:noProof/>
              </w:rPr>
              <w:t>Artikel 16</w:t>
            </w:r>
          </w:p>
        </w:tc>
        <w:tc>
          <w:tcPr>
            <w:tcW w:w="4674" w:type="dxa"/>
            <w:tcBorders>
              <w:top w:val="nil"/>
              <w:bottom w:val="nil"/>
              <w:right w:val="nil"/>
            </w:tcBorders>
          </w:tcPr>
          <w:p>
            <w:pPr>
              <w:jc w:val="left"/>
              <w:rPr>
                <w:rFonts w:eastAsia="Times New Roman"/>
                <w:noProof/>
              </w:rPr>
            </w:pPr>
            <w:r>
              <w:rPr>
                <w:rFonts w:eastAsia="Times New Roman"/>
                <w:noProof/>
              </w:rPr>
              <w:t>Artikel 15</w:t>
            </w:r>
          </w:p>
        </w:tc>
      </w:tr>
      <w:tr>
        <w:tc>
          <w:tcPr>
            <w:tcW w:w="4674" w:type="dxa"/>
            <w:tcBorders>
              <w:top w:val="nil"/>
              <w:left w:val="nil"/>
              <w:bottom w:val="nil"/>
            </w:tcBorders>
          </w:tcPr>
          <w:p>
            <w:pPr>
              <w:jc w:val="left"/>
              <w:rPr>
                <w:rFonts w:eastAsia="Times New Roman"/>
                <w:noProof/>
              </w:rPr>
            </w:pPr>
            <w:r>
              <w:rPr>
                <w:rFonts w:eastAsia="Times New Roman"/>
                <w:noProof/>
              </w:rPr>
              <w:t>Artikel 17</w:t>
            </w:r>
          </w:p>
        </w:tc>
        <w:tc>
          <w:tcPr>
            <w:tcW w:w="4674" w:type="dxa"/>
            <w:tcBorders>
              <w:top w:val="nil"/>
              <w:bottom w:val="nil"/>
              <w:right w:val="nil"/>
            </w:tcBorders>
          </w:tcPr>
          <w:p>
            <w:pPr>
              <w:jc w:val="left"/>
              <w:rPr>
                <w:rFonts w:eastAsia="Times New Roman"/>
                <w:noProof/>
              </w:rPr>
            </w:pPr>
            <w:r>
              <w:rPr>
                <w:rFonts w:eastAsia="Times New Roman"/>
                <w:noProof/>
              </w:rPr>
              <w:t>Artikel 16</w:t>
            </w:r>
          </w:p>
        </w:tc>
      </w:tr>
      <w:tr>
        <w:tc>
          <w:tcPr>
            <w:tcW w:w="4674" w:type="dxa"/>
            <w:tcBorders>
              <w:top w:val="nil"/>
              <w:left w:val="nil"/>
              <w:bottom w:val="nil"/>
            </w:tcBorders>
          </w:tcPr>
          <w:p>
            <w:pPr>
              <w:jc w:val="left"/>
              <w:rPr>
                <w:rFonts w:eastAsia="Times New Roman"/>
                <w:noProof/>
              </w:rPr>
            </w:pPr>
            <w:r>
              <w:rPr>
                <w:rFonts w:eastAsia="Times New Roman"/>
                <w:noProof/>
              </w:rPr>
              <w:t>Bilag I</w:t>
            </w:r>
          </w:p>
        </w:tc>
        <w:tc>
          <w:tcPr>
            <w:tcW w:w="4674" w:type="dxa"/>
            <w:tcBorders>
              <w:top w:val="nil"/>
              <w:bottom w:val="nil"/>
              <w:right w:val="nil"/>
            </w:tcBorders>
          </w:tcPr>
          <w:p>
            <w:pPr>
              <w:jc w:val="left"/>
              <w:rPr>
                <w:rFonts w:eastAsia="Times New Roman"/>
                <w:noProof/>
              </w:rPr>
            </w:pPr>
            <w:r>
              <w:rPr>
                <w:rFonts w:eastAsia="Times New Roman"/>
                <w:noProof/>
              </w:rPr>
              <w:t>Bilag I</w:t>
            </w:r>
          </w:p>
        </w:tc>
      </w:tr>
      <w:tr>
        <w:tc>
          <w:tcPr>
            <w:tcW w:w="4674" w:type="dxa"/>
            <w:tcBorders>
              <w:top w:val="nil"/>
              <w:left w:val="nil"/>
              <w:bottom w:val="nil"/>
            </w:tcBorders>
          </w:tcPr>
          <w:p>
            <w:pPr>
              <w:jc w:val="left"/>
              <w:rPr>
                <w:rFonts w:eastAsia="Times New Roman"/>
                <w:noProof/>
              </w:rPr>
            </w:pPr>
            <w:r>
              <w:rPr>
                <w:rFonts w:eastAsia="Times New Roman"/>
                <w:noProof/>
              </w:rPr>
              <w:t>Bilag II</w:t>
            </w:r>
          </w:p>
        </w:tc>
        <w:tc>
          <w:tcPr>
            <w:tcW w:w="4674" w:type="dxa"/>
            <w:tcBorders>
              <w:top w:val="nil"/>
              <w:bottom w:val="nil"/>
              <w:right w:val="nil"/>
            </w:tcBorders>
          </w:tcPr>
          <w:p>
            <w:pPr>
              <w:jc w:val="left"/>
              <w:rPr>
                <w:rFonts w:eastAsia="Times New Roman"/>
                <w:noProof/>
              </w:rPr>
            </w:pPr>
            <w:r>
              <w:rPr>
                <w:rFonts w:eastAsia="Times New Roman"/>
                <w:noProof/>
              </w:rPr>
              <w:t>Bilag II</w:t>
            </w:r>
          </w:p>
        </w:tc>
      </w:tr>
      <w:tr>
        <w:tc>
          <w:tcPr>
            <w:tcW w:w="4674" w:type="dxa"/>
            <w:tcBorders>
              <w:top w:val="nil"/>
              <w:left w:val="nil"/>
              <w:bottom w:val="nil"/>
            </w:tcBorders>
          </w:tcPr>
          <w:p>
            <w:pPr>
              <w:jc w:val="left"/>
              <w:rPr>
                <w:rFonts w:eastAsia="Times New Roman"/>
                <w:noProof/>
              </w:rPr>
            </w:pPr>
            <w:r>
              <w:rPr>
                <w:rFonts w:eastAsia="Times New Roman"/>
                <w:noProof/>
              </w:rPr>
              <w:t>Bilag III</w:t>
            </w:r>
          </w:p>
        </w:tc>
        <w:tc>
          <w:tcPr>
            <w:tcW w:w="4674" w:type="dxa"/>
            <w:tcBorders>
              <w:top w:val="nil"/>
              <w:bottom w:val="nil"/>
              <w:right w:val="nil"/>
            </w:tcBorders>
          </w:tcPr>
          <w:p>
            <w:pPr>
              <w:jc w:val="left"/>
              <w:rPr>
                <w:rFonts w:eastAsia="Times New Roman"/>
                <w:noProof/>
              </w:rPr>
            </w:pPr>
            <w:r>
              <w:rPr>
                <w:rFonts w:eastAsia="Times New Roman"/>
                <w:noProof/>
              </w:rPr>
              <w:t>Bilag III</w:t>
            </w:r>
          </w:p>
        </w:tc>
      </w:tr>
      <w:tr>
        <w:tc>
          <w:tcPr>
            <w:tcW w:w="4674" w:type="dxa"/>
            <w:tcBorders>
              <w:top w:val="nil"/>
              <w:left w:val="nil"/>
              <w:bottom w:val="nil"/>
            </w:tcBorders>
          </w:tcPr>
          <w:p>
            <w:pPr>
              <w:jc w:val="left"/>
              <w:rPr>
                <w:rFonts w:eastAsia="Times New Roman"/>
                <w:noProof/>
              </w:rPr>
            </w:pPr>
            <w:r>
              <w:rPr>
                <w:rFonts w:eastAsia="Times New Roman"/>
                <w:noProof/>
              </w:rPr>
              <w:t>‒</w:t>
            </w:r>
          </w:p>
        </w:tc>
        <w:tc>
          <w:tcPr>
            <w:tcW w:w="4674" w:type="dxa"/>
            <w:tcBorders>
              <w:top w:val="nil"/>
              <w:bottom w:val="nil"/>
              <w:right w:val="nil"/>
            </w:tcBorders>
          </w:tcPr>
          <w:p>
            <w:pPr>
              <w:jc w:val="left"/>
              <w:rPr>
                <w:rFonts w:eastAsia="Times New Roman"/>
                <w:noProof/>
              </w:rPr>
            </w:pPr>
            <w:r>
              <w:rPr>
                <w:rFonts w:eastAsia="Times New Roman"/>
                <w:noProof/>
              </w:rPr>
              <w:t>Bilag IV</w:t>
            </w:r>
          </w:p>
        </w:tc>
      </w:tr>
      <w:tr>
        <w:tc>
          <w:tcPr>
            <w:tcW w:w="4674" w:type="dxa"/>
            <w:tcBorders>
              <w:top w:val="nil"/>
              <w:left w:val="nil"/>
              <w:bottom w:val="nil"/>
            </w:tcBorders>
          </w:tcPr>
          <w:p>
            <w:pPr>
              <w:jc w:val="left"/>
              <w:rPr>
                <w:rFonts w:eastAsia="Times New Roman"/>
                <w:noProof/>
              </w:rPr>
            </w:pPr>
            <w:r>
              <w:rPr>
                <w:rFonts w:eastAsia="Times New Roman"/>
                <w:noProof/>
              </w:rPr>
              <w:t>‒</w:t>
            </w:r>
          </w:p>
        </w:tc>
        <w:tc>
          <w:tcPr>
            <w:tcW w:w="4674" w:type="dxa"/>
            <w:tcBorders>
              <w:top w:val="nil"/>
              <w:bottom w:val="nil"/>
              <w:right w:val="nil"/>
            </w:tcBorders>
          </w:tcPr>
          <w:p>
            <w:pPr>
              <w:jc w:val="left"/>
              <w:rPr>
                <w:rFonts w:eastAsia="Times New Roman"/>
                <w:noProof/>
              </w:rPr>
            </w:pPr>
            <w:r>
              <w:rPr>
                <w:rFonts w:eastAsia="Times New Roman"/>
                <w:noProof/>
              </w:rPr>
              <w:t>Bilag V</w:t>
            </w:r>
          </w:p>
        </w:tc>
      </w:tr>
    </w:tbl>
    <w:p>
      <w:pPr>
        <w:jc w:val="center"/>
        <w:rPr>
          <w:noProof/>
        </w:rPr>
      </w:pPr>
      <w:r>
        <w:rPr>
          <w:rFonts w:eastAsia="Times New Roman"/>
          <w:noProof/>
          <w:szCs w:val="20"/>
        </w:rPr>
        <w:t>_____________</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lang w:val="en-US"/>
        </w:rPr>
        <w:footnoteRef/>
      </w:r>
      <w:r>
        <w:tab/>
        <w:t>Europa-Parlamentets og Rådets henstilling af 23. april 2008 om etablering af den europæiske referenceramme for kvalifikationer for livslang læring (EUT C 111 af 6.5.2008, s. 1).</w:t>
      </w:r>
    </w:p>
  </w:footnote>
  <w:footnote w:id="2">
    <w:p>
      <w:pPr>
        <w:pStyle w:val="FootnoteText"/>
      </w:pPr>
      <w:r>
        <w:rPr>
          <w:rStyle w:val="FootnoteReference"/>
          <w:lang w:val="en-US"/>
        </w:rPr>
        <w:footnoteRef/>
      </w:r>
      <w:r>
        <w:tab/>
        <w:t>Europa-Parlamentets og Rådets forordning (EF) nr. 561/2006 af 15. marts 2006 om harmonisering af visse sociale bestemmelser inden for vejtransport og om ændring af Rådets forordning (EØF) nr. 3821/85 og (EF) nr. 2135/98 samt ophævelse af Rådets forordning (EØF) nr. 3820/85 (EUT L 102 af 11.4.2006, s. 1).</w:t>
      </w:r>
    </w:p>
  </w:footnote>
  <w:footnote w:id="3">
    <w:p>
      <w:pPr>
        <w:pStyle w:val="FootnoteText"/>
      </w:pPr>
      <w:r>
        <w:rPr>
          <w:rStyle w:val="FootnoteReference"/>
          <w:lang w:val="en-US"/>
        </w:rPr>
        <w:footnoteRef/>
      </w:r>
      <w:r>
        <w:tab/>
        <w:t>Europa-Parlamentets og Rådets forordning (EU) nr. 165/2014 af 4. februar 2014 om takografer inden for vejtransport, om ophævelse af Rådets forordning (EØF) nr. 3821/85 om kontrolapparatet inden for vejtransport og om ændring af Europa-Parlamentets og Rådets forordning (EF) nr. 561/2006 om harmonisering af visse sociale bestemmelser inden for vejtransport (EUT L 60 af 28.2.2014, s. 1).</w:t>
      </w:r>
    </w:p>
  </w:footnote>
  <w:footnote w:id="4">
    <w:p>
      <w:pPr>
        <w:pStyle w:val="FootnoteText"/>
      </w:pPr>
      <w:r>
        <w:rPr>
          <w:rStyle w:val="FootnoteReference"/>
          <w:lang w:val="en-US"/>
        </w:rPr>
        <w:footnoteRef/>
      </w:r>
      <w:r>
        <w:tab/>
        <w:t>Europa-Parlamentets og Rådets direktiv 2008/68/EF af 24. september 2008 om indlandstransport af farligt gods (EUT L 260 af 30.9.2008, s. 13).</w:t>
      </w:r>
    </w:p>
  </w:footnote>
  <w:footnote w:id="5">
    <w:p>
      <w:pPr>
        <w:pStyle w:val="FootnoteText"/>
      </w:pPr>
      <w:r>
        <w:rPr>
          <w:rStyle w:val="FootnoteReference"/>
          <w:lang w:val="en-US"/>
        </w:rPr>
        <w:footnoteRef/>
      </w:r>
      <w:r>
        <w:tab/>
        <w:t>Europa-Parlamentets og Rådets forordning (EU) nr. 181/2011 af 16. februar 2011 om buspassagerers rettigheder og om ændring af forordning (EF) nr. 2006/2004 (EUT L 55 af 28.2.2011, s. 1).</w:t>
      </w:r>
    </w:p>
  </w:footnote>
  <w:footnote w:id="6">
    <w:p>
      <w:pPr>
        <w:pStyle w:val="FootnoteText"/>
      </w:pPr>
      <w:r>
        <w:rPr>
          <w:rStyle w:val="FootnoteReference"/>
          <w:lang w:val="en-US"/>
        </w:rPr>
        <w:footnoteRef/>
      </w:r>
      <w:r>
        <w:tab/>
        <w:t>Rådets forordning (EF) nr. 1/2005 af 22. december 2004 om beskyttelse af dyr under transport og dermed forbundne aktiviteter og om ændring af direktiv 64/432/EØF og 93/119/EF og forordning (EF) nr. 1255/97 (EUT L 3 af 5.1.2005,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6D01B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C72823E"/>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547EC4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29AC28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350AB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8D0BEE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D8035D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22B85E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BA5626B"/>
    <w:multiLevelType w:val="hybridMultilevel"/>
    <w:tmpl w:val="954294A8"/>
    <w:lvl w:ilvl="0" w:tplc="59F81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
  </w:num>
  <w:num w:numId="3">
    <w:abstractNumId w:val="7"/>
  </w:num>
  <w:num w:numId="4">
    <w:abstractNumId w:val="5"/>
  </w:num>
  <w:num w:numId="5">
    <w:abstractNumId w:val="4"/>
  </w:num>
  <w:num w:numId="6">
    <w:abstractNumId w:val="3"/>
  </w:num>
  <w:num w:numId="7">
    <w:abstractNumId w:val="21"/>
    <w:lvlOverride w:ilvl="0">
      <w:startOverride w:val="1"/>
    </w:lvlOverride>
  </w:num>
  <w:num w:numId="8">
    <w:abstractNumId w:val="2"/>
  </w:num>
  <w:num w:numId="9">
    <w:abstractNumId w:val="0"/>
  </w:num>
  <w:num w:numId="10">
    <w:abstractNumId w:val="19"/>
  </w:num>
  <w:num w:numId="11">
    <w:abstractNumId w:val="13"/>
  </w:num>
  <w:num w:numId="12">
    <w:abstractNumId w:val="21"/>
  </w:num>
  <w:num w:numId="13">
    <w:abstractNumId w:val="11"/>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3"/>
  </w:num>
  <w:num w:numId="26">
    <w:abstractNumId w:val="21"/>
  </w:num>
  <w:num w:numId="27">
    <w:abstractNumId w:val="11"/>
  </w:num>
  <w:num w:numId="28">
    <w:abstractNumId w:val="14"/>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21 14:55:2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il"/>
    <w:docVar w:name="LW_ACCOMPAGNANT.CP" w:val="til"/>
    <w:docVar w:name="LW_ANNEX_NBR_FIRST" w:val="1"/>
    <w:docVar w:name="LW_ANNEX_NBR_LAST" w:val="5"/>
    <w:docVar w:name="LW_ANNEX_UNIQUE" w:val="0"/>
    <w:docVar w:name="LW_CORRIGENDUM" w:val="&lt;UNUSED&gt;"/>
    <w:docVar w:name="LW_COVERPAGE_EXISTS" w:val="True"/>
    <w:docVar w:name="LW_COVERPAGE_GUID" w:val="8B27E6EF-CD3C-4F24-81B5-5EF703D2EC19"/>
    <w:docVar w:name="LW_COVERPAGE_TYPE" w:val="1"/>
    <w:docVar w:name="LW_CROSSREFERENCE" w:val="&lt;UNUSED&gt;"/>
    <w:docVar w:name="LW_DocType" w:val="ANNEX"/>
    <w:docVar w:name="LW_EMISSION" w:val="1.2.2021"/>
    <w:docVar w:name="LW_EMISSION_ISODATE" w:val="2021-02-01"/>
    <w:docVar w:name="LW_EMISSION_LOCATION" w:val="BRX"/>
    <w:docVar w:name="LW_EMISSION_PREFIX" w:val="Bruxelles, den "/>
    <w:docVar w:name="LW_EMISSION_SUFFIX" w:val=" "/>
    <w:docVar w:name="LW_ID_DOCSTRUCTURE" w:val="COM/ANNEX"/>
    <w:docVar w:name="LW_ID_DOCTYPE" w:val="SG-017"/>
    <w:docVar w:name="LW_LANGUE" w:val="DA"/>
    <w:docVar w:name="LW_LEVEL_OF_SENSITIVITY" w:val="Standard treatment"/>
    <w:docVar w:name="LW_NOM.INST" w:val="EUROPA-KOMMISSIONEN"/>
    <w:docVar w:name="LW_NOM.INST_JOINTDOC" w:val="&lt;EMPTY&gt;"/>
    <w:docVar w:name="LW_OBJETACTEPRINCIPAL" w:val="om grundlæggende kvalifikationskrav og efteruddannelseskrav for førere af visse køretøjer, der benyttes til godstransport eller personbefordring ad vej (kodifikation)"/>
    <w:docVar w:name="LW_OBJETACTEPRINCIPAL.CP" w:val="om grundlæggende kvalifikationskrav og efteruddannelseskrav for førere af visse køretøjer, der benyttes til godstransport eller personbefordring ad vej (kodifikation)"/>
    <w:docVar w:name="LW_PART_NBR" w:val="&lt;UNUSED&gt;"/>
    <w:docVar w:name="LW_PART_NBR_TOTAL" w:val="&lt;UNUSED&gt;"/>
    <w:docVar w:name="LW_REF.INST.NEW" w:val="COM"/>
    <w:docVar w:name="LW_REF.INST.NEW_ADOPTED" w:val="final"/>
    <w:docVar w:name="LW_REF.INST.NEW_TEXT" w:val="(2021) 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
    <w:docVar w:name="LW_TYPE.DOC.CP" w:val="BILAG"/>
    <w:docVar w:name="LW_TYPEACTEPRINCIPAL" w:val="Forslag til_x000b__x000b_EUROPA-PARLAMENTETS OG RÅDETS DIREKTIV "/>
    <w:docVar w:name="LW_TYPEACTEPRINCIPAL.CP" w:val="Forslag til_x000b__x000b_EUROPA-PARLAMENTETS OG RÅDETS DIREKTIV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Titreobjet">
    <w:name w:val="Titre objet"/>
    <w:basedOn w:val="Normal"/>
    <w:next w:val="Normal"/>
    <w:uiPriority w:val="99"/>
    <w:pPr>
      <w:autoSpaceDE w:val="0"/>
      <w:autoSpaceDN w:val="0"/>
      <w:spacing w:before="360" w:after="360"/>
      <w:jc w:val="center"/>
    </w:pPr>
    <w:rPr>
      <w:rFonts w:eastAsiaTheme="minorEastAsia"/>
      <w:b/>
      <w:bCs/>
      <w:szCs w:val="24"/>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val="fr-FR" w:eastAsia="da-DK"/>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character" w:customStyle="1" w:styleId="CRDeleted">
    <w:name w:val="CR Deleted"/>
    <w:basedOn w:val="DefaultParagraphFont"/>
    <w:rPr>
      <w:strike w:val="0"/>
      <w:dstrik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2"/>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Titreobjet">
    <w:name w:val="Titre objet"/>
    <w:basedOn w:val="Normal"/>
    <w:next w:val="Normal"/>
    <w:uiPriority w:val="99"/>
    <w:pPr>
      <w:autoSpaceDE w:val="0"/>
      <w:autoSpaceDN w:val="0"/>
      <w:spacing w:before="360" w:after="360"/>
      <w:jc w:val="center"/>
    </w:pPr>
    <w:rPr>
      <w:rFonts w:eastAsiaTheme="minorEastAsia"/>
      <w:b/>
      <w:bCs/>
      <w:szCs w:val="24"/>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val="fr-FR" w:eastAsia="da-DK"/>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character" w:customStyle="1" w:styleId="CRDeleted">
    <w:name w:val="CR Deleted"/>
    <w:basedOn w:val="DefaultParagraphFont"/>
    <w:rPr>
      <w:strike w:val="0"/>
      <w:dstrik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2"/>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E906-8E74-4E2B-92F8-B2BD99E4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21</Pages>
  <Words>4286</Words>
  <Characters>25461</Characters>
  <Application>Microsoft Office Word</Application>
  <DocSecurity>0</DocSecurity>
  <Lines>748</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LINDER-RANTA Madeleine (SJ)</dc:creator>
  <cp:keywords/>
  <dc:description/>
  <cp:lastModifiedBy>WES PDFC Administrator</cp:lastModifiedBy>
  <cp:revision>9</cp:revision>
  <dcterms:created xsi:type="dcterms:W3CDTF">2020-12-07T07:30:00Z</dcterms:created>
  <dcterms:modified xsi:type="dcterms:W3CDTF">2021-01-21T13:55:00Z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LWCR IsRefonte">
    <vt:lpwstr>False</vt:lpwstr>
  </property>
  <property fmtid="{D5CDD505-2E9C-101B-9397-08002B2CF9AE}" pid="14" name="DQCStatus">
    <vt:lpwstr>Green (DQC version 03)</vt:lpwstr>
  </property>
</Properties>
</file>