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9223FD3C-E7BD-4233-95D0-78AC97BC7020" style="width:450.75pt;height:409.5pt">
            <v:imagedata r:id="rId13" o:title=""/>
          </v:shape>
        </w:pict>
      </w:r>
    </w:p>
    <w:p>
      <w:pPr>
        <w:rPr>
          <w:noProof/>
        </w:rPr>
        <w:sectPr>
          <w:footerReference w:type="defaul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ΑΙΤΙΟΛΟΓΙΚΗ ΕΚΘΕΣΗ</w:t>
      </w:r>
    </w:p>
    <w:p>
      <w:pPr>
        <w:pStyle w:val="ManualHeading1"/>
        <w:rPr>
          <w:noProof/>
        </w:rPr>
      </w:pPr>
      <w:r>
        <w:rPr>
          <w:noProof/>
        </w:rPr>
        <w:t>1.</w:t>
      </w:r>
      <w:r>
        <w:rPr>
          <w:noProof/>
        </w:rPr>
        <w:tab/>
        <w:t>ΠΛΑΙΣΙΟ ΤΗΣ ΠΡΟΤΑΣΗΣ</w:t>
      </w:r>
    </w:p>
    <w:p>
      <w:pPr>
        <w:pStyle w:val="ManualHeading2"/>
        <w:rPr>
          <w:noProof/>
        </w:rPr>
      </w:pPr>
      <w:r>
        <w:rPr>
          <w:noProof/>
          <w:bdr w:val="nil"/>
        </w:rPr>
        <w:t>•</w:t>
      </w:r>
      <w:r>
        <w:rPr>
          <w:noProof/>
        </w:rPr>
        <w:tab/>
        <w:t>Αιτιολόγηση και στόχοι της πρότασης</w:t>
      </w:r>
    </w:p>
    <w:p>
      <w:pPr>
        <w:pBdr>
          <w:top w:val="nil"/>
          <w:left w:val="nil"/>
          <w:bottom w:val="nil"/>
          <w:right w:val="nil"/>
          <w:between w:val="nil"/>
          <w:bar w:val="nil"/>
        </w:pBdr>
        <w:spacing w:before="0" w:after="240"/>
        <w:rPr>
          <w:rFonts w:eastAsia="Arial Unicode MS"/>
          <w:noProof/>
        </w:rPr>
      </w:pPr>
      <w:r>
        <w:rPr>
          <w:noProof/>
        </w:rPr>
        <w:t>Από την έκδοση της οδηγίας 2000/31/ΕΚ</w:t>
      </w:r>
      <w:r>
        <w:rPr>
          <w:rStyle w:val="FootnoteReference"/>
          <w:noProof/>
        </w:rPr>
        <w:footnoteReference w:id="2"/>
      </w:r>
      <w:r>
        <w:rPr>
          <w:noProof/>
        </w:rPr>
        <w:t xml:space="preserve"> (στο εξής: οδηγία για το ηλεκτρονικό εμπόριο) έχουν εμφανιστεί νέες και καινοτόμες (ψηφιακές) υπηρεσίες της κοινωνίας των πληροφοριών, οι οποίες μεταβάλλουν την καθημερινότητα των πολιτών της Ένωσης και διαμορφώνουν και μετασχηματίζουν τον τρόπο με τον οποίο οι πολίτες επικοινωνούν, συνδέονται, καταναλώνουν και ασκούν επιχειρηματικές δραστηριότητες. Οι υπηρεσίες αυτές έχουν συμβάλει σε μεγάλο βαθμό στους κοινωνικούς και οικονομικούς μετασχηματισμούς στην Ένωση και σε ολόκληρο τον κόσμο. Ταυτόχρονα, η χρήση αυτών των υπηρεσιών έχει γίνει επίσης πηγή νέων κινδύνων και προκλήσεων, τόσο για την κοινωνία στο σύνολό της όσο και για τα άτομα που τις χρησιμοποιούν. Οι ψηφιακές υπηρεσίες μπορούν να υποστηρίξουν την επίτευξη των στόχων βιώσιμης ανάπτυξης συμβάλλοντας στην οικονομική, κοινωνική και περιβαλλοντική βιωσιμότητα. Η κρίση του κορονοϊού κατέδειξε τη σημασία των ψηφιακών τεχνολογιών σε όλες τις πτυχές της σύγχρονης ζωής. Κατέδειξε σαφώς την εξάρτηση της οικονομίας και της κοινωνίας μας από τις ψηφιακές υπηρεσίες και ανέδειξε τόσο τα οφέλη όσο και τους κινδύνους που απορρέουν από το ισχύον πλαίσιο για τη λειτουργία των ψηφιακών υπηρεσιών.</w:t>
      </w:r>
    </w:p>
    <w:p>
      <w:pPr>
        <w:pBdr>
          <w:top w:val="nil"/>
          <w:left w:val="nil"/>
          <w:bottom w:val="nil"/>
          <w:right w:val="nil"/>
          <w:between w:val="nil"/>
          <w:bar w:val="nil"/>
        </w:pBdr>
        <w:spacing w:before="0" w:after="240"/>
        <w:rPr>
          <w:rFonts w:eastAsia="Arial Unicode MS"/>
          <w:noProof/>
        </w:rPr>
      </w:pPr>
      <w:r>
        <w:rPr>
          <w:noProof/>
        </w:rPr>
        <w:t>Στην ανακοίνωση με τίτλο «Διαμόρφωση του ψηφιακού μέλλοντος της Ευρώπης»</w:t>
      </w:r>
      <w:r>
        <w:rPr>
          <w:rStyle w:val="FootnoteReference"/>
          <w:noProof/>
        </w:rPr>
        <w:footnoteReference w:id="3"/>
      </w:r>
      <w:r>
        <w:rPr>
          <w:noProof/>
        </w:rPr>
        <w:t xml:space="preserve">, η Επιτροπή δεσμεύτηκε να επικαιροποιήσει τους οριζόντιους κανόνες που καθορίζουν τις ευθύνες και τις υποχρεώσεις των παρόχων ψηφιακών υπηρεσιών, και ιδίως των επιγραμμικών πλατφορμών. </w:t>
      </w:r>
    </w:p>
    <w:p>
      <w:pPr>
        <w:spacing w:after="240"/>
        <w:rPr>
          <w:noProof/>
        </w:rPr>
      </w:pPr>
      <w:r>
        <w:rPr>
          <w:noProof/>
        </w:rPr>
        <w:t>Στο πλαίσιο αυτό, η Επιτροπή έλαβε υπόψη τα ζητήματα που προσδιορίζονται στις εκθέσεις πρωτοβουλίας του Ευρωπαϊκού Κοινοβουλίου και ανέλυσε τις προτάσεις που περιέχονται σε αυτές. Το Ευρωπαϊκό Κοινοβούλιο ενέκρινε δύο ψηφίσματα βάσει του άρθρου 225 της Συνθήκης για τη λειτουργία της Ευρωπαϊκής Ένωσης (ΣΛΕΕ) —«Νόμος για τις ψηφιακές υπηρεσίες: βελτίωση της λειτουργίας της ενιαίας αγοράς»</w:t>
      </w:r>
      <w:r>
        <w:rPr>
          <w:rStyle w:val="FootnoteReference"/>
          <w:noProof/>
        </w:rPr>
        <w:footnoteReference w:id="4"/>
      </w:r>
      <w:r>
        <w:rPr>
          <w:noProof/>
        </w:rPr>
        <w:t xml:space="preserve"> και «Νόμος για τις ψηφιακές υπηρεσίες: προσαρμογή των κανόνων εμπορικού και αστικού δικαίου για τις εμπορικές οντότητες που δραστηριοποιούνται στο διαδίκτυο»</w:t>
      </w:r>
      <w:r>
        <w:rPr>
          <w:rStyle w:val="FootnoteReference"/>
          <w:noProof/>
        </w:rPr>
        <w:footnoteReference w:id="5"/>
      </w:r>
      <w:r>
        <w:rPr>
          <w:noProof/>
        </w:rPr>
        <w:t>. Το Ευρωπαϊκό Κοινοβούλιο ενέκρινε επίσης ψήφισμα στο πλαίσιο της μη νομοθετικής διαδικασίας —«Νόμος για τις ψηφιακές υπηρεσίες και τα σχετικά με τα θεμελιώδη δικαιώματα ζητήματα»</w:t>
      </w:r>
      <w:r>
        <w:rPr>
          <w:rStyle w:val="FootnoteReference"/>
          <w:noProof/>
        </w:rPr>
        <w:footnoteReference w:id="6"/>
      </w:r>
      <w:r>
        <w:rPr>
          <w:noProof/>
        </w:rPr>
        <w:t xml:space="preserve">. Κατ’ ουσίαν, τα ψηφίσματα αλληλοσυμπληρώνονται από πολλές απόψεις. Περιλαμβάνουν ηχηρή έκκληση για διατήρηση των βασικών αρχών της οδηγίας για το ηλεκτρονικό εμπόριο και για προστασία των θεμελιωδών δικαιωμάτων στο επιγραμμικό περιβάλλον, καθώς και της επιγραμμικής ανωνυμίας όπου αυτό είναι τεχνικά εφικτό. Στα εν λόγω ψηφίσματα διατυπώνεται έκκληση </w:t>
      </w:r>
      <w:r>
        <w:rPr>
          <w:noProof/>
        </w:rPr>
        <w:lastRenderedPageBreak/>
        <w:t xml:space="preserve">για διαφάνεια και επιβολή υποχρεώσεων παροχής πληροφοριών και λογοδοσίας στους παρόχους ψηφιακών υπηρεσιών, και υποστηρίζεται η θέσπιση αποτελεσματικών υποχρεώσεων για την αντιμετώπιση του παράνομου περιεχομένου στο διαδίκτυο. Υποστηρίζεται επίσης η δημόσια εποπτεία σε ενωσιακό και εθνικό επίπεδο, καθώς και η συνεργασία μεταξύ των αρμόδιων αρχών στις διάφορες δικαιοδοσίες όσον αφορά την επιβολή του νόμου, ιδίως στο πλαίσιο της αντιμετώπισης διασυνοριακών ζητημάτων. </w:t>
      </w:r>
    </w:p>
    <w:p>
      <w:pPr>
        <w:spacing w:after="240"/>
        <w:rPr>
          <w:noProof/>
        </w:rPr>
      </w:pPr>
      <w:r>
        <w:rPr>
          <w:noProof/>
        </w:rPr>
        <w:t xml:space="preserve">Στο ψήφισμα με τίτλο «Νόμος για τις ψηφιακές υπηρεσίες: βελτίωση της λειτουργίας της ενιαίας αγοράς» διατυπώνεται έκκληση για μια φιλόδοξη μεταρρύθμιση του υφιστάμενου νομικού πλαισίου της ΕΕ για το ηλεκτρονικό εμπόριο, με παράλληλη διατήρηση των βασικών αρχών του οικείου καθεστώτος ευθύνης, της απαγόρευσης του γενικού ελέγχου και της ρήτρας για την εσωτερική αγορά, αρχές οι οποίες θεωρείται ότι εξακολουθούν να ισχύουν σήμερα. Με το ψήφισμα, το οποίο επιβεβαιώνει τους στόχους της οδηγίας για το ηλεκτρονικό εμπόριο, ζητείται η λήψη μέτρων που επικεντρώνονται στην προστασία των καταναλωτών, με τη συμπερίληψη λεπτομερούς τμήματος για τις επιγραμμικές αγορές, και διασφαλίζουν την εμπιστοσύνη των καταναλωτών στην ψηφιακή οικονομία, με παράλληλο σεβασμό των θεμελιωδών δικαιωμάτων των χρηστών. Το ψήφισμα τάσσεται επίσης υπέρ της θέσπισης κανόνων για τη ρύθμιση ενός ανταγωνιστικού ψηφιακού περιβάλλοντος στην Ευρώπη και προσδοκά ότι η πράξη για τις ψηφιακές υπηρεσίες θα αποτελέσει πρότυπο σε παγκόσμιο επίπεδο.  </w:t>
      </w:r>
    </w:p>
    <w:p>
      <w:pPr>
        <w:spacing w:after="240"/>
        <w:rPr>
          <w:noProof/>
        </w:rPr>
      </w:pPr>
      <w:r>
        <w:rPr>
          <w:noProof/>
        </w:rPr>
        <w:t>Στο ψήφισμα με τίτλο «Νόμος για τις ψηφιακές υπηρεσίες: προσαρμογή των κανόνων εμπορικού και αστικού δικαίου για τις εμπορικές οντότητες που δραστηριοποιούνται στο διαδίκτυο» διατυπώνεται έκκληση για περισσότερη δικαιοσύνη, διαφάνεια και λογοδοσία για τις διαδικασίες ελέγχου περιεχομένου των ψηφιακών υπηρεσιών, με παράλληλη διασφάλιση του σεβασμού των θεμελιωδών δικαιωμάτων και της ανεξάρτητης δικαστικής προσφυγής. Το ψήφισμα περιλαμβάνει επίσης αίτημα για τη δημιουργία λεπτομερούς μηχανισμού «ειδοποίησης και δράσης» με σκοπό την αντιμετώπιση του παράνομου περιεχομένου, καθώς και αίτημα για τη θέσπιση ολοκληρωμένων κανόνων σχετικά με την επιγραμμική διαφήμιση, συμπεριλαμβανομένης της στοχευμένης διαφήμισης, και για την ανάπτυξη και χρήση έξυπνων συμβάσεων.</w:t>
      </w:r>
    </w:p>
    <w:p>
      <w:pPr>
        <w:pBdr>
          <w:top w:val="nil"/>
          <w:left w:val="nil"/>
          <w:bottom w:val="nil"/>
          <w:right w:val="nil"/>
          <w:between w:val="nil"/>
          <w:bar w:val="nil"/>
        </w:pBdr>
        <w:spacing w:before="0" w:after="240"/>
        <w:rPr>
          <w:rFonts w:eastAsia="Arial Unicode MS"/>
          <w:noProof/>
        </w:rPr>
      </w:pPr>
      <w:r>
        <w:rPr>
          <w:noProof/>
        </w:rPr>
        <w:t>Στο μη νομοθετικό ψήφισμα με τίτλο «Νόμος για τις ψηφιακές υπηρεσίες και τα σχετικά με τα θεμελιώδη δικαιώματα ζητήματα» επισημαίνεται η ανάγκη για νομική σαφήνεια για τις πλατφόρμες και τους χρήστες, καθώς και για σεβασμό των θεμελιωδών δικαιωμάτων δεδομένης της ταχείας ανάπτυξης της τεχνολογίας. Ζητείται η θέσπιση εναρμονισμένων κανόνων για την αντιμετώπιση του παράνομου περιεχομένου στο διαδίκτυο, τις απαλλαγές από την ευθύνη και τον έλεγχο περιεχομένου. Το ψήφισμα περιλαμβάνει επίσης σαφείς ευθύνες υποβολής εκθέσεων και διαφάνειας για τις πλατφόρμες και τις αρχές. Επιπλέον, στα συμπεράσματα του Συμβουλίου</w:t>
      </w:r>
      <w:r>
        <w:rPr>
          <w:rStyle w:val="FootnoteReference"/>
          <w:noProof/>
        </w:rPr>
        <w:footnoteReference w:id="7"/>
      </w:r>
      <w:r>
        <w:rPr>
          <w:noProof/>
        </w:rPr>
        <w:t xml:space="preserve"> επικροτήθηκε η ανακοίνωση της Επιτροπής για μια πράξη για τις ψηφιακές υπηρεσίες, ενώ παράλληλα υπογραμμίστηκε η «ανάγκη θέσπισης σαφών και εναρμονισμένων εμπεριστατωμένων κανόνων σχετικά με τις ευθύνες και τη λογοδοσία για τις ψηφιακές υπηρεσίες οι οποίοι θα εγγυώνται στους διαδικτυακούς μεσάζοντες κατάλληλο επίπεδο ασφάλειας δικαίου» και τονίστηκε η «ανάγκη ενίσχυσης των ευρωπαϊκών ικανοτήτων και της συνεργασίας των εθνικών αρχών, διαφυλάσσοντας και ενδυναμώνοντας τις θεμελιώδεις αρχές της ενιαίας αγοράς και την ανάγκη ενίσχυσης της ασφάλειας των </w:t>
      </w:r>
      <w:r>
        <w:rPr>
          <w:noProof/>
        </w:rPr>
        <w:lastRenderedPageBreak/>
        <w:t>πολιτών και προστασίας των δικαιωμάτων τους στον ψηφιακό τομέα σε ολόκληρη την ενιαία αγορά». Αυτή η έκκληση για ανάληψη δράσης διατυπώθηκε εκ νέου στα συμπεράσματα του Συμβουλίου της 2ας Οκτωβρίου 2020</w:t>
      </w:r>
      <w:r>
        <w:rPr>
          <w:rStyle w:val="FootnoteReference"/>
          <w:noProof/>
        </w:rPr>
        <w:footnoteReference w:id="8"/>
      </w:r>
      <w:r>
        <w:rPr>
          <w:noProof/>
        </w:rPr>
        <w:t>.</w:t>
      </w:r>
    </w:p>
    <w:p>
      <w:pPr>
        <w:pBdr>
          <w:top w:val="nil"/>
          <w:left w:val="nil"/>
          <w:bottom w:val="nil"/>
          <w:right w:val="nil"/>
          <w:between w:val="nil"/>
          <w:bar w:val="nil"/>
        </w:pBdr>
        <w:spacing w:before="0" w:after="240"/>
        <w:rPr>
          <w:rFonts w:eastAsia="Arial Unicode MS"/>
          <w:noProof/>
        </w:rPr>
      </w:pPr>
      <w:r>
        <w:rPr>
          <w:noProof/>
        </w:rPr>
        <w:t xml:space="preserve">Με βάση τις βασικές αρχές της οδηγίας για το ηλεκτρονικό εμπόριο, οι οποίες εξακολουθούν να ισχύουν σήμερα, η παρούσα πρόταση επιδιώκει να διασφαλίσει βέλτιστες συνθήκες για την παροχή καινοτόμων ψηφιακών υπηρεσιών στην εσωτερική αγορά, να συμβάλει στην επιγραμμική ασφάλεια και την προστασία των θεμελιωδών δικαιωμάτων και να παράσχει μια στιβαρή και σταθερή δομή διακυβέρνησης για την αποτελεσματική επίβλεψη των παρόχων ενδιάμεσων υπηρεσιών. </w:t>
      </w:r>
    </w:p>
    <w:p>
      <w:pPr>
        <w:pBdr>
          <w:top w:val="nil"/>
          <w:left w:val="nil"/>
          <w:bottom w:val="nil"/>
          <w:right w:val="nil"/>
          <w:between w:val="nil"/>
          <w:bar w:val="nil"/>
        </w:pBdr>
        <w:spacing w:before="0" w:after="240"/>
        <w:rPr>
          <w:rFonts w:eastAsia="Arial Unicode MS"/>
          <w:noProof/>
        </w:rPr>
      </w:pPr>
      <w:r>
        <w:rPr>
          <w:noProof/>
        </w:rPr>
        <w:t>Η πρόταση καθορίζει σαφείς ευθύνες και υποχρέωση λογοδοσίας για τους παρόχους ενδιάμεσων υπηρεσιών, και ιδίως τις επιγραμμικές πλατφόρμες, όπως τα μέσα κοινωνικής δικτύωσης και οι αγορές. Με τον καθορισμό σαφών υποχρεώσεων δέουσας επιμέλειας για ορισμένες ενδιάμεσες υπηρεσίες, συμπεριλαμβανομένων των διαδικασιών ειδοποίησης και δράσης για παράνομο περιεχόμενο και της δυνατότητας αμφισβήτησης των αποφάσεων ελέγχου περιεχομένου των πλατφορμών, η πρόταση επιδιώκει να βελτιώσει, αφενός, την ασφάλεια των χρηστών στο διαδίκτυο σε ολόκληρη την Ένωση και, αφετέρου, την προστασία των θεμελιωδών δικαιωμάτων τους. Επιπλέον, με την επιβολή σε ορισμένες επιγραμμικές πλατφόρμες της υποχρέωσης λήψης, αποθήκευσης και εν μέρει επαλήθευσης και δημοσίευσης πληροφοριών σχετικά με εμπόρους που χρησιμοποιούν τις υπηρεσίες τους θα διασφαλιστεί ένα ασφαλέστερο και πιο διαφανές επιγραμμικό περιβάλλον για τους καταναλωτές. Αναγνωρίζοντας τον ιδιαίτερο αντίκτυπο των πολύ μεγάλων επιγραμμικών πλατφορμών στην οικονομία και την κοινωνία μας, η πρόταση θέτει υψηλότερα πρότυπα διαφάνειας και λογοδοσίας όσον αφορά τον τρόπο με τον οποίο οι πάροχοι αυτών των πλατφορμών ελέγχουν το περιεχόμενο, καθώς και για τη διαφήμιση και τις αλγοριθμικές διαδικασίες. Η πρόταση προβλέπει υποχρεώσεις για την αξιολόγηση των κινδύνων τους οποίους ενέχουν τα συστήματα των εν λόγω πλατφορμών, με σκοπό την ανάπτυξη κατάλληλων εργαλείων διαχείρισης κινδύνων για την προστασία της ακεραιότητας των υπηρεσιών τους έναντι της χρήσης τεχνικών χειραγώγησης. Το επιχειρησιακό κατώτατο όριο για τους παρόχους υπηρεσιών που εμπίπτουν στο πεδίο εφαρμογής αυτών των υποχρεώσεων περιλαμβάνει τις επιγραμμικές πλατφόρμες με σημαντική εμβέλεια στην Ένωση, η οποία εκτιμάται επί του παρόντος σε περισσότερους από 45 εκατομμύρια αποδέκτες της υπηρεσίας. Αυτό το κατώτατο όριο είναι αναλογικό προς τους κινδύνους τους οποίους συνεπάγεται η εμβέλεια των πλατφορμών στην Ένωση· όταν ο πληθυσμός της Ένωσης μεταβάλλεται κατά ορισμένο ποσοστό, η Επιτροπή θα προσαρμόζει τον αριθμό των αποδεκτών που λαμβάνονται υπόψη για το κατώτατο όριο, ώστε ο αριθμός αυτός να αντιστοιχεί διαρκώς στο 10 % του πληθυσμού της Ένωσης. Επιπλέον, η πράξη για τις ψηφιακές υπηρεσίες θα καθορίσει έναν συρρυθμιστικό μηχανισμό ασφάλειας, μεταξύ άλλων με βάση υφιστάμενες εθελοντικές πρωτοβουλίες.</w:t>
      </w:r>
    </w:p>
    <w:p>
      <w:pPr>
        <w:pBdr>
          <w:top w:val="nil"/>
          <w:left w:val="nil"/>
          <w:bottom w:val="nil"/>
          <w:right w:val="nil"/>
          <w:between w:val="nil"/>
          <w:bar w:val="nil"/>
        </w:pBdr>
        <w:spacing w:before="0" w:after="240"/>
        <w:rPr>
          <w:rFonts w:eastAsia="Arial Unicode MS"/>
          <w:noProof/>
        </w:rPr>
      </w:pPr>
      <w:r>
        <w:rPr>
          <w:noProof/>
        </w:rPr>
        <w:t xml:space="preserve">Η πρόταση διατηρεί τους κανόνες για την ευθύνη των παρόχων ενδιάμεσων υπηρεσιών που ορίζονται στην οδηγία για το ηλεκτρονικό εμπόριο —οι οποίοι αποτελούν πλέον θεμέλιο της ψηφιακής οικονομίας και έχουν καθοριστική σημασία για την προστασία των θεμελιωδών δικαιωμάτων στο διαδίκτυο. Οι εν λόγω κανόνες έχουν ερμηνευθεί από το Δικαστήριο της Ευρωπαϊκής Ένωσης, το οποίο έχει παράσχει πολύτιμες διευκρινίσεις και καθοδήγηση. Ωστόσο, προκειμένου να διασφαλιστεί αποτελεσματική εναρμόνιση σε ολόκληρη την Ένωση και να αποφευχθεί ο νομικός κατακερματισμός, οι κανόνες αυτοί πρέπει να συμπεριληφθούν </w:t>
      </w:r>
      <w:r>
        <w:rPr>
          <w:noProof/>
        </w:rPr>
        <w:lastRenderedPageBreak/>
        <w:t xml:space="preserve">σε κανονισμό. Είναι επίσης σκόπιμο να διευκρινιστούν ορισμένες πτυχές αυτών των κανόνων προκειμένου να εξαλειφθούν τα υφιστάμενα αντικίνητρα για τη διενέργεια εθελοντικών ερευνών από τους παρόχους ενδιάμεσων υπηρεσιών με σκοπό τη διασφάλιση της ασφάλειας των χρηστών τους, καθώς και να διευκρινιστεί ο ρόλος τους από τη σκοπιά των καταναλωτών σε ορισμένες περιπτώσεις. Οι διευκρινίσεις αυτές αναμένεται να βοηθήσουν τους μικρότερους, καινοτόμους παρόχους να επεκταθούν και να αναπτυχθούν, επωφελούμενοι από μεγαλύτερη ασφάλεια δικαίου. </w:t>
      </w:r>
    </w:p>
    <w:p>
      <w:pPr>
        <w:pBdr>
          <w:top w:val="nil"/>
          <w:left w:val="nil"/>
          <w:bottom w:val="nil"/>
          <w:right w:val="nil"/>
          <w:between w:val="nil"/>
          <w:bar w:val="nil"/>
        </w:pBdr>
        <w:spacing w:before="0" w:after="240"/>
        <w:rPr>
          <w:rFonts w:eastAsia="Arial Unicode MS"/>
          <w:noProof/>
        </w:rPr>
      </w:pPr>
      <w:r>
        <w:rPr>
          <w:noProof/>
        </w:rPr>
        <w:t xml:space="preserve">Για μια βαθύτερη ενιαία αγορά χωρίς σύνορα για τις ψηφιακές υπηρεσίες απαιτείται ενισχυμένη συνεργασία μεταξύ των κρατών μελών ώστε να διασφαλιστεί αποτελεσματική εποπτεία και επιβολή των νέων κανόνων που προβλέπονται στον προτεινόμενο κανονισμό. Η πρόταση προβλέπει σαφείς ευθύνες για το κράτος μέλος που επιβλέπει τη συμμόρφωση των παρόχων υπηρεσιών που είναι εγκατεστημένοι στο έδαφός του με τις υποχρεώσεις που καθορίζονται στον προτεινόμενο κανονισμό. Με τον τρόπο αυτόν διασφαλίζεται η ταχύτερη και πλέον αποτελεσματική επιβολή των κανόνων και προστατεύονται οι πολίτες της ΕΕ. Σκοπός είναι η θέσπιση απλών και σαφών διαδικασιών για την παροχή βοήθειας τόσο στους πολίτες όσο και στους παρόχους υπηρεσιών στο πλαίσιο των αλληλεπιδράσεών τους με τις αρχές επίβλεψης. Όταν προκύπτουν συστημικοί κίνδυνοι σε ολόκληρη την Ένωση, ο προτεινόμενος κανονισμός προβλέπει επίβλεψη και επιβολή σε ενωσιακό επίπεδο. </w:t>
      </w:r>
    </w:p>
    <w:p>
      <w:pPr>
        <w:pStyle w:val="ManualHeading2"/>
        <w:rPr>
          <w:noProof/>
        </w:rPr>
      </w:pPr>
      <w:r>
        <w:rPr>
          <w:noProof/>
          <w:bdr w:val="nil"/>
        </w:rPr>
        <w:t>•</w:t>
      </w:r>
      <w:r>
        <w:rPr>
          <w:noProof/>
        </w:rPr>
        <w:tab/>
        <w:t xml:space="preserve">Συνέπεια με τις ισχύουσες διατάξεις στον τομέα πολιτικής </w:t>
      </w:r>
    </w:p>
    <w:p>
      <w:pPr>
        <w:pBdr>
          <w:top w:val="nil"/>
          <w:left w:val="nil"/>
          <w:bottom w:val="nil"/>
          <w:right w:val="nil"/>
          <w:between w:val="nil"/>
          <w:bar w:val="nil"/>
        </w:pBdr>
        <w:spacing w:before="0" w:after="240"/>
        <w:rPr>
          <w:noProof/>
        </w:rPr>
      </w:pPr>
      <w:r>
        <w:rPr>
          <w:noProof/>
        </w:rPr>
        <w:t>Το ισχύον νομικό πλαίσιο της ΕΕ για τη ρύθμιση των ψηφιακών υπηρεσιών βασίζεται, καταρχάς, στην οδηγία για το ηλεκτρονικό εμπόριο. Ο παρών προτεινόμενος κανονισμός δεν θίγει την οδηγία για το ηλεκτρονικό εμπόριο και βασίζεται στις διατάξεις αυτής, κυρίως στην αρχή της εσωτερικής αγοράς που προβλέπεται στο άρθρο 3. Ο προτεινόμενος κανονισμός προβλέπει έναν μηχανισμό συνεργασίας και συντονισμού για την επίβλεψη των υποχρεώσεων τις οποίες επιβάλλει. Όσον αφορά το οριζόντιο πλαίσιο της απαλλαγής των παρόχων ενδιάμεσων υπηρεσιών από την ευθύνη, ο παρών κανονισμός απαλείφει τα άρθρα 12-15 της οδηγίας για το ηλεκτρονικό εμπόριο και τα αναπαράγει στον κανονισμό, διατηρώντας τις απαλλαγές των εν λόγω παρόχων από την ευθύνη, όπως έχουν ερμηνευθεί από το Δικαστήριο της Ευρωπαϊκής Ένωσης.</w:t>
      </w:r>
    </w:p>
    <w:p>
      <w:pPr>
        <w:rPr>
          <w:noProof/>
          <w:sz w:val="22"/>
        </w:rPr>
      </w:pPr>
      <w:r>
        <w:rPr>
          <w:noProof/>
        </w:rPr>
        <w:t>Ανάλογα με το νομικό σύστημα κάθε κράτους μέλους και τον επίμαχο τομέα του δικαίου, οι εθνικές δικαστικές ή διοικητικές αρχές μπορούν να διατάσσουν παρόχους ενδιάμεσων υπηρεσιών να λάβουν μέτρα κατά συγκεκριμένων στοιχείων παράνομου περιεχομένου. Οι εντολές αυτές, ιδίως όταν απαιτούν από τον πάροχο να αποτρέψει την επανεμφάνιση παράνομου περιεχομένου, πρέπει να εκδίδονται σύμφωνα με το ενωσιακό δίκαιο, ειδικότερα σύμφωνα με την απαγόρευση των γενικών υποχρεώσεων ελέγχου, όπως έχει ερμηνευθεί από το Δικαστήριο της Ευρωπαϊκής Ένωσης</w:t>
      </w:r>
      <w:r>
        <w:rPr>
          <w:rStyle w:val="FootnoteReference"/>
          <w:noProof/>
        </w:rPr>
        <w:footnoteReference w:id="9"/>
      </w:r>
      <w:r>
        <w:rPr>
          <w:noProof/>
        </w:rPr>
        <w:t xml:space="preserve">. Η παρούσα πρόταση, ειδικότερα το άρθρο 8, δεν θίγει αυτή τη νομολογία. Η παρούσα πρόταση θα πρέπει να αποτελέσει την κατάλληλη βάση για την ανάπτυξη στιβαρών τεχνολογικών εργαλείων που θα αποτρέπουν την επανεμφάνιση παράνομου περιεχομένου, συνοδευόμενων από τις αυστηρότερες διασφαλίσεις που θα αποτρέπουν την εσφαλμένη απόσυρση νόμιμου περιεχομένου. Καλό θα ήταν τα εργαλεία αυτά να εκπονούνται βάσει εθελοντικών συμφωνιών μετά από διαπραγματεύσεις μεταξύ όλων των ενδιαφερόμενων μερών και να ενθαρρύνονται από τα κράτη μέλη. Είναι προς το συμφέρον όλων των μερών που συμμετέχουν στην παροχή υπηρεσιών της κοινωνίας των πληροφοριών να υιοθετούν και να εφαρμόζουν τέτοιους μηχανισμούς. Οι διατάξεις του παρόντος κανονισμού σχετικά με την ευθύνη δεν θα πρέπει να εμποδίζουν την ανάπτυξη και </w:t>
      </w:r>
      <w:r>
        <w:rPr>
          <w:noProof/>
        </w:rPr>
        <w:lastRenderedPageBreak/>
        <w:t>πρακτική λειτουργία, από τα διάφορα ενδιαφερόμενα μέρη, τεχνικών συστημάτων προστασίας και εντοπισμού και αυτοματοποιημένης αναγνώρισης που παρέχει η ψηφιακή τεχνολογία εντός των ορίων που καθορίζονται από τον κανονισμό 2016/679.</w:t>
      </w:r>
    </w:p>
    <w:p>
      <w:pPr>
        <w:pStyle w:val="ManualHeading2"/>
        <w:rPr>
          <w:noProof/>
        </w:rPr>
      </w:pPr>
      <w:r>
        <w:rPr>
          <w:noProof/>
        </w:rPr>
        <w:t>•</w:t>
      </w:r>
      <w:r>
        <w:rPr>
          <w:noProof/>
        </w:rPr>
        <w:tab/>
        <w:t>Συνέπεια με άλλες πολιτικές της Ένωσης</w:t>
      </w:r>
    </w:p>
    <w:p>
      <w:pPr>
        <w:spacing w:before="0" w:after="0"/>
        <w:rPr>
          <w:noProof/>
        </w:rPr>
      </w:pPr>
      <w:r>
        <w:rPr>
          <w:noProof/>
        </w:rPr>
        <w:t xml:space="preserve">Ο προτεινόμενος κανονισμός θεσπίζει οριζόντιο πλαίσιο για όλες τις κατηγορίες περιεχομένου, προϊόντων, υπηρεσιών και δραστηριοτήτων σε ενδιάμεσες υπηρεσίες. Ο παράνομος χαρακτήρας αυτού του περιεχομένου, των προϊόντων ή των υπηρεσιών δεν ορίζεται στον παρόντα κανονισμό αλλά προκύπτει από το ενωσιακό δίκαιο ή από εθνικό δίκαιο σύμφωνα με το ενωσιακό δίκαιο. </w:t>
      </w:r>
    </w:p>
    <w:p>
      <w:pPr>
        <w:spacing w:before="0" w:after="0"/>
        <w:rPr>
          <w:noProof/>
        </w:rPr>
      </w:pPr>
    </w:p>
    <w:p>
      <w:pPr>
        <w:spacing w:before="0" w:after="0"/>
        <w:rPr>
          <w:rFonts w:eastAsia="Times New Roman"/>
          <w:noProof/>
        </w:rPr>
      </w:pPr>
      <w:r>
        <w:rPr>
          <w:noProof/>
        </w:rPr>
        <w:t>Οι τομεακές πράξεις δεν καλύπτουν όλα τα ρυθμιστικά κενά που εντοπίστηκαν στην έκθεση εκτίμησης επιπτώσεων: δεν παρέχουν πλήρεις κανόνες σχετικά με τις διαδικαστικές υποχρεώσεις που αφορούν το παράνομο περιεχόμενο και περιλαμβάνουν μόνο βασικούς κανόνες σχετικά με τη διαφάνεια και την υποχρέωση λογοδοσίας των παρόχων υπηρεσιών και περιορισμένους μηχανισμούς εποπτείας. Επιπλέον, οι τομεακές νομοθετικές διατάξεις καλύπτουν περιπτώσεις στις οποίες απαιτούνται προσαρμοσμένες προσεγγίσεις. Από πλευράς πεδίου εφαρμογής, είναι περιορισμένες από δύο απόψεις. Πρώτον, οι τομεακές παρεμβάσεις αντιμετωπίζουν ένα μικρό υποσύνολο ζητημάτων (π.χ. παραβιάσεις δικαιωμάτων πνευματικής ιδιοκτησίας, τρομοκρατικό περιεχόμενο, υλικό σεξουαλικής κακοποίησης παιδιών ή παράνομη ρητορική μίσους, ορισμένα παράνομα προϊόντα). Δεύτερον, καλύπτουν μόνο τη διάδοση του περιεχομένου αυτού σε ορισμένους τύπους υπηρεσιών (π.χ. υποσύνολο επιγραμμικών πλατφορμών για παραβιάσεις δικαιωμάτων πνευματικής ιδιοκτησίας, μόνο πλατφόρμες διαμοιρασμού βίντεο και μόνο όσον αφορά το οπτικοακουστικό τρομοκρατικό περιεχόμενο ή τη ρητορική μίσους). Ωστόσο, είναι σημαντικό να διευκρινιστεί η σχέση μεταξύ του νέου προτεινόμενου κανονισμού και των τομεακών πράξεων.</w:t>
      </w:r>
    </w:p>
    <w:p>
      <w:pPr>
        <w:spacing w:before="0" w:after="0"/>
        <w:rPr>
          <w:noProof/>
        </w:rPr>
      </w:pPr>
    </w:p>
    <w:p>
      <w:pPr>
        <w:pBdr>
          <w:top w:val="nil"/>
          <w:left w:val="nil"/>
          <w:bottom w:val="nil"/>
          <w:right w:val="nil"/>
          <w:between w:val="nil"/>
          <w:bar w:val="nil"/>
        </w:pBdr>
        <w:spacing w:before="0" w:after="240"/>
        <w:rPr>
          <w:noProof/>
        </w:rPr>
      </w:pPr>
      <w:r>
        <w:rPr>
          <w:noProof/>
        </w:rPr>
        <w:t xml:space="preserve">Ο προτεινόμενος κανονισμός συμπληρώνει την υφιστάμενη τομεακή νομοθεσία και δεν θίγει την εφαρμογή υφιστάμενων νομοθετικών διατάξεων της ΕΕ για τη ρύθμιση ορισμένων πτυχών της παροχής υπηρεσιών της κοινωνίας των πληροφοριών, οι οποίες εφαρμόζονται ως lex specialis. Για παράδειγμα, οι υποχρεώσεις που καθορίζονται στην οδηγία 2010/13/ΕΚ, όπως τροποποιήθηκε με την οδηγία (ΕΕ) 2018/1808, σχετικά με τους παρόχους πλατφορμών διαμοιρασμού βίντεο (στο εξής: οδηγία ΥΟΑΜ) όσον αφορά το οπτικοακουστικό περιεχόμενο και τις οπτικοακουστικές εμπορικές ανακοινώσεις θα εξακολουθήσουν να ισχύουν. Ωστόσο, ο παρών κανονισμός εφαρμόζεται στους εν λόγω παρόχους στον βαθμό που η οδηγία ΥΟΑΜ ή άλλες ενωσιακές νομικές πράξεις, όπως η πρόταση κανονισμού για την αντιμετώπιση της διάδοσης τρομοκρατικού περιεχομένου στο διαδίκτυο, δεν περιέχουν ειδικότερες διατάξεις που εφαρμόζονται σε αυτούς. </w:t>
      </w:r>
    </w:p>
    <w:p>
      <w:pPr>
        <w:pBdr>
          <w:top w:val="nil"/>
          <w:left w:val="nil"/>
          <w:bottom w:val="nil"/>
          <w:right w:val="nil"/>
          <w:between w:val="nil"/>
          <w:bar w:val="nil"/>
        </w:pBdr>
        <w:spacing w:before="0" w:after="240"/>
        <w:rPr>
          <w:noProof/>
        </w:rPr>
      </w:pPr>
      <w:r>
        <w:rPr>
          <w:noProof/>
        </w:rPr>
        <w:t xml:space="preserve">Το πλαίσιο που θεσπίστηκε με τον κανονισμό (ΕΕ) 2019/1150 για την προώθηση της δίκαιης μεταχείρισης και της διαφάνειας για τους επιχειρηματικούς χρήστες επιγραμμικών υπηρεσιών διαμεσολάβησης, με σκοπό την εξασφάλιση κατάλληλης διαφάνειας, αμεροληψίας και δυνατότητας αποτελεσματικής προσφυγής σε επιχειρηματικούς χρήστες των εν λόγω υπηρεσιών και χρήστες εταιρικών ιστότοπων, σε σχέση με επιγραμμικές μηχανές αναζήτησης, θα εφαρμόζεται ως lex specialis. </w:t>
      </w:r>
    </w:p>
    <w:p>
      <w:pPr>
        <w:pBdr>
          <w:top w:val="nil"/>
          <w:left w:val="nil"/>
          <w:bottom w:val="nil"/>
          <w:right w:val="nil"/>
          <w:between w:val="nil"/>
          <w:bar w:val="nil"/>
        </w:pBdr>
        <w:spacing w:before="0" w:after="240"/>
        <w:rPr>
          <w:noProof/>
        </w:rPr>
      </w:pPr>
      <w:r>
        <w:rPr>
          <w:noProof/>
        </w:rPr>
        <w:t xml:space="preserve">Επιπλέον, οι κανόνες που καθορίζονται στην παρούσα πρόταση θα είναι συμπληρωματικοί προς το κεκτημένο της προστασίας των καταναλωτών και συγκεκριμένα σε σχέση με την οδηγία (ΕΕ) 2019/2161 για την τροποποίηση της οδηγίας 93/13/ΕΟΚ του Συμβουλίου, και των οδηγιών 98/6/ΕΚ, 2005/29/ΕΚ και 2011/83/ΕΕ του Ευρωπαϊκού Κοινοβουλίου και του Συμβουλίου, οι οποίες θεσπίζουν ειδικούς κανόνες για την αύξηση της διαφάνειας όσον </w:t>
      </w:r>
      <w:r>
        <w:rPr>
          <w:noProof/>
        </w:rPr>
        <w:lastRenderedPageBreak/>
        <w:t>αφορά ορισμένα χαρακτηριστικά που παρέχονται από ορισμένες υπηρεσίες της κοινωνίας των πληροφοριών.</w:t>
      </w:r>
    </w:p>
    <w:p>
      <w:pPr>
        <w:rPr>
          <w:noProof/>
        </w:rPr>
      </w:pPr>
      <w:r>
        <w:rPr>
          <w:noProof/>
        </w:rPr>
        <w:t>Η παρούσα πρόταση δεν θίγει τον κανονισμό (ΕΕ) 2016/679 (γενικός κανονισμός για την προστασία δεδομένων) και άλλους ενωσιακούς κανόνες σχετικά με την προστασία των δεδομένων προσωπικού χαρακτήρα και το απόρρητο των επικοινωνιών. Για παράδειγμα, τα μέτρα που αφορούν τη διαφήμιση σε επιγραμμικές πλατφόρμες συμπληρώνουν αλλά δεν τροποποιούν τους υφιστάμενους κανόνες σχετικά με τη συγκατάθεση και το δικαίωμα εναντίωσης στην επεξεργασία δεδομένων προσωπικού χαρακτήρα. Επιβάλλουν υποχρεώσεις διαφάνειας έναντι των χρηστών επιγραμμικών πλατφορμών και αυτές οι πληροφορίες θα παρέχουν επίσης στους χρήστες τη δυνατότητα να ασκούν τα δικαιώματά τους ως υποκείμενα των δεδομένων. Επιπλέον, καθιστούν δυνατό τον έλεγχο από τις αρχές και διαπιστευμένους ερευνητές όσον αφορά τον τρόπο προβολής και στόχευσης των διαφημίσεων.</w:t>
      </w:r>
    </w:p>
    <w:p>
      <w:pPr>
        <w:rPr>
          <w:noProof/>
        </w:rPr>
      </w:pPr>
      <w:r>
        <w:rPr>
          <w:noProof/>
        </w:rPr>
        <w:t xml:space="preserve">Η παρούσα πρόταση θα συνοδευτεί από περαιτέρω δράσεις στο πλαίσιο του ευρωπαϊκού σχεδίου δράσης για τη δημοκρατία [COM(2020) 790 final], με στόχο την ενίσχυση της θέσης των πολιτών και την οικοδόμηση ανθεκτικότερων δημοκρατιών σε ολόκληρη την Ένωση. Ειδικότερα, οι κανόνες σχετικά με τους κώδικες δεοντολογίας που θεσπίζονται με τον παρόντα κανονισμό θα μπορούσαν να χρησιμεύσουν ως βάση και να συμπληρωθούν από έναν αναθεωρημένο και ενισχυμένο κώδικα δεοντολογίας για την παραπληροφόρηση, με βάση την καθοδήγηση της Επιτροπής.  </w:t>
      </w:r>
    </w:p>
    <w:p>
      <w:pPr>
        <w:rPr>
          <w:noProof/>
        </w:rPr>
      </w:pPr>
      <w:r>
        <w:rPr>
          <w:noProof/>
        </w:rPr>
        <w:t>Επιπλέον, η πρόταση συνάδει πλήρως και υποστηρίζει περαιτέρω τις στρατηγικές για την ισότητα που έχει θεσπίσει η Επιτροπή στο πλαίσιο της Ένωσης ισότητας. Η πρόταση δεν θίγει την πρωτοβουλία της Επιτροπής που αποσκοπεί στη βελτίωση των συνθηκών εργασίας για τα άτομα που εργάζονται μέσω ψηφιακών πλατφορμών.</w:t>
      </w:r>
    </w:p>
    <w:p>
      <w:pPr>
        <w:rPr>
          <w:noProof/>
        </w:rPr>
      </w:pPr>
      <w:r>
        <w:rPr>
          <w:noProof/>
        </w:rPr>
        <w:t>Τέλος, ο προτεινόμενος κανονισμός βασίζεται στη σύσταση του 2018 σχετικά με το παράνομο περιεχόμενο</w:t>
      </w:r>
      <w:r>
        <w:rPr>
          <w:rStyle w:val="FootnoteReference"/>
          <w:noProof/>
        </w:rPr>
        <w:footnoteReference w:id="10"/>
      </w:r>
      <w:r>
        <w:rPr>
          <w:noProof/>
        </w:rPr>
        <w:t>. Λαμβάνει υπόψη την πείρα που έχει αποκτηθεί στο πλαίσιο των προσπαθειών αυτορρύθμισης που έχουν καταβληθεί με την υποστήριξη της Επιτροπής, όπως η δέσμευση για την ασφάλεια των προϊόντων</w:t>
      </w:r>
      <w:r>
        <w:rPr>
          <w:rStyle w:val="FootnoteReference"/>
          <w:noProof/>
        </w:rPr>
        <w:footnoteReference w:id="11"/>
      </w:r>
      <w:r>
        <w:rPr>
          <w:noProof/>
        </w:rPr>
        <w:t>, το μνημόνιο συμφωνίας κατά των προϊόντων παραποίησης/απομίμησης</w:t>
      </w:r>
      <w:r>
        <w:rPr>
          <w:rStyle w:val="FootnoteReference"/>
          <w:noProof/>
        </w:rPr>
        <w:footnoteReference w:id="12"/>
      </w:r>
      <w:r>
        <w:rPr>
          <w:noProof/>
        </w:rPr>
        <w:t>, ο κώδικας δεοντολογίας κατά της παράνομης ρητορικής μίσους</w:t>
      </w:r>
      <w:r>
        <w:rPr>
          <w:rStyle w:val="FootnoteReference"/>
          <w:noProof/>
        </w:rPr>
        <w:footnoteReference w:id="13"/>
      </w:r>
      <w:r>
        <w:rPr>
          <w:noProof/>
        </w:rPr>
        <w:t xml:space="preserve"> και το φόρουμ της ΕΕ για το διαδίκτυο όσον αφορά το τρομοκρατικό περιεχόμενο.</w:t>
      </w:r>
    </w:p>
    <w:p>
      <w:pPr>
        <w:pStyle w:val="ManualHeading1"/>
        <w:rPr>
          <w:noProof/>
        </w:rPr>
      </w:pPr>
      <w:r>
        <w:rPr>
          <w:noProof/>
        </w:rPr>
        <w:t>2.</w:t>
      </w:r>
      <w:r>
        <w:rPr>
          <w:noProof/>
        </w:rPr>
        <w:tab/>
        <w:t xml:space="preserve">ΝΟΜΙΚΗ ΒΑΣΗ, ΕΠΙΚΟΥΡΙΚΟΤΗΤΑ ΚΑΙ ΑΝΑΛΟΓΙΚΟΤΗΤΑ </w:t>
      </w:r>
    </w:p>
    <w:p>
      <w:pPr>
        <w:pStyle w:val="ManualHeading2"/>
        <w:rPr>
          <w:noProof/>
        </w:rPr>
      </w:pPr>
      <w:r>
        <w:rPr>
          <w:noProof/>
          <w:bdr w:val="nil"/>
        </w:rPr>
        <w:t>•</w:t>
      </w:r>
      <w:r>
        <w:rPr>
          <w:noProof/>
        </w:rPr>
        <w:tab/>
      </w:r>
      <w:r>
        <w:rPr>
          <w:noProof/>
          <w:bdr w:val="nil"/>
        </w:rPr>
        <w:t xml:space="preserve">Νομική βάση </w:t>
      </w:r>
    </w:p>
    <w:p>
      <w:pPr>
        <w:rPr>
          <w:noProof/>
        </w:rPr>
      </w:pPr>
      <w:r>
        <w:rPr>
          <w:noProof/>
        </w:rPr>
        <w:t xml:space="preserve">Η νομική βάση της πρότασης είναι το άρθρο 114 της Συνθήκης για τη λειτουργία της Ευρωπαϊκής Ένωσης το οποίο προβλέπει την έκδοση μέτρων που έχουν ως αντικείμενο τη λειτουργία της εσωτερικής αγοράς. </w:t>
      </w:r>
    </w:p>
    <w:p>
      <w:pPr>
        <w:rPr>
          <w:noProof/>
        </w:rPr>
      </w:pPr>
      <w:r>
        <w:rPr>
          <w:noProof/>
        </w:rPr>
        <w:t xml:space="preserve">Πρωταρχικός στόχος της παρούσας πρότασης είναι να διασφαλιστεί η εύρυθμη λειτουργία της εσωτερικής αγοράς, ιδίως όσον αφορά την παροχή διασυνοριακών ψηφιακών υπηρεσιών (πιο συγκεκριμένα, ενδιάμεσων υπηρεσιών). Σύμφωνα με αυτόν τον στόχο, η πρόταση </w:t>
      </w:r>
      <w:r>
        <w:rPr>
          <w:noProof/>
        </w:rPr>
        <w:lastRenderedPageBreak/>
        <w:t>αποσκοπεί στη διασφάλιση εναρμονισμένων όρων για την ανάπτυξη καινοτόμων διασυνοριακών υπηρεσιών στην Ένωση, μέσω της αντιμετώπισης και της πρόληψης της εμφάνισης εμποδίων για την εν λόγω οικονομική δραστηριότητα, τα οποία προκύπτουν από διαφορές στην εξέλιξη των εθνικών νομοθεσιών, λαμβανομένου υπόψη ότι αρκετά κράτη μέλη έχουν νομοθετήσει ή σκοπεύουν να νομοθετήσουν σχετικά με ζητήματα όπως η απόσυρση παράνομου περιεχομένου στο διαδίκτυο, η επιμέλεια, οι διαδικασίες ειδοποίησης και δράσης και η διαφάνεια. Παράλληλα, η πρόταση προβλέπει κατάλληλη επίβλεψη των ψηφιακών υπηρεσιών και συνεργασία μεταξύ των αρχών σε επίπεδο Ένωσης, με αποτέλεσμα να υποστηρίζεται η εμπιστοσύνη, η καινοτομία και η ανάπτυξη στην εσωτερική αγορά.</w:t>
      </w:r>
    </w:p>
    <w:p>
      <w:pPr>
        <w:pStyle w:val="ManualHeading2"/>
        <w:rPr>
          <w:noProof/>
        </w:rPr>
      </w:pPr>
      <w:r>
        <w:rPr>
          <w:noProof/>
          <w:bdr w:val="nil"/>
        </w:rPr>
        <w:t>•</w:t>
      </w:r>
      <w:r>
        <w:rPr>
          <w:noProof/>
        </w:rPr>
        <w:tab/>
      </w:r>
      <w:r>
        <w:rPr>
          <w:noProof/>
          <w:bdr w:val="nil"/>
        </w:rPr>
        <w:t xml:space="preserve">Επικουρικότητα </w:t>
      </w:r>
    </w:p>
    <w:p>
      <w:pPr>
        <w:rPr>
          <w:noProof/>
        </w:rPr>
      </w:pPr>
      <w:r>
        <w:rPr>
          <w:noProof/>
        </w:rPr>
        <w:t>Λαμβανομένου υπόψη ότι το διαδίκτυο έχει εκ φύσεως διασυνοριακό χαρακτήρα, οι προαναφερόμενες νομοθετικές προσπάθειες σε εθνικό επίπεδο παρεμποδίζουν την παροχή και τη λήψη υπηρεσιών σε ολόκληρη την Ένωση και δεν διασφαλίζουν αποτελεσματικά την ασφάλεια και την ομοιόμορφη προστασία των δικαιωμάτων των πολιτών και των επιχειρήσεων της Ένωσης στο διαδίκτυο. Η εναρμόνιση των όρων ανάπτυξης καινοτόμων διασυνοριακών ψηφιακών υπηρεσιών στην Ένωση, με παράλληλη διατήρηση ενός ασφαλούς επιγραμμικού περιβάλλοντος, μπορεί να πραγματοποιηθεί μόνο σε επίπεδο Ένωσης.</w:t>
      </w:r>
    </w:p>
    <w:p>
      <w:pPr>
        <w:rPr>
          <w:noProof/>
        </w:rPr>
      </w:pPr>
      <w:r>
        <w:rPr>
          <w:noProof/>
        </w:rPr>
        <w:t>Με την ανάληψη δράσης σε επίπεδο Ένωσης παρέχεται προβλεψιμότητα και ασφάλεια δικαίου και μειώνεται το κόστος συμμόρφωσης σε ολόκληρη την Ένωση. Παράλληλα, προωθείται η ίση προστασία όλων των πολιτών της Ένωσης, καθώς διασφαλίζεται ότι η δράση κατά παράνομου περιεχομένου στο διαδίκτυο από παρόχους ενδιάμεσων υπηρεσιών είναι συνεπής, ανεξάρτητα από τον τόπο εγκατάστασής τους. Ένα ορθά συντονισμένο σύστημα επίβλεψης, το οποίο είναι ενισχυμένο σε επίπεδο Ένωσης, διασφαλίζει επίσης την εφαρμογή συνεκτικής προσέγγισης όσον αφορά τους παρόχους ενδιάμεσων υπηρεσιών που δραστηριοποιούνται σε όλα τα κράτη μέλη.</w:t>
      </w:r>
    </w:p>
    <w:p>
      <w:pPr>
        <w:pBdr>
          <w:top w:val="nil"/>
          <w:left w:val="nil"/>
          <w:bottom w:val="nil"/>
          <w:right w:val="nil"/>
          <w:between w:val="nil"/>
          <w:bar w:val="nil"/>
        </w:pBdr>
        <w:spacing w:before="0" w:after="240"/>
        <w:rPr>
          <w:rFonts w:eastAsia="Arial Unicode MS"/>
          <w:noProof/>
        </w:rPr>
      </w:pPr>
      <w:r>
        <w:rPr>
          <w:noProof/>
        </w:rPr>
        <w:t>Για την αποτελεσματική προστασία των χρηστών στο διαδίκτυο, και προκειμένου να αποφευχθεί το ανταγωνιστικό μειονέκτημα για τους παρόχους ψηφιακών υπηρεσιών που είναι εγκατεστημένοι στην Ένωση, πρέπει να καλυφθούν επίσης οι σχετικοί πάροχοι υπηρεσιών που είναι εγκατεστημένοι εκτός της Ένωσης και δραστηριοποιούνται στην εσωτερική αγορά.</w:t>
      </w:r>
    </w:p>
    <w:p>
      <w:pPr>
        <w:pStyle w:val="ManualHeading2"/>
        <w:rPr>
          <w:noProof/>
        </w:rPr>
      </w:pPr>
      <w:r>
        <w:rPr>
          <w:noProof/>
          <w:bdr w:val="nil"/>
        </w:rPr>
        <w:t>•</w:t>
      </w:r>
      <w:r>
        <w:rPr>
          <w:noProof/>
        </w:rPr>
        <w:tab/>
      </w:r>
      <w:r>
        <w:rPr>
          <w:noProof/>
          <w:bdr w:val="nil"/>
        </w:rPr>
        <w:t>Αναλογικότητα</w:t>
      </w:r>
    </w:p>
    <w:p>
      <w:pPr>
        <w:rPr>
          <w:noProof/>
        </w:rPr>
      </w:pPr>
      <w:r>
        <w:rPr>
          <w:noProof/>
        </w:rPr>
        <w:t>Με την πρόταση επιδιώκεται η προαγωγή της υπεύθυνης και επιμελούς συμπεριφοράς εκ μέρους των παρόχων ενδιάμεσων υπηρεσιών προκειμένου να διασφαλιστεί ένα ασφαλές επιγραμμικό περιβάλλον, το οποίο παρέχει στους πολίτες της Ένωσης και σε άλλα μέρη τη δυνατότητα να ασκούν ελεύθερα τα θεμελιώδη δικαιώματά τους, ιδίως την ελευθερία έκφρασης και πληροφόρησης. Βασικά χαρακτηριστικά της πρότασης περιορίζουν τον κανονισμό στο απολύτως αναγκαίο για την επίτευξη αυτών των στόχων.</w:t>
      </w:r>
    </w:p>
    <w:p>
      <w:pPr>
        <w:rPr>
          <w:noProof/>
        </w:rPr>
      </w:pPr>
      <w:r>
        <w:rPr>
          <w:noProof/>
        </w:rPr>
        <w:t xml:space="preserve">Ειδικότερα, η πρόταση επιβάλλει ασύμμετρες υποχρεώσεις δέουσας επιμέλειας στους διάφορους τύπους παρόχων ψηφιακών υπηρεσιών ανάλογα με τη φύση των υπηρεσιών τους και το μέγεθός τους, προκειμένου να διασφαλιστεί ότι οι υπηρεσίες τους δεν χρησιμοποιούνται καταχρηστικά για παράνομες δραστηριότητες και ότι οι πάροχοι λειτουργούν με υπευθυνότητα. Με την προσέγγιση αυτή αντιμετωπίζονται ορισμένα εντοπισθέντα προβλήματα μόνο εκεί όπου προκύπτουν, χωρίς να επιβαρύνονται υπερβολικά πάροχοι τους οποίους δεν αφορούν αυτά τα προβλήματα. Ορισμένες ουσιώδεις υποχρεώσεις περιορίζονται μόνο σε πολύ μεγάλες επιγραμμικές πλατφόρμες, οι οποίες λόγω της εμβέλειάς τους έχουν αποκτήσει κεντρικό, συστημικό ρόλο στη διευκόλυνση του δημόσιου διαλόγου </w:t>
      </w:r>
      <w:r>
        <w:rPr>
          <w:noProof/>
        </w:rPr>
        <w:lastRenderedPageBreak/>
        <w:t>και των οικονομικών συναλλαγών. Οι πολύ μικροί πάροχοι απαλλάσσονται εντελώς από τις υποχρεώσεις.</w:t>
      </w:r>
    </w:p>
    <w:p>
      <w:pPr>
        <w:rPr>
          <w:noProof/>
        </w:rPr>
      </w:pPr>
      <w:r>
        <w:rPr>
          <w:noProof/>
        </w:rPr>
        <w:t xml:space="preserve">Όσον αφορά τους παρόχους ψηφιακών υπηρεσιών που είναι εγκατεστημένοι εκτός της Ένωσης και παρέχουν υπηρεσίες στην Ένωση, ο κανονισμός απαιτεί τον διορισμό νόμιμου εκπροσώπου στην Ένωση για τη διασφάλιση της αποτελεσματικής εποπτείας και, όπου χρειάζεται, της επιβολής. </w:t>
      </w:r>
    </w:p>
    <w:p>
      <w:pPr>
        <w:rPr>
          <w:noProof/>
        </w:rPr>
      </w:pPr>
      <w:r>
        <w:rPr>
          <w:noProof/>
        </w:rPr>
        <w:t>Αναλογικά προς τις υποχρεώσεις, και λαμβανομένου υπόψη του διασυνοριακού χαρακτήρα των ψηφιακών υπηρεσιών, η πρόταση θα εισαγάγει μηχανισμό συνεργασίας μεταξύ των κρατών μελών με ενισχυμένη εποπτεία των πολύ μεγάλων επιγραμμικών πλατφορμών σε επίπεδο Ένωσης. Επιπλέον, η πρόταση δεν τροποποιεί τομεακή νομοθεσία ή τους μηχανισμούς επιβολής και διακυβέρνησης που έχουν θεσπιστεί βάσει αυτής, αλλά προβλέπει οριζόντιο πλαίσιο για πτυχές πέραν συγκεκριμένου περιεχομένου ή υποκατηγοριών υπηρεσιών που ρυθμίζονται σε τομεακές πράξεις.</w:t>
      </w:r>
    </w:p>
    <w:p>
      <w:pPr>
        <w:pBdr>
          <w:top w:val="nil"/>
          <w:left w:val="nil"/>
          <w:bottom w:val="nil"/>
          <w:right w:val="nil"/>
          <w:between w:val="nil"/>
          <w:bar w:val="nil"/>
        </w:pBdr>
        <w:spacing w:before="0" w:after="240"/>
        <w:rPr>
          <w:rFonts w:eastAsia="Arial Unicode MS"/>
          <w:noProof/>
        </w:rPr>
      </w:pPr>
      <w:r>
        <w:rPr>
          <w:noProof/>
        </w:rPr>
        <w:t xml:space="preserve">Με τη θέσπιση σαφούς πλαισίου, το οποίο συνοδεύεται από συνεργασία με τα κράτη μέλη και μεταξύ αυτών, καθώς και από αυτορρύθμιση, η παρούσα πρόταση αποσκοπεί στην ενίσχυση της ασφάλειας δικαίου και στην αύξηση των επιπέδων εμπιστοσύνης, με παράλληλη διατήρηση της μακροπρόθεσμης συνάφειας και αποτελεσματικότητάς της λόγω της ευελιξίας του πλαισίου συνεργασίας. </w:t>
      </w:r>
    </w:p>
    <w:p>
      <w:pPr>
        <w:pStyle w:val="ManualHeading2"/>
        <w:rPr>
          <w:noProof/>
        </w:rPr>
      </w:pPr>
      <w:r>
        <w:rPr>
          <w:noProof/>
          <w:bdr w:val="nil"/>
        </w:rPr>
        <w:t>•</w:t>
      </w:r>
      <w:r>
        <w:rPr>
          <w:noProof/>
        </w:rPr>
        <w:tab/>
      </w:r>
      <w:r>
        <w:rPr>
          <w:noProof/>
          <w:bdr w:val="nil"/>
        </w:rPr>
        <w:t xml:space="preserve">Επιλογή της νομικής πράξης </w:t>
      </w:r>
    </w:p>
    <w:p>
      <w:pPr>
        <w:pBdr>
          <w:top w:val="nil"/>
          <w:left w:val="nil"/>
          <w:bottom w:val="nil"/>
          <w:right w:val="nil"/>
          <w:between w:val="nil"/>
          <w:bar w:val="nil"/>
        </w:pBdr>
        <w:spacing w:before="0" w:after="240"/>
        <w:rPr>
          <w:noProof/>
        </w:rPr>
      </w:pPr>
      <w:r>
        <w:rPr>
          <w:noProof/>
        </w:rPr>
        <w:t xml:space="preserve">Το άρθρο 114 της Συνθήκης για τη λειτουργία της Ευρωπαϊκής Ένωσης παρέχει στον νομοθέτη τη δυνατότητα θέσπισης κανονισμών και οδηγιών. </w:t>
      </w:r>
    </w:p>
    <w:p>
      <w:pPr>
        <w:pBdr>
          <w:top w:val="nil"/>
          <w:left w:val="nil"/>
          <w:bottom w:val="nil"/>
          <w:right w:val="nil"/>
          <w:between w:val="nil"/>
          <w:bar w:val="nil"/>
        </w:pBdr>
        <w:spacing w:before="0" w:after="240"/>
        <w:rPr>
          <w:rFonts w:eastAsia="Arial Unicode MS"/>
          <w:noProof/>
        </w:rPr>
      </w:pPr>
      <w:r>
        <w:rPr>
          <w:noProof/>
        </w:rPr>
        <w:t>Η Επιτροπή αποφάσισε να υποβάλει πρόταση κανονισμού για τη διασφάλιση συνεκτικού επιπέδου προστασίας σε ολόκληρη την Ένωση και την πρόληψη των αποκλίσεων που παρεμποδίζουν την ελεύθερη παροχή των σχετικών υπηρεσιών εντός της εσωτερικής αγοράς, καθώς και για την εξασφάλιση ομοιόμορφης προστασίας των δικαιωμάτων και ομοιόμορφων υποχρεώσεων για τις επιχειρήσεις και τους καταναλωτές σε ολόκληρη την εσωτερική αγορά. Αυτό είναι αναγκαίο για την παροχή ασφάλειας δικαίου και διαφάνειας τόσο για τους οικονομικούς φορείς όσο και για τους καταναλωτές. Ο προτεινόμενος κανονισμός διασφαλίζει επίσης τη συνεπή παρακολούθηση των δικαιωμάτων και υποχρεώσεων, την επιβολή ισοδύναμων κυρώσεων σε όλα τα κράτη μέλη, καθώς και την αποτελεσματική συνεργασία μεταξύ των εποπτικών αρχών των διαφόρων κρατών μελών και σε επίπεδο Ένωσης.</w:t>
      </w:r>
    </w:p>
    <w:p>
      <w:pPr>
        <w:pStyle w:val="ManualHeading1"/>
        <w:rPr>
          <w:noProof/>
        </w:rPr>
      </w:pPr>
      <w:r>
        <w:rPr>
          <w:noProof/>
        </w:rPr>
        <w:t>3.</w:t>
      </w:r>
      <w:r>
        <w:rPr>
          <w:noProof/>
        </w:rPr>
        <w:tab/>
        <w:t>ΑΠΟΤΕΛΕΣΜΑΤΑ ΤΩΝ ΕΚ ΤΩΝ ΥΣΤΕΡΩΝ ΑΞΙΟΛΟΓΗΣΕΩΝ, ΤΩΝ ΔΙΑΒΟΥΛΕΥΣΕΩΝ ΜΕ ΤΑ ΕΝΔΙΑΦΕΡΟΜΕΝΑ ΜΕΡΗ ΚΑΙ ΤΩΝ ΕΚΤΙΜΗΣΕΩΝ ΕΠΙΠΤΩΣΕΩΝ</w:t>
      </w:r>
    </w:p>
    <w:p>
      <w:pPr>
        <w:pStyle w:val="ManualHeading2"/>
        <w:rPr>
          <w:noProof/>
        </w:rPr>
      </w:pPr>
      <w:r>
        <w:rPr>
          <w:noProof/>
          <w:bdr w:val="nil"/>
        </w:rPr>
        <w:t>•</w:t>
      </w:r>
      <w:r>
        <w:rPr>
          <w:noProof/>
        </w:rPr>
        <w:tab/>
      </w:r>
      <w:r>
        <w:rPr>
          <w:noProof/>
          <w:bdr w:val="nil"/>
        </w:rPr>
        <w:t>Εκ των υστέρων αξιολογήσεις / έλεγχοι καταλληλότητας της ισχύουσας νομοθεσίας</w:t>
      </w:r>
    </w:p>
    <w:p>
      <w:pPr>
        <w:rPr>
          <w:rFonts w:eastAsia="Calibri"/>
          <w:noProof/>
        </w:rPr>
      </w:pPr>
      <w:r>
        <w:rPr>
          <w:noProof/>
          <w:bdr w:val="nil"/>
        </w:rPr>
        <w:t xml:space="preserve">Η παρούσα πρόταση βασίζεται στην αξιολόγηση της οδηγίας για το ηλεκτρονικό εμπόριο, η οποία διενεργήθηκε ως διαδοχική αξιολόγηση με την εκτίμηση επιπτώσεων που συνοδεύει την πρόταση. </w:t>
      </w:r>
      <w:r>
        <w:rPr>
          <w:noProof/>
          <w:bdr w:val="nil"/>
          <w14:textOutline w14:w="0" w14:cap="flat" w14:cmpd="sng" w14:algn="ctr">
            <w14:noFill/>
            <w14:prstDash w14:val="solid"/>
            <w14:bevel/>
          </w14:textOutline>
        </w:rPr>
        <w:t>Οι συγκεκριμένοι στόχοι της οδηγίας για το ηλεκτρονικό εμπόριο ήταν να διασφαλιστεί i) η εύρυθμη λειτουργία της εσωτερικής αγοράς ψηφιακών υπηρεσιών, ii) η αποτελεσματική απόσυρση παράνομου περιεχομένου στο διαδίκτυο με πλήρη σεβασμό των θεμελιωδών δικαιωμάτων και iii) επαρκές επίπεδο ενημέρωσης και διαφάνειας για τους καταναλωτές.</w:t>
      </w:r>
    </w:p>
    <w:p>
      <w:pPr>
        <w:spacing w:after="200"/>
        <w:rPr>
          <w:noProof/>
          <w:szCs w:val="24"/>
        </w:rPr>
      </w:pPr>
      <w:r>
        <w:rPr>
          <w:noProof/>
        </w:rPr>
        <w:lastRenderedPageBreak/>
        <w:t xml:space="preserve">Όσον αφορά την </w:t>
      </w:r>
      <w:r>
        <w:rPr>
          <w:b/>
          <w:bCs/>
          <w:noProof/>
        </w:rPr>
        <w:t>αποτελεσματικότητα</w:t>
      </w:r>
      <w:r>
        <w:rPr>
          <w:noProof/>
        </w:rPr>
        <w:t xml:space="preserve"> της οδηγίας για το ηλεκτρονικό εμπόριο, από την αξιολόγηση προκύπτει ότι, παρότι η εν λόγω οδηγία έχει παράσχει σημαντικό κίνητρο για την ανάπτυξη της εσωτερικής αγοράς ψηφιακών υπηρεσιών και έχει διευκολύνει την είσοδο στην αγορά και την επέκταση νέων παρόχων τέτοιου είδους υπηρεσιών, οι αρχικοί στόχοι δεν έχουν επιτευχθεί πλήρως. </w:t>
      </w:r>
    </w:p>
    <w:p>
      <w:pPr>
        <w:spacing w:after="200"/>
        <w:rPr>
          <w:noProof/>
          <w:szCs w:val="24"/>
        </w:rPr>
      </w:pPr>
      <w:r>
        <w:rPr>
          <w:noProof/>
        </w:rPr>
        <w:t xml:space="preserve">Ειδικότερα, η δυναμική ανάπτυξη της ψηφιακής οικονομίας και η εμφάνιση νέων τύπων παρόχων υπηρεσιών εγείρουν ορισμένες νέες προκλήσεις, οι οποίες αντιμετωπίζονται με διαφορετικό τρόπο από τα κράτη μέλη, και στο πλαίσιο αυτό πρέπει να αποσαφηνιστεί το αρχικό σύνολο στόχων. Επιπλέον, οι εξελίξεις αυτές καθιστούν ακόμη δυσχερέστερη την επίτευξη των ήδη υφιστάμενων στόχων, όπως προκύπτει από τον αυξημένο νομικό κατακερματισμό. </w:t>
      </w:r>
    </w:p>
    <w:p>
      <w:pPr>
        <w:spacing w:after="200"/>
        <w:rPr>
          <w:noProof/>
          <w:szCs w:val="24"/>
        </w:rPr>
      </w:pPr>
      <w:r>
        <w:rPr>
          <w:noProof/>
        </w:rPr>
        <w:t xml:space="preserve">Η αξιολόγηση έδειξε επίσης ότι, παρότι διάφορα νέα κανονιστικά μέσα έχουν πολύτιμη συμβολή στην επίτευξη ορισμένων από τους στόχους πολιτικής που καθορίζονται στην οδηγία για το ηλεκτρονικό εμπόριο, παρέχουν μόνο τομεακές λύσεις για ορισμένα υποκείμενα προβλήματα (π.χ. για την αντιμετώπιση της διάδοσης συγκεκριμένων τύπων παράνομης δραστηριότητας). Ως εκ τούτου, δεν αντιμετωπίζουν τα ζητήματα αυτά με συνέπεια για ολόκληρο το ψηφιακό οικοσύστημα, καθώς περιορίζονται σε ορισμένους τύπων υπηρεσιών ή παράνομου περιεχομένου. Επιπλέον, παρότι οι πρωτοβουλίες αυτορρύθμισης έχουν δείξει γενικά θετικά αποτελέσματα, δεν μπορούν να επιβληθούν δια νόμου, ούτε καλύπτουν όλους τους συμμετέχοντες στην ψηφιακή οικονομία. Όσον αφορά την </w:t>
      </w:r>
      <w:r>
        <w:rPr>
          <w:b/>
          <w:bCs/>
          <w:noProof/>
        </w:rPr>
        <w:t>αποδοτικότητα</w:t>
      </w:r>
      <w:r>
        <w:rPr>
          <w:noProof/>
        </w:rPr>
        <w:t xml:space="preserve"> της οδηγίας για το ηλεκτρονικό εμπόριο, η εν λόγω οδηγία επέβαλε περιορισμένο μόνο πρόσθετο κόστος στις διοικήσεις των κρατών μελών και στους παρόχους υπηρεσιών της κοινωνίας των πληροφοριών. Από την αξιολόγηση δεν προέκυψε ιδιαίτερα υψηλό ή δυσανάλογο κόστος, ούτε διατυπώθηκαν σημαντικές ανησυχίες σχετικά με τις επιπτώσεις στις μικρές και μεσαίες επιχειρήσεις. Η βασική ανησυχία εν προκειμένω συνδέεται με την έλλειψη σαφήνειας ως προς τον μηχανισμό συνεργασίας μεταξύ των κρατών μελών, η οποία δημιουργεί επιβαρύνσεις και διπλές δαπάνες, παρά τον αντίθετο στόχο της οδηγίας, ιδίως όσον αφορά την επίβλεψη των επιγραμμικών πλατφορμών. Εξαιτίας των ανωτέρω έχει μειωθεί σημαντικά η αποδοτικότητα της οδηγίας όσον αφορά τη διατήρηση της λειτουργίας της εσωτερικής αγοράς.</w:t>
      </w:r>
    </w:p>
    <w:p>
      <w:pPr>
        <w:spacing w:after="200"/>
        <w:rPr>
          <w:noProof/>
          <w:szCs w:val="24"/>
        </w:rPr>
      </w:pPr>
      <w:r>
        <w:rPr>
          <w:noProof/>
        </w:rPr>
        <w:t xml:space="preserve">Ως προς τα ερωτήματα σχετικά με τη συνεχιζόμενη </w:t>
      </w:r>
      <w:r>
        <w:rPr>
          <w:b/>
          <w:bCs/>
          <w:noProof/>
        </w:rPr>
        <w:t>συνάφεια</w:t>
      </w:r>
      <w:r>
        <w:rPr>
          <w:noProof/>
        </w:rPr>
        <w:t xml:space="preserve"> των στόχων της οδηγίας για το ηλεκτρονικό εμπόριο, η αξιολόγηση δείχνει ότι οι στόχοι της εν λόγω οδηγίας εξακολουθούν να ισχύουν, ενώ παράλληλα υπάρχουν διάφορες νέες εξελίξεις οι οποίες δεν αντανακλώνται επαρκώς στους υφιστάμενους στόχους δημόσιας πολιτικής.</w:t>
      </w:r>
    </w:p>
    <w:p>
      <w:pPr>
        <w:spacing w:after="200"/>
        <w:rPr>
          <w:noProof/>
          <w:szCs w:val="24"/>
        </w:rPr>
      </w:pPr>
      <w:r>
        <w:rPr>
          <w:noProof/>
        </w:rPr>
        <w:t>Πρώτον, η ανοικτή δημόσια διαβούλευση, στοχευμένες παρατηρήσεις ενδιαφερόμενων μερών, εκθέσεις του Ευρωπαϊκού Κοινοβουλίου</w:t>
      </w:r>
      <w:r>
        <w:rPr>
          <w:rStyle w:val="FootnoteReference"/>
          <w:noProof/>
        </w:rPr>
        <w:footnoteReference w:id="14"/>
      </w:r>
      <w:r>
        <w:rPr>
          <w:noProof/>
        </w:rPr>
        <w:t>, καθώς και συμπεράσματα του Συμβουλίου</w:t>
      </w:r>
      <w:r>
        <w:rPr>
          <w:rStyle w:val="FootnoteReference"/>
          <w:noProof/>
        </w:rPr>
        <w:footnoteReference w:id="15"/>
      </w:r>
      <w:r>
        <w:rPr>
          <w:noProof/>
        </w:rPr>
        <w:t xml:space="preserve">, επιβεβαιώνουν ότι οι υφιστάμενες αρχές και στόχοι της οδηγίας για το ηλεκτρονικό εμπόριο εξακολουθούν να ισχύουν σήμερα. Ωστόσο, από την έναρξη ισχύος της οδηγίας έχουν προκύψει νέες ασυμμετρίες στην πληροφόρηση και κίνδυνοι, που συνδέονται κυρίως με την εμφάνιση των επιγραμμικών πλατφορμών, ιδίως των πολύ μεγάλων, και την κλίμακα του ψηφιακού μετασχηματισμού. Αυτό συμβαίνει, για παράδειγμα, στους τομείς της αλγοριθμικής λήψης αποφάσεων (με αντίκτυπο στον τρόπο με τον οποίο οι ροές </w:t>
      </w:r>
      <w:r>
        <w:rPr>
          <w:noProof/>
        </w:rPr>
        <w:lastRenderedPageBreak/>
        <w:t xml:space="preserve">πληροφοριών πραγματοποιούνται με επιγραμμική διαμεσολάβηση) ή στα συστήματα επιγραμμικής διαφήμισης. </w:t>
      </w:r>
    </w:p>
    <w:p>
      <w:pPr>
        <w:spacing w:after="200"/>
        <w:rPr>
          <w:noProof/>
          <w:szCs w:val="24"/>
        </w:rPr>
      </w:pPr>
      <w:r>
        <w:rPr>
          <w:noProof/>
        </w:rPr>
        <w:t xml:space="preserve">Η αξιολόγηση έδειξε ότι η οδηγία για το ηλεκτρονικό εμπόριο </w:t>
      </w:r>
      <w:r>
        <w:rPr>
          <w:b/>
          <w:bCs/>
          <w:noProof/>
        </w:rPr>
        <w:t xml:space="preserve">συνάδει </w:t>
      </w:r>
      <w:r>
        <w:rPr>
          <w:noProof/>
        </w:rPr>
        <w:t>με άλλες παρεμβάσεις της ΕΕ που πραγματοποιήθηκαν μετά την έκδοσή της. Επιπλέον, από την αξιολόγηση δεν προέκυψε έλλειψη εσωτερικής συνοχής της οδηγίας για το ηλεκτρονικό εμπόριο.</w:t>
      </w:r>
    </w:p>
    <w:p>
      <w:pPr>
        <w:spacing w:after="200"/>
        <w:rPr>
          <w:noProof/>
          <w:szCs w:val="24"/>
        </w:rPr>
      </w:pPr>
      <w:r>
        <w:rPr>
          <w:noProof/>
        </w:rPr>
        <w:t xml:space="preserve">Τέλος, τουλάχιστον μέρη των πραγματικών οφελών της οδηγίας για το ηλεκτρονικό εμπόριο, τα οποία προσδιορίστηκαν στην αξιολόγηση, θα μπορούσε να θεωρηθεί ότι έχουν </w:t>
      </w:r>
      <w:r>
        <w:rPr>
          <w:b/>
          <w:bCs/>
          <w:noProof/>
        </w:rPr>
        <w:t>ενωσιακή προστιθέμενη αξία</w:t>
      </w:r>
      <w:r>
        <w:rPr>
          <w:noProof/>
        </w:rPr>
        <w:t xml:space="preserve">. Είναι πιθανό ότι τα κράτη μέλη θα συνέχιζαν να εφαρμόζουν τα δικά τους ρυθμιστικά συστήματα χωρίς κοινό σύνολο αρχών και ότι ορισμένα κράτη μέλη θα εξακολουθούσαν να μην διαθέτουν καν οριζόντιους κανόνες. Ωστόσο, ελλείψει αδιάσειστων στοιχείων, δεν είναι δυνατό να συναχθούν αξιόπιστα συμπεράσματα σχετικά με την έκταση αυτής της ενωσιακής προστιθέμενης αξίας. </w:t>
      </w:r>
    </w:p>
    <w:p>
      <w:pPr>
        <w:pStyle w:val="ManualHeading2"/>
        <w:rPr>
          <w:noProof/>
        </w:rPr>
      </w:pPr>
      <w:r>
        <w:rPr>
          <w:noProof/>
          <w:bdr w:val="nil"/>
        </w:rPr>
        <w:t>•</w:t>
      </w:r>
      <w:r>
        <w:rPr>
          <w:noProof/>
        </w:rPr>
        <w:tab/>
      </w:r>
      <w:r>
        <w:rPr>
          <w:noProof/>
          <w:bdr w:val="nil"/>
        </w:rPr>
        <w:t xml:space="preserve">Διαβουλεύσεις με τα ενδιαφερόμενα μέρη </w:t>
      </w:r>
    </w:p>
    <w:p>
      <w:pPr>
        <w:rPr>
          <w:noProof/>
          <w:szCs w:val="24"/>
        </w:rPr>
      </w:pPr>
      <w:r>
        <w:rPr>
          <w:noProof/>
        </w:rPr>
        <w:t>Την τελευταία πενταετία η Επιτροπή πραγματοποίησε διαβουλεύσεις με ευρύ φάσμα διαφορετικών ενδιαφερόμενων μερών, συμπεριλαμβανομένων παρόχων ψηφιακών υπηρεσιών, όπως επιγραμμικές πλατφόρμες και άλλες ενδιάμεσες υπηρεσίες, επιχειρήσεων που συναλλάσσονται μέσω διαδικτύου, εκδοτών μέσων επικοινωνίας, ιδιοκτητών εμπορικών σημάτων και άλλων επιχειρήσεων, κοινωνικών εταίρων, χρηστών ψηφιακών υπηρεσιών, οργανώσεων της κοινωνίας των πολιτών, εθνικών αρχών, του ακαδημαϊκού χώρου, της τεχνικής κοινότητας, διεθνών οργανισμών και του ευρέος κοινού. Στο πλαίσιο μιας σειράς στοχευμένων διαβουλεύσεων συγκεντρώθηκαν σχολαστικά οι απόψεις των ενδιαφερόμενων μερών σχετικά με ζητήματα που αφορούν τις ψηφιακές υπηρεσίες και πλατφόρμες κατά τα τελευταία έτη.</w:t>
      </w:r>
    </w:p>
    <w:p>
      <w:pPr>
        <w:rPr>
          <w:noProof/>
          <w:szCs w:val="24"/>
        </w:rPr>
      </w:pPr>
      <w:r>
        <w:rPr>
          <w:noProof/>
        </w:rPr>
        <w:t>Η ανοικτή δημόσια διαβούλευση σχετικά με την πράξη για τις ψηφιακές υπηρεσίες διήρκεσε 14 εβδομάδες, από τις 2 Ιουνίου έως τις 8 Σεπτεμβρίου, και στο πλαίσιο αυτής λήφθηκαν 2 863 απαντήσεις και περίπου 300 έγγραφα θέσης από μια ποικιλόμορφη ομάδα ενδιαφερόμενων μερών. Τα περισσότερα σχόλια υποβλήθηκαν από το ευρύ κοινό (66 % από πολίτες της Ένωσης, 8 % από πολίτες τρίτων χωρών), εταιρικούς/επιχειρηματικούς οργανισμούς (7,4 %), επιχειρηματικές ενώσεις (6 %) και ΜΚΟ (5,6 %). Ακολούθησαν οι δημόσιες αρχές (2,2 %), ακαδημαϊκά/ερευνητικά ιδρύματα (1,2 %), συνδικαλιστικές οργανώσεις (0,9 %) και οργανώσεις καταναλωτών και περιβαλλοντικές οργανώσεις (0,4 %).</w:t>
      </w:r>
    </w:p>
    <w:p>
      <w:pPr>
        <w:spacing w:after="0"/>
        <w:rPr>
          <w:noProof/>
        </w:rPr>
      </w:pPr>
      <w:r>
        <w:rPr>
          <w:noProof/>
        </w:rPr>
        <w:t xml:space="preserve">Συνολικά, μεταξύ των ενδιαφερόμενων μερών είναι κοινώς αποδεκτό ότι απαιτείται η ανάληψη δράσης όσον αφορά τόσο την επιγραμμική ασφάλεια όσο και την περαιτέρω ανάπτυξη της εσωτερικής αγοράς ψηφιακών υπηρεσιών. </w:t>
      </w:r>
    </w:p>
    <w:p>
      <w:pPr>
        <w:spacing w:after="0"/>
        <w:rPr>
          <w:bCs/>
          <w:noProof/>
          <w:szCs w:val="24"/>
        </w:rPr>
      </w:pPr>
      <w:r>
        <w:rPr>
          <w:noProof/>
        </w:rPr>
        <w:t xml:space="preserve">Τα ενδιαφερόμενα μέρη έχουν συγκλίνουσες απόψεις σχετικά με τη συνεχιζόμενη συνάφεια των βασικών αρχών της οδηγίας για το ηλεκτρονικό εμπόριο και συμφωνούν ότι οι αρχές αυτές θα πρέπει να διατηρηθούν, συμπεριλαμβανομένης της αρχής της εσωτερικής αγοράς για την επίβλεψη των ψηφιακών υπηρεσιών, του καθεστώτος ευθύνης και της απαγόρευσης των γενικών υποχρεώσεων παρακολούθησης. </w:t>
      </w:r>
    </w:p>
    <w:p>
      <w:pPr>
        <w:spacing w:after="60"/>
        <w:rPr>
          <w:noProof/>
        </w:rPr>
      </w:pPr>
      <w:r>
        <w:rPr>
          <w:noProof/>
        </w:rPr>
        <w:t xml:space="preserve">Επιπλέον, τα ενδιαφερόμενα μέρη συμφωνούν ευρέως ότι πρέπει να αναβαθμιστεί το πλαίσιο υπό το πρίσμα των σημερινών προκλήσεων μέσω της θέσπισης σαφών υποχρεώσεων για τους παρόχους υπηρεσιών, εναρμονισμένων σε ολόκληρη την ΕΕ. Η πλειονότητα των συμμετεχόντων στη διαβούλευση, περιλαμβανομένων όλων των κατηγοριών, ανέφεραν ότι έχουν συναντήσει τόσο επιβλαβές όσο και παράνομο περιεχόμενο, αγαθά ή υπηρεσίες στο διαδίκτυο, και επισήμαναν συγκεκριμένα μια ανησυχητική απότομη αύξηση κατά τη διάρκεια της πανδημίας COVID-19. Μεγάλο ποσοστό συμμετεχόντων, οι οποίοι δηλώνουν ότι έχουν </w:t>
      </w:r>
      <w:r>
        <w:rPr>
          <w:noProof/>
        </w:rPr>
        <w:lastRenderedPageBreak/>
        <w:t>υποβάλει αναφορά παράνομου περιεχομένου ή παράνομων αγαθών σε παρόχους ψηφιακών υπηρεσιών, εξέφρασαν τη δυσαρέσκειά τους όσον αφορά την ανταπόκριση και την αναποτελεσματικότητα των μηχανισμών αναφοράς μετά την υποβολή της αναφοράς. Επιπλέον, οι χρήστες θεωρούν ότι υπάρχει αναντιστοιχία μεταξύ των αναφερόμενων πολιτικών των παρόχων και των συγκεκριμένων δράσεών τους.</w:t>
      </w:r>
    </w:p>
    <w:p>
      <w:pPr>
        <w:spacing w:after="60"/>
        <w:rPr>
          <w:noProof/>
        </w:rPr>
      </w:pPr>
      <w:r>
        <w:rPr>
          <w:noProof/>
        </w:rPr>
        <w:t xml:space="preserve">Υπάρχει ευρεία συναίνεση, και μεταξύ των παρόχων υπηρεσιών που συμμετείχαν στη διαβούλευση, όσον αφορά την ανάγκη θέσπισης απλών, τυποποιημένων, διαφανών υποχρεώσεων ειδοποίησης και δράσης, οι οποίες θα είναι εναρμονισμένες σε ολόκληρη την εσωτερική αγορά. Αυτό θεωρείται απαραίτητο προκειμένου να καταστεί δυνατή η ταχεία αντίδραση σε παράνομο περιεχόμενο και να ενισχυθεί η νομική σαφήνεια για τους χρήστες των πλατφορμών και τις μικρές πλατφόρμες που επιδιώκουν την επέκτασή τους στην εσωτερική αγορά. Οι συμμετέχοντες συμφωνούν επίσης ως προς τη σημασία ενός μηχανισμού προσφυγής. </w:t>
      </w:r>
    </w:p>
    <w:p>
      <w:pPr>
        <w:spacing w:after="60"/>
        <w:rPr>
          <w:noProof/>
        </w:rPr>
      </w:pPr>
      <w:r>
        <w:rPr>
          <w:noProof/>
        </w:rPr>
        <w:t xml:space="preserve">Όσον αφορά τις επιγραμμικές αγορές, διάφορα ενδιαφερόμενα μέρη επισήμαναν την ανάγκη λήψης πιο στοχευμένων μέτρων, όπως η ταυτοποίηση των πωλητών. </w:t>
      </w:r>
    </w:p>
    <w:p>
      <w:pPr>
        <w:spacing w:after="60"/>
        <w:rPr>
          <w:noProof/>
          <w:szCs w:val="24"/>
        </w:rPr>
      </w:pPr>
      <w:r>
        <w:rPr>
          <w:noProof/>
        </w:rPr>
        <w:t>Οι συμμετέχοντες στη διαβούλευση συμφωνούν επίσης γενικά ότι το εδαφικό πεδίο εφαρμογής αυτών των υποχρεώσεων θα πρέπει να περιλαμβάνει όλους τους φορείς που παρέχουν αγαθά, πληροφορίες ή υπηρεσίες στην Ένωση, ανεξάρτητα από τον τόπο εγκατάστασής τους. Μεγάλο ποσοστό των συμμετεχόντων τόνισε επίσης τη σημασία αυτών των ζητημάτων, ιδίως όσον αφορά τις μεγάλες πλατφόρμες.</w:t>
      </w:r>
    </w:p>
    <w:p>
      <w:pPr>
        <w:spacing w:after="60"/>
        <w:rPr>
          <w:bCs/>
          <w:noProof/>
          <w:szCs w:val="24"/>
        </w:rPr>
      </w:pPr>
      <w:r>
        <w:rPr>
          <w:noProof/>
        </w:rPr>
        <w:t xml:space="preserve">Είναι κοινώς αποδεκτό μεταξύ των ενδιαφερόμενων μερών ότι το «επιβλαβές» (αν και όχι, ή τουλάχιστον όχι απαραιτήτως, παράνομο) περιεχόμενο δεν θα πρέπει να οριστεί στην πράξη για τις ψηφιακές υπηρεσίες και δεν θα πρέπει να υπόκειται σε υποχρεώσεις απόσυρσης, καθώς πρόκειται για ευαίσθητο τομέα με σοβαρές συνέπειες για την προστασία της ελευθερίας της έκφρασης. </w:t>
      </w:r>
    </w:p>
    <w:p>
      <w:pPr>
        <w:spacing w:after="60"/>
        <w:rPr>
          <w:noProof/>
          <w:szCs w:val="24"/>
        </w:rPr>
      </w:pPr>
      <w:r>
        <w:rPr>
          <w:noProof/>
        </w:rPr>
        <w:t xml:space="preserve">Ωστόσο, ο τρόπος με τον οποίο τα αλγοριθμικά συστήματα διαμορφώνουν τις ροές πληροφοριών στο διαδίκτυο αποτελεί πηγή ανησυχίας για μια ευρεία κατηγορία ενδιαφερόμενων μερών. Διάφορα ενδιαφερόμενα μέρη, ειδικότερα η κοινωνία των πολιτών και η ακαδημαϊκή κοινότητα, επισήμαναν την ανάγκη διενέργειας ελέγχων αλγοριθμικής λογοδοσίας και διαφάνειας, ιδίως όσον αφορά τον τρόπο ιεράρχησης και στόχευσης της πληροφόρησης. Ομοίως, όσον αφορά την επιγραμμική διαφήμιση, οι απόψεις των ενδιαφερόμενων μερών απηχούν την ευρεία ανησυχία σχετικά με την έλλειψη ενίσχυσης της θέσης των χρηστών και την έλλειψη ουσιαστικής εποπτείας και επιβολής. </w:t>
      </w:r>
    </w:p>
    <w:p>
      <w:pPr>
        <w:pBdr>
          <w:top w:val="nil"/>
          <w:left w:val="nil"/>
          <w:bottom w:val="nil"/>
          <w:right w:val="nil"/>
          <w:between w:val="nil"/>
          <w:bar w:val="nil"/>
        </w:pBdr>
        <w:spacing w:before="0" w:after="240"/>
        <w:rPr>
          <w:rFonts w:eastAsia="Arial Unicode MS"/>
          <w:noProof/>
        </w:rPr>
      </w:pPr>
      <w:r>
        <w:rPr>
          <w:noProof/>
        </w:rPr>
        <w:t xml:space="preserve">Όσον αφορά την επιβολή, είναι γενικά αποδεκτό μεταξύ των ενδιαφερόμενων μερών ότι θα πρέπει να βελτιωθεί η συνεργασία μεταξύ των αρχών τόσο σε διασυνοριακό επίπεδο όσο και εντός κάθε κράτους μέλους. Η εποπτεία σε επίπεδο ΕΕ θεωρείται καίριας σημασίας και η πλειονότητα των συμμετεχόντων στη διαβούλευση φαίνεται να τάσσονται υπέρ μιας ενιαίας εποπτικής οντότητας. </w:t>
      </w:r>
    </w:p>
    <w:p>
      <w:pPr>
        <w:pStyle w:val="ManualHeading2"/>
        <w:rPr>
          <w:noProof/>
        </w:rPr>
      </w:pPr>
      <w:r>
        <w:rPr>
          <w:noProof/>
          <w:bdr w:val="nil"/>
        </w:rPr>
        <w:t>•</w:t>
      </w:r>
      <w:r>
        <w:rPr>
          <w:noProof/>
        </w:rPr>
        <w:tab/>
      </w:r>
      <w:r>
        <w:rPr>
          <w:noProof/>
          <w:bdr w:val="nil"/>
        </w:rPr>
        <w:t xml:space="preserve">Συλλογή και χρήση εμπειρογνωσίας </w:t>
      </w:r>
    </w:p>
    <w:p>
      <w:pPr>
        <w:pBdr>
          <w:top w:val="nil"/>
          <w:left w:val="nil"/>
          <w:bottom w:val="nil"/>
          <w:right w:val="nil"/>
          <w:between w:val="nil"/>
          <w:bar w:val="nil"/>
        </w:pBdr>
        <w:spacing w:before="0" w:after="240"/>
        <w:rPr>
          <w:noProof/>
          <w:szCs w:val="24"/>
        </w:rPr>
      </w:pPr>
      <w:r>
        <w:rPr>
          <w:noProof/>
        </w:rPr>
        <w:t xml:space="preserve">Οι προπαρασκευαστικές ενέργειες για την πρόταση βασίζονται σε μια σειρά μελετών και συμβουλών εμπειρογνωμόνων, μεταξύ των οποίων διάφορες κατ’ ανάθεση νομικές μελέτες που εστιάζουν στην εφαρμογή της οδηγίας για το ηλεκτρονικό εμπόριο και την κατάσταση </w:t>
      </w:r>
      <w:r>
        <w:rPr>
          <w:noProof/>
        </w:rPr>
        <w:lastRenderedPageBreak/>
        <w:t>του νομικού κατακερματισμού</w:t>
      </w:r>
      <w:r>
        <w:rPr>
          <w:rStyle w:val="FootnoteReference"/>
          <w:noProof/>
        </w:rPr>
        <w:footnoteReference w:id="16"/>
      </w:r>
      <w:r>
        <w:rPr>
          <w:noProof/>
        </w:rPr>
        <w:t>, μελέτες σχετικά με την αλγοριθμική διαφάνεια και λογοδοσία</w:t>
      </w:r>
      <w:r>
        <w:rPr>
          <w:rStyle w:val="FootnoteReference"/>
          <w:noProof/>
        </w:rPr>
        <w:footnoteReference w:id="17"/>
      </w:r>
      <w:r>
        <w:rPr>
          <w:noProof/>
        </w:rPr>
        <w:t>, καθώς και εσωτερικές μελέτες σχετικά με το κόστος του ελέγχου περιεχομένου, τα καθεστώτα ευθύνης για τους ενδιάμεσους και το κόστος της μη Ευρώπης, με την υποστήριξη του Κοινού Κέντρου Ερευνών της Ευρωπαϊκής Επιτροπής. Προκειμένου να συλλέξει τις απόψεις και αντιλήψεις του ευρέος κοινού, η Επιτροπή πραγματοποίησε το 2018 έρευνα του Ευρωβαρομέτρου με αντιπροσωπευτικό δείγμα άνω των 33 000 συμμετεχόντων από όλα τα κράτη μέλη</w:t>
      </w:r>
      <w:r>
        <w:rPr>
          <w:rStyle w:val="FootnoteReference"/>
          <w:noProof/>
        </w:rPr>
        <w:footnoteReference w:id="18"/>
      </w:r>
      <w:r>
        <w:rPr>
          <w:noProof/>
        </w:rPr>
        <w:t>.</w:t>
      </w:r>
    </w:p>
    <w:p>
      <w:pPr>
        <w:pBdr>
          <w:top w:val="nil"/>
          <w:left w:val="nil"/>
          <w:bottom w:val="nil"/>
          <w:right w:val="nil"/>
          <w:between w:val="nil"/>
          <w:bar w:val="nil"/>
        </w:pBdr>
        <w:spacing w:before="0" w:after="240"/>
        <w:rPr>
          <w:noProof/>
          <w:szCs w:val="24"/>
        </w:rPr>
      </w:pPr>
      <w:r>
        <w:rPr>
          <w:noProof/>
        </w:rPr>
        <w:t>Η νομική ανάλυση βασίζεται επίσης σε μια πλούσια συλλογή νομολογίας, ιδίως του Δικαστηρίου της Ευρωπαϊκής Ένωσης, σχετικά με διάφορες διατάξεις της οδηγίας για το ηλεκτρονικό εμπόριο και συναφών πράξεων, όπως διατάξεις που αφορούν την ερμηνεία της έννοιας των «υπηρεσιών της κοινωνίας των πληροφοριών»</w:t>
      </w:r>
      <w:r>
        <w:rPr>
          <w:rStyle w:val="FootnoteReference"/>
          <w:noProof/>
        </w:rPr>
        <w:footnoteReference w:id="19"/>
      </w:r>
      <w:r>
        <w:rPr>
          <w:noProof/>
        </w:rPr>
        <w:t xml:space="preserve"> ή διατάξεις που αφορούν την ευθύνη των παρόχων ενδιάμεσων υπηρεσιών</w:t>
      </w:r>
      <w:r>
        <w:rPr>
          <w:rStyle w:val="FootnoteReference"/>
          <w:noProof/>
        </w:rPr>
        <w:footnoteReference w:id="20"/>
      </w:r>
      <w:r>
        <w:rPr>
          <w:noProof/>
        </w:rPr>
        <w:t xml:space="preserve">. Η Επιτροπή συνέλεξε επίσης εμπειρογνωσία και απόψεις μέσω στοχευμένων διαβουλεύσεων και δραστηριοτήτων συμμετοχής, συμπεριλαμβανομένων σειράς εργαστηρίων, διασκέψεων, συνεντεύξεων με εμπειρογνώμονες και δικαστές, διαβουλεύσεων με την ομάδα εμπειρογνωμόνων για το ηλεκτρονικό εμπόριο, καθώς και διαφόρων διμερών συναντήσεων και αναλύσεων ad hoc εγγράφων θέσης και ερευνητικών εργασιών από οργανώσεις, εκπροσώπους του κλάδου, την κοινωνία των πολιτών και τον ακαδημαϊκό χώρο. </w:t>
      </w:r>
    </w:p>
    <w:p>
      <w:pPr>
        <w:pBdr>
          <w:top w:val="nil"/>
          <w:left w:val="nil"/>
          <w:bottom w:val="nil"/>
          <w:right w:val="nil"/>
          <w:between w:val="nil"/>
          <w:bar w:val="nil"/>
        </w:pBdr>
        <w:spacing w:before="0" w:after="240"/>
        <w:rPr>
          <w:rFonts w:eastAsia="Arial Unicode MS"/>
          <w:noProof/>
        </w:rPr>
      </w:pPr>
      <w:r>
        <w:rPr>
          <w:noProof/>
        </w:rPr>
        <w:t>Τέλος, η ανάλυση βασίζεται σε πρόσθετη βιβλιογραφική ανασκόπηση, μελέτες και ερευνητικές εργασίες που υποβλήθηκαν από ακαδημαϊκούς στο πλαίσιο της ανοικτής δημόσιας διαβούλευσης, καθώς και σε άλλες ανεξάρτητες μελέτες, συμπεριλαμβανομένης της συλλογής μελετών που εκπονήθηκαν για λογαριασμό του Ευρωπαϊκού Κοινοβουλίου</w:t>
      </w:r>
      <w:r>
        <w:rPr>
          <w:rStyle w:val="FootnoteReference"/>
          <w:noProof/>
        </w:rPr>
        <w:footnoteReference w:id="21"/>
      </w:r>
      <w:r>
        <w:rPr>
          <w:noProof/>
        </w:rPr>
        <w:t xml:space="preserve">. </w:t>
      </w:r>
    </w:p>
    <w:p>
      <w:pPr>
        <w:pStyle w:val="ManualHeading2"/>
        <w:rPr>
          <w:noProof/>
        </w:rPr>
      </w:pPr>
      <w:r>
        <w:rPr>
          <w:noProof/>
          <w:bdr w:val="nil"/>
        </w:rPr>
        <w:t>•</w:t>
      </w:r>
      <w:r>
        <w:rPr>
          <w:noProof/>
        </w:rPr>
        <w:tab/>
      </w:r>
      <w:r>
        <w:rPr>
          <w:noProof/>
          <w:bdr w:val="nil"/>
        </w:rPr>
        <w:t>Εκτίμηση επιπτώσεων</w:t>
      </w:r>
    </w:p>
    <w:p>
      <w:pPr>
        <w:rPr>
          <w:bCs/>
          <w:noProof/>
          <w:szCs w:val="24"/>
        </w:rPr>
      </w:pPr>
      <w:r>
        <w:rPr>
          <w:noProof/>
        </w:rPr>
        <w:t>Η επιτροπή ρυθμιστικού ελέγχου εξέδωσε θετική γνώμη με επιφυλάξεις σχετικά με την εκτίμηση επιπτώσεων, συμπεριλαμβανομένων συστάσεων για βελτίωση</w:t>
      </w:r>
      <w:r>
        <w:rPr>
          <w:rStyle w:val="FootnoteReference"/>
          <w:noProof/>
        </w:rPr>
        <w:footnoteReference w:id="22"/>
      </w:r>
      <w:r>
        <w:rPr>
          <w:noProof/>
        </w:rPr>
        <w:t xml:space="preserve">. Η έκθεση </w:t>
      </w:r>
      <w:r>
        <w:rPr>
          <w:noProof/>
        </w:rPr>
        <w:lastRenderedPageBreak/>
        <w:t xml:space="preserve">εκτίμησης επιπτώσεων αναθεωρήθηκε περαιτέρω σύμφωνα με αυτές τις κατευθυντήριες γραμμές· διευκρινίστηκαν ιδίως οι διασυνδέσεις μεταξύ της πράξης για τις ψηφιακές υπηρεσίες και του ευρύτερου κανονιστικού πλαισίου, με την παροχή λεπτομερέστερων περιγραφών των επιλογών πολιτικής και μιας λεπτομερέστερης ανάλυσης των υποκείμενων στοιχείων που εξετάστηκαν στην αναθεωρημένη έκθεση εκτίμησης επιπτώσεων. </w:t>
      </w:r>
    </w:p>
    <w:p>
      <w:pPr>
        <w:rPr>
          <w:bCs/>
          <w:noProof/>
          <w:szCs w:val="24"/>
        </w:rPr>
      </w:pPr>
      <w:r>
        <w:rPr>
          <w:noProof/>
        </w:rPr>
        <w:t xml:space="preserve">Η σημασία των ψηφιακών υπηρεσιών στην οικονομία και την κοινωνία μας, αλλά και οι αυξανόμενοι κίνδυνοι τους οποίους συνεπάγονται, θα εξακολουθήσουν να κλιμακώνονται. Σύμφωνα με το βασικό σενάριο, η Επιτροπή θα συνεχίσει να επιβάλλει τους υφιστάμενους κανόνες, μεταξύ άλλων, σχετικά με τομεακά ζητήματα, και θα στηρίζει τις προσπάθειες αυτορρύθμισης. Ωστόσο, τα κράτη μέλη, τα οποία βρίσκονται αντιμέτωπα με τα εξελισσόμενα προβλήματα, θα συνεχίσουν να νομοθετούν ανεξάρτητα. O νομικός κατακερματισμός και το επακόλουθο συνονθύλευμα εθνικών μέτρων όχι μόνο δεν θα αντιμετωπίσουν αποτελεσματικά τις παράνομες δραστηριότητες και δεν θα προστατεύσουν τα θεμελιώδη δικαιώματα των πολιτών σε ολόκληρη την ΕΕ, αλλά θα εμποδίσουν επίσης την επέκταση νέων, καινοτόμων υπηρεσιών στην εσωτερική αγορά, οδηγώντας σε εδραίωση της θέσης των λιγοστών φορέων που μπορούν να αντεπεξέλθουν στο πρόσθετο κόστος συμμόρφωσης. Κατά συνέπεια, ο καθορισμός και η επιβολή των κανόνων επαφίενται κυρίως σε πολύ μεγάλες ιδιωτικές εταιρείες, με αποτέλεσμα να αυξάνεται ολοένα περισσότερο η ασυμμετρία πληροφόρησης μεταξύ των επιγραμμικών υπηρεσιών, των χρηστών τους και των δημόσιων αρχών. </w:t>
      </w:r>
    </w:p>
    <w:p>
      <w:pPr>
        <w:rPr>
          <w:bCs/>
          <w:noProof/>
          <w:szCs w:val="24"/>
        </w:rPr>
      </w:pPr>
      <w:r>
        <w:rPr>
          <w:noProof/>
        </w:rPr>
        <w:t>Επιπλέον του βασικού σεναρίου αξιολογήθηκαν τρεις βασικές επιλογές πολιτικής. Η επιλογή 1 συνίστατο στην κωδικοποίηση της σύστασης του 2018: θα καθορίζονταν διάφορες διαδικαστικές υποχρεώσεις για τις επιγραμμικές πλατφόρμες με σκοπό την αντιμετώπιση των παράνομων δραστηριοτήτων των χρηστών τους. Στις υποχρεώσεις θα περιλαμβάνονταν επίσης οι απαραίτητες διασφαλίσεις για την προστασία των θεμελιωδών δικαιωμάτων των χρηστών και τη διασφάλιση της διαφάνειας. Επιπλέον, θα ενισχύονταν οι μηχανισμοί διοικητικής συνεργασίας των αρχών για την επίλυση διασυνοριακών ζητημάτων μέσω ενός ψηφιακού γραφείου εκκαθάρισης, με αποτέλεσμα τη διευκόλυνση των ροών πληροφοριών. Η επιλογή 2 προέβλεπε, επιπλέον των μέτρων της επιλογής 1, την άρση των αντικινήτρων για τη λήψη εθελοντικών μέτρων κατά του παράνομου περιεχομένου από τους παρόχους υπηρεσιών και τη θέσπιση μέτρων για την ενίσχυση της διαφάνειας όσον αφορά τα συστήματα συστάσεων και τη διαφήμιση. Ο μηχανισμός επιβολής και συνεργασίας θα ενισχυόταν με τον διορισμό κεντρικού συντονιστή σε κάθε κράτος μέλος. Η επιλογή 3, η οποία βασίζεται στα μέτρα που περιγράφονται στις προηγούμενες επιλογές, περιλαμβάνει στοχευμένα, ασύμμετρα μέτρα με αυστηρότερες υποχρεώσεις για τις πολύ μεγάλες επιγραμμικές πλατφόρμες, οι οποίες είναι επιρρεπείς στα υψηλότερα επίπεδα κινδύνων για την κοινωνία και την οικονομία της ΕΕ, καθώς και ορισμένες περιορισμένες διευκρινίσεις σχετικά με το καθεστώς ευθύνης για τους παρόχους ενδιάμεσων υπηρεσιών και ένα σύστημα διακυβέρνησης της ΕΕ με ενισχυμένες εξουσίες εποπτείας και επιβολής.</w:t>
      </w:r>
    </w:p>
    <w:p>
      <w:pPr>
        <w:rPr>
          <w:noProof/>
        </w:rPr>
      </w:pPr>
      <w:r>
        <w:rPr>
          <w:noProof/>
        </w:rPr>
        <w:t xml:space="preserve">Από την εκτίμηση των οικονομικών και κοινωνικών επιπτώσεων, καθώς και από τη σύγκριση της αποτελεσματικότητας, της αποδοτικότητας, της συνοχής και της αναλογικότητας της επιλογής 3, προέκυψε ότι με τη συγκεκριμένη επιλογή θα επιτυγχάνονταν αποτελεσματικότερα οι στόχοι της παρέμβασης με τη θέσπιση αναλογικού πλαισίου κατάλληλου να προσαρμόζεται στις αναδυόμενες προκλήσεις του δυναμικού ψηφιακού κόσμου. Τα στοιχεία που περιλαμβάνονται στην επιλογή 3 υποστηρίζονται επίσης ευρέως από τα ενδιαφερόμενα μέρη, μεταξύ άλλων, και σε θέσεις του Ευρωπαϊκού Κοινοβουλίου και των κρατών μελών. </w:t>
      </w:r>
    </w:p>
    <w:p>
      <w:pPr>
        <w:rPr>
          <w:noProof/>
        </w:rPr>
      </w:pPr>
      <w:r>
        <w:rPr>
          <w:noProof/>
        </w:rPr>
        <w:t xml:space="preserve">Η προτιμώμενη επιλογή θα στηρίξει την πρόσβαση των παρόχων ενδιάμεσων υπηρεσιών της Ευρωπαϊκής Ένωσης στην εσωτερική αγορά, καθώς και την ικανότητα επέκτασής τους μέσω </w:t>
      </w:r>
      <w:r>
        <w:rPr>
          <w:noProof/>
        </w:rPr>
        <w:lastRenderedPageBreak/>
        <w:t xml:space="preserve">μείωσης του κόστους που συνδέεται με τον νομικό κατακερματισμό. Παρότι αναμένεται κόστος συμμόρφωσης με τις υποχρεώσεις δέουσας επιμέλειας, εκτιμάται ότι το κόστος αυτό θα αντισταθμιστεί με τη μείωση του υφιστάμενου κατακερματισμού μέσω εναρμόνισης. Αναμένεται θετικός αντίκτυπος στην ανταγωνιστικότητα, στην καινοτομία και στις επενδύσεις στις ψηφιακές υπηρεσίες, ιδίως για τις νεοφυείς και επεκτεινόμενες νέες επιχειρήσεις της Ευρωπαϊκής Ένωσης που παρέχουν επιχειρηματικά μοντέλα πλατφορμών, αλλά και, σε διαφορετικό βαθμό, για τους τομείς που βασίζονται στο ψηφιακό εμπόριο και μεγεθύνονται από αυτό. </w:t>
      </w:r>
    </w:p>
    <w:p>
      <w:pPr>
        <w:rPr>
          <w:noProof/>
        </w:rPr>
      </w:pPr>
      <w:r>
        <w:rPr>
          <w:noProof/>
        </w:rPr>
        <w:t xml:space="preserve">Η προτιμώμενη επιλογή επιδιώκει να καθορίσει τον κατάλληλο καταμερισμό των αρμοδιοτήτων μεταξύ των ενδιάμεσων υπηρεσιών, των αποδεκτών τους και των αρχών κατά την καταπολέμηση του παράνομου περιεχομένου στο διαδίκτυο. Για τον σκοπό αυτόν, εισάγει μια ασύμμετρη προσέγγιση των υποχρεώσεων δέουσας επιμέλειας που επιβάλλονται στις πολύ μεγάλες επιγραμμικές πλατφόρμες: πρόκειται για μια προσέγγιση επιβλεπόμενης διαχείρισης κινδύνων, στο πλαίσιο της οποίας το σύστημα διακυβέρνησης για την επιβολή διαδραματίζει σημαντικό ρόλο. Οι ασύμμετρες υποχρεώσεις επιβάλλονται μόνο στις πολύ μεγάλες επιγραμμικές πλατφόρμες, οι οποίες, βάσει των υφιστάμενων στοιχείων, όχι μόνο έχουν την ευρύτερη εμβέλεια, αλλά είναι επίσης μεγάλες εταιρείες με σημαντικό κύκλο εργασιών. Κατά συνέπεια, παρότι τα στοχευμένα μέτρα είναι περισσότερο περιοριστικά απ’ ό,τι για άλλες εταιρείες, είναι αναλογικά προς την ικανότητα συμμόρφωσης των εταιρειών. </w:t>
      </w:r>
    </w:p>
    <w:p>
      <w:pPr>
        <w:rPr>
          <w:rFonts w:eastAsia="Arial Unicode MS"/>
          <w:noProof/>
        </w:rPr>
      </w:pPr>
      <w:r>
        <w:rPr>
          <w:noProof/>
        </w:rPr>
        <w:t>Για τις δημόσιες αρχές, η προτεινόμενη επιλογή θα μειώσει το κόστος που προκύπτει από τις ανεπάρκειες και τις αλληλεπικαλύψεις στο υφιστάμενο πλαίσιο συνεργασίας των αρχών. Παρότι τα κράτη μέλη θα επιβαρυνθούν με το κόστος διορισμού αρμόδιας αρχής, νέας ή ήδη συσταθείσας, η βελτίωση της αποδοτικότητας αναμένεται να αντισταθμίσει το κόστος αυτό: για τις επιμέρους αρχές μέσω της αμοιβαιοποίησης των πόρων, των καλύτερων ροών πληροφοριών και των απλών διαδικασιών για την αλληλεπίδραση με ομόλογες αρχές σε ολόκληρη την εσωτερική αγορά, καθώς και με τους παρόχους υπηρεσιών.</w:t>
      </w:r>
    </w:p>
    <w:p>
      <w:pPr>
        <w:pStyle w:val="ManualHeading2"/>
        <w:rPr>
          <w:noProof/>
        </w:rPr>
      </w:pPr>
      <w:r>
        <w:rPr>
          <w:noProof/>
          <w:bdr w:val="nil"/>
        </w:rPr>
        <w:t>•</w:t>
      </w:r>
      <w:r>
        <w:rPr>
          <w:noProof/>
        </w:rPr>
        <w:tab/>
      </w:r>
      <w:r>
        <w:rPr>
          <w:noProof/>
          <w:bdr w:val="nil"/>
        </w:rPr>
        <w:t>Καταλληλότητα και απλούστευση του κανονιστικού πλαισίου</w:t>
      </w:r>
    </w:p>
    <w:p>
      <w:pPr>
        <w:rPr>
          <w:rFonts w:eastAsia="Arial Unicode MS"/>
          <w:noProof/>
        </w:rPr>
      </w:pPr>
      <w:r>
        <w:rPr>
          <w:noProof/>
        </w:rPr>
        <w:t xml:space="preserve">Σύμφωνα με την εκτίμηση επιπτώσεων που συνοδεύει την παρούσα πρόταση, η μοναδική προστιθέμενη αξία της παρέμβασης της Ένωσης για την αντιμετώπιση του κινδύνου του νομικού κατακερματισμού που προκύπτει από τις αποκλίνουσες ρυθμιστικές και εποπτικές προσεγγίσεις (επομένως, χωρίς να συνυπολογιστεί η αυξημένη ασφάλεια και εμπιστοσύνη στις ψηφιακές υπηρεσίες) συνίσταται στην πιθανή αύξηση του διασυνοριακού ψηφιακού εμπορίου από 1 έως 1,8 %, ποσοστό που ισοδυναμεί με αύξηση του κύκλου εργασιών σε διασυνοριακό επίπεδο κατά 8,6 δισ. EUR έως και 15,5 δισ. EUR. </w:t>
      </w:r>
    </w:p>
    <w:p>
      <w:pPr>
        <w:rPr>
          <w:rFonts w:eastAsia="Arial Unicode MS"/>
          <w:noProof/>
        </w:rPr>
      </w:pPr>
      <w:r>
        <w:rPr>
          <w:noProof/>
        </w:rPr>
        <w:t xml:space="preserve">Όσον αφορά την προστιθέμενη αξία στην επιβολή των μέτρων, η πρωτοβουλία οδηγεί σε σημαντική βελτίωση της αποδοτικότητας της συνεργασίας μεταξύ των κρατών μελών και σε αμοιβαιοποίηση ορισμένων πόρων για την παροχή τεχνικής βοήθειας σε επίπεδο ΕΕ, για σκοπούς επιθεώρησης και ελέγχου συστημάτων ελέγχου περιεχομένου, συστημάτων συστάσεων και της επιγραμμικής διαφήμισης σε πολύ μεγάλες επιγραμμικές πλατφόρμες. Αυτό οδηγεί, με τη σειρά του, σε αυξημένη αποτελεσματικότητα των μέτρων επιβολής και επίβλεψης, ενώ το υφιστάμενο σύστημα βασίζεται σε μεγάλο βαθμό στην περιορισμένη ικανότητα επίβλεψης σε έναν μικρό αριθμό κρατών μελών. </w:t>
      </w:r>
    </w:p>
    <w:p>
      <w:pPr>
        <w:pStyle w:val="ManualHeading2"/>
        <w:rPr>
          <w:noProof/>
        </w:rPr>
      </w:pPr>
      <w:r>
        <w:rPr>
          <w:noProof/>
          <w:bdr w:val="nil"/>
        </w:rPr>
        <w:t>•</w:t>
      </w:r>
      <w:r>
        <w:rPr>
          <w:noProof/>
        </w:rPr>
        <w:tab/>
      </w:r>
      <w:r>
        <w:rPr>
          <w:noProof/>
          <w:bdr w:val="nil"/>
        </w:rPr>
        <w:t xml:space="preserve">Θεμελιώδη δικαιώματα </w:t>
      </w:r>
    </w:p>
    <w:p>
      <w:pPr>
        <w:pBdr>
          <w:top w:val="nil"/>
          <w:left w:val="nil"/>
          <w:bottom w:val="nil"/>
          <w:right w:val="nil"/>
          <w:between w:val="nil"/>
          <w:bar w:val="nil"/>
        </w:pBdr>
        <w:spacing w:before="0" w:after="240"/>
        <w:rPr>
          <w:rFonts w:eastAsia="Arial Unicode MS"/>
          <w:noProof/>
        </w:rPr>
      </w:pPr>
      <w:r>
        <w:rPr>
          <w:noProof/>
        </w:rPr>
        <w:t xml:space="preserve">Οι πολίτες της Ένωσης και άλλοι εκτίθενται σε ολοένα αυξανόμενους κινδύνους και επιζήμιους παράγοντες στο διαδίκτυο —από τη διάδοση παράνομου περιεχομένου και δραστηριοτήτων μέχρι περιορισμούς στη δυνατότητα έκφρασης και άλλες επιζήμιες </w:t>
      </w:r>
      <w:r>
        <w:rPr>
          <w:noProof/>
        </w:rPr>
        <w:lastRenderedPageBreak/>
        <w:t>κοινωνικές συνέπειες. Τα μέτρα πολιτικής που προβλέπονται στην παρούσα νομοθετική πρόταση θα βελτιώσουν σημαντικά αυτή την κατάσταση με την παροχή ενός σύγχρονου και διαχρονικού πλαισίου διακυβέρνησης, το οποίο διαφυλάσσει αποτελεσματικά τα δικαιώματα και τα έννομα συμφέροντα όλων των εμπλεκόμενων μερών, κυρίως των πολιτών της Ένωσης. Η πρόταση εισάγει σημαντικές διασφαλίσεις ώστε οι πολίτες να μπορούν να εκφράζονται ελεύθερα, με παράλληλη ενίσχυση της αυτενέργειας των χρηστών στο επιγραμμικό περιβάλλον, καθώς και της άσκησης άλλων θεμελιωδών δικαιωμάτων όπως το δικαίωμα πραγματικής προσφυγής, η απαγόρευση των διακρίσεων, τα δικαιώματα του παιδιού και η προστασία των δεδομένων προσωπικού χαρακτήρα και της ιδιωτικής ζωής στο διαδίκτυο.</w:t>
      </w:r>
    </w:p>
    <w:p>
      <w:pPr>
        <w:pBdr>
          <w:top w:val="nil"/>
          <w:left w:val="nil"/>
          <w:bottom w:val="nil"/>
          <w:right w:val="nil"/>
          <w:between w:val="nil"/>
          <w:bar w:val="nil"/>
        </w:pBdr>
        <w:spacing w:after="240"/>
        <w:rPr>
          <w:noProof/>
        </w:rPr>
      </w:pPr>
      <w:r>
        <w:rPr>
          <w:noProof/>
        </w:rPr>
        <w:t xml:space="preserve">Ο προτεινόμενος κανονισμός θα μετριάσει τους κινδύνους εσφαλμένης ή αδικαιολόγητης παρεμπόδισης του λόγου, θα αντιμετωπίσει τις αποτρεπτικές επιπτώσεις στον λόγο, θα προαγάγει την ελευθερία της πληροφόρησης και διατύπωσης απόψεων, ενώ παράλληλα θα ενισχύσει τις δυνατότητες προσφυγής των χρηστών. Συγκεκριμένες ομάδες ή άτομα ενδέχεται να είναι </w:t>
      </w:r>
      <w:r>
        <w:rPr>
          <w:noProof/>
          <w:color w:val="000000" w:themeColor="text1"/>
        </w:rPr>
        <w:t xml:space="preserve">ευάλωτα ή να βρίσκονται σε μειονεκτική θέση κατά τη χρήση των επιγραμμικών υπηρεσιών λόγω φύλου, φυλετικής ή εθνοτικής καταγωγής, θρησκείας ή πεποιθήσεων, αναπηρίας, ηλικίας ή γενετήσιου προσανατολισμού. Μπορεί να πληγούν δυσανάλογα από περιορισμούς και μέτρα απόσυρσης που προκύπτουν από (ασυνείδητες ή συνειδητές) προκαταλήψεις οι οποίες είναι ενδεχομένως ενσωματωμένες στα συστήματα αναφοράς από χρήστες και τρίτους, και </w:t>
      </w:r>
      <w:r>
        <w:rPr>
          <w:noProof/>
        </w:rPr>
        <w:t xml:space="preserve">αναπαράγονται σε αυτοματοποιημένα εργαλεία ελέγχου περιεχομένου που χρησιμοποιούνται από τις πλατφόρμες. Η πρόταση θα μετριάσει τους κινδύνους διακρίσεων, ιδίως για τις συγκεκριμένες ομάδες ή άτομα, και θα συμβάλει στην προστασία των δικαιωμάτων του παιδιού και του δικαιώματος στην ανθρώπινη αξιοπρέπεια στο διαδίκτυο. Σύμφωνα με την πρόταση, θα απαιτείται μόνο η απόσυρση παράνομου περιεχομένου και θα επιβληθούν υποχρεωτικές διασφαλίσεις κατά την αφαίρεση των πληροφοριών των χρηστών, περιλαμβανομένης της παροχής επεξηγηματικών πληροφοριών στον χρήστη, μηχανισμών καταγγελιών που υποστηρίζονται από τους παρόχους υπηρεσιών, καθώς και εξωτερικού μηχανισμού εξωδικαστικής επίλυσης διαφορών. Επιπλέον, θα διασφαλιστεί ότι οι πολίτες της ΕΕ προστατεύονται και κατά τη χρήση υπηρεσιών που παρέχονται από παρόχους που δεν είναι εγκατεστημένοι στην Ένωση αλλά δραστηριοποιούνται στην εσωτερική αγορά, δεδομένου ότι καλύπτονται και αυτοί οι πάροχοι. </w:t>
      </w:r>
    </w:p>
    <w:p>
      <w:pPr>
        <w:pBdr>
          <w:top w:val="nil"/>
          <w:left w:val="nil"/>
          <w:bottom w:val="nil"/>
          <w:right w:val="nil"/>
          <w:between w:val="nil"/>
          <w:bar w:val="nil"/>
        </w:pBdr>
        <w:spacing w:after="240"/>
        <w:rPr>
          <w:noProof/>
        </w:rPr>
      </w:pPr>
      <w:r>
        <w:rPr>
          <w:noProof/>
        </w:rPr>
        <w:t xml:space="preserve">Όσον αφορά την επιχειρηματική ελευθερία των παρόχων υπηρεσιών, το κόστος που βαρύνει τις επιχειρήσεις αντισταθμίζεται με τη μείωση του κατακερματισμού σε ολόκληρη την εσωτερική αγορά. Η πρόταση εισάγει διασφαλίσεις για την ελάφρυνση της επιβάρυνσης των παρόχων υπηρεσιών, όπως μέτρα κατά των επαναλαμβανόμενων αδικαιολόγητων ειδοποιήσεων και προηγούμενη διαπίστευση αξιόπιστων πηγών επισήμανσης παράνομου περιεχομένου από δημόσιες αρχές. Επιπλέον, ορισμένες υποχρεώσεις αφορούν τις πολύ μεγάλες επιγραμμικές πλατφόρμες, όπου συχνά προκύπτουν οι σοβαρότεροι κίνδυνοι και οι οποίες έχουν την ικανότητα να απορροφήσουν την πρόσθετη επιβάρυνση. </w:t>
      </w:r>
    </w:p>
    <w:p>
      <w:pPr>
        <w:pBdr>
          <w:top w:val="nil"/>
          <w:left w:val="nil"/>
          <w:bottom w:val="nil"/>
          <w:right w:val="nil"/>
          <w:between w:val="nil"/>
          <w:bar w:val="nil"/>
        </w:pBdr>
        <w:spacing w:after="240"/>
        <w:rPr>
          <w:noProof/>
        </w:rPr>
      </w:pPr>
      <w:r>
        <w:rPr>
          <w:noProof/>
        </w:rPr>
        <w:t>Η προτεινόμενη νομοθεσία θα διατηρήσει την απαγόρευση των γενικών υποχρεώσεων παρακολούθησης που προβλέπεται στην οδηγία για το ηλεκτρονικό εμπόριο και η οποία έχει αφ’ εαυτής καίρια σημασία για την επίτευξη της απαιτούμενης δίκαιης ισορροπίας των θεμελιωδών δικαιωμάτων στον επιγραμμικό κόσμο. Ο νέος κανονισμός απαγορεύει τις γενικές υποχρεώσεις παρακολούθησης, διότι θα μπορούσαν να περιορίσουν δυσανάλογα την ελευθερία έκφρασης και πληροφόρησης των χρηστών, και θα μπορούσαν να επιβαρύνουν υπερβολικά τους παρόχους υπηρεσιών, με αποτέλεσμα την αδικαιολόγητη επέμβαση στην επιχειρηματική ελευθερία τους. Η απαγόρευση περιορίζει επίσης τα κίνητρα για επιγραμμική επιτήρηση και έχει θετικές επιπτώσεις στην προστασία των δεδομένων προσωπικού χαρακτήρα και της ιδιωτικής ζωής.</w:t>
      </w:r>
    </w:p>
    <w:p>
      <w:pPr>
        <w:pBdr>
          <w:top w:val="nil"/>
          <w:left w:val="nil"/>
          <w:bottom w:val="nil"/>
          <w:right w:val="nil"/>
          <w:between w:val="nil"/>
          <w:bar w:val="nil"/>
        </w:pBdr>
        <w:spacing w:after="240"/>
        <w:rPr>
          <w:noProof/>
        </w:rPr>
      </w:pPr>
      <w:r>
        <w:rPr>
          <w:noProof/>
        </w:rPr>
        <w:lastRenderedPageBreak/>
        <w:t>Όλα τα μέτρα που περιλαμβάνονται στην πρόταση συμμορφώνονται και ευθυγραμμίζονται πλήρως με το υψηλό πρότυπο της προστασίας των δεδομένων προσωπικού χαρακτήρα και της προστασίας του απορρήτου των επικοινωνιών και της ιδιωτικής ζωής, το οποίο καθορίζεται στη νομοθεσία της ΕΕ.</w:t>
      </w:r>
    </w:p>
    <w:p>
      <w:pPr>
        <w:pStyle w:val="ManualHeading1"/>
        <w:rPr>
          <w:noProof/>
        </w:rPr>
      </w:pPr>
      <w:r>
        <w:rPr>
          <w:noProof/>
        </w:rPr>
        <w:t>4.</w:t>
      </w:r>
      <w:r>
        <w:rPr>
          <w:noProof/>
        </w:rPr>
        <w:tab/>
        <w:t xml:space="preserve">ΔΗΜΟΣΙΟΝΟΜΙΚΕΣ ΕΠΙΠΤΩΣΕΙΣ </w:t>
      </w:r>
    </w:p>
    <w:p>
      <w:pPr>
        <w:rPr>
          <w:noProof/>
        </w:rPr>
      </w:pPr>
      <w:r>
        <w:rPr>
          <w:noProof/>
        </w:rPr>
        <w:t xml:space="preserve">Οι δημοσιονομικές επιπτώσεις της πρότασης θα καλυφθούν από τις πιστώσεις που προβλέπονται στο ΠΔΠ 2021-27 στο πλαίσιο των χρηματοδοτικών κονδυλίων του προγράμματος «Ψηφιακή Ευρώπη» και του προγράμματος για την ενιαία αγορά, όπως περιγράφεται στο νομοθετικό δημοσιονομικό δελτίο που συνοδεύει την παρούσα πρόταση κανονισμού. Αυτές οι επιπτώσεις απαιτούν επίσης αναπρογραμματισμό του τομέα 7 των δημοσιονομικών προοπτικών. </w:t>
      </w:r>
    </w:p>
    <w:p>
      <w:pPr>
        <w:rPr>
          <w:rFonts w:eastAsia="Arial Unicode MS"/>
          <w:noProof/>
        </w:rPr>
      </w:pPr>
      <w:r>
        <w:rPr>
          <w:noProof/>
        </w:rPr>
        <w:t>Το νομοθετικό δημοσιονομικό δελτίο που συνοδεύει την παρούσα πρόταση κανονισμού καλύπτει τις δημοσιονομικές επιπτώσεις του κανονισμού.</w:t>
      </w:r>
    </w:p>
    <w:p>
      <w:pPr>
        <w:pStyle w:val="ManualHeading1"/>
        <w:rPr>
          <w:noProof/>
        </w:rPr>
      </w:pPr>
      <w:r>
        <w:rPr>
          <w:noProof/>
        </w:rPr>
        <w:t>5.</w:t>
      </w:r>
      <w:r>
        <w:rPr>
          <w:noProof/>
        </w:rPr>
        <w:tab/>
        <w:t>ΛΟΙΠΑ ΣΤΟΙΧΕΙΑ</w:t>
      </w:r>
    </w:p>
    <w:p>
      <w:pPr>
        <w:pStyle w:val="ManualHeading2"/>
        <w:rPr>
          <w:noProof/>
        </w:rPr>
      </w:pPr>
      <w:r>
        <w:rPr>
          <w:noProof/>
          <w:bdr w:val="nil"/>
        </w:rPr>
        <w:t>•</w:t>
      </w:r>
      <w:r>
        <w:rPr>
          <w:noProof/>
        </w:rPr>
        <w:tab/>
      </w:r>
      <w:r>
        <w:rPr>
          <w:noProof/>
          <w:bdr w:val="nil"/>
        </w:rPr>
        <w:t xml:space="preserve">Σχέδια εφαρμογής και ρυθμίσεις παρακολούθησης, αξιολόγησης και υποβολής εκθέσεων </w:t>
      </w:r>
    </w:p>
    <w:p>
      <w:pPr>
        <w:rPr>
          <w:noProof/>
        </w:rPr>
      </w:pPr>
      <w:r>
        <w:rPr>
          <w:noProof/>
        </w:rPr>
        <w:t xml:space="preserve">Η Επιτροπή θα θεσπίσει ολοκληρωμένο πλαίσιο για τη συνεχή παρακολούθηση των εκροών, των αποτελεσμάτων και των επιπτώσεων της παρούσας νομοθετικής πράξης κατά την ημερομηνία έναρξης της εφαρμογής της. Βάσει του καταρτισθέντος προγράμματος παρακολούθησης, προβλέπεται αξιολόγηση της πράξης εντός πέντε ετών από την έναρξη ισχύος της. </w:t>
      </w:r>
    </w:p>
    <w:p>
      <w:pPr>
        <w:pStyle w:val="ManualHeading2"/>
        <w:rPr>
          <w:noProof/>
        </w:rPr>
      </w:pPr>
      <w:r>
        <w:rPr>
          <w:noProof/>
          <w:bdr w:val="nil"/>
        </w:rPr>
        <w:t>•</w:t>
      </w:r>
      <w:r>
        <w:rPr>
          <w:noProof/>
        </w:rPr>
        <w:tab/>
      </w:r>
      <w:r>
        <w:rPr>
          <w:noProof/>
          <w:bdr w:val="nil"/>
        </w:rPr>
        <w:t xml:space="preserve">Αναλυτική επεξήγηση των επιμέρους διατάξεων της πρότασης </w:t>
      </w:r>
    </w:p>
    <w:p>
      <w:pPr>
        <w:pBdr>
          <w:top w:val="nil"/>
          <w:left w:val="nil"/>
          <w:bottom w:val="nil"/>
          <w:right w:val="nil"/>
          <w:between w:val="nil"/>
          <w:bar w:val="nil"/>
        </w:pBdr>
        <w:spacing w:before="0" w:after="240"/>
        <w:rPr>
          <w:noProof/>
        </w:rPr>
      </w:pPr>
      <w:r>
        <w:rPr>
          <w:noProof/>
        </w:rPr>
        <w:t>Στο κεφάλαιο Ι παρατίθενται γενικές διατάξεις, συμπεριλαμβανομένων του αντικειμένου και του πεδίου εφαρμογής του κανονισμού (άρθρο 1) και των ορισμών βασικών όρων που χρησιμοποιούνται στον κανονισμό (άρθρο 2).</w:t>
      </w:r>
    </w:p>
    <w:p>
      <w:pPr>
        <w:pBdr>
          <w:top w:val="nil"/>
          <w:left w:val="nil"/>
          <w:bottom w:val="nil"/>
          <w:right w:val="nil"/>
          <w:between w:val="nil"/>
          <w:bar w:val="nil"/>
        </w:pBdr>
        <w:spacing w:before="0" w:after="240"/>
        <w:rPr>
          <w:noProof/>
        </w:rPr>
      </w:pPr>
      <w:r>
        <w:rPr>
          <w:noProof/>
        </w:rPr>
        <w:t xml:space="preserve">Το κεφάλαιο II περιλαμβάνει διατάξεις σχετικά με την απαλλαγή των παρόχων ενδιάμεσων υπηρεσιών από την ευθύνη. Ειδικότερα, περιλαμβάνει τις προϋποθέσεις υπό τις οποίες οι πάροχοι υπηρεσιών απλής μετάδοσης (άρθρο 3), προσωρινής αποθήκευσης (άρθρο 4) και φιλοξενίας (άρθρο 5) απαλλάσσονται από την ευθύνη για τις πληροφορίες τρίτων τις οποίες μεταδίδουν και αποθηκεύουν. Ορίζει επίσης ότι οι απαλλαγές από την ευθύνη δεν θα πρέπει να μην εφαρμόζονται όταν οι πάροχοι ενδιάμεσων υπηρεσιών πραγματοποιούν εθελοντικές αυτεπάγγελτες έρευνες ή συμμορφώνονται με τον νόμο (άρθρο 6) και προβλέπει απαγόρευση της επιβολής γενικών υποχρεώσεων παρακολούθησης ή ενεργητικής αναζήτησης γεγονότων για τους εν λόγω παρόχους (άρθρο 7). Τέλος, όσον αφορά εντολές εθνικών δικαστικών ή διοικητικών αρχών, επιβάλλει στους παρόχους ενδιάμεσων υπηρεσιών την υποχρέωση ανάληψης δράσης κατά παράνομου περιεχομένου (άρθρο 8) και παροχής πληροφοριών (άρθρο 9). </w:t>
      </w:r>
    </w:p>
    <w:p>
      <w:pPr>
        <w:pBdr>
          <w:top w:val="nil"/>
          <w:left w:val="nil"/>
          <w:bottom w:val="nil"/>
          <w:right w:val="nil"/>
          <w:between w:val="nil"/>
          <w:bar w:val="nil"/>
        </w:pBdr>
        <w:spacing w:before="0" w:after="240"/>
        <w:rPr>
          <w:noProof/>
        </w:rPr>
      </w:pPr>
      <w:r>
        <w:rPr>
          <w:noProof/>
        </w:rPr>
        <w:t>Στο κεφάλαιο III καθορίζονται οι υποχρεώσεις δέουσας επιμέλειας για ένα διαφανές και ασφαλές επιγραμμικό περιβάλλον, σε πέντε διαφορετικά τμήματα.</w:t>
      </w:r>
    </w:p>
    <w:p>
      <w:pPr>
        <w:pBdr>
          <w:top w:val="nil"/>
          <w:left w:val="nil"/>
          <w:bottom w:val="nil"/>
          <w:right w:val="nil"/>
          <w:between w:val="nil"/>
          <w:bar w:val="nil"/>
        </w:pBdr>
        <w:spacing w:before="0" w:after="240"/>
        <w:rPr>
          <w:noProof/>
        </w:rPr>
      </w:pPr>
      <w:r>
        <w:rPr>
          <w:noProof/>
        </w:rPr>
        <w:t xml:space="preserve">Στο </w:t>
      </w:r>
      <w:r>
        <w:rPr>
          <w:b/>
          <w:bCs/>
          <w:noProof/>
        </w:rPr>
        <w:t>τμήμα 1</w:t>
      </w:r>
      <w:r>
        <w:rPr>
          <w:noProof/>
        </w:rPr>
        <w:t xml:space="preserve"> καθορίζονται υποχρεώσεις οι οποίες εφαρμόζονται σε όλους τους παρόχους ενδιάμεσων υπηρεσιών, ειδικότερα: η υποχρέωση θέσπισης ενιαίου σημείου επαφής για τη διευκόλυνση της άμεσης επικοινωνίας με τις αρχές των κρατών μελών, την Επιτροπή και το συμβούλιο (άρθρο 10)· η υποχρέωση ορισμού νόμιμου εκπροσώπου στην Ένωση για τους </w:t>
      </w:r>
      <w:r>
        <w:rPr>
          <w:noProof/>
        </w:rPr>
        <w:lastRenderedPageBreak/>
        <w:t>παρόχους που δεν είναι εγκαταστημένοι σε κράτος μέλος αλλά παρέχουν υπηρεσίες στην Ένωση (άρθρο 11)· η υποχρέωση συμπερίληψης στους όρους και τις προϋποθέσεις τους τυχόν περιορισμών τους οποίους επιβάλλουν στη χρήση των υπηρεσιών τους και η υποχρέωση υπευθυνότητας κατά την εφαρμογή και επιβολή αυτών των περιορισμών (άρθρο 12)· και υποχρεώσεις υποβολής εκθέσεων σχετικά με τη διαφάνεια όσον αφορά την απόσυρση ή την απενεργοποίηση της πρόσβασης σε πληροφορίες που θεωρούνται παράνομο περιεχόμενο ή αντίθετες προς τους όρους και τις προϋποθέσεις των παρόχων (άρθρο 13).</w:t>
      </w:r>
    </w:p>
    <w:p>
      <w:pPr>
        <w:pBdr>
          <w:top w:val="nil"/>
          <w:left w:val="nil"/>
          <w:bottom w:val="nil"/>
          <w:right w:val="nil"/>
          <w:between w:val="nil"/>
          <w:bar w:val="nil"/>
        </w:pBdr>
        <w:spacing w:before="0" w:after="240"/>
        <w:rPr>
          <w:noProof/>
        </w:rPr>
      </w:pPr>
      <w:r>
        <w:rPr>
          <w:noProof/>
        </w:rPr>
        <w:t xml:space="preserve">Στο </w:t>
      </w:r>
      <w:r>
        <w:rPr>
          <w:b/>
          <w:bCs/>
          <w:noProof/>
        </w:rPr>
        <w:t>τμήμα 2</w:t>
      </w:r>
      <w:r>
        <w:rPr>
          <w:noProof/>
        </w:rPr>
        <w:t xml:space="preserve"> καθορίζονται υποχρεώσεις, επιπλέον εκείνων του τμήματος 1, οι οποίες εφαρμόζονται στους παρόχους υπηρεσιών φιλοξενίας. Ειδικότερα, το συγκεκριμένο τμήμα επιβάλλει στους εν λόγω παρόχους την υποχρέωση να θέσουν σε εφαρμογή μηχανισμούς που θα επιτρέπουν σε τρίτους να γνωστοποιούν την ύπαρξη εικαζόμενου παράνομου περιεχομένου (άρθρο 14). Επιπλέον, εάν ένας πάροχος αποφασίσει να αποσύρει ή να απενεργοποιήσει την πρόσβαση σε συγκεκριμένες πληροφορίες που παρέχονται από έναν αποδέκτη της υπηρεσίας, επιβάλλεται η υποχρέωση παροχής αιτιολόγησης σε αυτόν τον αποδέκτη (άρθρο 15). </w:t>
      </w:r>
    </w:p>
    <w:p>
      <w:pPr>
        <w:pBdr>
          <w:top w:val="nil"/>
          <w:left w:val="nil"/>
          <w:bottom w:val="nil"/>
          <w:right w:val="nil"/>
          <w:between w:val="nil"/>
          <w:bar w:val="nil"/>
        </w:pBdr>
        <w:spacing w:before="0" w:after="240"/>
        <w:rPr>
          <w:noProof/>
        </w:rPr>
      </w:pPr>
      <w:r>
        <w:rPr>
          <w:noProof/>
        </w:rPr>
        <w:t xml:space="preserve">Στο </w:t>
      </w:r>
      <w:r>
        <w:rPr>
          <w:b/>
          <w:bCs/>
          <w:noProof/>
        </w:rPr>
        <w:t>τμήμα 3</w:t>
      </w:r>
      <w:r>
        <w:rPr>
          <w:noProof/>
        </w:rPr>
        <w:t xml:space="preserve"> καθορίζονται υποχρεώσεις που εφαρμόζονται σε όλες τις επιγραμμικές πλατφόρμες, επιπλέον εκείνων που προβλέπονται στα τμήματα 1 και 2. Διευκρινίζεται ότι το τμήμα δεν εφαρμόζεται σε επιγραμμικές πλατφόρμες οι οποίες είναι πολύ μικρές ή μικρές επιχειρήσεις κατά την έννοια του παραρτήματος της σύστασης 2003/361/ΕΚ (άρθρο 16). Το τμήμα προβλέπει την υποχρέωση των επιγραμμικών πλατφορμών να παρέχουν εσωτερικό σύστημα διαχείρισης καταγγελιών όσον αφορά τις αποφάσεις που λαμβάνονται σχετικά με εικαζόμενο παράνομο περιεχόμενο ή πληροφορίες που δεν συνάδουν με τους όρους και τις προϋποθέσεις τους (άρθρο 17). Επίσης, επιβάλλει στις επιγραμμικές πλατφόρμες την υποχρέωση να συνεργάζονται με πιστοποιημένα όργανα εξωδικαστικής επίλυσης διαφορών για την επίλυση τυχόν διαφοράς με τους χρήστες των υπηρεσιών τους (άρθρο 18). Επιπλέον, επιβάλλει στις επιγραμμικές πλατφόρμες την υποχρέωση να διασφαλίζουν ότι δίνεται προτεραιότητα σε ειδοποιήσεις που υποβάλλονται από οντότητες αναγνωρισμένες ως αξιόπιστες πηγές επισήμανσης παράνομου περιεχομένου (άρθρο 19) και καθορίζει τα μέτρα τα οποία πρέπει να λαμβάνουν οι επιγραμμικές πλατφόρμες κατά της αθέμιτης χρήσης (άρθρο 20). Επιπροσθέτως, το εν λόγω τμήμα περιλαμβάνει απαίτηση σύμφωνα με την οποία οι επιγραμμικές πλατφόρμες πρέπει να ενημερώνουν τις αρμόδιες αρχές επιβολής σε περίπτωση που περιέλθουν σε γνώση τους πληροφορίες οι οποίες δημιουργούν υπόνοια σοβαρών ποινικών αδικημάτων που συνιστούν απειλή για τη ζωή ή την ασφάλεια των προσώπων (άρθρο 21). Το τμήμα επιβάλλει επίσης στις επιγραμμικές πλατφόρμες την υποχρέωση να λαμβάνουν, να αποθηκεύουν, να καταβάλλουν εύλογες προσπάθειες για την αξιολόγηση της αξιοπιστίας και να δημοσιεύουν συγκεκριμένες πληροφορίες σχετικά με τους εμπόρους που χρησιμοποιούν τις υπηρεσίες τους όταν οι επιγραμμικές πλατφόρμες επιτρέπουν στους καταναλωτές να συνάπτουν εξ αποστάσεως συμβάσεις με αυτούς τους εμπόρους (άρθρο 22). Οι εν λόγω επιγραμμικές πλατφόρμες υποχρεούνται επίσης να οργανώνουν τη διεπαφή τους κατά τρόπο που να επιτρέπει στους εμπόρους να τηρούν το ενωσιακό δίκαιο για την προστασία των καταναλωτών και την ασφάλεια των προϊόντων (άρθρο 22α). Οι επιγραμμικές πλατφόρμες υποχρεούνται επίσης να δημοσιεύουν εκθέσεις σχετικά με τις δραστηριότητές τους που αφορούν την απόσυρση και την απενεργοποίηση της πρόσβασης σε πληροφορίες που θεωρούνται παράνομο περιεχόμενο ή αντίθετες προς τους όρους και τις προϋποθέσεις τους (άρθρο 23). Το τμήμα περιλαμβάνει επίσης υποχρεώσεις διαφάνειας για τις επιγραμμικές πλατφόρμες όσον αφορά την επιγραμμική διαφήμιση (άρθρο 24). </w:t>
      </w:r>
    </w:p>
    <w:p>
      <w:pPr>
        <w:pBdr>
          <w:top w:val="nil"/>
          <w:left w:val="nil"/>
          <w:bottom w:val="nil"/>
          <w:right w:val="nil"/>
          <w:between w:val="nil"/>
          <w:bar w:val="nil"/>
        </w:pBdr>
        <w:spacing w:before="0" w:after="240"/>
        <w:rPr>
          <w:noProof/>
        </w:rPr>
      </w:pPr>
      <w:r>
        <w:rPr>
          <w:noProof/>
        </w:rPr>
        <w:lastRenderedPageBreak/>
        <w:t xml:space="preserve">Στο </w:t>
      </w:r>
      <w:r>
        <w:rPr>
          <w:b/>
          <w:bCs/>
          <w:noProof/>
        </w:rPr>
        <w:t>τμήμα 4</w:t>
      </w:r>
      <w:r>
        <w:rPr>
          <w:noProof/>
        </w:rPr>
        <w:t xml:space="preserve"> καθορίζονται υποχρεώσεις, επιπλέον των υποχρεώσεων που προβλέπονται στα τμήματα 1 έως 3, για τη διαχείριση των συστημικών κινδύνων από τις πολύ μεγάλες επιγραμμικές πλατφόρμες (όπως ορίζονται στο άρθρο 25). Οι πολύ μεγάλες επιγραμμικές πλατφόρμες υποχρεούνται να διενεργούν εκτιμήσεις κινδύνων σχετικά με τους συστημικούς κινδύνους που απορρέουν από τη λειτουργία και τη χρήση των υπηρεσιών τους ή συνδέονται με αυτές (άρθρο 26) και να λαμβάνουν εύλογα και αποτελεσματικά μέτρα για τον περιορισμό αυτών των κινδύνων (άρθρο 27). Πρέπει επίσης να υποβάλλονται σε εξωτερικούς και ανεξάρτητους ελέγχους (άρθρο 28). Το τμήμα περιλαμβάνει επίσης ειδική υποχρέωση σε περίπτωση που πολύ μεγάλες επιγραμμικές πλατφόρμες χρησιμοποιούν συστήματα συστάσεων (άρθρο 29) ή προβάλλουν επιγραμμικές διαφημίσεις στην επιγραμμική διεπαφή τους (άρθρο 30). Επιπλέον, στο τμήμα καθορίζονται οι προϋποθέσεις υπό τις οποίες οι πολύ μεγάλες επιγραμμικές πλατφόρμες παρέχουν πρόσβαση σε δεδομένα στον συντονιστή ψηφιακών υπηρεσιών της χώρας εγκατάστασης ή στην Επιτροπή και διαπιστευμένους ερευνητές (άρθρο 31), η υποχρέωση ορισμού ενός ή περισσότερων υπευθύνων συμμόρφωσης για τη διασφάλιση της συμμόρφωσης με τις υποχρεώσεις που προβλέπονται στον κανονισμό (άρθρο 32) και ειδικές, πρόσθετες υποχρεώσεις υποβολής εκθέσεων σχετικά με τη διαφάνεια (άρθρο 33). </w:t>
      </w:r>
    </w:p>
    <w:p>
      <w:pPr>
        <w:pBdr>
          <w:top w:val="nil"/>
          <w:left w:val="nil"/>
          <w:bottom w:val="nil"/>
          <w:right w:val="nil"/>
          <w:between w:val="nil"/>
          <w:bar w:val="nil"/>
        </w:pBdr>
        <w:spacing w:before="0" w:after="240"/>
        <w:rPr>
          <w:noProof/>
        </w:rPr>
      </w:pPr>
      <w:r>
        <w:rPr>
          <w:noProof/>
        </w:rPr>
        <w:t xml:space="preserve">Το </w:t>
      </w:r>
      <w:r>
        <w:rPr>
          <w:b/>
          <w:bCs/>
          <w:noProof/>
        </w:rPr>
        <w:t>τμήμα 5</w:t>
      </w:r>
      <w:r>
        <w:rPr>
          <w:noProof/>
        </w:rPr>
        <w:t xml:space="preserve"> περιλαμβάνει οριζόντιες διατάξεις σχετικά με τις υποχρεώσεις δέουσας επιμέλειας, συγκεκριμένα τις διαδικασίες για τις οποίες η Επιτροπή θα υποστηρίξει και θα προωθήσει την κατάρτιση και την εφαρμογή εναρμονισμένων ευρωπαϊκών προτύπων (άρθρο 34)· το πλαίσιο για την εκπόνηση κωδίκων δεοντολογίας (άρθρο 35)· και το πλαίσιο για την εκπόνηση ειδικών κωδίκων δεοντολογίας για την επιγραμμική διαφήμιση (άρθρο 36). Περιλαμβάνεται επίσης διάταξη σχετικά με τα πρωτόκολλα διαχείρισης κρίσεων για την αντιμετώπιση έκτακτων περιστάσεων που επηρεάζουν τη δημόσια ασφάλεια ή τη δημόσια υγεία (άρθρο 37).</w:t>
      </w:r>
    </w:p>
    <w:p>
      <w:pPr>
        <w:pBdr>
          <w:top w:val="nil"/>
          <w:left w:val="nil"/>
          <w:bottom w:val="nil"/>
          <w:right w:val="nil"/>
          <w:between w:val="nil"/>
          <w:bar w:val="nil"/>
        </w:pBdr>
        <w:spacing w:before="0" w:after="240"/>
        <w:rPr>
          <w:noProof/>
        </w:rPr>
      </w:pPr>
      <w:r>
        <w:rPr>
          <w:noProof/>
        </w:rPr>
        <w:t xml:space="preserve">Το </w:t>
      </w:r>
      <w:r>
        <w:rPr>
          <w:b/>
          <w:bCs/>
          <w:noProof/>
        </w:rPr>
        <w:t>κεφάλαιο IV</w:t>
      </w:r>
      <w:r>
        <w:rPr>
          <w:noProof/>
        </w:rPr>
        <w:t xml:space="preserve"> περιέχει τις διατάξεις που αφορούν την εφαρμογή και την επιβολή του παρόντος κανονισμού. </w:t>
      </w:r>
    </w:p>
    <w:p>
      <w:pPr>
        <w:pBdr>
          <w:top w:val="nil"/>
          <w:left w:val="nil"/>
          <w:bottom w:val="nil"/>
          <w:right w:val="nil"/>
          <w:between w:val="nil"/>
          <w:bar w:val="nil"/>
        </w:pBdr>
        <w:spacing w:before="0" w:after="240"/>
        <w:rPr>
          <w:noProof/>
        </w:rPr>
      </w:pPr>
      <w:r>
        <w:rPr>
          <w:noProof/>
        </w:rPr>
        <w:t xml:space="preserve">Το </w:t>
      </w:r>
      <w:r>
        <w:rPr>
          <w:b/>
          <w:bCs/>
          <w:noProof/>
        </w:rPr>
        <w:t>τμήμα 1</w:t>
      </w:r>
      <w:r>
        <w:rPr>
          <w:noProof/>
        </w:rPr>
        <w:t xml:space="preserve"> προβλέπει διατάξεις σχετικά με τις εθνικές αρμόδιες αρχές, συμπεριλαμβανομένων των συντονιστών ψηφιακών υπηρεσιών, οι οποίοι είναι οι βασικές εθνικές αρχές που ορίζονται από τα κράτη μέλη για τη συνεπή εφαρμογή του παρόντος κανονισμού (άρθρο 38). Οι συντονιστές ψηφιακών υπηρεσιών, όπως άλλες ορισθείσες αρμόδιες αρχές, είναι ανεξάρτητοι και εκτελούν τα καθήκοντά τους με αμερόληπτο, διαφανή και έγκαιρο τρόπο (άρθρο 39). Τα κράτη μέλη στα οποία βρίσκεται η κύρια εγκατάσταση του παρόχου έχουν δικαιοδοσία για την επιβολή του παρόντος κανονισμού (άρθρο 40). Στους συντονιστές ψηφιακών υπηρεσιών χορηγούνται ειδικές εξουσίες (άρθρο 41). Τα κράτη μέλη πρέπει να καθορίζουν τους κανόνες σχετικά με τις κυρώσεις που επιβάλλονται σε περίπτωση αθέτησης των υποχρεώσεων του παρόντος κανονισμού από τους παρόχους ενδιάμεσων υπηρεσιών (άρθρο 42). Οι συντονιστές ψηφιακών υπηρεσιών μπορούν να λαμβάνουν καταγγελίες κατά παρόχων ενδιάμεσων υπηρεσιών για αθέτηση των υποχρεώσεων που προβλέπονται στον παρόντα κανονισμό (άρθρο 43). Οι συντονιστές ψηφιακών υπηρεσιών υποχρεούνται να δημοσιεύουν ετήσιες εκθέσεις σχετικά με τις δραστηριότητές τους (άρθρο 44) και να συνεργάζονται με τους συντονιστές ψηφιακών υπηρεσιών άλλων κρατών μελών (άρθρο 45). Οι συντονιστές ψηφιακών υπηρεσιών μπορούν επίσης να συμμετέχουν σε κοινές έρευνες σχετικά με ζητήματα που καλύπτονται από τον κανονισμό (άρθρο 46). </w:t>
      </w:r>
    </w:p>
    <w:p>
      <w:pPr>
        <w:pBdr>
          <w:top w:val="nil"/>
          <w:left w:val="nil"/>
          <w:bottom w:val="nil"/>
          <w:right w:val="nil"/>
          <w:between w:val="nil"/>
          <w:bar w:val="nil"/>
        </w:pBdr>
        <w:spacing w:before="0" w:after="240"/>
        <w:rPr>
          <w:noProof/>
        </w:rPr>
      </w:pPr>
      <w:r>
        <w:rPr>
          <w:noProof/>
        </w:rPr>
        <w:t xml:space="preserve">Το </w:t>
      </w:r>
      <w:r>
        <w:rPr>
          <w:b/>
          <w:bCs/>
          <w:noProof/>
        </w:rPr>
        <w:t>τμήμα 2</w:t>
      </w:r>
      <w:r>
        <w:rPr>
          <w:noProof/>
        </w:rPr>
        <w:t xml:space="preserve"> προβλέπει διατάξεις σχετικά με το ευρωπαϊκό συμβούλιο ψηφιακών υπηρεσιών, μια ανεξάρτητη συμβουλευτική ομάδα συντονιστών ψηφιακών υπηρεσιών (άρθρο 47). </w:t>
      </w:r>
      <w:r>
        <w:rPr>
          <w:noProof/>
        </w:rPr>
        <w:lastRenderedPageBreak/>
        <w:t xml:space="preserve">Καθορίζει επίσης τη δομή αυτού του συμβουλίου (άρθρο 48) και τα καθήκοντά του (άρθρο 49). </w:t>
      </w:r>
    </w:p>
    <w:p>
      <w:pPr>
        <w:pBdr>
          <w:top w:val="nil"/>
          <w:left w:val="nil"/>
          <w:bottom w:val="nil"/>
          <w:right w:val="nil"/>
          <w:between w:val="nil"/>
          <w:bar w:val="nil"/>
        </w:pBdr>
        <w:spacing w:before="0" w:after="240"/>
        <w:rPr>
          <w:noProof/>
        </w:rPr>
      </w:pPr>
      <w:r>
        <w:rPr>
          <w:noProof/>
        </w:rPr>
        <w:t xml:space="preserve">Το </w:t>
      </w:r>
      <w:r>
        <w:rPr>
          <w:b/>
          <w:bCs/>
          <w:noProof/>
        </w:rPr>
        <w:t>τμήμα 3</w:t>
      </w:r>
      <w:r>
        <w:rPr>
          <w:noProof/>
        </w:rPr>
        <w:t xml:space="preserve"> αφορά την επίβλεψη, την έρευνα, την επιβολή και την παρακολούθηση σε σχέση με τις πολύ μεγάλες επιγραμμικές πλατφόρμες. Προβλέπει ενισχυμένη επίβλεψη σε περίπτωση που οι εν λόγω πλατφόρμες παραβιάσουν τις διατάξεις του κεφαλαίου III τμήμα 4 (άρθρο 50). Προβλέπει επίσης δυνατότητα παρέμβασης της Επιτροπής έναντι πολύ μεγάλων επιγραμμικών πλατφορμών σε περίπτωση συνέχισης των παραβάσεων (άρθρο 51). Στις περιπτώσεις αυτές, η Επιτροπή μπορεί να διενεργήσει έρευνες, μεταξύ άλλων, μέσω αιτημάτων παροχής πληροφοριών (άρθρο 52), συνεντεύξεων (άρθρο 53) και επιτόπιων επιθεωρήσεων (άρθρο 54), μπορεί να λάβει προσωρινά μέτρα (άρθρο 55) και να καταστήσει υποχρεωτικές τις δεσμεύσεις πολύ μεγάλων επιγραμμικών πλατφορμών (άρθρο 56), καθώς και να παρακολουθήσει τη συμμόρφωσή τους με τον κανονισμό (άρθρο 57). Σε περίπτωση μη συμμόρφωσης, η Επιτροπή μπορεί να εκδώσει απόφαση μη συμμόρφωσης (άρθρο 58) και να επιβάλει πρόστιμα (άρθρο 59) και περιοδικές χρηματικές ποινές (άρθρο 60) για παραβάσεις του κανονισμού από πολύ μεγάλες επιγραμμικές πλατφόρμες, καθώς και για την παροχή ανακριβών, ελλιπών ή παραπλανητικών πληροφοριών στο πλαίσιο της έρευνας. Ο κανονισμός καθορίζει επίσης προθεσμία παραγραφής για την επιβολή ποινών (άρθρο 61) και για την εκτέλεσή τους (άρθρο 62). Τέλος, ο κανονισμός καθορίζει τις διαδικαστικές εγγυήσεις ενώπιον της Επιτροπής, ειδικότερα το δικαίωμα ακρόασης και πρόσβασης στον φάκελο (άρθρο 63) και τη δημοσίευση των αποφάσεων (άρθρο 64). Το τμήμα προβλέπει επίσης τη συνεργασία της Επιτροπής με τα εθνικά δικαστήρια (άρθρο 65) και την έκδοση εκτελεστικών πράξεων σχετικά με τις πρακτικές ρυθμίσεις της διαδικασίας (άρθρο 66). </w:t>
      </w:r>
    </w:p>
    <w:p>
      <w:pPr>
        <w:pBdr>
          <w:top w:val="nil"/>
          <w:left w:val="nil"/>
          <w:bottom w:val="nil"/>
          <w:right w:val="nil"/>
          <w:between w:val="nil"/>
          <w:bar w:val="nil"/>
        </w:pBdr>
        <w:spacing w:before="0" w:after="240"/>
        <w:rPr>
          <w:noProof/>
        </w:rPr>
      </w:pPr>
      <w:r>
        <w:rPr>
          <w:noProof/>
        </w:rPr>
        <w:t xml:space="preserve">Το </w:t>
      </w:r>
      <w:r>
        <w:rPr>
          <w:b/>
          <w:bCs/>
          <w:noProof/>
        </w:rPr>
        <w:t>τμήμα 4</w:t>
      </w:r>
      <w:r>
        <w:rPr>
          <w:noProof/>
        </w:rPr>
        <w:t xml:space="preserve"> περιλαμβάνει τις κοινές διατάξεις επιβολής. Καθορίζει καταρχήν κανόνες για ένα σύστημα ανταλλαγής πληροφοριών που υποστηρίζει τις επικοινωνίες μεταξύ των συντονιστών ψηφιακών υπηρεσιών, της Επιτροπής και του συμβουλίου (άρθρο 67). Περιλαμβάνει επίσης το δικαίωμα των αποδεκτών των ενδιάμεσων υπηρεσιών να εξουσιοδοτήσουν φορέα, οργανισμό ή ένωση να ασκεί τα δικαιώματά τους για λογαριασμό τους (άρθρο 68).</w:t>
      </w:r>
    </w:p>
    <w:p>
      <w:pPr>
        <w:pBdr>
          <w:top w:val="nil"/>
          <w:left w:val="nil"/>
          <w:bottom w:val="nil"/>
          <w:right w:val="nil"/>
          <w:between w:val="nil"/>
          <w:bar w:val="nil"/>
        </w:pBdr>
        <w:spacing w:before="0" w:after="240"/>
        <w:rPr>
          <w:noProof/>
        </w:rPr>
      </w:pPr>
      <w:r>
        <w:rPr>
          <w:noProof/>
        </w:rPr>
        <w:t xml:space="preserve">Το </w:t>
      </w:r>
      <w:r>
        <w:rPr>
          <w:b/>
          <w:bCs/>
          <w:noProof/>
        </w:rPr>
        <w:t>τμήμα 5</w:t>
      </w:r>
      <w:r>
        <w:rPr>
          <w:noProof/>
        </w:rPr>
        <w:t xml:space="preserve"> αφορά την έκδοση κατ’ εξουσιοδότηση και εκτελεστικών πράξεων σύμφωνα με τα άρθρα 290 και 291, αντίστοιχα, της Συνθήκης για τη λειτουργία της Ευρωπαϊκής Ένωσης (άρθρα 69 και 70).</w:t>
      </w:r>
    </w:p>
    <w:p>
      <w:pPr>
        <w:pBdr>
          <w:top w:val="nil"/>
          <w:left w:val="nil"/>
          <w:bottom w:val="nil"/>
          <w:right w:val="nil"/>
          <w:between w:val="nil"/>
          <w:bar w:val="nil"/>
        </w:pBdr>
        <w:spacing w:before="0" w:after="240"/>
        <w:rPr>
          <w:noProof/>
        </w:rPr>
      </w:pPr>
      <w:r>
        <w:rPr>
          <w:noProof/>
        </w:rPr>
        <w:t xml:space="preserve">Τέλος, το </w:t>
      </w:r>
      <w:r>
        <w:rPr>
          <w:b/>
          <w:bCs/>
          <w:noProof/>
        </w:rPr>
        <w:t>κεφάλαιο V</w:t>
      </w:r>
      <w:r>
        <w:rPr>
          <w:noProof/>
        </w:rPr>
        <w:t xml:space="preserve"> περιλαμβάνει τις τελικές διατάξεις του παρόντος κανονισμού, οι οποίες αφορούν τη διαγραφή των άρθρων 12 έως 15 της οδηγίας για το ηλεκτρονικό εμπόριο, δεδομένου ότι έχουν ενσωματωθεί στον κανονισμό (άρθρο 71), τροποποιήσεις στην οδηγία 2020/XX/ΕΚ (άρθρο 72), την αξιολόγηση του κανονισμού (άρθρο 73) και την έναρξη ισχύος και εφαρμογή του (άρθρο 74).</w:t>
      </w:r>
    </w:p>
    <w:p>
      <w:pPr>
        <w:pBdr>
          <w:top w:val="nil"/>
          <w:left w:val="nil"/>
          <w:bottom w:val="nil"/>
          <w:right w:val="nil"/>
          <w:between w:val="nil"/>
          <w:bar w:val="nil"/>
        </w:pBdr>
        <w:spacing w:before="0" w:after="240"/>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2020/0361 (COD)</w:t>
      </w:r>
    </w:p>
    <w:p>
      <w:pPr>
        <w:pStyle w:val="Statut"/>
        <w:rPr>
          <w:noProof/>
        </w:rPr>
      </w:pPr>
      <w:r>
        <w:rPr>
          <w:noProof/>
        </w:rPr>
        <w:t>Πρόταση</w:t>
      </w:r>
    </w:p>
    <w:p>
      <w:pPr>
        <w:pStyle w:val="Typedudocument"/>
        <w:rPr>
          <w:noProof/>
        </w:rPr>
      </w:pPr>
      <w:r>
        <w:rPr>
          <w:noProof/>
        </w:rPr>
        <w:t>ΚΑΝΟΝΙΣΜΟΣ ΤΟΥ ΕΥΡΩΠΑΪΚΟΥ ΚΟΙΝΟΒΟΥΛΙΟΥ ΚΑΙ ΤΟΥ ΣΥΜΒΟΥΛΙΟΥ</w:t>
      </w:r>
    </w:p>
    <w:p>
      <w:pPr>
        <w:pStyle w:val="Titreobjet"/>
        <w:rPr>
          <w:noProof/>
        </w:rPr>
      </w:pPr>
      <w:r>
        <w:rPr>
          <w:noProof/>
        </w:rPr>
        <w:t>σχετικά με την ενιαία αγορά ψηφιακών υπηρεσιών (πράξη για τις ψηφιακές υπηρεσίες) και την τροποποίηση της οδηγίας 2000/31/ΕΚ</w:t>
      </w:r>
    </w:p>
    <w:p>
      <w:pPr>
        <w:pStyle w:val="IntrtEEE"/>
        <w:rPr>
          <w:noProof/>
        </w:rPr>
      </w:pPr>
      <w:r>
        <w:rPr>
          <w:noProof/>
        </w:rPr>
        <w:t>(Κείμενο που παρουσιάζει ενδιαφέρον για τον ΕΟΧ)</w:t>
      </w:r>
    </w:p>
    <w:p>
      <w:pPr>
        <w:pStyle w:val="Institutionquiagit"/>
        <w:rPr>
          <w:noProof/>
        </w:rPr>
      </w:pPr>
      <w:r>
        <w:rPr>
          <w:noProof/>
        </w:rPr>
        <w:t>ΤΟ ΕΥΡΩΠΑΪΚΟ ΚΟΙΝΟΒΟΥΛΙΟ ΚΑΙ ΤΟ ΣΥΜΒΟΥΛΙΟ ΤΗΣ ΕΥΡΩΠΑΪΚΗΣ ΕΝΩΣΗΣ,</w:t>
      </w:r>
    </w:p>
    <w:p>
      <w:pPr>
        <w:rPr>
          <w:noProof/>
        </w:rPr>
      </w:pPr>
      <w:r>
        <w:rPr>
          <w:noProof/>
        </w:rPr>
        <w:t>Έχοντας υπόψη τη Συνθήκη για τη λειτουργία της Ευρωπαϊκής Ένωσης και ιδίως το άρθρο 114,</w:t>
      </w:r>
    </w:p>
    <w:p>
      <w:pPr>
        <w:rPr>
          <w:noProof/>
        </w:rPr>
      </w:pPr>
      <w:r>
        <w:rPr>
          <w:noProof/>
        </w:rPr>
        <w:t>Έχοντας υπόψη την πρόταση της Ευρωπαϊκής Επιτροπής,</w:t>
      </w:r>
    </w:p>
    <w:p>
      <w:pPr>
        <w:rPr>
          <w:noProof/>
        </w:rPr>
      </w:pPr>
      <w:r>
        <w:rPr>
          <w:noProof/>
        </w:rPr>
        <w:t>Κατόπιν διαβίβασης του σχεδίου νομοθετικής πράξης στα εθνικά κοινοβούλια,</w:t>
      </w:r>
    </w:p>
    <w:p>
      <w:pPr>
        <w:rPr>
          <w:noProof/>
        </w:rPr>
      </w:pPr>
      <w:r>
        <w:rPr>
          <w:noProof/>
        </w:rPr>
        <w:t>Έχοντας υπόψη τη γνώμη της Ευρωπαϊκής Οικονομικής και Κοινωνικής Επιτροπής</w:t>
      </w:r>
      <w:r>
        <w:rPr>
          <w:rStyle w:val="FootnoteReference"/>
          <w:noProof/>
        </w:rPr>
        <w:footnoteReference w:id="23"/>
      </w:r>
      <w:r>
        <w:rPr>
          <w:noProof/>
        </w:rPr>
        <w:t>,</w:t>
      </w:r>
    </w:p>
    <w:p>
      <w:pPr>
        <w:rPr>
          <w:noProof/>
        </w:rPr>
      </w:pPr>
      <w:r>
        <w:rPr>
          <w:noProof/>
        </w:rPr>
        <w:t>Έχοντας υπόψη τη γνώμη της Επιτροπής των Περιφερειών</w:t>
      </w:r>
      <w:r>
        <w:rPr>
          <w:rStyle w:val="FootnoteReference"/>
          <w:noProof/>
        </w:rPr>
        <w:footnoteReference w:id="24"/>
      </w:r>
      <w:r>
        <w:rPr>
          <w:noProof/>
        </w:rPr>
        <w:t>,</w:t>
      </w:r>
    </w:p>
    <w:p>
      <w:pPr>
        <w:rPr>
          <w:noProof/>
        </w:rPr>
      </w:pPr>
      <w:r>
        <w:rPr>
          <w:noProof/>
        </w:rPr>
        <w:t>Έχοντας υπόψη τη γνώμη του Ευρωπαίου Επόπτη Προστασίας Δεδομένων</w:t>
      </w:r>
      <w:r>
        <w:rPr>
          <w:rStyle w:val="FootnoteReference"/>
          <w:noProof/>
        </w:rPr>
        <w:footnoteReference w:id="25"/>
      </w:r>
      <w:r>
        <w:rPr>
          <w:noProof/>
        </w:rPr>
        <w:t>,</w:t>
      </w:r>
    </w:p>
    <w:p>
      <w:pPr>
        <w:rPr>
          <w:noProof/>
        </w:rPr>
      </w:pPr>
      <w:r>
        <w:rPr>
          <w:noProof/>
        </w:rPr>
        <w:t>Αποφασίζοντας σύμφωνα με τη συνήθη νομοθετική διαδικασία,</w:t>
      </w:r>
    </w:p>
    <w:p>
      <w:pPr>
        <w:rPr>
          <w:noProof/>
        </w:rPr>
      </w:pPr>
      <w:r>
        <w:rPr>
          <w:noProof/>
        </w:rPr>
        <w:t xml:space="preserve">Εκτιμώντας τα ακόλουθα: </w:t>
      </w:r>
    </w:p>
    <w:p>
      <w:pPr>
        <w:pStyle w:val="ManualConsidrant"/>
        <w:rPr>
          <w:noProof/>
        </w:rPr>
      </w:pPr>
      <w:r>
        <w:t>(1)</w:t>
      </w:r>
      <w:r>
        <w:tab/>
      </w:r>
      <w:r>
        <w:rPr>
          <w:noProof/>
        </w:rPr>
        <w:t>Οι υπηρεσίες της κοινωνίας των πληροφοριών και ιδίως οι ενδιάμεσες υπηρεσίες έχουν καταστεί σημαντικό μέρος της οικονομίας της Ένωσης και της καθημερινότητας των πολιτών της Ένωσης. Είκοσι έτη μετά τη θέσπιση του ισχύοντος νομικού πλαισίου που εφαρμόζεται στις εν λόγω υπηρεσίες και προβλέπεται στην οδηγία 2000/31/ΕΚ του Ευρωπαϊκού Κοινοβουλίου και του Συμβουλίου</w:t>
      </w:r>
      <w:r>
        <w:rPr>
          <w:rStyle w:val="FootnoteReference"/>
          <w:noProof/>
        </w:rPr>
        <w:footnoteReference w:id="26"/>
      </w:r>
      <w:r>
        <w:rPr>
          <w:noProof/>
        </w:rPr>
        <w:t xml:space="preserve">, νέα και καινοτόμα επιχειρηματικά μοντέλα και υπηρεσίες, όπως τα επιγραμμικά μέσα κοινωνικής δικτύωσης και οι επιγραμμικές αγορές, παρέχουν στους επιχειρηματικούς χρήστες και στους καταναλωτές τη δυνατότητα να μεταδίδουν και να έχουν πρόσβαση σε πληροφορίες και να συναλλάσσονται με καινοτόμους τρόπους. Η πλειονότητα των πολιτών της Ένωσης χρησιμοποιούν πλέον τις υπηρεσίες αυτές σε καθημερινή βάση. Ωστόσο, ο ψηφιακός μετασχηματισμός και η αυξημένη χρήση αυτών των υπηρεσιών έχουν δημιουργήσει επίσης νέους κινδύνους και προκλήσεις, τόσο για τους μεμονωμένους χρήστες όσο και για την κοινωνία στο σύνολό της. </w:t>
      </w:r>
    </w:p>
    <w:p>
      <w:pPr>
        <w:pStyle w:val="ManualConsidrant"/>
        <w:rPr>
          <w:noProof/>
        </w:rPr>
      </w:pPr>
      <w:r>
        <w:t>(2)</w:t>
      </w:r>
      <w:r>
        <w:tab/>
      </w:r>
      <w:r>
        <w:rPr>
          <w:noProof/>
        </w:rPr>
        <w:t xml:space="preserve">Τα κράτη μέλη θεσπίζουν ολοένα και συχνότερα, ή εξετάζουν το ενδεχόμενο να θεσπίσουν, εθνική νομοθεσία για τα ζητήματα που καλύπτονται από τον παρόντα </w:t>
      </w:r>
      <w:r>
        <w:rPr>
          <w:noProof/>
        </w:rPr>
        <w:lastRenderedPageBreak/>
        <w:t xml:space="preserve">κανονισμό, επιβάλλοντας, ιδίως, απαιτήσεις επιμέλειας στους παρόχους ενδιάμεσων υπηρεσιών. Η αποκλίνουσα αυτή εθνική νομοθεσία επηρεάζει αρνητικά την εσωτερική αγορά, η οποία, σύμφωνα με το άρθρο 26 της Συνθήκης, περιλαμβάνει χώρο χωρίς εσωτερικά σύνορα μέσα στον οποίο διασφαλίζεται η ελεύθερη κυκλοφορία των εμπορευμάτων και των υπηρεσιών, καθώς και η ελευθερία εγκατάστασης, λαμβανομένου υπόψη του εγγενώς διασυνοριακού χαρακτήρα του διαδικτύου, το οποίο χρησιμοποιείται κατά κανόνα για την παροχή αυτών των υπηρεσιών. Οι όροι παροχής ενδιάμεσων υπηρεσιών σε ολόκληρη την εσωτερική αγορά θα πρέπει να εναρμονιστούν, ώστε οι επιχειρήσεις να έχουν πρόσβαση σε νέες αγορές και ευκαιρίες αξιοποίησης των οφελών της εσωτερικής αγοράς, με παράλληλη παροχή περισσότερων επιλογών στους καταναλωτές και σε άλλους αποδέκτες των υπηρεσιών. </w:t>
      </w:r>
    </w:p>
    <w:p>
      <w:pPr>
        <w:pStyle w:val="ManualConsidrant"/>
        <w:rPr>
          <w:noProof/>
        </w:rPr>
      </w:pPr>
      <w:r>
        <w:t>(3)</w:t>
      </w:r>
      <w:r>
        <w:tab/>
      </w:r>
      <w:r>
        <w:rPr>
          <w:noProof/>
        </w:rPr>
        <w:t xml:space="preserve">Η υπεύθυνη και επιμελής συμπεριφορά των παρόχων ενδιάμεσων υπηρεσιών είναι απαραίτητη για ένα ασφαλές, προβλέψιμο και αξιόπιστο επιγραμμικό περιβάλλον και προκειμένου οι πολίτες της Ένωσης και άλλα άτομα να μπορούν να ασκούν τα θεμελιώδη δικαιώματά τους που κατοχυρώνονται στον Χάρτη των Θεμελιωδών Δικαιωμάτων (στο εξής: Χάρτης), ιδίως την ελευθερία έκφρασης και πληροφόρησης και την επιχειρηματική ελευθερία, καθώς και το δικαίωμα στην απαγόρευση των διακρίσεων. </w:t>
      </w:r>
    </w:p>
    <w:p>
      <w:pPr>
        <w:pStyle w:val="ManualConsidrant"/>
        <w:rPr>
          <w:noProof/>
        </w:rPr>
      </w:pPr>
      <w:r>
        <w:t>(4)</w:t>
      </w:r>
      <w:r>
        <w:tab/>
      </w:r>
      <w:r>
        <w:rPr>
          <w:noProof/>
        </w:rPr>
        <w:t xml:space="preserve">Ως εκ τούτου, προκειμένου να διασφαλιστεί και να βελτιωθεί η λειτουργία της εσωτερικής αγοράς, θα πρέπει να θεσπιστεί ένα στοχευμένο σύνολο ομοιόμορφων, αποτελεσματικών και αναλογικών υποχρεωτικών κανόνων σε επίπεδο Ένωσης. Ο παρών κανονισμός παρέχει τις συνθήκες για την εμφάνιση και επέκταση καινοτόμων ψηφιακών υπηρεσιών στην εσωτερική αγορά. Απαιτείται προσέγγιση των εθνικών ρυθμιστικών μέτρων σε επίπεδο Ένωσης όσον αφορά τις απαιτήσεις για τους παρόχους ενδιάμεσων υπηρεσιών, προκειμένου να αποφευχθεί και να τερματιστεί ο κατακερματισμός της εσωτερικής αγοράς και να διασφαλιστεί ασφάλεια δικαίου, με αποτέλεσμα τη μείωση της αβεβαιότητας για τους φορείς ανάπτυξης και την προώθηση της διαλειτουργικότητας. Με τη χρήση τεχνολογικά ουδέτερων απαιτήσεων, δεν αναμένεται να εμποδιστεί η καινοτομία, αλλά αντίθετα να τονωθεί. </w:t>
      </w:r>
    </w:p>
    <w:p>
      <w:pPr>
        <w:pStyle w:val="ManualConsidrant"/>
        <w:rPr>
          <w:noProof/>
        </w:rPr>
      </w:pPr>
      <w:r>
        <w:t>(5)</w:t>
      </w:r>
      <w:r>
        <w:tab/>
      </w:r>
      <w:r>
        <w:rPr>
          <w:noProof/>
        </w:rPr>
        <w:t>Ο παρών κανονισμός θα πρέπει να εφαρμόζεται σε παρόχους ορισμένων υπηρεσιών της κοινωνίας των πληροφοριών όπως ορίζονται στην οδηγία (ΕΕ) 2015/1535 του Ευρωπαϊκού Κοινοβουλίου και του Συμβουλίου</w:t>
      </w:r>
      <w:r>
        <w:rPr>
          <w:rStyle w:val="FootnoteReference"/>
          <w:noProof/>
        </w:rPr>
        <w:footnoteReference w:id="27"/>
      </w:r>
      <w:r>
        <w:rPr>
          <w:noProof/>
        </w:rPr>
        <w:t xml:space="preserve">, δηλαδή κάθε υπηρεσία που συνήθως παρέχεται έναντι αμοιβής, με ηλεκτρονικά μέσα εξ αποστάσεως και κατόπιν συγκεκριμένης παραγγελίας ενός αποδέκτη. Συγκεκριμένα, ο παρών κανονισμός θα πρέπει να εφαρμόζεται σε παρόχους ενδιάμεσων υπηρεσιών και, ειδικότερα, ενδιάμεσων υπηρεσιών οι οποίες συνίστανται σε υπηρεσίες που είναι γνωστές ως υπηρεσίες «απλής μετάδοσης», «προσωρινής αποθήκευσης» και «φιλοξενίας», δεδομένου ότι η εκθετική αύξηση της χρήσης αυτών των υπηρεσιών, κυρίως για νόμιμους και κοινωνικά επωφελείς σκοπούς όλων των ειδών, έχει ενισχύσει επίσης τον ρόλο τους στη διαμεσολάβηση και στη διάδοση παράνομων ή άλλως επιβλαβών πληροφοριών και δραστηριοτήτων. </w:t>
      </w:r>
    </w:p>
    <w:p>
      <w:pPr>
        <w:pStyle w:val="ManualConsidrant"/>
        <w:rPr>
          <w:noProof/>
        </w:rPr>
      </w:pPr>
      <w:r>
        <w:t>(6)</w:t>
      </w:r>
      <w:r>
        <w:tab/>
      </w:r>
      <w:r>
        <w:rPr>
          <w:noProof/>
        </w:rPr>
        <w:t xml:space="preserve">Στην πράξη, ορισμένοι πάροχοι ενδιάμεσων υπηρεσιών διαμεσολαβούν σε σχέση με υπηρεσίες οι οποίες μπορεί να παρέχονται ή να μην παρέχονται με ηλεκτρονικά μέσα, </w:t>
      </w:r>
      <w:r>
        <w:rPr>
          <w:noProof/>
        </w:rPr>
        <w:lastRenderedPageBreak/>
        <w:t xml:space="preserve">όπως απομακρυσμένες υπηρεσίες τεχνολογίας πληροφοριών, μεταφορών, παροχής καταλύματος ή παράδοσης. Ο παρών κανονισμός θα πρέπει να εφαρμόζεται μόνο στις ενδιάμεσες υπηρεσίες και να μην θίγει τις απαιτήσεις που ορίζονται στην ενωσιακή ή εθνική νομοθεσία σε σχέση με προϊόντα ή υπηρεσίες που παρέχονται με διαμεσολάβηση μέσω ενδιάμεσων υπηρεσιών, μεταξύ άλλων, σε περιπτώσεις στις οποίες η ενδιάμεση υπηρεσία αποτελεί αναπόσπαστο μέρος άλλης υπηρεσίας η οποία δεν είναι ενδιάμεση υπηρεσία, όπως διευκρινίζεται στη νομολογία του Δικαστηρίου της Ευρωπαϊκής Ένωσης. </w:t>
      </w:r>
    </w:p>
    <w:p>
      <w:pPr>
        <w:pStyle w:val="ManualConsidrant"/>
        <w:rPr>
          <w:noProof/>
        </w:rPr>
      </w:pPr>
      <w:r>
        <w:t>(7)</w:t>
      </w:r>
      <w:r>
        <w:tab/>
      </w:r>
      <w:r>
        <w:rPr>
          <w:noProof/>
        </w:rPr>
        <w:t>Προκειμένου να διασφαλιστούν η αποτελεσματικότητα των κανόνων του παρόντος κανονισμού και ισότιμοι όροι ανταγωνισμού εντός της εσωτερικής αγοράς, οι κανόνες αυτοί θα πρέπει να εφαρμόζονται στους παρόχους ενδιάμεσων υπηρεσιών ανεξάρτητα από τον τόπο εγκατάστασης ή διαμονής τους, εφόσον παρέχουν υπηρεσίες στην Ένωση, όπως τεκμηριώνεται από την ύπαρξη ουσιώδους σύνδεσης με την Ένωση.</w:t>
      </w:r>
    </w:p>
    <w:p>
      <w:pPr>
        <w:pStyle w:val="ManualConsidrant"/>
        <w:rPr>
          <w:noProof/>
        </w:rPr>
      </w:pPr>
      <w:r>
        <w:t>(8)</w:t>
      </w:r>
      <w:r>
        <w:tab/>
      </w:r>
      <w:r>
        <w:rPr>
          <w:noProof/>
        </w:rPr>
        <w:t>Μια τέτοια ουσιώδης σύνδεση με την Ένωση θα πρέπει να θεωρείται ότι υφίσταται όταν ο πάροχος υπηρεσιών διαθέτει εγκατάσταση στην Ένωση ή, ελλείψει αυτής, με βάση την ύπαρξη σημαντικού αριθμού χρηστών σε ένα ή περισσότερα κράτη μέλη ή τη στόχευση δραστηριοτήτων προς ένα ή περισσότερα κράτη μέλη. Η στόχευση δραστηριοτήτων προς ένα ή περισσότερα κράτη μέλη μπορεί να προσδιοριστεί με βάση όλες τις σχετικές περιστάσεις, συμπεριλαμβανομένων στοιχείων όπως η χρήση γλώσσας ή νομίσματος που χρησιμοποιείται γενικά στο οικείο κράτος μέλος ή η δυνατότητα παραγγελίας προϊόντων ή υπηρεσιών, ή χρήσης εθνικών τομέων ανωτάτου επιπέδου. Η στόχευση δραστηριοτήτων προς ένα κράτος μέλος θα μπορούσε επίσης να συναχθεί από τη διαθεσιμότητα μιας εφαρμογής στο σχετικό εθνικό κατάστημα εφαρμογών, από την παροχή τοπικών διαφημίσεων ή διαφημίσεων στη γλώσσα που χρησιμοποιείται στο εν λόγω κράτος μέλος ή από τον χειρισμό των σχέσεων με τους πελάτες, όπως η εξυπηρέτηση πελατών στη γλώσσα που χρησιμοποιείται γενικά στο εν λόγω κράτος μέλος. Δεκτή θα πρέπει επίσης να γίνεται η ύπαρξη ουσιώδους σύνδεσης όταν ο πάροχος υπηρεσιών κατευθύνει τη δραστηριότητά του προς ένα ή περισσότερα κράτη μέλη, όπως καθορίζεται στο άρθρο 17 παράγραφος 1 στοιχείο γ) του κανονισμού (ΕΕ) 1215/2012 του Ευρωπαϊκού Κοινοβουλίου και του Συμβουλίου</w:t>
      </w:r>
      <w:r>
        <w:rPr>
          <w:rStyle w:val="FootnoteReference"/>
          <w:noProof/>
        </w:rPr>
        <w:footnoteReference w:id="28"/>
      </w:r>
      <w:r>
        <w:rPr>
          <w:noProof/>
        </w:rPr>
        <w:t xml:space="preserve">. Από την άλλη πλευρά, η απλή τεχνική προσβασιμότητα ιστοτόπου από την Ένωση δεν μπορεί, γι’ αυτόν και μόνο τον λόγο, να θεωρηθεί ότι δημιουργεί ουσιώδη σύνδεση με την Ένωση. </w:t>
      </w:r>
    </w:p>
    <w:p>
      <w:pPr>
        <w:pStyle w:val="ManualConsidrant"/>
        <w:rPr>
          <w:noProof/>
        </w:rPr>
      </w:pPr>
      <w:r>
        <w:t>(9)</w:t>
      </w:r>
      <w:r>
        <w:tab/>
      </w:r>
      <w:r>
        <w:rPr>
          <w:noProof/>
        </w:rPr>
        <w:t>Ο παρών κανονισμός θα πρέπει να συμπληρώνει, χωρίς ωστόσο να θίγει, την εφαρμογή κανόνων που απορρέουν από άλλες πράξεις του ενωσιακού δικαίου για τη ρύθμιση ορισμένων πτυχών της παροχής ενδιάμεσων υπηρεσιών, ιδίως την οδηγία 2000/31/ΕΚ, με εξαίρεση τις αλλαγές που εισάγονται με τον παρόντα κανονισμό, την οδηγία 2010/13/ΕΕ του Ευρωπαϊκού Κοινοβουλίου και του Συμβουλίου όπως τροποποιήθηκε</w:t>
      </w:r>
      <w:r>
        <w:rPr>
          <w:rStyle w:val="FootnoteReference"/>
          <w:noProof/>
        </w:rPr>
        <w:footnoteReference w:id="29"/>
      </w:r>
      <w:r>
        <w:rPr>
          <w:noProof/>
        </w:rPr>
        <w:t>, και τον κανονισμό (ΕΕ) .../... του Ευρωπαϊκού Κοινοβουλίου και του Συμβουλίου</w:t>
      </w:r>
      <w:r>
        <w:rPr>
          <w:rStyle w:val="FootnoteReference"/>
          <w:noProof/>
        </w:rPr>
        <w:footnoteReference w:id="30"/>
      </w:r>
      <w:r>
        <w:rPr>
          <w:noProof/>
        </w:rPr>
        <w:t xml:space="preserve"> —προτεινόμενος κανονισμός για το τρομοκρατικό περιεχόμενο στο </w:t>
      </w:r>
      <w:r>
        <w:rPr>
          <w:noProof/>
        </w:rPr>
        <w:lastRenderedPageBreak/>
        <w:t xml:space="preserve">διαδίκτυο. Ως εκ τούτου, ο παρών κανονισμός δεν θίγει τις εν λόγω άλλες πράξεις, οι οποίες πρέπει να θεωρούνται lex specialis σε σχέση με το γενικά εφαρμοστέο πλαίσιο που καθορίζεται στον παρόντα κανονισμό. Ωστόσο, οι κανόνες του παρόντος κανονισμού εφαρμόζονται σε ζητήματα τα οποία δεν καλύπτονται ή δεν καλύπτονται πλήρως από τις εν λόγω άλλες πράξεις, καθώς και σε ζητήματα επί των οποίων οι εν λόγω άλλες πράξεις παρέχουν στα κράτη μέλη τη δυνατότητα να λαμβάνουν ορισμένα μέτρα σε εθνικό επίπεδο. </w:t>
      </w:r>
    </w:p>
    <w:p>
      <w:pPr>
        <w:pStyle w:val="ManualConsidrant"/>
        <w:rPr>
          <w:noProof/>
        </w:rPr>
      </w:pPr>
      <w:r>
        <w:t>(10)</w:t>
      </w:r>
      <w:r>
        <w:tab/>
      </w:r>
      <w:r>
        <w:rPr>
          <w:noProof/>
        </w:rPr>
        <w:t>Για λόγους σαφήνειας, θα πρέπει επίσης να διευκρινιστεί ότι ο παρών κανονισμός δεν θίγει τον κανονισμό (ΕΕ) 2019/1148 του Ευρωπαϊκού Κοινοβουλίου και του Συμβουλίου</w:t>
      </w:r>
      <w:r>
        <w:rPr>
          <w:rStyle w:val="FootnoteReference"/>
          <w:noProof/>
        </w:rPr>
        <w:footnoteReference w:id="31"/>
      </w:r>
      <w:r>
        <w:rPr>
          <w:noProof/>
        </w:rPr>
        <w:t xml:space="preserve"> και τον κανονισμό (ΕΕ) 2019/1150 του Ευρωπαϊκού Κοινοβουλίου και του Συμβουλίου</w:t>
      </w:r>
      <w:r>
        <w:rPr>
          <w:rStyle w:val="FootnoteReference"/>
          <w:noProof/>
        </w:rPr>
        <w:footnoteReference w:id="32"/>
      </w:r>
      <w:r>
        <w:rPr>
          <w:noProof/>
        </w:rPr>
        <w:t>, την οδηγία 2002/58/ΕΚ του Ευρωπαϊκού Κοινοβουλίου και του Συμβουλίου</w:t>
      </w:r>
      <w:r>
        <w:rPr>
          <w:rStyle w:val="FootnoteReference"/>
          <w:noProof/>
        </w:rPr>
        <w:footnoteReference w:id="33"/>
      </w:r>
      <w:r>
        <w:rPr>
          <w:noProof/>
        </w:rPr>
        <w:t xml:space="preserve"> και τον κανονισμό […/…] σχετικά με προσωρινή παρέκκλιση από ορισμένες διατάξεις της οδηγίας 2002/58/ΕΚ</w:t>
      </w:r>
      <w:r>
        <w:rPr>
          <w:rStyle w:val="FootnoteReference"/>
          <w:noProof/>
        </w:rPr>
        <w:footnoteReference w:id="34"/>
      </w:r>
      <w:r>
        <w:rPr>
          <w:noProof/>
        </w:rPr>
        <w:t>, καθώς και το ενωσιακό δίκαιο για την προστασία των καταναλωτών, ειδικότερα την οδηγία 2005/29/ΕΚ του Ευρωπαϊκού Κοινοβουλίου και του Συμβουλίου</w:t>
      </w:r>
      <w:r>
        <w:rPr>
          <w:rStyle w:val="FootnoteReference"/>
          <w:noProof/>
        </w:rPr>
        <w:footnoteReference w:id="35"/>
      </w:r>
      <w:r>
        <w:rPr>
          <w:noProof/>
        </w:rPr>
        <w:t>, την οδηγία 2011/83/ΕΕ του Ευρωπαϊκού Κοινοβουλίου και του Συμβουλίου</w:t>
      </w:r>
      <w:r>
        <w:rPr>
          <w:rStyle w:val="FootnoteReference"/>
          <w:noProof/>
        </w:rPr>
        <w:footnoteReference w:id="36"/>
      </w:r>
      <w:r>
        <w:rPr>
          <w:noProof/>
        </w:rPr>
        <w:t xml:space="preserve"> και την οδηγία 93/13/ΕΟΚ του Ευρωπαϊκού Κοινοβουλίου και του Συμβουλίου</w:t>
      </w:r>
      <w:r>
        <w:rPr>
          <w:rStyle w:val="FootnoteReference"/>
          <w:noProof/>
        </w:rPr>
        <w:footnoteReference w:id="37"/>
      </w:r>
      <w:r>
        <w:rPr>
          <w:noProof/>
        </w:rPr>
        <w:t>, όπως τροποποιήθηκε με την οδηγία (ΕΕ) 2019/2161 του Ευρωπαϊκού Κοινοβουλίου και του Συμβουλίου</w:t>
      </w:r>
      <w:r>
        <w:rPr>
          <w:rStyle w:val="FootnoteReference"/>
          <w:noProof/>
        </w:rPr>
        <w:footnoteReference w:id="38"/>
      </w:r>
      <w:r>
        <w:rPr>
          <w:noProof/>
        </w:rPr>
        <w:t>, και το ενωσιακό δίκαιο για την προστασία των δεδομένων προσωπικού χαρακτήρα, ειδικότερα τον κανονισμό (ΕΕ) 2016/679 του Ευρωπαϊκού Κοινοβουλίου και του Συμβουλίου</w:t>
      </w:r>
      <w:r>
        <w:rPr>
          <w:rStyle w:val="FootnoteReference"/>
          <w:noProof/>
        </w:rPr>
        <w:footnoteReference w:id="39"/>
      </w:r>
      <w:r>
        <w:rPr>
          <w:noProof/>
        </w:rPr>
        <w:t xml:space="preserve">. Η προστασία των φυσικών προσώπων έναντι της επεξεργασίας δεδομένων προσωπικού χαρακτήρα διέπεται αποκλειστικά από τους σχετικούς κανόνες του ενωσιακού </w:t>
      </w:r>
      <w:r>
        <w:rPr>
          <w:noProof/>
        </w:rPr>
        <w:lastRenderedPageBreak/>
        <w:t>δικαίου, ειδικότερα τον κανονισμό (ΕΕ) 2016/679 και την οδηγία 2002/58/ΕΚ. Επιπλέον, ο παρών κανονισμός δεν θίγει τους κανόνες του ενωσιακού δικαίου σχετικά με τις συνθήκες εργασίας.</w:t>
      </w:r>
    </w:p>
    <w:p>
      <w:pPr>
        <w:pStyle w:val="ManualConsidrant"/>
        <w:rPr>
          <w:noProof/>
          <w:szCs w:val="24"/>
        </w:rPr>
      </w:pPr>
      <w:r>
        <w:t>(11)</w:t>
      </w:r>
      <w:r>
        <w:tab/>
      </w:r>
      <w:r>
        <w:rPr>
          <w:noProof/>
        </w:rPr>
        <w:t>Θα πρέπει να διευκρινιστεί ότι ο παρών κανονισμός εφαρμόζεται με την επιφύλαξη των κανόνων του ενωσιακού δίκαιου σχετικά με τα δικαιώματα πνευματικής ιδιοκτησίας και τα συγγενικά δικαιώματα, οι οποίοι καθορίζουν ειδικούς κανόνες και διαδικασίες των οποίων η ισχύς δεν θα πρέπει να θιγεί.</w:t>
      </w:r>
    </w:p>
    <w:p>
      <w:pPr>
        <w:pStyle w:val="ManualConsidrant"/>
        <w:rPr>
          <w:noProof/>
        </w:rPr>
      </w:pPr>
      <w:r>
        <w:t>(12)</w:t>
      </w:r>
      <w:r>
        <w:tab/>
      </w:r>
      <w:r>
        <w:rPr>
          <w:noProof/>
        </w:rPr>
        <w:t xml:space="preserve">Προκειμένου να επιτευχθεί ο στόχος της διασφάλισης ενός ασφαλούς, προβλέψιμου και αξιόπιστου επιγραμμικού περιβάλλοντος, για τους σκοπούς του παρόντος κανονισμού η έννοια του «παράνομου περιεχομένου» θα πρέπει να οριστεί ευρέως και να καλύπτει επίσης πληροφορίες που αφορούν παράνομο περιεχόμενο, προϊόντα, υπηρεσίες και δραστηριότητες. Ειδικότερα, η εν λόγω έννοια θα πρέπει να θεωρείται ότι αναφέρεται σε πληροφορίες, ανεξαρτήτως της μορφής τους, οι οποίες, βάσει του εφαρμοστέου δικαίου, είτε είναι οι ίδιες παράνομες, όπως η παράνομη ρητορική μίσους ή το τρομοκρατικό περιεχόμενο και το παράνομο περιεχόμενο που εισάγει διακρίσεις, είτε αφορούν δραστηριότητες που είναι παράνομες, όπως η κοινοποίηση εικόνων που απεικονίζουν σεξουαλική κακοποίηση παιδιών, η παράνομη μη συναινετική κοινοποίηση ιδιωτικών εικόνων, η παρενοχλητική παρακολούθηση στο διαδίκτυο, η πώληση μη συμμορφούμενων προϊόντων ή προϊόντων παραποίησης/απομίμησης, η μη εξουσιοδοτημένη χρήση υλικού που προστατεύεται από δικαιώματα πνευματικής ιδιοκτησίας, ή δραστηριότητες που συνεπάγονται παραβάσεις του δικαίου για την προστασία των καταναλωτών. Στο πλαίσιο αυτό, δεν έχει σημασία αν ο παράνομος χαρακτήρας των πληροφοριών ή της δραστηριότητας προκύπτει από το ενωσιακό δίκαιο ή από εθνικό δίκαιο το οποίο συνάδει με το ενωσιακό δίκαιο, ούτε έχει σημασία η ακριβής φύση ή το αντικείμενο του επίμαχου δικαίου. </w:t>
      </w:r>
    </w:p>
    <w:p>
      <w:pPr>
        <w:pStyle w:val="ManualConsidrant"/>
        <w:rPr>
          <w:noProof/>
        </w:rPr>
      </w:pPr>
      <w:r>
        <w:t>(13)</w:t>
      </w:r>
      <w:r>
        <w:tab/>
      </w:r>
      <w:r>
        <w:rPr>
          <w:noProof/>
        </w:rPr>
        <w:t>Λαμβανομένων υπόψη των ιδιαίτερων χαρακτηριστικών των σχετικών υπηρεσιών και της αντίστοιχης ανάγκης να υπόκεινται οι πάροχοί τους σε ορισμένες συγκεκριμένες υποχρεώσεις, είναι απαραίτητο να γίνει διάκριση της υποκατηγορίας των επιγραμμικών πλατφορμών εντός της ευρύτερης κατηγορίας των παρόχων υπηρεσιών φιλοξενίας όπως ορίζονται στον παρόντα κανονισμό. Οι επιγραμμικές πλατφόρμες, όπως τα μέσα κοινωνικής δικτύωσης ή οι επιγραμμικές αγορές, θα πρέπει να οριστούν ως πάροχοι υπηρεσιών φιλοξενίας οι οποίοι όχι μόνο αποθηκεύουν τις πληροφορίες που παρέχονται από τους αποδέκτες της υπηρεσίας κατόπιν αιτήματός τους, αλλά διαδίδουν επίσης τις πληροφορίες αυτές στο κοινό, και πάλι κατόπιν αιτήματός τους. Ωστόσο, προκειμένου να αποφευχθεί η επιβολή υπερβολικά ευρειών υποχρεώσεων, οι πάροχοι υπηρεσιών φιλοξενίας δεν θα πρέπει να θεωρούνται επιγραμμικές πλατφόρμες εάν η διάδοση στο κοινό αποτελεί ήσσονος σημασίας και αμιγώς δευτερεύον στοιχείο άλλης υπηρεσίας και το στοιχείο αυτό δεν μπορεί, για αντικειμενικούς τεχνικούς λόγους, να χρησιμοποιηθεί χωρίς αυτή την άλλη, κύρια υπηρεσία, και η ενσωμάτωση του στοιχείου αυτού δεν αποτελεί μέσο για την παράκαμψη της εφαρμογής των κανόνων του παρόντος κανονισμού που εφαρμόζονται στις επιγραμμικές πλατφόρμες. Για παράδειγμα, η ενότητα σχολίων μιας διαδικτυακής εφημερίδας θα μπορούσε να αποτελεί τέτοιο στοιχείο, εφόσον είναι σαφές ότι πρόκειται για δευτερεύον στοιχείο της κύριας υπηρεσίας η οποία συνίσταται στη δημοσίευση ειδήσεων υπό τη συντακτική ευθύνη του εκδότη.</w:t>
      </w:r>
    </w:p>
    <w:p>
      <w:pPr>
        <w:pStyle w:val="ManualConsidrant"/>
        <w:rPr>
          <w:noProof/>
        </w:rPr>
      </w:pPr>
      <w:r>
        <w:t>(14)</w:t>
      </w:r>
      <w:r>
        <w:tab/>
      </w:r>
      <w:r>
        <w:rPr>
          <w:noProof/>
        </w:rPr>
        <w:t xml:space="preserve">Η έννοια της «διάδοσης στο κοινό», όπως χρησιμοποιείται στον παρόντα κανονισμό, θα πρέπει να εμπεριέχει τη διάθεση πληροφοριών σε έναν δυνητικά απεριόριστο αριθμό ατόμων, δηλαδή τη διασφάλιση της εύκολης πρόσβασης των χρηστών εν γένει </w:t>
      </w:r>
      <w:r>
        <w:rPr>
          <w:noProof/>
        </w:rPr>
        <w:lastRenderedPageBreak/>
        <w:t>στις πληροφορίες, χωρίς να απαιτούνται περαιτέρω ενέργειες από τον αποδέκτη της υπηρεσίας που παρέχει τις πληροφορίες, ανεξάρτητα από το αν τα άτομα αυτά έχουν πράγματι πρόσβαση στις εν λόγω πληροφορίες. Η απλή δυνατότητα δημιουργίας ομάδων χρηστών μιας δεδομένης υπηρεσίας δεν θα πρέπει να θεωρηθεί ότι σημαίνει, αυτή καθαυτή, ότι οι πληροφορίες που διαδίδονται με αυτόν τον τρόπο δεν διαδίδονται στο κοινό. Ωστόσο, η έννοια δεν θα πρέπει να περιλαμβάνει τη διάδοση πληροφοριών εντός κλειστών ομάδων οι οποίες αποτελούνται από έναν πεπερασμένο αριθμό προκαθορισμένων ατόμων. Οι υπηρεσίες διαπροσωπικών επικοινωνιών, όπως ορίζονται στην οδηγία (ΕΕ) 2018/1972 του Ευρωπαϊκού Κοινοβουλίου και του Συμβουλίου</w:t>
      </w:r>
      <w:r>
        <w:rPr>
          <w:rStyle w:val="FootnoteReference"/>
          <w:noProof/>
        </w:rPr>
        <w:footnoteReference w:id="40"/>
      </w:r>
      <w:r>
        <w:rPr>
          <w:noProof/>
        </w:rPr>
        <w:t xml:space="preserve">, π.χ. οι υπηρεσίες μηνυμάτων ηλεκτρονικού ταχυδρομείου ή ιδιωτικών μηνυμάτων, δεν εμπίπτουν στο πεδίο εφαρμογής του παρόντος κανονισμού. Οι πληροφορίες θα πρέπει να θεωρείται ότι διαδίδονται στο κοινό κατά την έννοια του παρόντος κανονισμού μόνο όταν αυτό συμβαίνει κατόπιν άμεσου αιτήματος του αποδέκτη της υπηρεσίας που παρείχε τις πληροφορίες. </w:t>
      </w:r>
    </w:p>
    <w:p>
      <w:pPr>
        <w:pStyle w:val="ManualConsidrant"/>
        <w:rPr>
          <w:noProof/>
        </w:rPr>
      </w:pPr>
      <w:r>
        <w:t>(15)</w:t>
      </w:r>
      <w:r>
        <w:tab/>
      </w:r>
      <w:r>
        <w:rPr>
          <w:noProof/>
        </w:rPr>
        <w:t>Όταν ορισμένες από τις υπηρεσίες που παρέχονται από έναν πάροχο καλύπτονται από τον παρόντα κανονισμό ενώ άλλες όχι, ή όταν οι υπηρεσίες που παρέχονται από έναν πάροχο καλύπτονται από διαφορετικά τμήματα του παρόντος κανονισμού, οι σχετικές διατάξεις του παρόντος κανονισμού θα πρέπει να εφαρμόζονται μόνο σε σχέση με τις υπηρεσίες που εμπίπτουν στο πεδίο εφαρμογής τους.</w:t>
      </w:r>
    </w:p>
    <w:p>
      <w:pPr>
        <w:pStyle w:val="ManualConsidrant"/>
        <w:rPr>
          <w:noProof/>
        </w:rPr>
      </w:pPr>
      <w:r>
        <w:t>(16)</w:t>
      </w:r>
      <w:r>
        <w:tab/>
      </w:r>
      <w:r>
        <w:rPr>
          <w:noProof/>
        </w:rPr>
        <w:t xml:space="preserve">Η ασφάλεια δικαίου που παρέχεται από το οριζόντιο πλαίσιο των υπό όρους απαλλαγών από την ευθύνη για τους παρόχους ενδιάμεσων υπηρεσιών, το οποίο προβλέπεται στην οδηγία 2000/31/ΕΚ, έχει καταστήσει δυνατή την εμφάνιση και επέκταση πολλών καινοτόμων υπηρεσιών σε ολόκληρη την εσωτερική αγορά. Ως εκ τούτου, το πλαίσιο αυτό θα πρέπει να διατηρηθεί. Ωστόσο, λόγω των αποκλίσεων κατά τη μεταφορά στο εθνικό δίκαιο και την εφαρμογή των σχετικών κανόνων σε εθνικό επίπεδο, και για λόγους σαφήνειας και συνοχής, το εν λόγω πλαίσιο θα πρέπει να ενσωματωθεί στον παρόντα κανονισμό. Πρέπει επίσης να διευκρινιστούν ορισμένα στοιχεία του πλαισίου αυτού, λαμβανομένης υπόψη της νομολογίας του Δικαστηρίου της Ευρωπαϊκής Ένωσης. </w:t>
      </w:r>
    </w:p>
    <w:p>
      <w:pPr>
        <w:pStyle w:val="ManualConsidrant"/>
        <w:rPr>
          <w:noProof/>
        </w:rPr>
      </w:pPr>
      <w:r>
        <w:t>(17)</w:t>
      </w:r>
      <w:r>
        <w:tab/>
      </w:r>
      <w:r>
        <w:rPr>
          <w:noProof/>
        </w:rPr>
        <w:t>Οι σχετικοί κανόνες του κεφαλαίου ΙΙ θα πρέπει να ορίζουν μόνο πότε ο οικείος πάροχος ενδιάμεσων υπηρεσιών δεν μπορεί να θεωρηθεί υπεύθυνος σε σχέση με παράνομο περιεχόμενο το οποίο παρέχεται από τους αποδέκτες της υπηρεσίας. Οι εν λόγω κανόνες δεν θα πρέπει να θεωρηθεί ότι παρέχουν θετική βάση για τον προσδιορισμό του πότε ένας πάροχος μπορεί να θεωρηθεί υπεύθυνος, επειδή αυτό καθορίζεται βάσει των εφαρμοστέων κανόνων του ενωσιακού ή εθνικού δικαίου. Επιπλέον, οι απαλλαγές από την ευθύνη που θεσπίζονται με τον παρόντα κανονισμό θα πρέπει να ισχύουν για κάθε είδος ευθύνης όσον αφορά κάθε τύπο παράνομου περιεχομένου, ανεξάρτητα από το ακριβές αντικείμενο ή τη φύση αυτού του δικαίου.</w:t>
      </w:r>
    </w:p>
    <w:p>
      <w:pPr>
        <w:pStyle w:val="ManualConsidrant"/>
        <w:rPr>
          <w:noProof/>
        </w:rPr>
      </w:pPr>
      <w:r>
        <w:t>(18)</w:t>
      </w:r>
      <w:r>
        <w:tab/>
      </w:r>
      <w:r>
        <w:rPr>
          <w:noProof/>
        </w:rPr>
        <w:t xml:space="preserve">Οι απαλλαγές από την ευθύνη που θεσπίζονται με τον παρόντα κανονισμό δεν θα πρέπει να εφαρμόζονται όταν ο πάροχος ενδιάμεσων υπηρεσιών, αντί να περιορίζεται στην παροχή των υπηρεσιών με ουδέτερο τρόπο, με απλώς τεχνική και αυτόματη επεξεργασία των πληροφοριών που παρέχονται από τον αποδέκτη της υπηρεσίας, διαδραματίζει ενεργό ρόλο ο οποίος είναι τέτοιας φύσεως ώστε να του παρέχει γνώση ή έλεγχο των εν λόγω πληροφοριών. Κατά συνέπεια, οι απαλλαγές αυτές δεν θα </w:t>
      </w:r>
      <w:r>
        <w:rPr>
          <w:noProof/>
        </w:rPr>
        <w:lastRenderedPageBreak/>
        <w:t>πρέπει να είναι διαθέσιμες όσον αφορά την ευθύνη που σχετίζεται με πληροφορίες οι οποίες παρέχονται όχι από τον αποδέκτη της υπηρεσίας αλλά από τον ίδιο τον πάροχο της ενδιάμεσης υπηρεσίας, για παράδειγμα, όταν οι πληροφορίες παράγονται υπό τη συντακτική ευθύνη του συγκεκριμένου παρόχου.</w:t>
      </w:r>
    </w:p>
    <w:p>
      <w:pPr>
        <w:pStyle w:val="ManualConsidrant"/>
        <w:rPr>
          <w:noProof/>
        </w:rPr>
      </w:pPr>
      <w:r>
        <w:t>(19)</w:t>
      </w:r>
      <w:r>
        <w:tab/>
      </w:r>
      <w:r>
        <w:rPr>
          <w:noProof/>
        </w:rPr>
        <w:t>Λόγω του διαφορετικού χαρακτήρα των δραστηριοτήτων της «απλής μετάδοσης», της «προσωρινής αποθήκευσης» και της «φιλοξενίας», καθώς και της διαφορετικής θέσης και των διαφορετικών ικανοτήτων των παρόχων των εν λόγω υπηρεσιών, είναι απαραίτητο να γίνει διάκριση των κανόνων που εφαρμόζονται σε αυτές τις δραστηριότητες, στον βαθμό που αυτές υπόκεινται, βάσει του παρόντος κανονισμού, σε διαφορετικές απαιτήσεις και όρους, ενώ παράλληλα διαφέρει το πεδίο τους, όπως έχει ερμηνευθεί από το Δικαστήριο της Ευρωπαϊκής Ένωσης.</w:t>
      </w:r>
    </w:p>
    <w:p>
      <w:pPr>
        <w:pStyle w:val="ManualConsidrant"/>
        <w:rPr>
          <w:noProof/>
        </w:rPr>
      </w:pPr>
      <w:r>
        <w:t>(20)</w:t>
      </w:r>
      <w:r>
        <w:tab/>
      </w:r>
      <w:r>
        <w:rPr>
          <w:noProof/>
        </w:rPr>
        <w:t xml:space="preserve">Ένας πάροχος ενδιάμεσων υπηρεσιών που σκοπίμως συνεργάζεται με αποδέκτη των υπηρεσιών με σκοπό τη διεξαγωγή παράνομων δραστηριοτήτων δεν παρέχει την υπηρεσία του με ουδέτερο τρόπο και, επομένως, δεν θα πρέπει να μπορεί να επωφελείται από τις απαλλαγές από την ευθύνη που προβλέπονται στον παρόντα κανονισμό. </w:t>
      </w:r>
    </w:p>
    <w:p>
      <w:pPr>
        <w:pStyle w:val="ManualConsidrant"/>
        <w:rPr>
          <w:noProof/>
        </w:rPr>
      </w:pPr>
      <w:r>
        <w:t>(21)</w:t>
      </w:r>
      <w:r>
        <w:tab/>
      </w:r>
      <w:r>
        <w:rPr>
          <w:noProof/>
        </w:rPr>
        <w:t xml:space="preserve">Ένας πάροχος θα πρέπει να μπορεί να επωφελείται από τις απαλλαγές από την ευθύνη για υπηρεσίες «απλής μετάδοσης» και «προσωρινής αποθήκευσης», όταν δεν εμπλέκεται με κανέναν τρόπο στις μεταδιδόμενες πληροφορίες. Αυτό συνεπάγεται, μεταξύ άλλων, ότι ο πάροχος δεν τροποποιεί τις πληροφορίες που μεταδίδει. Ωστόσο, η απαίτηση αυτή δεν θα πρέπει να θεωρείται ότι καλύπτει χειρισμούς τεχνικής φύσης, οι οποίοι πραγματοποιούνται κατά τη διάρκεια της μετάδοσης, δεδομένου ότι οι χειρισμοί αυτοί δεν αλλοιώνουν την ακεραιότητα των μεταδιδόμενων πληροφοριών. </w:t>
      </w:r>
    </w:p>
    <w:p>
      <w:pPr>
        <w:pStyle w:val="ManualConsidrant"/>
        <w:rPr>
          <w:noProof/>
        </w:rPr>
      </w:pPr>
      <w:r>
        <w:t>(22)</w:t>
      </w:r>
      <w:r>
        <w:tab/>
      </w:r>
      <w:r>
        <w:rPr>
          <w:noProof/>
        </w:rPr>
        <w:t>Προκειμένου να επωφελείται από τις απαλλαγές από την ευθύνη για υπηρεσίες φιλοξενίας, ο πάροχος θα πρέπει, μόλις λάβει πραγματική γνώση ή αντιληφθεί ότι πρόκειται για παράνομο περιεχόμενο, να ενεργεί άμεσα προκειμένου να αποσύρει το παράνομο περιεχόμενο ή να απενεργοποιήσει την πρόσβαση σε αυτό. Η απόσυρση ή η απενεργοποίηση της πρόσβασης θα πρέπει να πραγματοποιείται τηρουμένης της αρχής της ελευθερίας της έκφρασης. Ο πάροχος μπορεί να λάβει πραγματική γνώση ή να αντιληφθεί ότι πρόκειται για παράνομο περιεχόμενο μέσω, ειδικότερα, αυτεπάγγελτων ερευνών ή ειδοποιήσεων που υποβάλλονται σε αυτόν από φυσικά πρόσωπα ή οντότητες σύμφωνα με τον παρόντα κανονισμό, στον βαθμό που οι ειδοποιήσεις αυτές είναι επαρκώς ακριβείς και αρκούντως τεκμηριωμένες ώστε να δίνουν τη δυνατότητα σε επιμελή οικονομικό φορέα να εντοπίζει και να αξιολογεί εύλογα και, κατά περίπτωση, να λαμβάνει μέτρα κατά του εικαζόμενου παράνομου περιεχομένου.</w:t>
      </w:r>
    </w:p>
    <w:p>
      <w:pPr>
        <w:pStyle w:val="ManualConsidrant"/>
        <w:rPr>
          <w:noProof/>
        </w:rPr>
      </w:pPr>
      <w:r>
        <w:t>(23)</w:t>
      </w:r>
      <w:r>
        <w:tab/>
      </w:r>
      <w:r>
        <w:rPr>
          <w:noProof/>
        </w:rPr>
        <w:t xml:space="preserve">Προκειμένου να διασφαλίζεται η αποτελεσματική προστασία των καταναλωτών κατά τη συμμετοχή τους σε εμπορικές συναλλαγές που πραγματοποιούνται με διαμεσολάβηση στο διαδίκτυο, ορισμένοι πάροχοι υπηρεσιών φιλοξενίας, και συγκεκριμένα οι επιγραμμικές πλατφόρμες που επιτρέπουν στους καταναλωτές να συνάπτουν εξ αποστάσεως συμβάσεις με εμπόρους, δεν θα πρέπει να μπορούν να επωφελούνται από την απαλλαγή από την ευθύνη που προβλέπεται στον παρόντα κανονισμό για τους παρόχους υπηρεσιών φιλοξενίας, στον βαθμό  που αυτές οι επιγραμμικές πλατφόρμες παρουσιάζουν τις σχετικές με τις επίμαχες συναλλαγές πληροφορίες κατά τρόπο που οδηγεί τους καταναλωτές να πιστέψουν ότι οι πληροφορίες παρασχέθηκαν από τις ίδιες τις επιγραμμικές πλατφόρμες ή από αποδέκτες της υπηρεσίας οι οποίοι ενεργούν υπό την εξουσία ή υπό τον έλεγχό τους, και, ως εκ τούτου, αυτές οι επιγραμμικές πλατφόρμες έχουν γνώση ή έλεγχο των </w:t>
      </w:r>
      <w:r>
        <w:rPr>
          <w:noProof/>
        </w:rPr>
        <w:lastRenderedPageBreak/>
        <w:t xml:space="preserve">πληροφοριών, ακόμη και αν αυτό ενδέχεται να μην ισχύει στην πραγματικότητα. Εν προκειμένω, θα πρέπει να καθορίζεται αντικειμενικά, βάσει όλων των σχετικών περιστάσεων, αν η παρουσίαση θα μπορούσε να δημιουργήσει αυτή την εντύπωση σε έναν μέσο και εύλογα ενημερωμένο καταναλωτή. </w:t>
      </w:r>
    </w:p>
    <w:p>
      <w:pPr>
        <w:pStyle w:val="ManualConsidrant"/>
        <w:rPr>
          <w:noProof/>
        </w:rPr>
      </w:pPr>
      <w:r>
        <w:t>(24)</w:t>
      </w:r>
      <w:r>
        <w:tab/>
      </w:r>
      <w:r>
        <w:rPr>
          <w:noProof/>
        </w:rPr>
        <w:t>Οι απαλλαγές από την ευθύνη που θεσπίζονται με τον παρόντα κανονισμό δεν θα πρέπει να θίγουν τη δυνατότητα επιβολής μέτρων ποικίλης φύσεως κατά παρόχων ενδιάμεσων υπηρεσιών, ακόμη και όταν πληρούν τις προϋποθέσεις που προβλέπονται στο πλαίσιο αυτών των απαλλαγών. Τα εν λόγω μέτρα μπορούν να συνίστανται ιδίως σε εντολές δικαστηρίων ή διοικητικών αρχών, οι οποίες διατάσσουν την παύση ή πρόληψη τυχόν παραβάσεων, συμπεριλαμβανομένων της αφαίρεσης παράνομου περιεχομένου, όπως ορίζεται στις εν λόγω εντολές που εκδίδονται σύμφωνα με το ενωσιακό δίκαιο, ή της απενεργοποίησης της πρόσβασης σε αυτό.</w:t>
      </w:r>
    </w:p>
    <w:p>
      <w:pPr>
        <w:pStyle w:val="ManualConsidrant"/>
        <w:rPr>
          <w:noProof/>
        </w:rPr>
      </w:pPr>
      <w:r>
        <w:t>(25)</w:t>
      </w:r>
      <w:r>
        <w:tab/>
      </w:r>
      <w:r>
        <w:rPr>
          <w:noProof/>
        </w:rPr>
        <w:t xml:space="preserve">Προκειμένου να δημιουργείται ασφάλεια δικαίου και να μην αποθαρρύνονται δραστηριότητες ανίχνευσης, εντοπισμού και ανάληψης δράσης κατά παράνομου περιεχομένου, τις οποίες οι πάροχοι ενδιάμεσων υπηρεσιών ενδέχεται να αναλάβουν σε εθελοντική βάση, θα πρέπει να διευκρινιστεί ότι το γεγονός ότι οι πάροχοι αναλαμβάνουν τέτοιες δραστηριότητες δεν συνεπάγεται από μόνο του μη διαθεσιμότητα των απαλλαγών από την ευθύνη που προβλέπονται στον παρόντα κανονισμό, υπό τον όρο ότι οι δραστηριότητες αυτές εκτελούνται καλόπιστα και με επιμέλεια. Επιπλέον, είναι σκόπιμο να διευκρινιστεί ότι απλώς και μόνο το γεγονός ότι οι πάροχοι αυτοί λαμβάνουν, καλόπιστα, μέτρα ώστε να συμμορφωθούν με τις απαιτήσεις του ενωσιακού δικαίου, συμπεριλαμβανομένων εκείνων που προβλέπονται στον παρόντα κανονισμό όσον αφορά την εφαρμογή των όρων και προϋποθέσεών τους, δεν θα πρέπει να συνεπάγεται μη διαθεσιμότητα των εν λόγω απαλλαγών από την ευθύνη. Ως εκ τούτου, τέτοιου είδους δραστηριότητες και μέτρα, που ένας συγκεκριμένος πάροχος ενδέχεται να έχει λάβει, δεν θα πρέπει να λαμβάνονται υπόψη κατά τον καθορισμό του αν ο πάροχος μπορεί να κάνει χρήση απαλλαγής από την ευθύνη, ιδίως όσον αφορά το κατά πόσον ο πάροχος παρέχει την υπηρεσία του με ουδέτερο τρόπο και μπορεί, επομένως, να εμπίπτει στο πεδίο εφαρμογής της σχετικής διάταξης, χωρίς ωστόσο ο κανόνας αυτός να συνεπάγεται ότι ο πάροχος μπορεί απαραιτήτως να κάνει χρήση της συγκεκριμένης απαλλαγής. </w:t>
      </w:r>
    </w:p>
    <w:p>
      <w:pPr>
        <w:pStyle w:val="ManualConsidrant"/>
        <w:rPr>
          <w:noProof/>
        </w:rPr>
      </w:pPr>
      <w:r>
        <w:t>(26)</w:t>
      </w:r>
      <w:r>
        <w:tab/>
      </w:r>
      <w:r>
        <w:rPr>
          <w:noProof/>
        </w:rPr>
        <w:t xml:space="preserve">Παρότι οι κανόνες του κεφαλαίου ΙΙ του παρόντος κανονισμού επικεντρώνονται στην απαλλαγή από την ευθύνη για τους παρόχους ενδιάμεσων υπηρεσιών, είναι σημαντικό να υπενθυμιστεί ότι, παρά τον σημαντικό γενικά ρόλο τον οποίο διαδραματίζουν αυτοί οι πάροχοι, το πρόβλημα του παράνομου περιεχομένου και των παράνομων δραστηριοτήτων στο διαδίκτυο δεν θα πρέπει να αντιμετωπιστεί εστιάζοντας αποκλειστικά στην ευθύνη και τις αρμοδιότητές τους. Όπου αυτό είναι δυνατό, τρίτοι οι οποίοι θίγονται από παράνομο περιεχόμενο που μεταδίδεται ή αποθηκεύεται στο διαδίκτυο θα πρέπει να προσπαθούν να επιλύσουν τις διαφορές που σχετίζονται με αυτό το περιεχόμενο χωρίς τη συμμετοχή των παρόχων των σχετικών ενδιάμεσων υπηρεσιών. Οι αποδέκτες της υπηρεσίας θα πρέπει να θεωρούνται υπεύθυνοι, όταν αυτό προβλέπεται από τους εφαρμοστέους κανόνες του ενωσιακού και εθνικού δικαίου για τον καθορισμό της σχετικής ευθύνης, για το παράνομο περιεχόμενο το οποίο παρέχουν και ενδέχεται να διαδώσουν μέσω ενδιάμεσων υπηρεσιών. Κατά περίπτωση, άλλοι παράγοντες, όπως συντονιστές ομάδων σε κλειστά επιγραμμικά περιβάλλοντα, ιδίως στην περίπτωση μεγάλων ομάδων, θα πρέπει επίσης να συμβάλλουν στην αποτροπή της διάδοσης παράνομου περιεχομένου στο διαδίκτυο, σύμφωνα με το εφαρμοστέο δίκαιο. Επιπλέον, όταν απαιτείται η συμμετοχή των παρόχων υπηρεσιών της κοινωνίας των πληροφοριών, συμπεριλαμβανομένων των </w:t>
      </w:r>
      <w:r>
        <w:rPr>
          <w:noProof/>
        </w:rPr>
        <w:lastRenderedPageBreak/>
        <w:t>παρόχων ενδιάμεσων υπηρεσιών, κάθε αίτηση ή εντολή για την εν λόγω συμμετοχή θα πρέπει, κατά γενικό κανόνα, να απευθύνεται στον παράγοντα που διαθέτει την τεχνική και επιχειρησιακή δυνατότητα να αναλάβει δράση κατά συγκεκριμένων στοιχείων παράνομου περιεχομένου, ώστε να αποτρέπονται και να ελαχιστοποιούνται τυχόν αρνητικές επιπτώσεις στη διαθεσιμότητα και την προσβασιμότητα πληροφοριών που δεν αποτελούν παράνομο περιεχόμενο.</w:t>
      </w:r>
    </w:p>
    <w:p>
      <w:pPr>
        <w:pStyle w:val="ManualConsidrant"/>
        <w:rPr>
          <w:noProof/>
        </w:rPr>
      </w:pPr>
      <w:r>
        <w:t>(27)</w:t>
      </w:r>
      <w:r>
        <w:tab/>
      </w:r>
      <w:r>
        <w:rPr>
          <w:noProof/>
        </w:rPr>
        <w:t xml:space="preserve">Από το 2000 έχουν εμφανιστεί νέες τεχνολογίες οι οποίες βελτιώνουν τη διαθεσιμότητα, την αποδοτικότητα, την ταχύτητα, την αξιοπιστία, τη χωρητικότητα και την ασφάλεια των συστημάτων μετάδοσης και αποθήκευσης δεδομένων στο διαδίκτυο, οδηγώντας σε ένα ολοένα και πιο περίπλοκο επιγραμμικό οικοσύστημα. Εν προκειμένω, θα πρέπει να υπενθυμιστεί ότι οι πάροχοι υπηρεσιών που δημιουργούν και διευκολύνουν την υποκείμενη λογική αρχιτεκτονική και ορθή λειτουργία του διαδικτύου, συμπεριλαμβανομένων των τεχνικών βοηθητικών λειτουργιών, μπορούν επίσης να επωφεληθούν από απαλλαγές από την ευθύνη που προβλέπονται στον παρόντα κανονισμό, στον βαθμό που οι υπηρεσίες τους χαρακτηρίζονται ως υπηρεσίες «απλής μετάδοσης», «προσωρινής αποθήκευσης» ή φιλοξενίας. Στις εν λόγω υπηρεσίες περιλαμβάνονται, κατά περίπτωση, ασύρματα τοπικά δίκτυα, υπηρεσίες συστημάτων ονομάτων τομέα (DNS), μητρώα ονομάτων τομέα ανωτάτου επιπέδου, αρχές πιστοποίησης που εκδίδουν ψηφιακά πιστοποιητικά ή δίκτυα παράδοσης περιεχομένου που διευκολύνουν ή βελτιώνουν τις λειτουργίες άλλων παρόχων ενδιάμεσων υπηρεσιών. Ομοίως, οι υπηρεσίες που χρησιμοποιούνται για σκοπούς επικοινωνιών και τα τεχνικά μέσα πραγματοποίησής τους έχουν επίσης εξελιχθεί σημαντικά και έχουν οδηγήσει στη δημιουργία επιγραμμικών υπηρεσιών, όπως οι υπηρεσίες φωνής μέσω IP (Voice over IP), ανταλλαγής μηνυμάτων και ηλεκτρονικού ταχυδρομείου μέσω διαδικτύου, όπου η επικοινωνία πραγματοποιείται μέσω υπηρεσίας πρόσβασης στο διαδίκτυο. Οι υπηρεσίες αυτές μπορούν επίσης να επωφελούνται από τις απαλλαγές από την ευθύνη, στον βαθμό που χαρακτηρίζονται ως υπηρεσίες «απλής μετάδοσης», «προσωρινής αποθήκευσης» ή φιλοξενίας. </w:t>
      </w:r>
    </w:p>
    <w:p>
      <w:pPr>
        <w:pStyle w:val="ManualConsidrant"/>
        <w:rPr>
          <w:noProof/>
        </w:rPr>
      </w:pPr>
      <w:r>
        <w:t>(28)</w:t>
      </w:r>
      <w:r>
        <w:tab/>
      </w:r>
      <w:r>
        <w:rPr>
          <w:noProof/>
        </w:rPr>
        <w:t xml:space="preserve">Οι πάροχοι ενδιάμεσων υπηρεσιών δεν θα πρέπει να υπόκεινται σε υποχρέωση παρακολούθησης όσον αφορά τις υποχρεώσεις γενικού χαρακτήρα. Αυτό δεν αφορά τις υποχρεώσεις παρακολούθησης σε συγκεκριμένες περιπτώσεις, και ειδικότερα δεν θίγει τυχόν εντολές των εθνικών αρχών σύμφωνα με την εθνική νομοθεσία, βάσει των προϋποθέσεων που ορίζονται στον παρόντα κανονισμό. Κανένα στοιχείο του παρόντος κανονισμού δεν θα πρέπει να εκληφθεί ως επιβάλλον γενική υποχρέωση παρακολούθησης ή υποχρέωση ενεργητικής αναζήτησης γεγονότων, ούτε ως επιβάλλον στους παρόχους γενική υποχρέωση λήψης προδραστικών μέτρων σε σχέση με παράνομο περιεχόμενο. </w:t>
      </w:r>
    </w:p>
    <w:p>
      <w:pPr>
        <w:pStyle w:val="ManualConsidrant"/>
        <w:rPr>
          <w:noProof/>
        </w:rPr>
      </w:pPr>
      <w:r>
        <w:t>(29)</w:t>
      </w:r>
      <w:r>
        <w:tab/>
      </w:r>
      <w:r>
        <w:rPr>
          <w:noProof/>
        </w:rPr>
        <w:t xml:space="preserve">Ανάλογα με το νομικό σύστημα κάθε κράτους μέλους και τον επίμαχο τομέα του δικαίου, οι εθνικές δικαστικές ή διοικητικές αρχές μπορούν να διατάξουν παρόχους ενδιάμεσων υπηρεσιών να αναλάβουν δράση κατά ορισμένων συγκεκριμένων στοιχείων παράνομου περιεχομένου ή να παράσχουν ορισμένα συγκεκριμένα πληροφοριακά στοιχεία. Οι εθνικές νομοθεσίες βάσει των οποίων εκδίδονται αυτές οι εντολές διαφέρουν σημαντικά και οι εντολές αφορούν ολοένα και συχνότερα διασυνοριακές περιπτώσεις. Προκειμένου να διασφαλιστεί η αποτελεσματική και αποδοτική συμμόρφωση με τις εν λόγω εντολές, ώστε οι οικείες δημόσιες αρχές να μπορούν να εκτελέσουν τα καθήκοντά τους και οι πάροχοι να μην υπόκεινται σε δυσανάλογη επιβάρυνση, χωρίς να θίγονται αδικαιολόγητα τα δικαιώματα και τα έννομα συμφέροντα οποιωνδήποτε τρίτων, είναι αναγκαίο να καθοριστούν ορισμένες </w:t>
      </w:r>
      <w:r>
        <w:rPr>
          <w:noProof/>
        </w:rPr>
        <w:lastRenderedPageBreak/>
        <w:t xml:space="preserve">προϋποθέσεις τις οποίες οι εντολές πρέπει να πληρούν, καθώς και ορισμένες συμπληρωματικές απαιτήσεις σχετικά με τη διεκπεραίωση αυτών των εντολών. </w:t>
      </w:r>
    </w:p>
    <w:p>
      <w:pPr>
        <w:pStyle w:val="ManualConsidrant"/>
        <w:rPr>
          <w:noProof/>
        </w:rPr>
      </w:pPr>
      <w:r>
        <w:t>(30)</w:t>
      </w:r>
      <w:r>
        <w:tab/>
      </w:r>
      <w:r>
        <w:rPr>
          <w:noProof/>
        </w:rPr>
        <w:t>Οι εντολές για την ανάληψη δράσης κατά παράνομου περιεχομένου ή την παροχή πληροφοριών θα πρέπει να εκδίδονται σύμφωνα με το ενωσιακό δίκαιο, ειδικότερα δε τον κανονισμό (ΕΕ) 2016/679, και την απαγόρευση επιβολής γενικών υποχρεώσεων παρακολούθησης πληροφοριών ή ενεργητικής αναζήτησης γεγονότων ή περιστάσεων που υποδεικνύουν παράνομη δραστηριότητα η οποία προβλέπεται στον παρόντα κανονισμό. Οι όροι και οι απαιτήσεις που ορίζονται στον παρόντα κανονισμό και εφαρμόζονται σε εντολές ανάληψης δράσης κατά παράνομου περιεχομένου δεν θίγουν άλλες ενωσιακές πράξεις που προβλέπουν παρόμοια συστήματα για την ανάληψη δράσης κατά συγκεκριμένων ειδών παράνομου περιεχομένου, όπως ο κανονισμός (ΕΕ) .../.... [προτεινόμενος κανονισμός σχετικά με την αντιμετώπιση της διάδοσης τρομοκρατικού περιεχομένου στο διαδίκτυο] ή ο κανονισμός (ΕΕ) 2017/2394, με τον οποίο ανατίθενται στις αρχές των κρατών μελών, οι οποίες είναι αρμόδιες για την επιβολή της νομοθεσίας για την προστασία των καταναλωτών, ειδικές εξουσίες ώστε να διατάσσουν την παροχή πληροφοριών, ενώ οι όροι και οι απαιτήσεις που εφαρμόζονται σε τις εντολές παροχής πληροφοριών δεν θίγουν άλλες ενωσιακές πράξεις που προβλέπουν παρόμοιους σχετικούς κανόνες για συγκεκριμένους τομείς. Οι εν λόγω όροι και απαιτήσεις δεν θα πρέπει να θίγουν τους κανόνες διατήρησης και φύλαξης βάσει του εφαρμοστέου εθνικού δικαίου, σύμφωνα με το ενωσιακό δίκαιο και τα αιτήματα εμπιστευτικότητας των αρχών επιβολής του νόμου, τα οποία αφορούν τη μη κοινοποίηση πληροφοριών.</w:t>
      </w:r>
    </w:p>
    <w:p>
      <w:pPr>
        <w:pStyle w:val="ManualConsidrant"/>
        <w:rPr>
          <w:noProof/>
        </w:rPr>
      </w:pPr>
      <w:r>
        <w:t>(31)</w:t>
      </w:r>
      <w:r>
        <w:tab/>
      </w:r>
      <w:r>
        <w:rPr>
          <w:noProof/>
        </w:rPr>
        <w:t>Το εδαφικό πεδίο εφαρμογής των εν λόγω εντολών ανάληψης δράσης κατά παράνομου περιεχομένου θα πρέπει να καθορίζεται σαφώς βάσει του εφαρμοστέου ενωσιακού ή εθνικού δικαίου που καθιστά δυνατή την έκδοση της εντολής και δεν θα πρέπει να υπερβαίνει το απολύτως αναγκαίο για την επίτευξη των στόχων της. Εν προκειμένω, η εθνική δικαστική ή διοικητική αρχή που εκδίδει την εντολή θα πρέπει να εξισορροπεί τον στόχο τον οποίο επιδιώκει η εντολή, σύμφωνα με τη νομική βάση που καθιστά δυνατή την έκδοσή της, με τα δικαιώματα και τα έννομα συμφέροντα όλων των τρίτων που μπορεί να θιγούν από την εντολή, ιδίως τα θεμελιώδη δικαιώματά τους βάσει του Χάρτη. Επιπλέον, όταν η εντολή που αφορά συγκεκριμένες πληροφορίες ενδέχεται να έχει επιπτώσεις πέραν του εδάφους του κράτους μέλους της οικείας αρχής, η αρχή θα πρέπει να αξιολογεί αν οι επίμαχες πληροφορίες είναι πιθανό να αποτελούν παράνομο περιεχόμενο σε άλλα ενδιαφερόμενα κράτη μέλη και, κατά περίπτωση, να λαμβάνει υπόψη τους σχετικούς κανόνες του ενωσιακού ή διεθνούς δικαίου και τη διεθνή αβροφροσύνη.</w:t>
      </w:r>
    </w:p>
    <w:p>
      <w:pPr>
        <w:pStyle w:val="ManualConsidrant"/>
        <w:rPr>
          <w:noProof/>
        </w:rPr>
      </w:pPr>
      <w:r>
        <w:t>(32)</w:t>
      </w:r>
      <w:r>
        <w:tab/>
      </w:r>
      <w:r>
        <w:rPr>
          <w:noProof/>
        </w:rPr>
        <w:t xml:space="preserve">Οι εντολές παροχής πληροφοριών που ρυθμίζονται από τον παρόντα κανονισμό αφορούν την προσκόμιση συγκεκριμένων πληροφοριών σχετικά με μεμονωμένους αποδέκτες της σχετικής ενδιάμεσης υπηρεσίας, οι οποίοι προσδιορίζονται σε αυτές τις εντολές για τον σκοπό του καθορισμού της συμμόρφωσης των αποδεκτών των υπηρεσιών με τους εφαρμοστέους ενωσιακούς ή εθνικούς κανόνες. Ως εκ τούτου, οι εντολές σχετικά με πληροφορίες για μια ομάδα αποδεκτών της υπηρεσίας οι οποίοι δεν προσδιορίζονται ρητά, συμπεριλαμβανομένων των εντολών παροχής συγκεντρωτικών πληροφοριών που απαιτούνται για στατιστικούς σκοπούς ή για τη χάραξη πολιτικής βάσει στοιχείων, δεν θα πρέπει να θίγονται από τους κανόνες του παρόντος κανονισμού σχετικά με την παροχή πληροφοριών. </w:t>
      </w:r>
    </w:p>
    <w:p>
      <w:pPr>
        <w:pStyle w:val="ManualConsidrant"/>
        <w:rPr>
          <w:noProof/>
        </w:rPr>
      </w:pPr>
      <w:r>
        <w:t>(33)</w:t>
      </w:r>
      <w:r>
        <w:tab/>
      </w:r>
      <w:r>
        <w:rPr>
          <w:noProof/>
        </w:rPr>
        <w:t xml:space="preserve">Οι εντολές για την ανάληψη δράσης κατά παράνομου περιεχομένου και την παροχή πληροφοριών υπόκεινται στους κανόνες που διασφαλίζουν την αρμοδιότητα του κράτους μέλους όπου είναι εγκατεστημένος ο πάροχος υπηρεσιών στον οποίο </w:t>
      </w:r>
      <w:r>
        <w:rPr>
          <w:noProof/>
        </w:rPr>
        <w:lastRenderedPageBreak/>
        <w:t>απευθύνεται η εντολή και προβλέπουν πιθανές παρεκκλίσεις από την αρμοδιότητα αυτή σε ορισμένες περιπτώσεις, οι οποίες παρατίθενται στο άρθρο 3 της οδηγίας 2000/31/ΕΚ, μόνο εάν τηρούνται οι προϋποθέσεις του εν λόγω άρθρου. Δεδομένου ότι οι εν λόγω εντολές αφορούν συγκεκριμένα στοιχεία παράνομου περιεχομένου και πληροφοριακά στοιχεία, αντίστοιχα, όταν απευθύνονται σε παρόχους ενδιάμεσων υπηρεσιών που είναι εγκατεστημένοι σε άλλο κράτος μέλος, δεν περιορίζουν καταρχήν την ελευθερία αυτών των παρόχων να παρέχουν τις υπηρεσίες τους σε διασυνοριακό επίπεδο. Ως εκ τούτου, οι κανόνες που προβλέπονται στο άρθρο 3 της οδηγίας 2000/31/ΕΚ, συμπεριλαμβανομένων εκείνων που αφορούν την ανάγκη αιτιολόγησης, βάσει ορισμένων καθορισμένων λόγων, μέτρων τα οποία παρεκκλίνουν από την αρμοδιότητα του κράτους μέλους όπου είναι εγκατεστημένος ο πάροχος υπηρεσιών, καθώς και εκείνων που αφορούν την κοινοποίηση αυτών των μέτρων, δεν εφαρμόζονται όσον αφορά τις εν λόγω εντολές.</w:t>
      </w:r>
    </w:p>
    <w:p>
      <w:pPr>
        <w:pStyle w:val="ManualConsidrant"/>
        <w:rPr>
          <w:noProof/>
        </w:rPr>
      </w:pPr>
      <w:r>
        <w:t>(34)</w:t>
      </w:r>
      <w:r>
        <w:tab/>
      </w:r>
      <w:r>
        <w:rPr>
          <w:noProof/>
        </w:rPr>
        <w:t>Προκειμένου να επιτευχθούν οι στόχοι του παρόντος κανονισμού και, ειδικότερα, να βελτιωθεί η λειτουργία της εσωτερικής αγοράς και να διασφαλιστεί ένας ασφαλές και διαφανές επιγραμμικό περιβάλλον, πρέπει να θεσπιστεί ένα σαφές και ισορροπημένο σύνολο εναρμονισμένων υποχρεώσεων δέουσας επιμέλειας για τους παρόχους ενδιάμεσων υπηρεσιών. Σκοπός των υποχρεώσεων αυτών θα πρέπει να είναι ιδίως η διασφάλιση διαφορετικών στόχων δημόσιας πολιτικής, όπως η ασφάλεια και η εμπιστοσύνη των αποδεκτών της υπηρεσίας, συμπεριλαμβανομένων των ανηλίκων και των ευάλωτων χρηστών, η προστασία των σχετικών θεμελιωδών δικαιωμάτων που κατοχυρώνονται στον Χάρτη, η διασφάλιση της ουσιαστικής υποχρέωσης λογοδοσίας αυτών των παρόχων και η ενίσχυση της θέσης των αποδεκτών και άλλων θιγόμενων μερών, με παράλληλη διευκόλυνση της αναγκαίας εποπτείας από τις αρμόδιες αρχές.</w:t>
      </w:r>
    </w:p>
    <w:p>
      <w:pPr>
        <w:pStyle w:val="ManualConsidrant"/>
        <w:rPr>
          <w:noProof/>
        </w:rPr>
      </w:pPr>
      <w:r>
        <w:t>(35)</w:t>
      </w:r>
      <w:r>
        <w:tab/>
      </w:r>
      <w:r>
        <w:rPr>
          <w:noProof/>
        </w:rPr>
        <w:t xml:space="preserve">Εν προκειμένω, είναι σημαντικό οι υποχρεώσεις δέουσας επιμέλειας να είναι προσαρμοσμένες στο είδος και στη φύση της σχετικής ενδιάμεσης υπηρεσίας. Ως εκ τούτου, ο παρών κανονισμός προβλέπει βασικές υποχρεώσεις εφαρμοστέες σε όλους τους παρόχους ενδιάμεσων υπηρεσιών, καθώς και πρόσθετες υποχρεώσεις για τους παρόχους υπηρεσιών φιλοξενίας και, πιο συγκεκριμένα, για τις επιγραμμικές πλατφόρμες και τις πολύ μεγάλες επιγραμμικές πλατφόρμες. Στον βαθμό που οι πάροχοι ενδιάμεσων υπηρεσιών μπορεί να εμπίπτουν στις διαφορετικές αυτές κατηγορίες βάσει της φύσης των υπηρεσιών τους και του μεγέθους τους, θα πρέπει να συμμορφώνονται με όλες τις αντίστοιχες υποχρεώσεις του παρόντος κανονισμού. Οι εναρμονισμένες αυτές υποχρεώσεις δέουσας επιμέλειας, οι οποίες θα πρέπει να είναι εύλογες και μη αυθαίρετες, είναι απαραίτητες για την ανταπόκριση στα προσδιορισθέντα ζητήματα δημόσιας πολιτικής, όπως η διαφύλαξη των έννομων συμφερόντων των αποδεκτών της υπηρεσίας, η αντιμετώπιση των παράνομων πρακτικών και η προστασία των θεμελιωδών δικαιωμάτων στο διαδίκτυο. </w:t>
      </w:r>
    </w:p>
    <w:p>
      <w:pPr>
        <w:pStyle w:val="ManualConsidrant"/>
        <w:rPr>
          <w:noProof/>
        </w:rPr>
      </w:pPr>
      <w:r>
        <w:t>(36)</w:t>
      </w:r>
      <w:r>
        <w:tab/>
      </w:r>
      <w:r>
        <w:rPr>
          <w:noProof/>
        </w:rPr>
        <w:t>Προκειμένου να διευκολυνθούν οι ομαλές και αποδοτικές επικοινωνίες σχετικά με ζητήματα που καλύπτονται από τον παρόντα κανονισμό, θα πρέπει να απαιτηθεί από τους παρόχους ενδιάμεσων υπηρεσιών να ορίσουν ενιαίο σημείο επαφής και να δημοσιεύουν σχετικές πληροφορίες για το σημείο επαφής τους, συμπεριλαμβανομένων των γλωσσών που πρέπει να χρησιμοποιούνται στις εν λόγω επικοινωνίες. Το σημείο επαφής μπορεί επίσης να χρησιμοποιείται από αξιόπιστες πηγές επισήμανσης παράνομου περιεχομένου και επαγγελματικούς φορείς που έχουν ειδική σχέση με τον πάροχο ενδιάμεσων υπηρεσιών. Σε αντίθεση με τον νόμιμο εκπρόσωπο, το σημείο επαφής θα πρέπει να εξυπηρετεί επιχειρησιακούς σκοπούς και δεν χρειάζεται απαραιτήτως να διαθέτει φυσική τοποθεσία.</w:t>
      </w:r>
    </w:p>
    <w:p>
      <w:pPr>
        <w:pStyle w:val="ManualConsidrant"/>
        <w:rPr>
          <w:noProof/>
        </w:rPr>
      </w:pPr>
      <w:r>
        <w:lastRenderedPageBreak/>
        <w:t>(37)</w:t>
      </w:r>
      <w:r>
        <w:tab/>
      </w:r>
      <w:r>
        <w:rPr>
          <w:noProof/>
        </w:rPr>
        <w:t xml:space="preserve">Οι πάροχοι ενδιάμεσων υπηρεσιών που είναι εγκατεστημένοι σε τρίτη χώρα και προσφέρουν υπηρεσίες στην Ένωση θα πρέπει να ορίσουν νόμιμο εκπρόσωπο με επαρκώς ισχυρή εντολή και να παρέχουν πληροφορίες σχετικά με τους νόμιμους εκπροσώπους τους, ώστε να είναι δυνατή η άσκηση αποτελεσματικής εποπτείας και, κατά περίπτωση, η επιβολή του παρόντος κανονισμού όσον αφορά τους εν λόγω παρόχους. Ο νόμιμος εκπρόσωπος θα πρέπει να μπορεί να λειτουργεί επίσης ως σημείο επαφής, υπό τον όρο ότι πληρούνται οι σχετικές απαιτήσεις του παρόντος κανονισμού. </w:t>
      </w:r>
    </w:p>
    <w:p>
      <w:pPr>
        <w:pStyle w:val="ManualConsidrant"/>
        <w:rPr>
          <w:noProof/>
        </w:rPr>
      </w:pPr>
      <w:r>
        <w:t>(38)</w:t>
      </w:r>
      <w:r>
        <w:tab/>
      </w:r>
      <w:r>
        <w:rPr>
          <w:noProof/>
        </w:rPr>
        <w:t>Παρότι η ελευθερία σύναψης συμβάσεων των παρόχων ενδιάμεσων υπηρεσιών θα πρέπει καταρχήν να τηρείται, είναι σκόπιμο να καθοριστούν ορισμένοι κανόνες σχετικά με το περιεχόμενο, την εφαρμογή και την επιβολή των όρων και προϋποθέσεων των εν λόγω παρόχων για λόγους διαφάνειας, προστασίας των αποδεκτών της υπηρεσίας και αποφυγής αθέμιτων ή αυθαίρετων αποτελεσμάτων.</w:t>
      </w:r>
    </w:p>
    <w:p>
      <w:pPr>
        <w:pStyle w:val="ManualConsidrant"/>
        <w:rPr>
          <w:noProof/>
        </w:rPr>
      </w:pPr>
      <w:r>
        <w:t>(39)</w:t>
      </w:r>
      <w:r>
        <w:tab/>
      </w:r>
      <w:r>
        <w:rPr>
          <w:noProof/>
        </w:rPr>
        <w:t>Για τη διασφάλιση επαρκούς επιπέδου διαφάνειας και λογοδοσίας, οι πάροχοι ενδιάμεσων υπηρεσιών θα πρέπει να υποβάλλουν ετήσια έκθεση, σύμφωνα με τις εναρμονισμένες απαιτήσεις του παρόντος κανονισμού, σχετικά με τον έλεγχο περιεχομένου τον οποίο πραγματοποιούν, συμπεριλαμβανομένων των μέτρων που λαμβάνονται ως αποτέλεσμα της εφαρμογής και επιβολής των όρων και προϋποθέσεών τους. Ωστόσο, προκειμένου να αποφευχθούν δυσανάλογες επιβαρύνσεις, αυτές οι υποχρεώσεις υποβολής εκθέσεων σχετικά με τη διαφάνεια δεν θα πρέπει να εφαρμόζονται σε παρόχους που είναι πολύ μικρές ή μικρές επιχειρήσεις όπως ορίζονται στη σύσταση 2003/361/ΕΚ της Επιτροπής</w:t>
      </w:r>
      <w:r>
        <w:rPr>
          <w:rStyle w:val="FootnoteReference"/>
          <w:noProof/>
        </w:rPr>
        <w:footnoteReference w:id="41"/>
      </w:r>
      <w:r>
        <w:rPr>
          <w:noProof/>
        </w:rPr>
        <w:t>.</w:t>
      </w:r>
    </w:p>
    <w:p>
      <w:pPr>
        <w:pStyle w:val="ManualConsidrant"/>
        <w:rPr>
          <w:noProof/>
        </w:rPr>
      </w:pPr>
      <w:r>
        <w:t>(40)</w:t>
      </w:r>
      <w:r>
        <w:tab/>
      </w:r>
      <w:r>
        <w:rPr>
          <w:noProof/>
        </w:rPr>
        <w:t xml:space="preserve">Οι πάροχοι υπηρεσιών φιλοξενίας διαδραματίζουν ιδιαίτερα σημαντικό ρόλο στην αντιμετώπιση του παράνομου περιεχομένου στο διαδίκτυο, καθώς αποθηκεύουν πληροφορίες που παρέχονται από τους αποδέκτες της υπηρεσίας και κατόπιν αιτήματος αυτών, και συνήθως παρέχουν σε άλλους αποδέκτες πρόσβαση στις εν λόγω πληροφορίες, ενίοτε σε μεγάλη κλίμακα. Είναι σημαντικό όλοι οι πάροχοι υπηρεσιών φιλοξενίας, ανεξαρτήτως του μεγέθους τους, να θέσουν σε εφαρμογή φιλικούς προς τον χρήστη μηχανισμούς ειδοποίησης και δράσης που διευκολύνουν την κοινοποίηση συγκεκριμένων πληροφοριακών στοιχείων, τα οποία το κοινοποιούν μέρος θεωρεί ότι αποτελούν παράνομο περιεχόμενο, στον οικείο πάροχο υπηρεσιών φιλοξενίας («ειδοποίηση»), βάσει των οποίων ο πάροχος μπορεί να αποφασίσει αν συμφωνεί ή όχι με αυτή την αξιολόγηση και αν επιθυμεί να αποσύρει ή να απενεργοποιήσει την πρόσβαση σε αυτό το περιεχόμενο («δράση»). Εφόσον πληρούνται οι απαιτήσεις σχετικά με τις ειδοποιήσεις, φυσικά πρόσωπα ή οντότητες θα πρέπει να έχουν τη δυνατότητα να κοινοποιήσουν πολλαπλά συγκεκριμένα στοιχεία εικαζόμενου παράνομου περιεχομένου μέσω μίας ειδοποίησης. Η υποχρέωση δημιουργίας μηχανισμών ειδοποίησης και δράσης θα πρέπει να εφαρμόζεται, για παράδειγμα, σε υπηρεσίες αποθήκευσης και διαμοιρασμού αρχείων, υπηρεσίες φιλοξενίας ιστοσελίδων, εξυπηρετητές διαφημίσεων και ιστοσελίδες αποθήκευσης πληροφοριών (paste bins), στο μέτρο που μπορούν να χαρακτηριστούν πάροχοι υπηρεσιών φιλοξενίας που καλύπτονται από τον παρόντα κανονισμό. </w:t>
      </w:r>
    </w:p>
    <w:p>
      <w:pPr>
        <w:pStyle w:val="ManualConsidrant"/>
        <w:rPr>
          <w:noProof/>
        </w:rPr>
      </w:pPr>
      <w:r>
        <w:t>(41)</w:t>
      </w:r>
      <w:r>
        <w:tab/>
      </w:r>
      <w:r>
        <w:rPr>
          <w:noProof/>
        </w:rPr>
        <w:t xml:space="preserve">Οι κανόνες σχετικά με τους εν λόγω μηχανισμούς ειδοποίησης και δράσης θα πρέπει να είναι εναρμονισμένοι σε ενωσιακό επίπεδο, ώστε να προβλέπεται η έγκαιρη, επιμελής και αντικειμενική επεξεργασία των ειδοποιήσεων βάσει κανόνων οι οποίοι </w:t>
      </w:r>
      <w:r>
        <w:rPr>
          <w:noProof/>
        </w:rPr>
        <w:lastRenderedPageBreak/>
        <w:t xml:space="preserve">είναι ομοιόμορφοι, διαφανείς και σαφείς και προβλέπουν ισχυρές διασφαλίσεις για την προστασία των δικαιωμάτων και των έννομων συμφερόντων όλων των θιγόμενων μερών, ιδίως των θεμελιωδών δικαιωμάτων τους που κατοχυρώνονται στον Χάρτη, ανεξάρτητα από το κράτος μέλος στο οποίο είναι εγκατεστημένα ή διαμένουν αυτά τα μέρη, καθώς και από τον επίμαχο τομέα του δικαίου. Στα θεμελιώδη δικαιώματα περιλαμβάνονται, κατά περίπτωση, το δικαίωμα στην ελευθερία έκφρασης και πληροφόρησης, το δικαίωμα στον σεβασμό της ιδιωτικής και οικογενειακής ζωής, το δικαίωμα στην προστασία των δεδομένων προσωπικού χαρακτήρα, το δικαίωμα στην απαγόρευση των διακρίσεων και το δικαίωμα πραγματικής προσφυγής των αποδεκτών της υπηρεσίας· η επιχειρηματική ελευθερία, συμπεριλαμβανομένης της ελευθερίας σύναψης συμβάσεων, των παρόχων υπηρεσιών· καθώς και το δικαίωμα στην ανθρώπινη αξιοπρέπεια, τα δικαιώματα του παιδιού, το δικαίωμα στην προστασία της ιδιοκτησίας, συμπεριλαμβανομένης της πνευματικής ιδιοκτησίας, και το δικαίωμα στην απαγόρευση των διακρίσεων για τα μέρη που θίγονται από παράνομο περιεχόμενο. </w:t>
      </w:r>
    </w:p>
    <w:p>
      <w:pPr>
        <w:pStyle w:val="ManualConsidrant"/>
        <w:rPr>
          <w:noProof/>
        </w:rPr>
      </w:pPr>
      <w:r>
        <w:t>(42)</w:t>
      </w:r>
      <w:r>
        <w:tab/>
      </w:r>
      <w:r>
        <w:rPr>
          <w:noProof/>
        </w:rPr>
        <w:t xml:space="preserve">Όταν ένας πάροχος υπηρεσιών φιλοξενίας αποφασίζει να αποσύρει ή να απενεργοποιήσει την πρόσβαση σε πληροφορίες που παρασχέθηκαν από αποδέκτη της υπηρεσίας, για παράδειγμα κατόπιν λήψης ειδοποίησης ή ενεργώντας με δική του πρωτοβουλία, μεταξύ άλλων, με τη χρήση αυτόματων μέσων, ο εν λόγω πάροχος θα πρέπει να ενημερώνει τον αποδέκτη σχετικά με την απόφασή του, τους λόγους της απόφασής του και τις διαθέσιμες δυνατότητες προσφυγής κατά της απόφασης, λαμβανομένων υπόψη των αρνητικών συνεπειών που αυτές οι αποφάσεις μπορεί να έχουν για τον αποδέκτη, μεταξύ άλλων, όσον αφορά την άσκηση του θεμελιώδους δικαιώματός του στην ελευθερία της έκφρασης. Η υποχρέωση αυτή θα πρέπει να εφαρμόζεται ανεξάρτητα από τους λόγους της απόφασης, ειδικότερα το κατά πόσον η δράση αναλήφθηκε διότι οι πληροφορίες που αποτελούν αντικείμενο της ειδοποίησης θεωρούνται παράνομο περιεχόμενο ή ασύμβατες με τους ισχύοντες όρους και προϋποθέσεις. Στις διαθέσιμες δυνατότητες υποβολής ένστασης κατά της απόφασης του παρόχου υπηρεσιών φιλοξενίας θα πρέπει πάντα να περιλαμβάνεται η δικαστική προσφυγή. </w:t>
      </w:r>
    </w:p>
    <w:p>
      <w:pPr>
        <w:pStyle w:val="ManualConsidrant"/>
        <w:rPr>
          <w:noProof/>
        </w:rPr>
      </w:pPr>
      <w:r>
        <w:t>(43)</w:t>
      </w:r>
      <w:r>
        <w:tab/>
      </w:r>
      <w:r>
        <w:rPr>
          <w:noProof/>
        </w:rPr>
        <w:t>Προκειμένου να αποφευχθούν δυσανάλογες επιβαρύνσεις, οι πρόσθετες υποχρεώσεις που επιβάλλονται στις επιγραμμικές πλατφόρμες βάσει του παρόντος κανονισμού δεν θα πρέπει να εφαρμόζονται σε πολύ μικρές ή μικρές επιχειρήσεις όπως ορίζονται στη σύσταση 2003/361/ΕΚ της Επιτροπής</w:t>
      </w:r>
      <w:r>
        <w:rPr>
          <w:rStyle w:val="FootnoteReference"/>
          <w:noProof/>
        </w:rPr>
        <w:footnoteReference w:id="42"/>
      </w:r>
      <w:r>
        <w:rPr>
          <w:noProof/>
        </w:rPr>
        <w:t>, εκτός εάν, λόγω της εμβέλειας και του αντικτύπου τους, πληρούν τα κριτήρια ώστε να χαρακτηριστούν πολύ μεγάλες επιγραμμικές πλατφόρμες βάσει του παρόντος κανονισμού. Οι κανόνες ενοποίησης που καθορίζονται στην εν λόγω σύσταση συμβάλλουν στο να διασφαλιστεί ότι αποτρέπεται οποιαδήποτε καταστρατήγηση αυτών των πρόσθετων υποχρεώσεων. Η εξαίρεση των πολύ μικρών και μικρών επιχειρήσεων από αυτές τις πρόσθετες υποχρεώσεις δεν θα πρέπει να θεωρείται ότι επηρεάζει την ικανότητά τους να δημιουργήσουν, σε εθελοντική βάση, ένα σύστημα που συμμορφώνεται με μία ή περισσότερες από αυτές τις υποχρεώσεις.</w:t>
      </w:r>
    </w:p>
    <w:p>
      <w:pPr>
        <w:pStyle w:val="ManualConsidrant"/>
        <w:rPr>
          <w:noProof/>
        </w:rPr>
      </w:pPr>
      <w:r>
        <w:t>(44)</w:t>
      </w:r>
      <w:r>
        <w:tab/>
      </w:r>
      <w:r>
        <w:rPr>
          <w:noProof/>
        </w:rPr>
        <w:t xml:space="preserve">Οι αποδέκτες της υπηρεσίας θα πρέπει να είναι σε θέση να υποβάλουν ένσταση με τρόπο εύκολο και αποτελεσματικό κατά ορισμένων αποφάσεων των επιγραμμικών πλατφορμών οι οποίες τους επηρεάζουν αρνητικά. Ως εκ τούτου, οι επιγραμμικές πλατφόρμες θα πρέπει να υποχρεούνται να παρέχουν εσωτερικά συστήματα </w:t>
      </w:r>
      <w:r>
        <w:rPr>
          <w:noProof/>
        </w:rPr>
        <w:lastRenderedPageBreak/>
        <w:t>διαχείρισης καταγγελιών, τα οποία πληρούν ορισμένες προϋποθέσεις με σκοπό να διασφαλιστεί ότι τα συστήματα είναι εύκολα προσβάσιμα και οδηγούν σε ταχέα και δίκαια αποτελέσματα. Επιπλέον, θα πρέπει να προβλέπεται η δυνατότητα εξωδικαστικής επίλυσης διαφορών, συμπεριλαμβανομένων εκείνων που δεν κατέστη δυνατό να επιλυθούν με ικανοποιητικό τρόπο μέσω των εσωτερικών συστημάτων διαχείρισης καταγγελιών, από πιστοποιημένα όργανα που διαθέτουν την απαιτούμενη ανεξαρτησία, τα μέσα και την εμπειρογνωσία για την εκτέλεση των δραστηριοτήτων τους με δίκαιο, ταχύ και οικονομικά αποδοτικό τρόπο. Οι δυνατότητες υποβολής ένστασης κατά αποφάσεων επιγραμμικών πλατφορμών που δημιουργούνται με αυτόν τον τρόπο θα πρέπει να συμπληρώνουν, χωρίς να θίγουν από καμία άποψη, τη δυνατότητα δικαστικής προσφυγής σύμφωνα με τη νομοθεσία του οικείου κράτους μέλους.</w:t>
      </w:r>
    </w:p>
    <w:p>
      <w:pPr>
        <w:pStyle w:val="ManualConsidrant"/>
        <w:rPr>
          <w:noProof/>
        </w:rPr>
      </w:pPr>
      <w:r>
        <w:t>(45)</w:t>
      </w:r>
      <w:r>
        <w:tab/>
      </w:r>
      <w:r>
        <w:rPr>
          <w:noProof/>
        </w:rPr>
        <w:t>Για συμβατικές διαφορές μεταξύ καταναλωτών και επιχειρήσεων οι οποίες αφορούν την αγορά αγαθών ή υπηρεσιών, η οδηγία 2013/11/ΕΕ του Ευρωπαϊκού Κοινοβουλίου και του Συμβουλίου</w:t>
      </w:r>
      <w:r>
        <w:rPr>
          <w:rStyle w:val="FootnoteReference"/>
          <w:noProof/>
        </w:rPr>
        <w:footnoteReference w:id="43"/>
      </w:r>
      <w:r>
        <w:rPr>
          <w:noProof/>
        </w:rPr>
        <w:t xml:space="preserve"> διασφαλίζει ότι οι καταναλωτές και οι επιχειρήσεις στην Ένωση έχουν πρόσβαση σε πιστοποιημένους ως προς την ποιότητα φορείς εναλλακτικής επίλυσης διαφορών. Εν προκειμένω, θα πρέπει να διευκρινιστεί ότι οι κανόνες του παρόντος κανονισμού σχετικά με την εξωδικαστική επίλυση διαφορών δεν θίγουν την εν λόγω οδηγία, συμπεριλαμβανομένου του δικαιώματος των καταναλωτών, βάσει της οδηγίας, να αποσυρθούν από τη διαδικασία σε οποιοδήποτε στάδιο, εφόσον δεν είναι ικανοποιημένοι με την όλη διεξαγωγή της διαδικασίας, </w:t>
      </w:r>
    </w:p>
    <w:p>
      <w:pPr>
        <w:pStyle w:val="ManualConsidrant"/>
        <w:rPr>
          <w:noProof/>
        </w:rPr>
      </w:pPr>
      <w:r>
        <w:t>(46)</w:t>
      </w:r>
      <w:r>
        <w:tab/>
      </w:r>
      <w:r>
        <w:rPr>
          <w:noProof/>
        </w:rPr>
        <w:t xml:space="preserve">Η ανάληψη δράσης κατά παράνομου περιεχομένου μπορεί να είναι ταχύτερη και πιο αξιόπιστη όταν οι επιγραμμικές πλατφόρμες λαμβάνουν τα αναγκαία μέτρα ώστε να διασφαλίσουν ότι δίνεται προτεραιότητα σε ειδοποιήσεις που υποβάλλονται από αξιόπιστες πηγές επισήμανσης παράνομου περιεχομένου μέσω των μηχανισμών ειδοποίησης και δράσης που απαιτούνται βάσει του παρόντος κανονισμού, με την επιφύλαξη της απαίτησης επεξεργασίας και λήψης απόφασης με ταχύ, επιμελή και αντικειμενικό τρόπο όσον αφορά όλες τις ειδοποιήσεις που υποβάλλονται στο πλαίσιο αυτών των μηχανισμών. Αυτή η ιδιότητα της αξιόπιστης πηγής επισήμανσης παράνομου περιεχομένου θα πρέπει να αναγνωρίζεται μόνο σε οντότητες, και όχι σε φυσικά πρόσωπα, οι οποίες έχουν αποδείξει, μεταξύ άλλων, ότι διαθέτουν ιδιαίτερη εμπειρογνωσία και ικανότητα στην αντιμετώπιση παράνομου περιεχομένου, ότι εκπροσωπούν συλλογικά συμφέροντα και ότι εργάζονται με επιμελή και αντικειμενικό τρόπο. Οι οντότητες αυτές μπορεί να είναι από τον δημόσιο τομέα, όπως, για το τρομοκρατικό περιεχόμενο, οι μονάδες αναφοράς διαδικτυακού περιεχομένου των εθνικών αρχών επιβολής του νόμου ή του Οργανισμού της Ευρωπαϊκής Ένωσης για τη Συνεργασία στον Τομέα της Επιβολής του Νόμου (Ευρωπόλ) ή μπορεί να είναι μη κυβερνητικές οργανώσεις και ημιδημόσιοι φορείς, όπως οι οργανώσεις που ανήκουν στο δίκτυο ανοικτών τηλεφωνικών γραμμών INHOPE για την αναφορά υλικού σεξουαλικής κακοποίησης παιδιών και οργανώσεις που ασχολούνται με την αναφορά παράνομων ρατσιστικών και ξενοφοβικών απόψεων στο διαδίκτυο. Όσον αφορά τα δικαιώματα πνευματικής ιδιοκτησίας, η ιδιότητα της αξιόπιστης πηγής επισήμανσης παράνομου περιεχομένου θα μπορούσε να αναγνωριστεί σε οργανώσεις του κλάδου και κατόχους δικαιωμάτων, εφόσον έχουν αποδείξει ότι πληρούν τις εφαρμοστέες προϋποθέσεις. Οι κανόνες του παρόντος </w:t>
      </w:r>
      <w:r>
        <w:rPr>
          <w:noProof/>
        </w:rPr>
        <w:lastRenderedPageBreak/>
        <w:t>κανονισμού σχετικά με τις αξιόπιστες πηγές επισήμανσης παράνομου περιεχομένου δεν θα πρέπει να θεωρηθεί ότι εμποδίζουν τις επιγραμμικές πλατφόρμες να διαχειρίζονται με παρόμοιο τρόπο ειδοποιήσεις που υποβάλλονται από οντότητες ή φυσικά πρόσωπα στα οποία δεν έχει αναγνωριστεί η ιδιότητα της αξιόπιστης πηγής επισήμανσης παράνομου περιεχομένου, ή να συνεργάζονται άλλως με άλλες οντότητες, σύμφωνα με το εφαρμοστέο δίκαιο, συμπεριλαμβανομένου του παρόντος κανονισμού και του κανονισμού (ΕΕ) 2016/794 του Ευρωπαϊκού Κοινοβουλίου και του Συμβουλίου</w:t>
      </w:r>
      <w:r>
        <w:rPr>
          <w:rStyle w:val="FootnoteReference"/>
          <w:noProof/>
        </w:rPr>
        <w:footnoteReference w:id="44"/>
      </w:r>
      <w:r>
        <w:rPr>
          <w:noProof/>
        </w:rPr>
        <w:t xml:space="preserve">. </w:t>
      </w:r>
    </w:p>
    <w:p>
      <w:pPr>
        <w:pStyle w:val="ManualConsidrant"/>
        <w:rPr>
          <w:noProof/>
        </w:rPr>
      </w:pPr>
      <w:r>
        <w:t>(47)</w:t>
      </w:r>
      <w:r>
        <w:tab/>
      </w:r>
      <w:r>
        <w:rPr>
          <w:noProof/>
        </w:rPr>
        <w:t xml:space="preserve">Η αθέμιτη χρήση των υπηρεσιών των επιγραμμικών πλατφορμών, με τη συχνή παροχή προδήλως παράνομου περιεχομένου ή τη συχνή υποβολή προδήλως αβάσιμων ειδοποιήσεων ή καταγγελιών στο πλαίσιο των μηχανισμών και συστημάτων, αντίστοιχα, που θεσπίζονται με τον παρόντα κανονισμό, υπονομεύει την εμπιστοσύνη και βλάπτει τα δικαιώματα και τα έννομα συμφέροντα των ενδιαφερόμενων μερών. Ως εκ τούτου, πρέπει να τεθούν σε εφαρμογή κατάλληλες και αναλογικές διασφαλίσεις έναντι αυτής της αθέμιτης χρήσης. Οι πληροφορίες θα πρέπει να θεωρείται ότι αποτελούν προδήλως παράνομο περιεχόμενο και οι ειδοποιήσεις ή οι καταγγελίες θα πρέπει να θεωρούνται προδήλως αβάσιμες, όταν είναι προφανές για κάποιον μη ειδικό, χωρίς ενδελεχή ανάλυση, ότι το περιεχόμενο είναι παράνομο και ότι οι ειδοποιήσεις ή οι καταγγελίες είναι αβάσιμες, αντίστοιχα. Υπό ορισμένες προϋποθέσεις, οι επιγραμμικές πλατφόρμες θα πρέπει να αναστέλλουν προσωρινά τις σχετικές δραστηριότητές τους όσον αφορά το πρόσωπο που επιδεικνύει καταχρηστική συμπεριφορά. Αυτό δεν θίγει την ελευθερία των επιγραμμικών πλατφορμών να καθορίζουν τους όρους και τις προϋποθέσεις τους και να επιβάλλουν αυστηρότερα μέτρα στην περίπτωση προδήλως παράνομου περιεχομένου που σχετίζεται με σοβαρά εγκλήματα. Για λόγους διαφάνειας, η δυνατότητα αυτή θα πρέπει να αναφέρεται, με σαφήνεια και επαρκείς λεπτομέρειες, στους όρους και τις προϋποθέσεις των επιγραμμικών πλατφορμών. Θα πρέπει πάντοτε να υπάρχει δυνατότητα προσφυγής κατά σχετικών αποφάσεων που λαμβάνονται από τις επιγραμμικές πλατφόρμες, οι οποίες θα πρέπει να υπόκεινται σε εποπτεία από τον αρμόδιο συντονιστή ψηφιακών υπηρεσιών. Οι κανόνες του παρόντος κανονισμού σχετικά με την αθέμιτη χρήση δεν θα πρέπει να εμποδίζουν τις επιγραμμικές πλατφόρμες να λαμβάνουν άλλα μέτρα για την αντιμετώπιση της παροχής παράνομου περιεχομένου από αποδέκτες της υπηρεσίας τους ή άλλης αθέμιτης των υπηρεσιών τους, σύμφωνα με το εφαρμοστέο ενωσιακό και εθνικό δίκαιο. Οι κανόνες αυτοί δεν θίγουν τυχόν δυνατότητα καταλογισμού ευθύνης, μεταξύ άλλων για ζημίες, σε πρόσωπα που επιδίδονται σε αθέμιτη χρήση, σύμφωνα με τα προβλεπόμενα στο ενωσιακό ή εθνικό δίκαιο. </w:t>
      </w:r>
    </w:p>
    <w:p>
      <w:pPr>
        <w:pStyle w:val="ManualConsidrant"/>
        <w:rPr>
          <w:noProof/>
        </w:rPr>
      </w:pPr>
      <w:r>
        <w:t>(48)</w:t>
      </w:r>
      <w:r>
        <w:tab/>
      </w:r>
      <w:r>
        <w:rPr>
          <w:noProof/>
        </w:rPr>
        <w:t xml:space="preserve">Σε ορισμένες περιπτώσεις, μπορεί να περιέλθουν σε γνώση μιας επιγραμμικής πλατφόρμας, μέσω, για παράδειγμα, ειδοποίησης κοινοποιούντος μέρους ή μέσω δικών της εθελοντικών μέτρων, πληροφορίες σχετικά με ορισμένη δραστηριότητα ενός αποδέκτη της υπηρεσίας, όπως η παροχή ορισμένων ειδών παράνομου περιεχομένου, οι οποίες δικαιολογούν εύλογα, λαμβανομένων υπόψη όλων των σχετικών περιστάσεων τις οποίες γνωρίζει η επιγραμμική πλατφόρμα, την υπόνοια ότι ο αποδέκτης ενδέχεται να έχει διαπράξει, διαπράττει ή είναι πιθανό να διαπράξει σοβαρό ποινικό αδίκημα το οποίο συνεπάγεται απειλή για τη ζωή ή την ασφάλεια </w:t>
      </w:r>
      <w:r>
        <w:rPr>
          <w:noProof/>
        </w:rPr>
        <w:lastRenderedPageBreak/>
        <w:t>προσώπων, όπως τα αδικήματα που προσδιορίζονται στην οδηγία 2011/93/ΕΕ του Ευρωπαϊκού Κοινοβουλίου και του Συμβουλίου</w:t>
      </w:r>
      <w:r>
        <w:rPr>
          <w:rStyle w:val="FootnoteReference"/>
          <w:noProof/>
        </w:rPr>
        <w:footnoteReference w:id="45"/>
      </w:r>
      <w:r>
        <w:rPr>
          <w:noProof/>
        </w:rPr>
        <w:t xml:space="preserve">. Σε τέτοιες περιπτώσεις, η επιγραμμική πλατφόρμα θα πρέπει να ενημερώνει χωρίς καθυστέρηση τις αρμόδιες αρχές επιβολής του νόμου σχετικά με την υπόνοια αυτή, παρέχοντας όλες τις σχετικές πληροφορίες που έχει στη διάθεσή της, συμπεριλαμβανομένου, κατά περίπτωση, του επίμαχου περιεχομένου και εξήγησης σχετικά με την υπόνοιά της. Ο παρών κανονισμός δεν παρέχει νομική βάση για την κατάρτιση προφίλ των αποδεκτών των υπηρεσιών με σκοπό τον πιθανό εντοπισμό ποινικών αδικημάτων από τις επιγραμμικές πλατφόρμες. Οι επιγραμμικές πλατφόρμες θα πρέπει να τηρούν επίσης άλλους εφαρμοστέους κανόνες του ενωσιακού ή εθνικού δικαίου για την προστασία των δικαιωμάτων και των ελευθεριών των προσώπων κατά την ενημέρωση των αρχών επιβολής του νόμου. </w:t>
      </w:r>
    </w:p>
    <w:p>
      <w:pPr>
        <w:pStyle w:val="ManualConsidrant"/>
        <w:rPr>
          <w:noProof/>
        </w:rPr>
      </w:pPr>
      <w:r>
        <w:t>(49)</w:t>
      </w:r>
      <w:r>
        <w:tab/>
      </w:r>
      <w:r>
        <w:rPr>
          <w:noProof/>
        </w:rPr>
        <w:t xml:space="preserve">Προκειμένου να συμβάλλουν στη διαμόρφωση ενός ασφαλούς, αξιόπιστου και διαφανούς επιγραμμικού περιβάλλοντος για τους καταναλωτές, καθώς και για άλλα ενδιαφερόμενα μέρη, όπως ανταγωνιζόμενοι έμποροι και κάτοχοι δικαιωμάτων πνευματικής ιδιοκτησίας, και προκειμένου να εμποδίζουν τους εμπόρους να πωλούν προϊόντα ή υπηρεσίες κατά παράβαση των εφαρμοστέων κανόνων, οι επιγραμμικές πλατφόρμες που δίνουν στους καταναλωτές τη δυνατότητα να συνάπτουν εξ αποστάσεως συμβάσεις με εμπόρους θα πρέπει να διασφαλίζουν την ιχνηλασιμότητα των εμπόρων αυτών. Ως εκ τούτου, θα πρέπει να απαιτείται από τον έμπορο να παράσχει ορισμένες βασικές πληροφορίες στην επιγραμμική πλατφόρμα, μεταξύ άλλων, για τους σκοπούς της προώθησης μηνυμάτων για προϊόντα ή της προσφοράς προϊόντων. Η απαίτηση αυτή θα πρέπει να εφαρμόζεται επίσης σε εμπόρους που προωθούν μηνύματα για προϊόντα ή υπηρεσίες για λογαριασμό επωνυμιών, βάσει υποκείμενων συμφωνιών. Οι εν λόγω επιγραμμικές πλατφόρμες θα πρέπει να αποθηκεύουν όλες τις πληροφορίες με ασφαλή τρόπο για εύλογη χρονική περίοδο η οποία δεν υπερβαίνει τη διάρκεια που είναι αναγκαία ώστε να καθίσταται δυνατή η πρόσβαση σε αυτές, σύμφωνα με το εφαρμοστέο δίκαιο, μεταξύ άλλων, σχετικά με την προστασία των δεδομένων προσωπικού χαρακτήρα, από δημόσιες αρχές και ιδιωτικούς φορείς που έχουν έννομο συμφέρον, για παράδειγμα, μέσω των εντολών παροχής πληροφοριών που αναφέρονται στον παρόντα κανονισμό. </w:t>
      </w:r>
    </w:p>
    <w:p>
      <w:pPr>
        <w:pStyle w:val="ManualConsidrant"/>
        <w:rPr>
          <w:noProof/>
        </w:rPr>
      </w:pPr>
      <w:r>
        <w:t>(50)</w:t>
      </w:r>
      <w:r>
        <w:tab/>
      </w:r>
      <w:r>
        <w:rPr>
          <w:noProof/>
        </w:rPr>
        <w:t>Προκειμένου να διασφαλιστεί η αποτελεσματική και επαρκής εφαρμογή της υποχρέωσης αυτής, χωρίς την επιβολή δυσανάλογων επιβαρύνσεων, οι καλυπτόμενες επιγραμμικές πλατφόρμες θα πρέπει να καταβάλλουν εύλογες προσπάθειες για την επαλήθευση της αξιοπιστίας των πληροφοριών που παρέχονται από τους σχετικούς εμπόρους, χρησιμοποιώντας ιδίως ελεύθερα διαθέσιμες επίσημες επιγραμμικές βάσεις δεδομένων και επιγραμμικές διεπαφές, όπως εθνικά εμπορικά μητρώα και το σύστημα ανταλλαγής πληροφοριών ΦΠΑ</w:t>
      </w:r>
      <w:r>
        <w:rPr>
          <w:rStyle w:val="FootnoteReference"/>
          <w:noProof/>
        </w:rPr>
        <w:footnoteReference w:id="46"/>
      </w:r>
      <w:r>
        <w:rPr>
          <w:noProof/>
        </w:rPr>
        <w:t xml:space="preserve">, ή ζητώντας από τους σχετικούς εμπόρους να παράσχουν αξιόπιστα δικαιολογητικά έγγραφα, όπως αντίγραφα εγγράφων ταυτότητας, επικυρωμένα αντίγραφα κίνησης τραπεζικών λογαριασμών, πιστοποιητικά εταιρειών και πιστοποιητικά εμπορικών μητρώων. Μπορούν να χρησιμοποιούν επίσης άλλες πηγές, διαθέσιμες προς χρήση εξ αποστάσεως, οι οποίες παρέχουν παρόμοιο βαθμό αξιοπιστίας για τον σκοπό της συμμόρφωσης με αυτή την </w:t>
      </w:r>
      <w:r>
        <w:rPr>
          <w:noProof/>
        </w:rPr>
        <w:lastRenderedPageBreak/>
        <w:t>υποχρέωση. Ωστόσο, οι καλυπτόμενες επιγραμμικές πλατφόρμες δεν θα πρέπει να υποχρεούνται να συμμετέχουν σε υπερβολικές ή δαπανηρές διαδικασίες επιγραμμικής αναζήτησης γεγονότων ή να πραγματοποιούν επιτόπιες επαληθεύσεις. Ούτε θα πρέπει να θεωρείται ότι αυτές οι επιγραμμικές πλατφόρμες, οι οποίες έχουν καταβάλει τις εύλογες προσπάθειες που απαιτούνται από τον παρόντα κανονισμό, εγγυώνται την αξιοπιστία των πληροφοριών που παρέχονται στους καταναλωτές ή σε άλλα ενδιαφερόμενα μέρη. Οι εν λόγω επιγραμμικές πλατφόρμες θα πρέπει επίσης να σχεδιάζουν και να οργανώνουν την επιγραμμική διεπαφή τους κατά τρόπο ώστε να παρέχεται στους εμπόρους η δυνατότητα να συμμορφώνονται με τις υποχρεώσεις που υπέχουν βάσει του ενωσιακού δικαίου, ειδικότερα δε τις απαιτήσεις που ορίζονται στα άρθρα 6 και 8 της οδηγίας 2011/83/ΕΕ του Ευρωπαϊκού Κοινοβουλίου και του Συμβουλίου</w:t>
      </w:r>
      <w:r>
        <w:rPr>
          <w:rStyle w:val="FootnoteReference"/>
          <w:noProof/>
        </w:rPr>
        <w:footnoteReference w:id="47"/>
      </w:r>
      <w:r>
        <w:rPr>
          <w:noProof/>
        </w:rPr>
        <w:t>, στο άρθρο 7 της οδηγίας 2005/29/ΕΚ του Ευρωπαϊκού Κοινοβουλίου και του Συμβουλίου</w:t>
      </w:r>
      <w:r>
        <w:rPr>
          <w:rStyle w:val="FootnoteReference"/>
          <w:noProof/>
        </w:rPr>
        <w:footnoteReference w:id="48"/>
      </w:r>
      <w:r>
        <w:rPr>
          <w:noProof/>
        </w:rPr>
        <w:t xml:space="preserve"> και στο άρθρο 3 της οδηγίας 98/6/ΕΚ του Ευρωπαϊκού Κοινοβουλίου και του Συμβουλίου</w:t>
      </w:r>
      <w:r>
        <w:rPr>
          <w:rStyle w:val="FootnoteReference"/>
          <w:noProof/>
        </w:rPr>
        <w:footnoteReference w:id="49"/>
      </w:r>
      <w:r>
        <w:rPr>
          <w:noProof/>
        </w:rPr>
        <w:t>.</w:t>
      </w:r>
    </w:p>
    <w:p>
      <w:pPr>
        <w:pStyle w:val="ManualConsidrant"/>
        <w:rPr>
          <w:noProof/>
        </w:rPr>
      </w:pPr>
      <w:r>
        <w:t>(51)</w:t>
      </w:r>
      <w:r>
        <w:tab/>
      </w:r>
      <w:r>
        <w:rPr>
          <w:noProof/>
        </w:rPr>
        <w:t xml:space="preserve">Λόγω των ιδιαίτερων ευθυνών και υποχρεώσεων των επιγραμμικών πλατφορμών, θα πρέπει να υπόκεινται σε υποχρεώσεις υποβολής εκθέσεων σχετικά με τη διαφάνεια, οι οποίες εφαρμόζονται επιπλέον των υποχρεώσεων υποβολής εκθέσεων σχετικά με τη διαφάνεια που εφαρμόζονται σε όλους τους παρόχους ενδιάμεσων υπηρεσιών βάσει του παρόντος κανονισμού. Για τον σκοπό του προσδιορισμού του κατά πόσον οι επιγραμμικές πλατφόρμες μπορεί να είναι πολύ μεγάλες επιγραμμικές πλατφόρμες οι οποίες υπόκεινται σε ορισμένες πρόσθετες υποχρεώσεις βάσει του παρόντος κανονισμού, οι υποχρεώσεις των επιγραμμικών πλατφορμών για υποβολή εκθέσεων σχετικά με τη διαφάνεια θα πρέπει να περιλαμβάνουν ορισμένες υποχρεώσεις που σχετίζονται με τη δημοσίευση και τη γνωστοποίηση πληροφοριών σχετικά με τους μέσους μηνιαίους ενεργούς αποδέκτες της υπηρεσίας στην Ένωση. </w:t>
      </w:r>
    </w:p>
    <w:p>
      <w:pPr>
        <w:pStyle w:val="ManualConsidrant"/>
        <w:rPr>
          <w:noProof/>
        </w:rPr>
      </w:pPr>
      <w:r>
        <w:t>(52)</w:t>
      </w:r>
      <w:r>
        <w:tab/>
      </w:r>
      <w:r>
        <w:rPr>
          <w:noProof/>
        </w:rPr>
        <w:t xml:space="preserve">Η επιγραμμική διαφήμιση διαδραματίζει σημαντικό ρόλο στο επιγραμμικό περιβάλλον, μεταξύ άλλων σε σχέση με την παροχή των υπηρεσιών των επιγραμμικών πλατφορμών. Ωστόσο, η επιγραμμική διαφήμιση μπορεί να συμβάλει σε σημαντικούς κινδύνους: από διαφημίσεις που αποτελούν αυτές καθαυτές παράνομο περιεχόμενο και διαφημίσεις που παρέχουν οικονομικά κίνητρα για τη δημοσίευση ή διάδοση παράνομου ή άλλως επιβλαβούς περιεχομένου και δραστηριοτήτων στο διαδίκτυο, μέχρι την προβολή διαφημίσεων που εισάγουν διακρίσεις και έχουν επιπτώσεις στην ίση μεταχείριση και στις ίσες ευκαιρίες των πολιτών. Ως εκ τούτου, επιπλέον των απαιτήσεων που απορρέουν από το άρθρο 6 της οδηγίας 2000/31/ΕΚ, οι επιγραμμικές πλατφόρμες θα πρέπει να υποχρεούνται να διασφαλίζουν ότι οι αποδέκτες της υπηρεσίας έχουν στη διάθεσή τους ορισμένες εξατομικευμένες πληροφορίες οι οποίες είναι απαραίτητες προκειμένου να κατανοήσουν πότε και για λογαριασμό ποιου προβάλλονται οι διαφημίσεις. Επιπλέον, οι αποδέκτες της υπηρεσίας θα πρέπει να </w:t>
      </w:r>
      <w:r>
        <w:rPr>
          <w:noProof/>
        </w:rPr>
        <w:lastRenderedPageBreak/>
        <w:t>έχουν στη διάθεσή τους πληροφορίες σχετικά με τις κύριες παραμέτρους που χρησιμοποιούνται για τον καθορισμό των συγκεκριμένων διαφημίσεων που θα προβληθούν σε αυτούς, οι οποίες παρέχουν ουσιαστικές εξηγήσεις σχετικά με τη λογική που χρησιμοποιείται για τον σκοπό αυτόν, ακόμη και όταν αυτή βασίζεται σε κατάρτιση προφίλ. Οι απαιτήσεις του παρόντος κανονισμού σχετικά με την παροχή πληροφοριών σχετικών με τη διαφήμιση δεν θίγουν την εφαρμογή των σχετικών διατάξεων του κανονισμού (ΕΕ) 2016/679, ειδικότερα εκείνων που αφορούν το δικαίωμα εναντίωσης, την αυτοματοποιημένη ατομική λήψη αποφάσεων, συμπεριλαμβανομένης της κατάρτισης προφίλ, και συγκεκριμένα της ανάγκης εξασφάλισης της συγκατάθεσης του υποκειμένου των δεδομένων πριν από την επεξεργασία δεδομένων προσωπικού χαρακτήρα για στοχευμένη διαφήμιση. Ομοίως, δεν θίγονται οι διατάξεις της οδηγίας 2002/58/ΕΚ, ειδικότερα εκείνες που αφορούν την αποθήκευση πληροφοριών σε τερματικό εξοπλισμό και την πρόσβαση σε πληροφορίες που αποθηκεύονται στον εξοπλισμό αυτό.  </w:t>
      </w:r>
    </w:p>
    <w:p>
      <w:pPr>
        <w:pStyle w:val="ManualConsidrant"/>
        <w:rPr>
          <w:noProof/>
        </w:rPr>
      </w:pPr>
      <w:r>
        <w:t>(53)</w:t>
      </w:r>
      <w:r>
        <w:tab/>
      </w:r>
      <w:r>
        <w:rPr>
          <w:noProof/>
        </w:rPr>
        <w:t>Λαμβανομένης υπόψη της σημασίας που έχουν οι πολύ μεγάλες επιγραμμικές πλατφόρμες —λόγω της εμβέλειάς τους, η οποία εκφράζεται ειδικότερα σε αριθμό αποδεκτών της υπηρεσίας— για τη διευκόλυνση του δημόσιου διαλόγου, των οικονομικών συναλλαγών και της διάδοσης πληροφοριών, απόψεων και ιδεών, καθώς και για την άσκηση επιρροής στον τρόπο με τον οποίο οι αποδέκτες λαμβάνουν και κοινοποιούν πληροφορίες στο διαδίκτυο, είναι αναγκαίο να επιβληθούν συγκεκριμένες υποχρεώσεις στις εν λόγω πλατφόρμες, επιπλέον των υποχρεώσεων που εφαρμόζονται σε όλες τις επιγραμμικές πλατφόρμες. Οι πρόσθετες αυτές υποχρεώσεις για τις πολύ μεγάλες επιγραμμικές πλατφόρμες είναι απαραίτητες για την αντιμετώπιση αυτών των ζητημάτων δημόσιας πολιτικής, καθώς δεν υπάρχουν εναλλακτικά και λιγότερο περιοριστικά μέτρα που θα μπορούσαν να επιτύχουν αποτελεσματικά το ίδιο αποτέλεσμα.</w:t>
      </w:r>
    </w:p>
    <w:p>
      <w:pPr>
        <w:pStyle w:val="ManualConsidrant"/>
        <w:rPr>
          <w:noProof/>
        </w:rPr>
      </w:pPr>
      <w:r>
        <w:t>(54)</w:t>
      </w:r>
      <w:r>
        <w:tab/>
      </w:r>
      <w:r>
        <w:rPr>
          <w:noProof/>
        </w:rPr>
        <w:t>Οι πολύ μεγάλες επιγραμμικές πλατφόρμες μπορούν να προκαλέσουν κοινωνικούς κινδύνους, οι οποίοι διαφέρουν ως προς την έκταση και τον αντίκτυπο από τους κινδύνους που προκαλούνται από μικρότερες πλατφόρμες. Μόλις ο αριθμός των αποδεκτών μιας πλατφόρμας ανέλθει σε σημαντικό ποσοστό του πληθυσμού της Ένωσης, οι συστημικοί κίνδυνοι τους οποίους θέτει η πλατφόρμα έχουν δυσανάλογα αρνητικό αντίκτυπο στην Ένωση. Η σημαντική αυτή εμβέλεια θα πρέπει να θεωρείται ότι υπάρχει όταν ο αριθμός των αποδεκτών υπερβαίνει επιχειρησιακό κατώτατο όριο 45 εκατομμυρίων, αριθμός ισοδύναμος με το 10 % του πληθυσμού της Ένωσης. Το επιχειρησιακό κατώτατο όριο θα πρέπει να επικαιροποιείται με τροποποιήσεις που θεσπίζονται με κατ’ εξουσιοδότηση πράξεις, όπου χρειάζεται. Αυτές οι πολύ μεγάλες επιγραμμικές πλατφόρμες θα πρέπει, ως εκ τούτου, να υπόκεινται στις αυστηρότερες δυνατές υποχρεώσεις δέουσας επιμέλειας, αναλογικά προς τον κοινωνικό αντίκτυπο και τα μέσα τους.</w:t>
      </w:r>
    </w:p>
    <w:p>
      <w:pPr>
        <w:pStyle w:val="ManualConsidrant"/>
        <w:rPr>
          <w:noProof/>
        </w:rPr>
      </w:pPr>
      <w:r>
        <w:t>(55)</w:t>
      </w:r>
      <w:r>
        <w:tab/>
      </w:r>
      <w:r>
        <w:rPr>
          <w:noProof/>
        </w:rPr>
        <w:t xml:space="preserve">Λαμβανομένων υπόψη των αποτελεσμάτων δικτύου που χαρακτηρίζουν την οικονομία των πλατφορμών, η βάση χρηστών μιας επιγραμμικής πλατφόρμας μπορεί γρήγορα να επεκταθεί και να αποκτήσει διαστάσεις πολύ μεγάλης επιγραμμικής πλατφόρμας, με τον επακόλουθο αντίκτυπο στην εσωτερική αγορά. Αυτό μπορεί να συμβεί στην περίπτωση εκθετικής ανάπτυξης σε σύντομο χρονικό διάστημα ή λόγω μεγάλης παγκόσμιας παρουσίας και κύκλου εργασιών που επιτρέπει στην επιγραμμική πλατφόρμα να εκμεταλλευτεί πλήρως τα αποτελέσματα δικτύου και τις οικονομίες κλίμακας και φάσματος. Ο υψηλός ετήσιος κύκλος εργασιών ή η υψηλή χρηματιστηριακή αξία μπορούν ειδικότερα να αποτελούν ένδειξη ταχείας κλιμάκωσης από άποψη εμβέλειας χρηστών. Στις περιπτώσεις αυτές, ο συντονιστής ψηφιακών </w:t>
      </w:r>
      <w:r>
        <w:rPr>
          <w:noProof/>
        </w:rPr>
        <w:lastRenderedPageBreak/>
        <w:t xml:space="preserve">υπηρεσιών θα πρέπει να είναι σε θέση να ζητήσει από την πλατφόρμα να υποβάλλει συχνότερα εκθέσεις σχετικά με τη βάση χρηστών, ώστε να είναι εφικτός ο έγκαιρος προσδιορισμός της χρονικής στιγμής κατά την οποία η πλατφόρμα θα πρέπει να χαρακτηριστεί πολύ μεγάλη επιγραμμική πλατφόρμα για τους σκοπούς του παρόντος κανονισμού. </w:t>
      </w:r>
    </w:p>
    <w:p>
      <w:pPr>
        <w:pStyle w:val="ManualConsidrant"/>
        <w:rPr>
          <w:noProof/>
        </w:rPr>
      </w:pPr>
      <w:r>
        <w:t>(56)</w:t>
      </w:r>
      <w:r>
        <w:tab/>
      </w:r>
      <w:r>
        <w:rPr>
          <w:noProof/>
        </w:rPr>
        <w:t xml:space="preserve">Οι πολύ μεγάλες επιγραμμικές πλατφόρμες χρησιμοποιούνται με τρόπο που επηρεάζει σημαντικά την ασφάλεια στο διαδίκτυο, τη διαμόρφωση της κοινής γνώμης και του δημόσιου λόγου, καθώς και το επιγραμμικό εμπόριο. Ο τρόπος με τον οποίο σχεδιάζουν τις υπηρεσίες τους βελτιστοποιείται κατά κανόνα προς όφελος των επιχειρηματικών τους μοντέλων, τα οποία βασίζονται στη διαφήμιση, με αποτέλεσμα να εγείρονται κοινωνικές ανησυχίες. Ελλείψει αποτελεσματικής ρύθμισης και επιβολής, μπορούν να ορίσουν τους κανόνες του παιχνιδιού, χωρίς αποτελεσματικό εντοπισμό και μετριασμό των κινδύνων και των κοινωνικών και οικονομικών επιβλαβών συνεπειών τις οποίες μπορούν να προκαλέσουν. Βάσει του παρόντος κανονισμού, οι πολύ μεγάλες επιγραμμικές πλατφόρμες θα πρέπει, επομένως, να αξιολογούν τους συστημικούς κινδύνους που απορρέουν από τη λειτουργία και τη χρήση της υπηρεσίας τους, καθώς και από πιθανές αθέμιτες χρήσεις από τους αποδέκτες της υπηρεσίας, και να λαμβάνουν κατάλληλα μέτρα περιορισμού. </w:t>
      </w:r>
    </w:p>
    <w:p>
      <w:pPr>
        <w:pStyle w:val="ManualConsidrant"/>
        <w:rPr>
          <w:noProof/>
        </w:rPr>
      </w:pPr>
      <w:r>
        <w:t>(57)</w:t>
      </w:r>
      <w:r>
        <w:tab/>
      </w:r>
      <w:r>
        <w:rPr>
          <w:noProof/>
        </w:rPr>
        <w:t>Θα πρέπει να αξιολογούνται ενδελεχώς τρεις κατηγορίες συστημικών κινδύνων. Η πρώτη κατηγορία αφορά τους κινδύνους που συνδέονται με την αθέμιτη χρήση της υπηρεσίας τους μέσω της διάδοσης παράνομου περιεχομένου, όπως η διάδοση υλικού σεξουαλικής κακοποίησης παιδιών ή παράνομης ρητορικής μίσους, και τη διεξαγωγή παράνομων δραστηριοτήτων, όπως η πώληση προϊόντων ή υπηρεσιών που απαγορεύονται από το ενωσιακό ή εθνικό δίκαιο, συμπεριλαμβανομένων των προϊόντων παραποίησης/απομίμησης. Για παράδειγμα, και με την επιφύλαξη της προσωπικής ευθύνης του αποδέκτη της υπηρεσίας πολύ μεγάλων επιγραμμικών πλατφορμών για τον ενδεχομένως παράνομο χαρακτήρα της δραστηριότητάς του βάσει του εφαρμοστέου δικαίου, η εν λόγω διάδοση ή οι δραστηριότητες μπορεί να συνιστούν σημαντικό συστημικό κίνδυνο όταν η πρόσβαση σε αυτό το περιεχόμενο μπορεί να διευρυνθεί μέσω λογαριασμών με ιδιαίτερα μεγάλη εμβέλεια. Η δεύτερη κατηγορία αφορά τον αντίκτυπο της υπηρεσίας στην άσκηση των θεμελιωδών δικαιωμάτων, που προστατεύονται από τον Χάρτη των Θεμελιωδών Δικαιωμάτων, συμπεριλαμβανομένων της ελευθερίας έκφρασης και πληροφόρησης, του δικαιώματος στην ιδιωτική ζωή, του δικαιώματος στην απαγόρευση των διακρίσεων και των δικαιωμάτων του παιδιού. Οι εν λόγω κίνδυνοι μπορεί να προκύψουν, για παράδειγμα, σε σχέση με τον σχεδιασμό των αλγοριθμικών συστημάτων που χρησιμοποιούνται από την πολύ μεγάλη επιγραμμική πλατφόρμα ή την αθέμιτη χρήση της υπηρεσίας της μέσω της υποβολής καταχρηστικών ειδοποιήσεων ή άλλων μεθόδων φίμωσης του λόγου ή παρεμπόδισης του ανταγωνισμού. Η τρίτη κατηγορία κινδύνων αφορά τη σκόπιμη και, συχνά, συντονισμένη χειραγώγηση της υπηρεσίας της πλατφόρμας, με προβλέψιμες επιπτώσεις στην υγεία, τον πολιτικό λόγο, τις εκλογικές διαδικασίες, τη δημόσια ασφάλεια και την προστασία των ανηλίκων, λαμβανομένης υπόψη της ανάγκης διαφύλαξης της δημόσιας τάξης, προστασίας της ιδιωτικής ζωής και καταπολέμησης των δόλιων και παραπλανητικών εμπορικών πρακτικών. Οι εν λόγω κίνδυνοι μπορεί να προκύψουν, για παράδειγμα, μέσω της δημιουργίας ψεύτικων λογαριασμών, της χρήσης μποτ και άλλων αυτοματοποιημένων ή εν μέρει αυτοματοποιημένων συμπεριφορών, οι οποίες μπορεί να οδηγήσουν στην ταχεία και ευρεία διάδοση πληροφοριών που αποτελούν παράνομο περιεχόμενο ή δεν συνάδουν με τους όρους και τις προϋποθέσεις μιας επιγραμμικής πλατφόρμας.</w:t>
      </w:r>
    </w:p>
    <w:p>
      <w:pPr>
        <w:pStyle w:val="ManualConsidrant"/>
        <w:rPr>
          <w:noProof/>
        </w:rPr>
      </w:pPr>
      <w:r>
        <w:lastRenderedPageBreak/>
        <w:t>(58)</w:t>
      </w:r>
      <w:r>
        <w:tab/>
      </w:r>
      <w:r>
        <w:rPr>
          <w:noProof/>
        </w:rPr>
        <w:t xml:space="preserve">Οι πολύ μεγάλες επιγραμμικές πλατφόρμες θα πρέπει να εφαρμόζουν τα αναγκαία μέσα για τον επιμελή περιορισμό των συστημικών κινδύνων που εντοπίζονται στην εκτίμηση κινδύνων. Στο πλαίσιο αυτών των μέτρων περιορισμού, οι πολύ μεγάλες επιγραμμικές πλατφόρμες θα πρέπει να εξετάζουν, για παράδειγμα, το ενδεχόμενο βελτίωσης ή άλλης προσαρμογής του σχεδιασμού και της λειτουργίας των οικείων συστημάτων ελέγχου περιεχομένου, των αλγοριθμικών συστημάτων συστάσεων και των επιγραμμικών διεπαφών, ώστε να αποθαρρύνεται και να περιορίζεται η διάδοση παράνομου περιεχομένου, καθώς και το ενδεχόμενο προσαρμογής των οικείων διαδικασιών λήψης αποφάσεων ή των οικείων όρων και προϋποθέσεων. Μπορεί να περιλαμβάνονται επίσης διορθωτικά μέτρα, όπως η διακοπή των διαφημιστικών εσόδων για συγκεκριμένο περιεχόμενο, ή άλλες ενέργειες, όπως η βελτίωση της προβολής έγκυρων πηγών πληροφοριών. Οι πολύ μεγάλες πλατφόρμες μπορούν να ενισχύσουν τις οικείες εσωτερικές διαδικασίες ή την επίβλεψη οποιασδήποτε από τις δραστηριότητές τους, ιδίως όσον αφορά την ανίχνευση συστημικών κινδύνων. Επιπλέον, μπορούν να αρχίσουν να συνεργάζονται ή να ενισχύσουν τη συνεργασία τους με αξιόπιστες πηγές επισήμανσης παράνομου περιεχομένου, να οργανώνουν συνεδρίες κατάρτισης και ανταλλαγές με οργανώσεις αξιόπιστων πηγών επισήμανσης παράνομου περιεχομένου, και να συνεργάζονται με άλλους παρόχους υπηρεσιών, μεταξύ άλλων, με την εκπόνηση ή τη συμμετοχή σε υφιστάμενους κώδικες δεοντολογίας ή τη λήψη άλλων μέτρων αυτορρύθμισης. Κάθε μέτρο που λαμβάνεται θα πρέπει να πληροί τις απαιτήσεις δέουσας επιμέλειας του παρόντος κανονισμού και να είναι αποτελεσματικό και κατάλληλο για τον περιορισμό των συγκεκριμένων εντοπισθέντων κινδύνων, προς όφελος της διαφύλαξης της δημόσιας τάξης, της προστασίας της ιδιωτικής ζωής και της καταπολέμησης των δόλιων και παραπλανητικών εμπορικών πρακτικών, ενώ παράλληλα θα πρέπει να είναι αναλογικό προς την οικονομική ικανότητα της πολύ μεγάλης επιγραμμικής πλατφόρμας και την ανάγκη αποφυγής περιττών περιορισμών στη χρήση της υπηρεσίας της, λαμβανομένων υπόψη των πιθανών αρνητικών επιπτώσεων στα θεμελιώδη δικαιώματα των αποδεκτών της υπηρεσίας. </w:t>
      </w:r>
    </w:p>
    <w:p>
      <w:pPr>
        <w:pStyle w:val="ManualConsidrant"/>
        <w:rPr>
          <w:noProof/>
        </w:rPr>
      </w:pPr>
      <w:r>
        <w:t>(59)</w:t>
      </w:r>
      <w:r>
        <w:tab/>
      </w:r>
      <w:r>
        <w:rPr>
          <w:noProof/>
        </w:rPr>
        <w:t xml:space="preserve">Οι πολύ μεγάλες επιγραμμικές πλατφόρμες θα πρέπει, κατά περίπτωση, να διενεργούν τις οικείες εκτιμήσεις κινδύνων και να σχεδιάζουν τα οικεία μέτρα περιορισμού των κινδύνων με τη συμμετοχή εκπροσώπων των αποδεκτών της υπηρεσίας, εκπροσώπων ομάδων που δυνητικά επηρεάζονται από τις υπηρεσίες τους, ανεξάρτητων εμπειρογνωμόνων και οργανώσεων της κοινωνίας των πολιτών. </w:t>
      </w:r>
    </w:p>
    <w:p>
      <w:pPr>
        <w:pStyle w:val="ManualConsidrant"/>
        <w:rPr>
          <w:noProof/>
        </w:rPr>
      </w:pPr>
      <w:r>
        <w:t>(60)</w:t>
      </w:r>
      <w:r>
        <w:tab/>
      </w:r>
      <w:r>
        <w:rPr>
          <w:noProof/>
        </w:rPr>
        <w:t xml:space="preserve">Δεδομένης της ανάγκης διασφάλισης της επαλήθευσης από ανεξάρτητους εμπειρογνώμονες, οι πολύ μεγάλες επιγραμμικές πλατφόρμες θα πρέπει να λογοδοτούν, μέσω της διενέργειας ανεξάρτητων ελέγχων, για τη συμμόρφωσή τους με τις υποχρεώσεις που προβλέπονται στον παρόντα κανονισμό και, κατά περίπτωση, οποιεσδήποτε συμπληρωματικές δεσμεύσεις τις οποίες έχουν αναλάβει σύμφωνα με κώδικες δεοντολογίας και πρωτόκολλα διαχείρισης κρίσεων. Θα πρέπει να παρέχουν στον ελεγκτή πρόσβαση σε όλα τα σχετικά δεδομένα που είναι απαραίτητα για την ορθή διενέργεια του ελέγχου. Οι ελεγκτές θα πρέπει επίσης να μπορούν να χρησιμοποιήσουν άλλες πηγές αντικειμενικών πληροφοριών, περιλαμβανομένων μελετών από διαπιστευμένους ερευνητές. Οι ελεγκτές θα πρέπει να διασφαλίζουν την εμπιστευτικότητα, την προστασία και την ακεραιότητα των πληροφοριών, όπως εμπορικά απόρρητα, τις οποίες λαμβάνουν κατά την εκτέλεση των καθηκόντων τους και να διαθέτουν την αναγκαία εμπειρογνωσία στον τομέα της διαχείρισης κινδύνων, καθώς και τεχνική επάρκεια για τον έλεγχο αλγορίθμων. Οι ελεγκτές θα πρέπει να είναι ανεξάρτητοι ώστε να μπορούν να εκτελούν τα καθήκοντά τους με επαρκή και </w:t>
      </w:r>
      <w:r>
        <w:rPr>
          <w:noProof/>
        </w:rPr>
        <w:lastRenderedPageBreak/>
        <w:t xml:space="preserve">αξιόπιστο τρόπο. Εάν η ανεξαρτησία τους επιδέχεται αμφισβήτησης, θα πρέπει να παραιτούνται ή να απέχουν από ελεγκτικές εργασίες. </w:t>
      </w:r>
    </w:p>
    <w:p>
      <w:pPr>
        <w:pStyle w:val="ManualConsidrant"/>
        <w:rPr>
          <w:noProof/>
        </w:rPr>
      </w:pPr>
      <w:r>
        <w:t>(61)</w:t>
      </w:r>
      <w:r>
        <w:tab/>
      </w:r>
      <w:r>
        <w:rPr>
          <w:noProof/>
        </w:rPr>
        <w:t xml:space="preserve">Η έκθεση ελέγχου θα πρέπει να είναι τεκμηριωμένη, ώστε να παρέχει ουσιαστική επισκόπηση των δραστηριοτήτων που αναλαμβάνονται και των συμπερασμάτων που εξάγονται. Θα πρέπει να διευκολύνει την τεκμηρίωση και. κατά περίπτωση. να προτείνει βελτιώσεις, των μέτρων που λαμβάνονται από τις πολύ μεγάλες επιγραμμικές πλατφόρμες για τη συμμόρφωση με τις υποχρεώσεις που υπέχουν βάσει του παρόντος κανονισμού. Η έκθεση θα πρέπει να διαβιβάζεται χωρίς καθυστέρηση στον συντονιστή ψηφιακών υπηρεσιών της χώρας εγκατάστασης και στο συμβούλιο, μαζί με την εκτίμηση κινδύνων και τα μέτρα περιορισμού, καθώς και τα σχέδια της πλατφόρμας για την εφαρμογή των συστάσεων του ελέγχου. Η έκθεση θα πρέπει να περιλαμβάνει ελεγκτική γνώμη βάσει των συμπερασμάτων που αντλήθηκαν από τα ληφθέντα αποδεικτικά στοιχεία ελέγχου. Θα πρέπει να διατυπώνεται θετική γνώμη, όταν από το σύνολο των αποδεικτικών στοιχείων προκύπτει ότι η πολύ μεγάλη επιγραμμική πλατφόρμα συμμορφώνεται με τις υποχρεώσεις που προβλέπονται στον παρόντα κανονισμό ή, κατά περίπτωση, με οποιεσδήποτε δεσμεύσεις έχει αναλάβει σύμφωνα με κώδικα δεοντολογίας ή πρωτόκολλο διαχείρισης κρίσεων, ιδίως με τον εντοπισμό, την αξιολόγηση και τον περιορισμό των συστημικών κινδύνων τους οποίους θέτουν το σύστημα και οι υπηρεσίες της. Η θετική γνώμη θα πρέπει να συνοδεύεται από σχόλια, όταν ο ελεγκτής επιθυμεί να συμπεριλάβει παρατηρήσεις οι οποίες δεν έχουν σημαντική επίπτωση στο αποτέλεσμα του ελέγχου. Θα πρέπει να διατυπώνεται αρνητική γνώμη, όταν ο ελεγκτής θεωρεί ότι η πολύ μεγάλη επιγραμμική πλατφόρμα δεν συμμορφώνεται με τον παρόντα κανονισμό ή τις αναληφθείσες δεσμεύσεις. </w:t>
      </w:r>
    </w:p>
    <w:p>
      <w:pPr>
        <w:pStyle w:val="ManualConsidrant"/>
        <w:rPr>
          <w:noProof/>
        </w:rPr>
      </w:pPr>
      <w:r>
        <w:t>(62)</w:t>
      </w:r>
      <w:r>
        <w:tab/>
      </w:r>
      <w:r>
        <w:rPr>
          <w:noProof/>
        </w:rPr>
        <w:t xml:space="preserve">Βασικό μέρος της επιχειρηματικής δραστηριότητας των πολύ μεγάλων επιγραμμικών πλατφορμών αποτελεί ο τρόπος ιεράρχησης και παρουσίασης των πληροφοριών στην οικεία επιγραμμική διεπαφή για τη διευκόλυνση και τη βελτιστοποίηση της πρόσβασης των αποδεκτών της υπηρεσίας σε πληροφορίες. Για παράδειγμα, η επιγραμμική πλατφόρμα προτείνει, κατατάσσει και ιεραρχεί πληροφορίες με τη χρήση αλγορίθμων, διακρίνει μέσω κειμένου ή άλλων οπτικών αναπαραστάσεων, ή επιμελείται με άλλον τρόπο τις πληροφορίες που παρέχονται από τους αποδέκτες. Αυτά τα συστήματα συστάσεων μπορούν να έχουν σημαντικό αντίκτυπο στην ικανότητα των αποδεκτών να ανακτούν και να αλληλεπιδρούν με πληροφορίες στο διαδίκτυο. Διαδραματίζουν επίσης σημαντικό ρόλο στην ενίσχυση ορισμένων μηνυμάτων, στην ιογενή διάδοση πληροφοριών και στην ενθάρρυνση επιγραμμικών συμπεριφορών. Κατά συνέπεια, οι πολύ μεγάλες επιγραμμικές πλατφόρμες θα πρέπει να διασφαλίζουν ότι οι αποδέκτες ενημερώνονται κατάλληλα και μπορούν να επηρεάσουν τις πληροφορίες που παρουσιάζονται σε αυτούς. Θα πρέπει να παρουσιάζουν με σαφήνεια τις κύριες παραμέτρους αυτών των συστημάτων συστάσεων με εύληπτο τρόπο, ώστε να διασφαλίζεται ότι οι αποδέκτες κατανοούν τον τρόπο με τον οποίο δίνεται προτεραιότητα στις πληροφορίες για αυτούς. Θα πρέπει επίσης να διασφαλίζουν ότι υπάρχουν εναλλακτικές επιλογές για τους αποδέκτες όσον αφορά τις κύριες παραμέτρους, συμπεριλαμβανομένων επιλογών που δεν βασίζονται στην κατάρτιση προφίλ του αποδέκτη. </w:t>
      </w:r>
    </w:p>
    <w:p>
      <w:pPr>
        <w:pStyle w:val="ManualConsidrant"/>
        <w:rPr>
          <w:noProof/>
        </w:rPr>
      </w:pPr>
      <w:r>
        <w:t>(63)</w:t>
      </w:r>
      <w:r>
        <w:tab/>
      </w:r>
      <w:r>
        <w:rPr>
          <w:noProof/>
        </w:rPr>
        <w:t xml:space="preserve">Τα συστήματα διαφήμισης που χρησιμοποιούνται από τις πολύ μεγάλες επιγραμμικές πλατφόρμες θέτουν ιδιαίτερους κινδύνους και απαιτούν περαιτέρω δημόσια και ρυθμιστική επίβλεψη λόγω της κλίμακας και της ικανότητάς τους να στοχεύουν και να προσεγγίζουν αποδέκτες της υπηρεσίας βάσει της συμπεριφοράς τους εντός και εκτός της επιγραμμικής διεπαφής της πλατφόρμας. Οι πολύ μεγάλες επιγραμμικές </w:t>
      </w:r>
      <w:r>
        <w:rPr>
          <w:noProof/>
        </w:rPr>
        <w:lastRenderedPageBreak/>
        <w:t xml:space="preserve">πλατφόρμες θα πρέπει να διασφαλίζουν την πρόσβαση του κοινού σε αποθετήρια διαφημίσεων που προβάλλονται στις επιγραμμικές διεπαφές τους με σκοπό τη διευκόλυνση της επίβλεψης και της διερεύνησης των αναδυόμενων κινδύνων που προκύπτουν από τη διανομή διαφημίσεων στο διαδίκτυο, για παράδειγμα σε σχέση με παράνομες διαφημίσεις ή τεχνικές χειραγώγησης και παραπληροφόρηση με πραγματικές και προβλέψιμες αρνητικές επιπτώσεις στη δημόσια υγεία, τη δημόσια ασφάλεια, τον πολιτικό λόγο, την πολιτική συμμετοχή και την ισότητα. Τα αποθετήρια θα πρέπει να περιλαμβάνουν το περιεχόμενο των διαφημίσεων και σχετικά δεδομένα για τον διαφημιζόμενο και την παρουσίαση της διαφήμισης, ιδίως όσον αφορά τη στοχευμένη διαφήμιση. </w:t>
      </w:r>
    </w:p>
    <w:p>
      <w:pPr>
        <w:pStyle w:val="ManualConsidrant"/>
        <w:rPr>
          <w:noProof/>
        </w:rPr>
      </w:pPr>
      <w:r>
        <w:t>(64)</w:t>
      </w:r>
      <w:r>
        <w:tab/>
      </w:r>
      <w:r>
        <w:rPr>
          <w:noProof/>
        </w:rPr>
        <w:t>Για τη δέουσα επίβλεψη της συμμόρφωσης των πολύ μεγάλων επιγραμμικών πλατφορμών με τις υποχρεώσεις που προβλέπονται στον παρόντα κανονισμό, ο συντονιστής ψηφιακών υπηρεσιών της χώρας εγκατάστασης ή η Επιτροπή μπορούν να ζητήσουν πρόσβαση σε συγκεκριμένα δεδομένα ή υποβολή έκθεσης για συγκεκριμένα δεδομένα. Η εν λόγω απαίτηση μπορεί να περιλαμβάνει, για παράδειγμα, τα δεδομένα που είναι απαραίτητα για την αξιολόγηση των κινδύνων και ενδεχόμενων επιβλαβών συνεπειών που προκαλούνται από τα συστήματα της πλατφόρμας, δεδομένα σχετικά με την ακρίβεια, τη λειτουργία και τη δοκιμή αλγοριθμικών συστημάτων για τον έλεγχο περιεχομένου, συστημάτων συστάσεων ή συστημάτων διαφήμισης, ή δεδομένα σχετικά με τις διαδικασίες και τα αποτελέσματα του ελέγχου περιεχομένου ή τα εσωτερικά συστήματα διαχείρισης καταγγελιών κατά την έννοια του παρόντος κανονισμού. Οι έρευνες που διεξάγονται από ερευνητές σχετικά με την εξέλιξη και τη σοβαρότητα των επιγραμμικών συστημικών κινδύνων είναι ιδιαίτερα σημαντικές για τη μείωση της ασύμμετρης πληροφόρησης και τη δημιουργία ενός ανθεκτικού συστήματος περιορισμού των κινδύνων, καθώς και για την πληροφόρηση των επιγραμμικών πλατφορμών, των συντονιστών ψηφιακών υπηρεσιών, άλλων αρμόδιων αρχών, της Επιτροπής και του κοινού. Ως εκ τούτου, ο παρών κανονισμός παρέχει πλαίσιο για την επιβολή υποχρέωσης παροχής πρόσβασης σε δεδομένα από τις πολύ μεγάλες επιγραμμικές πλατφόρμες σε διαπιστευμένους ερευνητές. Όλες οι απαιτήσεις για την πρόσβαση σε δεδομένα βάσει αυτού του πλαισίου θα πρέπει να είναι αναλογικές και να προστατεύουν δεόντως τα δικαιώματα και τα έννομα συμφέροντα, συμπεριλαμβανομένων των εμπορικών απορρήτων και άλλων εμπιστευτικών πληροφοριών, της πλατφόρμας και άλλων ενδιαφερόμενων μερών, συμπεριλαμβανομένων των αποδεκτών της υπηρεσίας.</w:t>
      </w:r>
    </w:p>
    <w:p>
      <w:pPr>
        <w:pStyle w:val="ManualConsidrant"/>
        <w:rPr>
          <w:noProof/>
        </w:rPr>
      </w:pPr>
      <w:r>
        <w:t>(65)</w:t>
      </w:r>
      <w:r>
        <w:tab/>
      </w:r>
      <w:r>
        <w:rPr>
          <w:noProof/>
        </w:rPr>
        <w:t xml:space="preserve">Δεδομένης της πολυπλοκότητας της λειτουργίας των αναπτυσσόμενων συστημάτων και των συστημικών κινδύνων που παρουσιάζουν για την κοινωνία, οι πολύ μεγάλες επιγραμμικές πλατφόρμες θα πρέπει να ορίζουν υπεύθυνους συμμόρφωσης, οι οποίοι θα πρέπει να διαθέτουν τα αναγκαία προσόντα για την επιχειρησιακή εφαρμογή μέτρων και την παρακολούθηση της συμμόρφωσης με τον παρόντα κανονισμό εντός της οργάνωσης της πλατφόρμας. Οι πολύ μεγάλες επιγραμμικές πλατφόρμες θα πρέπει να διασφαλίζουν ότι ο υπεύθυνος συμμόρφωσης συμμετέχει, δεόντως και εγκαίρως, σε όλα τα ζητήματα που σχετίζονται με τον παρόντα κανονισμό. Λαμβανομένων υπόψη των πρόσθετων κινδύνων που συνδέονται με τις δραστηριότητές τους και των επιπρόσθετων υποχρεώσεων βάσει του παρόντος κανονισμού, οι άλλες απαιτήσεις διαφάνειας που προβλέπονται στον παρόντα κανονισμό θα πρέπει να συμπληρωθούν με επιπλέον απαιτήσεις διαφάνειας οι οποίες θα εφαρμόζονται ειδικά σε πολύ μεγάλες επιγραμμικές πλατφόρμες και θα αφορούν κυρίως την υποβολή εκθέσεων για τις εκτιμήσεις κινδύνων που διενεργούνται και τα επακόλουθα μέτρα που λαμβάνονται σύμφωνα με τον παρόντα κανονισμό. </w:t>
      </w:r>
    </w:p>
    <w:p>
      <w:pPr>
        <w:pStyle w:val="ManualConsidrant"/>
        <w:rPr>
          <w:noProof/>
        </w:rPr>
      </w:pPr>
      <w:r>
        <w:lastRenderedPageBreak/>
        <w:t>(66)</w:t>
      </w:r>
      <w:r>
        <w:tab/>
      </w:r>
      <w:r>
        <w:rPr>
          <w:noProof/>
        </w:rPr>
        <w:t>Για τη διευκόλυνση της αποτελεσματικής και συνεπούς εφαρμογής των υποχρεώσεων που προβλέπονται στον παρόντα κανονισμό και ενδέχεται να απαιτούν εφαρμογή με χρήση τεχνολογικών μέσων, είναι σημαντικό να προωθηθούν εθελοντικά πρότυπα του κλάδου που καλύπτουν ορισμένες τεχνικές διαδικασίες, στο πλαίσιο των οποίων ο κλάδος μπορεί να συμβάλει στην ανάπτυξη τυποποιημένων μέσων για τη συμμόρφωση με τον παρόντα κανονισμό, όπως η παροχή της δυνατότητας υποβολής ειδοποιήσεων, μεταξύ άλλων, μέσω διεπαφών προγραμματισμού εφαρμογών, ή σχετικά με τη διαλειτουργικότητα των αποθετηρίων διαφημίσεων. Τα πρότυπα αυτά θα μπορούσαν ιδίως να είναι χρήσιμα για τους σχετικά μικρούς παρόχους ενδιάμεσων υπηρεσιών. Τα πρότυπα θα μπορούσαν να διακρίνουν μεταξύ διαφόρων τύπων παράνομου περιεχομένου ή διαφόρων τύπων ενδιάμεσων υπηρεσιών, κατά περίπτωση.</w:t>
      </w:r>
    </w:p>
    <w:p>
      <w:pPr>
        <w:pStyle w:val="ManualConsidrant"/>
        <w:rPr>
          <w:noProof/>
        </w:rPr>
      </w:pPr>
      <w:r>
        <w:t>(67)</w:t>
      </w:r>
      <w:r>
        <w:tab/>
      </w:r>
      <w:r>
        <w:rPr>
          <w:noProof/>
        </w:rPr>
        <w:t>Η Επιτροπή και το συμβούλιο θα πρέπει να ενθαρρύνουν την εκπόνηση κωδίκων δεοντολογίας οι οποίοι θα συμβάλουν στην εφαρμογή του παρόντος κανονισμού. Παρότι η εφαρμογή κωδίκων δεοντολογίας θα πρέπει να είναι μετρήσιμη και να υπόκειται σε δημόσια εποπτεία, αυτό δεν θα πρέπει να αναιρεί τον εθελοντικό χαρακτήρα των κωδίκων αυτών, ούτε την ελευθερία των ενδιαφερόμενων μερών να αποφασίζουν αν θα συμμετάσχουν σε αυτούς. Σε ορισμένες περιπτώσεις, είναι σημαντικό οι πολύ μεγάλες επιγραμμικές πλατφόρμες να συμμετέχουν στην εκπόνηση των κωδίκων δεοντολογίας και να τηρούν συγκεκριμένους κώδικες δεοντολογίας. Κανένα στοιχείο του παρόντος κανονισμού δεν εμποδίζει άλλους παρόχους υπηρεσιών να τηρούν τα ίδια πρότυπα δέουσας επιμέλειας, να υιοθετούν βέλτιστες πρακτικές και να επωφελούνται από την καθοδήγηση που παρέχεται από την Επιτροπή και το συμβούλιο, συμμετέχοντας στους ίδιους κώδικες δεοντολογίας.</w:t>
      </w:r>
    </w:p>
    <w:p>
      <w:pPr>
        <w:pStyle w:val="ManualConsidrant"/>
        <w:rPr>
          <w:noProof/>
        </w:rPr>
      </w:pPr>
      <w:r>
        <w:t>(68)</w:t>
      </w:r>
      <w:r>
        <w:tab/>
      </w:r>
      <w:r>
        <w:rPr>
          <w:noProof/>
        </w:rPr>
        <w:t>Είναι σκόπιμο ο παρών κανονισμός να προσδιορίσει ορισμένα σημεία προς εξέταση στους εν λόγω κώδικες δεοντολογίας. Ειδικότερα, τα μέτρα περιορισμού των κινδύνων σχετικά με συγκεκριμένους τύπους παράνομου περιεχομένου θα πρέπει να διερευνηθούν μέσω συμφωνιών αυτορρύθμισης και συρρύθμισης. Ένα άλλο σημείο προς εξέταση είναι οι πιθανές αρνητικές επιπτώσεις των συστημικών κινδύνων στην κοινωνία και τη δημοκρατία, όπως η παραπληροφόρηση ή δραστηριότητες χειραγώγησης και κατάχρησης. Στο πλαίσιο αυτό περιλαμβάνονται συντονισμένες ενέργειες που στοχεύουν στην ενίσχυση της πληροφόρησης, περιλαμβανομένης της παραπληροφόρησης, όπως η χρήση μποτ ή ψεύτικων λογαριασμών για τη δημιουργία ψευδών ή παραπλανητικών πληροφοριών, ενίοτε με σκοπό την αποκόμιση οικονομικού κέρδους, οι οποίες είναι ιδιαίτερα επιβλαβείς για τους ευάλωτους αποδέκτες της υπηρεσίας, όπως τα παιδιά. Σε σχέση με αυτά τα σημεία, η προσχώρηση μιας πολύ μεγάλης επιγραμμικής πλατφόρμας σε έναν συγκεκριμένο κώδικα δεοντολογίας και η συμμόρφωσή της με αυτόν μπορούν να θεωρηθούν κατάλληλο μέτρο περιορισμού των κινδύνων. Η απόρριψη, χωρίς την παροχή κατάλληλων εξηγήσεων από μια επιγραμμική πλατφόρμα, της πρόσκλησης της Επιτροπής για συμμετοχή στην εφαρμογή ενός τέτοιου κώδικα δεοντολογίας θα μπορούσε να ληφθεί υπόψη, κατά περίπτωση, κατά τον καθορισμό του κατά πόσον η επιγραμμική πλατφόρμα έχει παραβεί τις υποχρεώσεις που προβλέπονται στον παρόντα κανονισμό.</w:t>
      </w:r>
    </w:p>
    <w:p>
      <w:pPr>
        <w:pStyle w:val="ManualConsidrant"/>
        <w:rPr>
          <w:noProof/>
        </w:rPr>
      </w:pPr>
      <w:r>
        <w:t>(69)</w:t>
      </w:r>
      <w:r>
        <w:tab/>
      </w:r>
      <w:r>
        <w:rPr>
          <w:noProof/>
        </w:rPr>
        <w:t xml:space="preserve">Οι κανόνες του παρόντος κανονισμού σχετικά με τους κώδικες δεοντολογίας θα μπορούσαν να χρησιμεύσουν ως βάση για τις προσπάθειες αυτορρύθμισης που καταβάλλονται ήδη σε ενωσιακό επίπεδο, όπως, για παράδειγμα, η δέσμευση για την ασφάλεια των προϊόντων, το μνημόνιο συμφωνίας κατά των προϊόντων παραποίησης/απομίμησης, ο κώδικας δεοντολογίας κατά της παράνομης ρητορικής </w:t>
      </w:r>
      <w:r>
        <w:rPr>
          <w:noProof/>
        </w:rPr>
        <w:lastRenderedPageBreak/>
        <w:t>μίσους, καθώς και ο κώδικας πρακτικής για την παραπληροφόρηση. Όσον αφορά ειδικότερα τον τελευταίο κώδικα, η Επιτροπή θα εκδώσει καθοδήγηση για την ενίσχυση του κώδικα πρακτικής για την παραπληροφόρηση όπως ανακοινώθηκε στο ευρωπαϊκό σχέδιο δράσης για τη δημοκρατία.</w:t>
      </w:r>
    </w:p>
    <w:p>
      <w:pPr>
        <w:pStyle w:val="ManualConsidrant"/>
        <w:rPr>
          <w:noProof/>
        </w:rPr>
      </w:pPr>
      <w:r>
        <w:t>(70)</w:t>
      </w:r>
      <w:r>
        <w:tab/>
      </w:r>
      <w:r>
        <w:rPr>
          <w:noProof/>
        </w:rPr>
        <w:t>Στην παροχή επιγραμμικής διαφήμισης εμπλέκονται κατά κανόνα διάφοροι παράγοντες, μεταξύ των οποίων οι ενδιάμεσες υπηρεσίες που συνδέουν τους εκδότες διαφημίσεων με τους διαφημιζόμενους. Οι κώδικες δεοντολογίας θα πρέπει να υποστηρίζουν και να συμπληρώνουν τις υποχρεώσεις διαφάνειας σχετικά με τη διαφήμιση οι οποίες προβλέπονται για τις επιγραμμικές πλατφόρμες και τις πολύ μεγάλες επιγραμμικές πλατφόρμες στον παρόντα κανονισμό, προκειμένου να προβλέπονται ευέλικτοι και αποτελεσματικοί μηχανισμοί για τη διευκόλυνση και την ενίσχυση της συμμόρφωσης με αυτές τις υποχρεώσεις, κυρίως όσον αφορά τους τρόπους μετάδοσης των σχετικών πληροφοριών. Με τη συμμετοχή ευρέος φάσματος ενδιαφερόμενων μερών αναμένεται να διασφαλιστεί ότι οι εν λόγω κώδικες δεοντολογίας τυγχάνουν ευρείας υποστήριξης, είναι τεχνικά άρτιοι, αποτελεσματικοί και φιλικοί προς τον χρήστη στον μεγαλύτερο δυνατό βαθμό, ώστε να εξασφαλίζεται ότι οι υποχρεώσεις διαφάνειας επιτυγχάνουν τους στόχους τους.</w:t>
      </w:r>
    </w:p>
    <w:p>
      <w:pPr>
        <w:pStyle w:val="ManualConsidrant"/>
        <w:rPr>
          <w:noProof/>
        </w:rPr>
      </w:pPr>
      <w:r>
        <w:t>(71)</w:t>
      </w:r>
      <w:r>
        <w:tab/>
      </w:r>
      <w:r>
        <w:rPr>
          <w:noProof/>
        </w:rPr>
        <w:t xml:space="preserve">Σε περίπτωση έκτακτων περιστάσεων που επηρεάζουν τη δημόσια ασφάλεια ή τη δημόσια υγεία, η Επιτροπή μπορεί να κινήσει την κατάρτιση πρωτοκόλλων διαχείρισης κρίσεων για τον συντονισμό μιας ταχείας, συλλογικής και διασυνοριακής απάντησης στο επιγραμμικό περιβάλλον. Στις έκτακτες περιστάσεις μπορεί να περιλαμβάνεται οποιοδήποτε απρόβλεπτο γεγονός, όπως σεισμοί, τυφώνες, πανδημίες και άλλες σοβαρές διασυνοριακές απειλές για τη δημόσια υγεία, ο πόλεμος και τρομοκρατικέ ενέργειες, στο πλαίσιο των οποίων οι επιγραμμικές πλατφόρμες μπορεί, για παράδειγμα, να χρησιμοποιούνται αθέμιτα για την ταχεία διάδοση παράνομου περιεχομένου ή παραπληροφόρησης ή όταν προκύπτει ανάγκη για ταχεία διάδοση αξιόπιστων πληροφοριών. Λαμβανομένου υπόψη του σημαντικού ρόλου των πολύ μεγάλων επιγραμμικών πλατφορμών στη διάδοση πληροφοριών στις κοινωνίες μας και σε διασυνοριακό επίπεδο, οι πλατφόρμες αυτές θα πρέπει να ενθαρρύνονται να καταρτίζουν και να εφαρμόζουν ειδικά πρωτόκολλα διαχείρισης κρίσεων. Τα εν λόγω πρωτόκολλα διαχείρισης κρίσεων θα πρέπει να ενεργοποιούνται για περιορισμένο μόνο χρονικό διάστημα και τα μέτρα που λαμβάνονται θα πρέπει επίσης να περιορίζονται σε ό,τι είναι απολύτως αναγκαίο για την αντιμετώπιση της έκτακτης περίστασης. Τα μέτρα αυτά θα πρέπει να συνάδουν με τον παρόντα κανονισμό και δεν θα πρέπει να ισοδυναμούν με γενική υποχρέωση των συμμετεχουσών πολύ μεγάλων επιγραμμικών πλατφορμών να παρακολουθούν τις πληροφορίες τις οποίες μεταδίδουν ή αποθηκεύουν, ούτε να αναζητούν με ενεργητικό τρόπο γεγονότα ή περιστάσεις που υποδεικνύουν παράνομο περιεχόμενο. </w:t>
      </w:r>
    </w:p>
    <w:p>
      <w:pPr>
        <w:pStyle w:val="ManualConsidrant"/>
        <w:rPr>
          <w:noProof/>
        </w:rPr>
      </w:pPr>
      <w:r>
        <w:t>(72)</w:t>
      </w:r>
      <w:r>
        <w:tab/>
      </w:r>
      <w:r>
        <w:rPr>
          <w:noProof/>
        </w:rPr>
        <w:t xml:space="preserve">Το καθήκον της διασφάλισης επαρκούς εποπτείας και επιβολής των υποχρεώσεων που προβλέπονται στον παρόντα κανονισμό θα πρέπει καταρχήν να ανατίθεται στα κράτη μέλη. Για τον σκοπό αυτόν, τα κράτη μέλη θα πρέπει να ορίζουν τουλάχιστον μία αρχή, η οποία θα είναι επιφορτισμένη με την εφαρμογή και την επιβολή του παρόντος κανονισμού. Ωστόσο, τα κράτη μέλη θα πρέπει να μπορούν να αναθέσουν σε περισσότερες από μία αρμόδιες αρχές ειδικά καθήκοντα επίβλεψης ή επιβολής και αρμοδιότητες σχετικά με την εφαρμογή του παρόντος κανονισμού, για παράδειγμα για συγκεκριμένους τομείς, όπως οι ρυθμιστικές αρχές των ηλεκτρονικών επικοινωνιών, οι ρυθμιστικές αρχές των μέσων ενημέρωσης ή οι αρχές προστασίας των καταναλωτών, κατά τρόπο ώστε να αντανακλάται η εγχώρια συνταγματική, οργανωτική και διοικητική δομή τους. </w:t>
      </w:r>
    </w:p>
    <w:p>
      <w:pPr>
        <w:pStyle w:val="ManualConsidrant"/>
        <w:rPr>
          <w:noProof/>
        </w:rPr>
      </w:pPr>
      <w:r>
        <w:lastRenderedPageBreak/>
        <w:t>(73)</w:t>
      </w:r>
      <w:r>
        <w:tab/>
      </w:r>
      <w:r>
        <w:rPr>
          <w:noProof/>
        </w:rPr>
        <w:t xml:space="preserve">Δεδομένου του διασυνοριακού χαρακτήρα των επίμαχων υπηρεσιών και του οριζόντιου φάσματος των υποχρεώσεων που θεσπίζονται με τον παρόντα κανονισμό, η αρχή στην οποία ανατίθεται το καθήκον της επίβλεψης της εφαρμογής και, κατά περίπτωση, της επιβολής του παρόντος κανονισμού θα πρέπει να προσδιορίζεται ως συντονιστής ψηφιακών υπηρεσιών σε κάθε κράτος μέλος. Όταν ορίζονται περισσότερες από μία αρμόδιες αρχές για την εφαρμογή και την επιβολή του παρόντος κανονισμού, μόνο μία αρχή θα πρέπει να αναγνωρίζεται ως συντονιστής ψηφιακών υπηρεσιών στο συγκεκριμένο κράτος μέλος. Ο συντονιστής ψηφιακών υπηρεσιών θα πρέπει να ενεργεί ως ενιαίο σημείο επαφής όσον αφορά όλα τα ζητήματα που σχετίζονται με την εφαρμογή του παρόντος κανονισμού για την Επιτροπή, το συμβούλιο, τους συντονιστές ψηφιακών υπηρεσιών άλλων κρατών μελών, καθώς και για άλλες αρμόδιες αρχές του συγκεκριμένου κράτους μέλους. Ειδικότερα, όταν έχουν ανατεθεί καθήκοντα σε περισσότερες από μία αρμόδιες αρχές βάσει του παρόντος κανονισμού σε ένα συγκεκριμένο κράτος μέλος, ο συντονιστής ψηφιακών υπηρεσιών θα πρέπει να συντονίζει τις αρχές αυτές και να συνεργάζεται μαζί τους σύμφωνα με το εθνικό δίκαιο για τον καθορισμό των αντίστοιχων καθηκόντων τους, και θα πρέπει να διασφαλίζει την αποτελεσματική συμμετοχή όλων των αρμόδιων αρχών στην επίβλεψη και την επιβολή σε ενωσιακό επίπεδο. </w:t>
      </w:r>
    </w:p>
    <w:p>
      <w:pPr>
        <w:pStyle w:val="ManualConsidrant"/>
        <w:rPr>
          <w:noProof/>
        </w:rPr>
      </w:pPr>
      <w:r>
        <w:t>(74)</w:t>
      </w:r>
      <w:r>
        <w:tab/>
      </w:r>
      <w:r>
        <w:rPr>
          <w:noProof/>
        </w:rPr>
        <w:t xml:space="preserve">Ο συντονιστής ψηφιακών υπηρεσιών, καθώς και άλλες αρμόδιες αρχές που ορίζονται βάσει του παρόντος κανονισμού, διαδραματίζουν καθοριστικό ρόλο για τη διασφάλιση, αφενός, της αποτελεσματικότητας των δικαιωμάτων και υποχρεώσεων που ορίζονται στον παρόντα κανονισμό και, αφετέρου, της επίτευξης των στόχων του. Κατά συνέπεια, είναι αναγκαίο να διασφαλιστεί ότι οι αρχές αυτές ενεργούν με πλήρη ανεξαρτησία από ιδιωτικούς και δημόσιους φορείς, χωρίς υποχρέωση ή δυνατότητα αναζήτησης ή λήψης οδηγιών, μεταξύ άλλων από την κυβέρνηση, και με την επιφύλαξη των ειδικών καθηκόντων συνεργασίας με άλλες αρμόδιες αρχές, τους συντονιστές ψηφιακών υπηρεσιών, το συμβούλιο και την Επιτροπή. Από την άλλη πλευρά, η ανεξαρτησία αυτών των αρχών δεν θα πρέπει να σημαίνει ότι δεν μπορούν να υπόκεινται, σύμφωνα με τα εθνικά συντάγματα και χωρίς να τίθεται σε κίνδυνο η επίτευξη των στόχων του παρόντος κανονισμού, σε εθνικό έλεγχο ή μηχανισμούς παρακολούθησης όσον αφορά τις δαπάνες τους, ή σε δικαστικό έλεγχο, ή ότι δεν θα πρέπει να έχουν τη δυνατότητα να συμβουλευτούν άλλες εθνικές αρχές, συμπεριλαμβανομένων αρχών επιβολής του νόμου ή αρχών διαχείρισης κρίσεων, κατά περίπτωση. </w:t>
      </w:r>
    </w:p>
    <w:p>
      <w:pPr>
        <w:pStyle w:val="ManualConsidrant"/>
        <w:rPr>
          <w:noProof/>
        </w:rPr>
      </w:pPr>
      <w:r>
        <w:t>(75)</w:t>
      </w:r>
      <w:r>
        <w:tab/>
      </w:r>
      <w:r>
        <w:rPr>
          <w:noProof/>
        </w:rPr>
        <w:t>Τα κράτη μέλη μπορούν να ορίσουν υφιστάμενη εθνική αρχή ως συντονιστή ψηφιακών υπηρεσιών ή να της αναθέσουν ειδικά καθήκοντα εφαρμογής και επιβολής του παρόντος κανονισμού, υπό την προϋπόθεση ότι κάθε τέτοια ορισθείσα αρχή πληροί τις απαιτήσεις που προβλέπονται στον παρόντα κανονισμό, για παράδειγμα, σχετικά με την ανεξαρτησία της. Επιπλέον, τα κράτη μέλη δεν εμποδίζονται καταρχήν να συγχωνεύσουν καθήκοντα εντός υφιστάμενης αρχής, σύμφωνα με το ενωσιακό δίκαιο. Τα μέτρα για τον σκοπό αυτόν μπορεί να περιλαμβάνουν, μεταξύ άλλων, την απαγόρευση απόλυσης του προέδρου ή μέλους του διοικητικού συμβουλίου ενός συλλογικού οργάνου υφιστάμενης αρχής πριν από τη λήξη της θητείας τους, αποκλειστικά και μόνο λόγω θεσμικής μεταρρύθμισης η οποία περιλαμβάνει τη συγχώνευση διαφορετικών λειτουργιών εντός μίας αρχής, ελλείψει κανόνων που να εγγυώνται ότι οι απολύσεις αυτές δεν θέτουν σε κίνδυνο την ανεξαρτησία και την αμεροληψία των εν λόγω μελών.</w:t>
      </w:r>
    </w:p>
    <w:p>
      <w:pPr>
        <w:pStyle w:val="ManualConsidrant"/>
        <w:rPr>
          <w:noProof/>
        </w:rPr>
      </w:pPr>
      <w:r>
        <w:t>(76)</w:t>
      </w:r>
      <w:r>
        <w:tab/>
      </w:r>
      <w:r>
        <w:rPr>
          <w:noProof/>
        </w:rPr>
        <w:t xml:space="preserve">Ελλείψει γενικής απαίτησης φυσικής παρουσίας των παρόχων ενδιάμεσων υπηρεσιών στο έδαφος κράτους μέλους, είναι αναγκαίο να διασφαλιστεί σαφήνεια όσον αφορά το </w:t>
      </w:r>
      <w:r>
        <w:rPr>
          <w:noProof/>
        </w:rPr>
        <w:lastRenderedPageBreak/>
        <w:t>ποιο κράτος μέλος ασκεί δικαιοδοσία επί των εν λόγω παρόχων για τον σκοπό της επιβολής των κανόνων που προβλέπονται στα κεφάλαια ΙΙΙ και ΙV από τις εθνικές αρμόδιες αρχές. Ένας πάροχος θα πρέπει να υπάγεται στη δικαιοδοσία του κράτους μέλους στο οποίο βρίσκεται η κύρια εγκατάστασή του, δηλαδή, στο οποίο ο πάροχος έχει τα κεντρικά γραφεία ή την καταστατική έδρα του, όπου ασκούνται οι κύριες χρηματοοικονομικές λειτουργίες και ο επιχειρησιακός έλεγχος. Όσον αφορά τους παρόχους που δεν διαθέτουν εγκατάσταση στην Ένωση αλλά παρέχουν υπηρεσίες στην Ένωση και, ως εκ τούτου, εμπίπτουν στο πεδίο εφαρμογής του παρόντος κανονισμού, δικαιοδοσία θα πρέπει να έχει το κράτος μέλος στο οποίο οι εν λόγω πάροχοι έχουν ορίσει τον νόμιμο εκπρόσωπό τους, λαμβανομένης υπόψη της ιδιότητας του νόμιμου εκπροσώπου βάσει του παρόντος κανονισμού. Για την αποτελεσματική εφαρμογή του παρόντος κανονισμού, όλα τα κράτη μέλη θα πρέπει, ωστόσο, να έχουν δικαιοδοσία όσον αφορά παρόχους οι οποίοι δεν όρισαν νόμιμο εκπρόσωπο, υπό τον όρο της τήρησης της αρχής ne bis in idem. Για τον σκοπό αυτόν, κάθε κράτος μέλος που ασκεί δικαιοδοσία όσον αφορά τους εν λόγω παρόχους θα πρέπει να ενημερώνει, χωρίς αδικαιολόγητη καθυστέρηση, όλα τα άλλα κράτη μέλη σχετικά με τα μέτρα που έχει λάβει στο πλαίσιο της άσκησης αυτής της δικαιοδοσίας.</w:t>
      </w:r>
    </w:p>
    <w:p>
      <w:pPr>
        <w:pStyle w:val="ManualConsidrant"/>
        <w:rPr>
          <w:noProof/>
        </w:rPr>
      </w:pPr>
      <w:r>
        <w:t>(77)</w:t>
      </w:r>
      <w:r>
        <w:tab/>
      </w:r>
      <w:r>
        <w:rPr>
          <w:noProof/>
        </w:rPr>
        <w:t>Τα κράτη μέλη θα πρέπει να παρέχουν στον συντονιστή ψηφιακών υπηρεσιών, και σε κάθε άλλη αρμόδια αρχή που ορίζεται βάσει του παρόντος κανονισμού, επαρκείς εξουσίες και μέσα για τη διασφάλιση της αποτελεσματικής έρευνας και επιβολής. Οι συντονιστές ψηφιακών υπηρεσιών θα πρέπει ιδίως να είναι σε θέση να αναζητούν και να λαμβάνουν πληροφορίες που βρίσκονται στο έδαφός τους, για παράδειγμα, στο πλαίσιο κοινών ερευνών, λαμβανομένου δεόντως υπόψη του γεγονότος ότι τα μέτρα εποπτείας και επιβολής που αφορούν έναν πάροχο υπό τη δικαιοδοσία άλλου κράτους μέλους θα πρέπει να λαμβάνονται από τον συντονιστή ψηφιακών υπηρεσιών του άλλου κράτους μέλους, κατά περίπτωση, σύμφωνα με τις διαδικασίες που αφορούν τη διασυνοριακή συνεργασία.</w:t>
      </w:r>
    </w:p>
    <w:p>
      <w:pPr>
        <w:pStyle w:val="ManualConsidrant"/>
        <w:rPr>
          <w:noProof/>
        </w:rPr>
      </w:pPr>
      <w:r>
        <w:t>(78)</w:t>
      </w:r>
      <w:r>
        <w:tab/>
      </w:r>
      <w:r>
        <w:rPr>
          <w:noProof/>
        </w:rPr>
        <w:t xml:space="preserve">Τα κράτη μέλη θα πρέπει να καθορίσουν στο εθνικό τους δίκαιο, σύμφωνα με το ενωσιακό δίκαιο και, ειδικότερα, τον παρόντα κανονισμό και τον Χάρτη, τους λεπτομερείς όρους και τα όρια για την άσκηση των εξουσιών έρευνας και επιβολής των οικείων συντονιστών ψηφιακών υπηρεσιών και άλλων, κατά περίπτωση, αρμόδιων αρχών, βάσει του παρόντος κανονισμού. </w:t>
      </w:r>
    </w:p>
    <w:p>
      <w:pPr>
        <w:pStyle w:val="ManualConsidrant"/>
        <w:rPr>
          <w:noProof/>
        </w:rPr>
      </w:pPr>
      <w:r>
        <w:t>(79)</w:t>
      </w:r>
      <w:r>
        <w:tab/>
      </w:r>
      <w:r>
        <w:rPr>
          <w:noProof/>
        </w:rPr>
        <w:t xml:space="preserve">Στο πλαίσιο της άσκησης των εν λόγω εξουσιών, οι αρμόδιες αρχές θα πρέπει να συμμορφώνονται με τους εφαρμοστέους εθνικούς κανόνες σχετικά με διαδικασίες και ζητήματα όπως η ανάγκη εκ των προτέρων λήψης δικαστικής άδειας για την είσοδο σε ορισμένες εγκαταστάσεις και τα προνόμια των επαγγελματιών νομικών. Οι διατάξεις αυτές θα πρέπει ειδικότερα να διασφαλίζουν τον σεβασμό του θεμελιώδους δικαιώματος πραγματικής προσφυγής και δίκαιης δίκης, συμπεριλαμβανομένων των δικαιωμάτων υπεράσπισης, και το δικαίωμα σεβασμού της ιδιωτικής ζωής. Εν προκειμένω, οι εγγυήσεις που προβλέπονται σε σχέση με τις διαδικασίες της Επιτροπής δυνάμει του παρόντος κανονισμού θα μπορούσαν να χρησιμεύσουν ως κατάλληλο σημείο αναφοράς. Πριν από τη λήψη τελικής απόφασης θα πρέπει να εξασφαλίζεται εκ των προτέρων, δίκαιη και αμερόληπτη διαδικασία, συμπεριλαμβανομένου του δικαιώματος ακρόασης των ενδιαφερόμενων προσώπων, και του δικαιώματος πρόσβασης στον φάκελο, με παράλληλη τήρηση της εμπιστευτικότητας και του επαγγελματικού και επιχειρηματικού απορρήτου, καθώς και της υποχρέωσης παροχής ουσιαστικών λόγων για τις αποφάσεις. Αυτό, ωστόσο, δεν θα πρέπει να αποκλείει τη λήψη μέτρων, σε δεόντως τεκμηριωμένες περιπτώσεις έκτακτης ανάγκης και με την επιφύλαξη κατάλληλων όρων και διαδικαστικών </w:t>
      </w:r>
      <w:r>
        <w:rPr>
          <w:noProof/>
        </w:rPr>
        <w:lastRenderedPageBreak/>
        <w:t xml:space="preserve">ρυθμίσεων. Επιπλέον, η άσκηση των εξουσιών θα πρέπει να είναι αναλογική, μεταξύ άλλων, προς τη φύση της παράβασης ή εικαζόμενης παράβασης και τις συνολικές πραγματικές ή δυνητικές επιβλαβείς συνέπειες που προκαλούνται από αυτήν. Οι αρμόδιες αρχές θα πρέπει καταρχήν να λαμβάνουν υπόψη όλα τα σχετικά γεγονότα και τις περιστάσεις της υπόθεσης, συμπεριλαμβανομένων πληροφοριών που συλλέγονται από αρμόδιες αρχές άλλων κρατών μελών. </w:t>
      </w:r>
    </w:p>
    <w:p>
      <w:pPr>
        <w:pStyle w:val="ManualConsidrant"/>
        <w:rPr>
          <w:noProof/>
        </w:rPr>
      </w:pPr>
      <w:r>
        <w:t>(80)</w:t>
      </w:r>
      <w:r>
        <w:tab/>
      </w:r>
      <w:r>
        <w:rPr>
          <w:noProof/>
        </w:rPr>
        <w:t xml:space="preserve">Τα κράτη μέλη θα πρέπει να διασφαλίζουν ότι μπορούν να επιβληθούν κυρώσεις για παραβάσεις των υποχρεώσεων που προβλέπονται στον παρόντα κανονισμό κατά τρόπο αποτελεσματικό, αναλογικό και αποτρεπτικό, λαμβανομένης υπόψη της φύσης, της σοβαρότητας, της επανάληψης και της διάρκειας της παράβασης, με γνώμονα το δημόσιο συμφέρον που επιδιώκεται, το πεδίο και το είδος των δραστηριοτήτων που εκτελούνται, καθώς και την οικονομική δυνατότητα του παραβάτη. Ειδικότερα, οι κυρώσεις θα πρέπει να λαμβάνουν υπόψη αν ο οικείος πάροχος ενδιάμεσων υπηρεσιών δεν συμμορφώνεται συστηματικά ή κατ’ επανάληψη με τις υποχρεώσεις που υπέχει βάσει του παρόντος κανονισμού, καθώς και, κατά περίπτωση, αν ο πάροχος δραστηριοποιείται σε περισσότερα του ενός κράτη μέλη. </w:t>
      </w:r>
    </w:p>
    <w:p>
      <w:pPr>
        <w:pStyle w:val="ManualConsidrant"/>
        <w:rPr>
          <w:noProof/>
        </w:rPr>
      </w:pPr>
      <w:r>
        <w:t>(81)</w:t>
      </w:r>
      <w:r>
        <w:tab/>
      </w:r>
      <w:r>
        <w:rPr>
          <w:noProof/>
        </w:rPr>
        <w:t>Προκειμένου να διασφαλιστεί η αποτελεσματική επιβολή του παρόντος κανονισμού, φυσικά πρόσωπα ή αντιπροσωπευτικές οργανώσεις θα πρέπει να μπορούν να υποβάλουν καταγγελία σχετικά με τη συμμόρφωση με τον παρόντα κανονισμό στον συντονιστή ψηφιακών υπηρεσιών εντός του εδάφους όπου έλαβαν την υπηρεσία, με την επιφύλαξη των κανόνων του παρόντος κανονισμού σχετικά με τη δικαιοδοσία. Οι καταγγελίες θα πρέπει να παρέχουν πιστή επισκόπηση των ανησυχιών σχετικά με τη συμμόρφωση ενός συγκεκριμένου παρόχου ενδιάμεσων υπηρεσιών και θα μπορούσαν επίσης να ενημερώνουν τον συντονιστή ψηφιακών υπηρεσιών για τυχόν άλλα οριζόντια θέματα. Ο συντονιστής ψηφιακών υπηρεσιών θα πρέπει να εξασφαλίζει τη συμμετοχή άλλων εθνικών αρμόδιων αρχών, καθώς και του συντονιστή ψηφιακών υπηρεσιών άλλου κράτους μέλους, ιδίως του συντονιστή του κράτους μέλους όπου είναι εγκατεστημένος ο οικείος πάροχος ενδιάμεσων υπηρεσιών, εάν το ζήτημα απαιτεί διασυνοριακή συνεργασία.</w:t>
      </w:r>
    </w:p>
    <w:p>
      <w:pPr>
        <w:pStyle w:val="ManualConsidrant"/>
        <w:rPr>
          <w:noProof/>
        </w:rPr>
      </w:pPr>
      <w:r>
        <w:t>(82)</w:t>
      </w:r>
      <w:r>
        <w:tab/>
      </w:r>
      <w:r>
        <w:rPr>
          <w:noProof/>
        </w:rPr>
        <w:t xml:space="preserve">Τα κράτη μέλη θα πρέπει να διασφαλίζουν ότι οι συντονιστές ψηφιακών υπηρεσιών μπορούν να λάβουν μέτρα τα οποία είναι αποτελεσματικά για την αντιμετώπιση ορισμένων ιδιαίτερα σοβαρών και διαρκών παραβάσεων, καθώς και αναλογικά προς αυτές. Ιδιαίτερα όταν τα μέτρα αυτά μπορούν να θίξουν τα δικαιώματα και τα συμφέροντα τρίτων, ειδικότερα στην περίπτωση που η πρόσβαση σε επιγραμμικές διεπαφές είναι περιορισμένη, είναι σκόπιμο να απαιτείται να διατάσσονται τα μέτρα από αρμόδια δικαστική αρχή κατόπιν αιτήματος των συντονιστών ψηφιακών υπηρεσιών και να υπόκεινται σε πρόσθετες διασφαλίσεις. Ειδικότερα, σε δυνητικά θιγόμενους τρίτους θα πρέπει να παρέχεται δυνατότητα ακρόασης και οι εν λόγω εντολές θα πρέπει να εκδίδονται μόνο όταν δεν υπάρχουν ευλόγως διαθέσιμες εξουσίες για τη λήψη τέτοιων μέτρων, όπως προβλέπονται από άλλες πράξεις του ενωσιακού δικαίου ή από το εθνικό δίκαιο, με σκοπό, για παράδειγμα, την προστασία των συλλογικών συμφερόντων των καταναλωτών, τη διασφάλιση της ταχείας κατάργησης ιστοσελίδων που περιέχουν ή διαδίδουν παιδική πορνογραφία, ή την απενεργοποίηση της πρόσβασης σε υπηρεσίες που χρησιμοποιούνται από τρίτο για την παραβίαση δικαιώματος πνευματικής ιδιοκτησίας. </w:t>
      </w:r>
    </w:p>
    <w:p>
      <w:pPr>
        <w:pStyle w:val="ManualConsidrant"/>
        <w:rPr>
          <w:noProof/>
        </w:rPr>
      </w:pPr>
      <w:r>
        <w:t>(83)</w:t>
      </w:r>
      <w:r>
        <w:tab/>
      </w:r>
      <w:r>
        <w:rPr>
          <w:noProof/>
        </w:rPr>
        <w:t xml:space="preserve">Η εντολή περιορισμού της πρόσβασης δεν θα πρέπει να υπερβαίνει τα αναγκαία όρια για την επίτευξη του στόχου της. Για τον σκοπό αυτόν, θα πρέπει να είναι προσωρινή και να απευθύνεται καταρχήν σε πάροχο ενδιάμεσων υπηρεσιών, όπως ο οικείος πάροχος υπηρεσιών φιλοξενίας, σε πάροχο υπηρεσιών διαδικτύου ή μητρώο ή </w:t>
      </w:r>
      <w:r>
        <w:rPr>
          <w:noProof/>
        </w:rPr>
        <w:lastRenderedPageBreak/>
        <w:t>υπεύθυνο τήρησης μητρώου ονομάτων τομέα, που είναι σε εύλογη θέση να επιτύχει τον στόχο αυτόν χωρίς αδικαιολόγητο περιορισμό της πρόσβασης σε νόμιμες πληροφορίες.</w:t>
      </w:r>
    </w:p>
    <w:p>
      <w:pPr>
        <w:pStyle w:val="ManualConsidrant"/>
        <w:rPr>
          <w:noProof/>
        </w:rPr>
      </w:pPr>
      <w:r>
        <w:t>(84)</w:t>
      </w:r>
      <w:r>
        <w:tab/>
      </w:r>
      <w:r>
        <w:rPr>
          <w:noProof/>
        </w:rPr>
        <w:t>Ο συντονιστής ψηφιακών υπηρεσιών θα πρέπει να δημοσιεύει τακτικά έκθεση σχετικά με τις δραστηριότητες που εκτελούνται βάσει του παρόντος κανονισμού. Δεδομένου ότι ο συντονιστής ψηφιακών υπηρεσιών ενημερώνεται επίσης για εντολές ανάληψης δράσης κατά παράνομου περιεχομένου ή παροχής πληροφοριών που ρυθμίζονται από τον παρόντα κανονισμό μέσω του κοινού συστήματος ανταλλαγής πληροφοριών, ο συντονιστής ψηφιακών υπηρεσιών θα πρέπει να περιλαμβάνει στην ετήσια έκθεσή του τον αριθμό και τις κατηγορίες αυτών των εντολών που απευθύνονται σε παρόχους ενδιάμεσων υπηρεσιών και εκδίδονται από δικαστικές και διοικητικές αρχές στο οικείο κράτος μέλος.</w:t>
      </w:r>
    </w:p>
    <w:p>
      <w:pPr>
        <w:pStyle w:val="ManualConsidrant"/>
        <w:rPr>
          <w:noProof/>
        </w:rPr>
      </w:pPr>
      <w:r>
        <w:t>(85)</w:t>
      </w:r>
      <w:r>
        <w:tab/>
      </w:r>
      <w:r>
        <w:rPr>
          <w:noProof/>
        </w:rPr>
        <w:t>Όταν ένας συντονιστής ψηφιακών υπηρεσιών ζητεί από άλλον συντονιστή ψηφιακών υπηρεσιών να αναλάβει δράση, ο αιτών συντονιστής ψηφιακών υπηρεσιών, ή το συμβούλιο σε περίπτωση που εξέδωσε σύσταση για αξιολόγηση ζητημάτων που αφορούν περισσότερα από τρία κράτη μέλη, θα πρέπει να μπορεί να παραπέμψει το ζήτημα στην Επιτροπή σε περίπτωση διαφωνίας όσον αφορά τις αξιολογήσεις ή τα μέτρα που λήφθηκαν ή προτάθηκαν, ή τη μη λήψη μέτρων. Αντίστοιχα, η Επιτροπή, βάσει των πληροφοριών που παρέχονται από τις οικείες αρχές, θα πρέπει να είναι σε θέση να ζητήσει από τον αρμόδιο συντονιστή ψηφιακών υπηρεσιών να επαναξιολογήσει το ζήτημα και να λάβει τα αναγκαία μέτρα για τη διασφάλιση της συμμόρφωσης εντός καθορισμένου χρονικού διαστήματος. Η δυνατότητα αυτή παρέχεται με την επιφύλαξη του γενικού καθήκοντος της Επιτροπής να εποπτεύει την εφαρμογή και, όπου χρειάζεται, να επιβάλλει το ενωσιακό δίκαιο υπό τον έλεγχο του Δικαστηρίου της Ευρωπαϊκής Ένωσης σύμφωνα με τις Συνθήκες. Η μη λήψη μέτρων από τον συντονιστή ψηφιακών υπηρεσιών της χώρας εγκατάστασης, κατόπιν σχετικού αιτήματος, μπορεί επίσης να οδηγήσει σε παρέμβαση της Επιτροπής βάσει του κεφαλαίου IV τμήμα 3 του παρόντος κανονισμού, σε περίπτωση που ο εικαζόμενος παραβάτης είναι πολύ μεγάλη επιγραμμική πλατφόρμα.</w:t>
      </w:r>
    </w:p>
    <w:p>
      <w:pPr>
        <w:pStyle w:val="ManualConsidrant"/>
        <w:rPr>
          <w:noProof/>
        </w:rPr>
      </w:pPr>
      <w:r>
        <w:t>(86)</w:t>
      </w:r>
      <w:r>
        <w:tab/>
      </w:r>
      <w:r>
        <w:rPr>
          <w:noProof/>
        </w:rPr>
        <w:t xml:space="preserve">Προκειμένου να διευκολυνθεί η διασυνοριακή επίβλεψη και οι έρευνες που αφορούν περισσότερα του ενός κράτη μέλη, οι συντονιστές ψηφιακών υπηρεσιών θα πρέπει να μπορούν να συμμετέχουν, σε μόνιμη ή προσωρινή βάση, σε κοινές δραστηριότητες εποπτείας και έρευνας σχετικά με ζητήματα που καλύπτονται από τον παρόντα κανονισμό. Στις δραστηριότητες αυτές μπορούν να συμμετέχουν και άλλες αρμόδιες αρχές και να καλύπτονται διάφορα ζητήματα, από συντονισμένες διαδικασίες συλλογής δεδομένων μέχρι αιτήματα παροχής πληροφοριών ή επιθεωρήσεων εγκαταστάσεων, εντός των ορίων και των εξουσιών κάθε συμμετέχουσας αρχής. Μπορεί να ζητηθεί από το συμβούλιο η παροχή συμβουλών σχετικά με αυτές τις δραστηριότητες, για παράδειγμα, με την υποβολή προτάσεων σχετικά με χάρτες πορείας και χρονοδιαγράμματα για τις δραστηριότητες, είτε προτάσεων σχετικά με ad hoc ομάδες δράσης με τη συμμετοχή των εμπλεκόμενων αρχών. </w:t>
      </w:r>
    </w:p>
    <w:p>
      <w:pPr>
        <w:pStyle w:val="ManualConsidrant"/>
        <w:rPr>
          <w:noProof/>
        </w:rPr>
      </w:pPr>
      <w:r>
        <w:t>(87)</w:t>
      </w:r>
      <w:r>
        <w:tab/>
      </w:r>
      <w:r>
        <w:rPr>
          <w:noProof/>
        </w:rPr>
        <w:t xml:space="preserve">Λόγω των ιδιαίτερων προκλήσεων που μπορεί να προκύψουν σε σχέση με την αξιολόγηση και τη διασφάλιση της συμμόρφωσης μιας πολύ μεγάλης επιγραμμικής πλατφόρμας, για παράδειγμα, όσον αφορά την κλίμακα ή την πολυπλοκότητα εικαζόμενης παράβασης ή την ανάγκη ιδιαίτερης εμπειρογνωσίας ή ικανοτήτων σε ενωσιακό επίπεδο, οι συντονιστές ψηφιακών υπηρεσιών θα πρέπει να έχουν τη δυνατότητα να ζητήσουν, σε προαιρετική βάση, από την Επιτροπή να παρέμβει και να ασκήσει τις εξουσίες έρευνας και επιβολής που της αναλογούν βάσει του παρόντος κανονισμού. </w:t>
      </w:r>
    </w:p>
    <w:p>
      <w:pPr>
        <w:pStyle w:val="ManualConsidrant"/>
        <w:rPr>
          <w:noProof/>
        </w:rPr>
      </w:pPr>
      <w:r>
        <w:lastRenderedPageBreak/>
        <w:t>(88)</w:t>
      </w:r>
      <w:r>
        <w:tab/>
      </w:r>
      <w:r>
        <w:rPr>
          <w:noProof/>
        </w:rPr>
        <w:t xml:space="preserve">Προκειμένου να διασφαλιστεί η συνεπής εφαρμογή του παρόντος κανονισμού, είναι απαραίτητο να συγκροτηθεί ανεξάρτητη συμβουλευτική ομάδα σε ενωσιακό επίπεδο, η οποία θα πρέπει να υποστηρίζει την Επιτροπή και να συμβάλλει στον συντονισμό των ενεργειών των συντονιστών ψηφιακών υπηρεσιών. Το ευρωπαϊκό συμβούλιο ψηφιακών υπηρεσιών θα πρέπει να απαρτίζεται από τους συντονιστές ψηφιακών υπηρεσιών, χωρίς να θίγεται η δυνατότητας των εν λόγω συντονιστών να προσκαλούν στις συνεδριάσεις του ή να ορίζουν ad hoc εκπροσώπους από άλλες αρμόδιες αρχές στις οποίες έχουν ανατεθεί ειδικά καθήκοντα βάσει του παρόντος κανονισμού, όπου αυτό απαιτείται σύμφωνα με την οικεία εθνική κατανομή καθηκόντων και αρμοδιοτήτων. Σε περίπτωση πολλαπλών συμμετεχόντων από ένα κράτος μέλος, το δικαίωμα ψήφου θα πρέπει να περιορίζεται σε έναν εκπρόσωπο ανά κράτος μέλος. </w:t>
      </w:r>
    </w:p>
    <w:p>
      <w:pPr>
        <w:pStyle w:val="ManualConsidrant"/>
        <w:rPr>
          <w:noProof/>
        </w:rPr>
      </w:pPr>
      <w:r>
        <w:t>(89)</w:t>
      </w:r>
      <w:r>
        <w:tab/>
      </w:r>
      <w:r>
        <w:rPr>
          <w:noProof/>
        </w:rPr>
        <w:t>Το συμβούλιο θα πρέπει να συμβάλλει στην επίτευξη μιας κοινής ενωσιακής αντίληψης όσον αφορά τη συνεπή εφαρμογή του παρόντος κανονισμού και στη συνεργασία μεταξύ των αρμόδιων αρχών, μεταξύ άλλων, παρέχοντας συμβουλές στην Επιτροπή και στους συντονιστές ψηφιακών υπηρεσιών σχετικά με κατάλληλα μέτρα έρευνας και επιβολής, ιδίως έναντι των πολύ μεγάλων επιγραμμικών πλατφορμών. Το συμβούλιο θα πρέπει επίσης να συμβάλλει στην εκπόνηση σχετικών προτύπων και κωδίκων δεοντολογίας και να αναλύει αναδυόμενες γενικές τάσεις στην ανάπτυξη των ψηφιακών υπηρεσιών στην Ένωση.</w:t>
      </w:r>
    </w:p>
    <w:p>
      <w:pPr>
        <w:pStyle w:val="ManualConsidrant"/>
        <w:rPr>
          <w:noProof/>
        </w:rPr>
      </w:pPr>
      <w:r>
        <w:t>(90)</w:t>
      </w:r>
      <w:r>
        <w:tab/>
      </w:r>
      <w:r>
        <w:rPr>
          <w:noProof/>
        </w:rPr>
        <w:t xml:space="preserve">Για τον σκοπό αυτόν, το συμβούλιο θα πρέπει να μπορεί να εκδίδει γνώμες, αιτήματα και συστάσεις προς τους συντονιστές ψηφιακών υπηρεσιών ή άλλες αρμόδιες εθνικές αρχές. Παρότι τα ανωτέρω δεν είναι νομικά δεσμευτικά, η απόφαση απόκλισης από αυτά θα πρέπει να αιτιολογείται δεόντως και θα μπορούσε να λαμβάνεται υπόψη από την Επιτροπή κατά την αξιολόγηση της συμμόρφωσης του οικείου κράτους μέλους με τον παρόντα κανονισμό. </w:t>
      </w:r>
    </w:p>
    <w:p>
      <w:pPr>
        <w:pStyle w:val="ManualConsidrant"/>
        <w:rPr>
          <w:noProof/>
        </w:rPr>
      </w:pPr>
      <w:r>
        <w:t>(91)</w:t>
      </w:r>
      <w:r>
        <w:tab/>
      </w:r>
      <w:r>
        <w:rPr>
          <w:noProof/>
        </w:rPr>
        <w:t>Το συμβούλιο θα πρέπει να φέρνει σε επαφή τους εκπροσώπους των συντονιστών ψηφιακών υπηρεσιών και άλλων πιθανών αρμόδιων αρχών υπό την προεδρία της Επιτροπής, με σκοπό τη διασφάλιση της αξιολόγησης των ζητημάτων που υποβάλλονται σε αυτό στο πλαίσιο μιας πλήρως ευρωπαϊκής διάστασης. Ενόψει πιθανών οριζόντιων στοιχείων που ενδέχεται να είναι σημαντικά για άλλα ρυθμιστικά πλαίσια σε ενωσιακό επίπεδο, θα πρέπει να επιτρέπεται στο συμβούλιο να συνεργάζεται με άλλα όργανα, οργανισμούς, υπηρεσίες και συμβουλευτικές ομάδες της Ένωσης με αρμοδιότητες σε τομείς όπως η ισότητα, συμπεριλαμβανομένης της ισότητας μεταξύ ανδρών και γυναικών, και η απαγόρευση των διακρίσεων, η προστασία δεδομένων, οι ηλεκτρονικές επικοινωνίες, οι οπτικοακουστικές υπηρεσίες, η ανίχνευση και η διερεύνηση περιπτώσεων απάτης σε βάρος του προϋπολογισμού της Ένωσης όσον αφορά τελωνειακούς δασμούς, ή η προστασία των καταναλωτών, στο μέτρο που η συνεργασία αυτή είναι απαραίτητη για την εκπλήρωση των καθηκόντων του.</w:t>
      </w:r>
    </w:p>
    <w:p>
      <w:pPr>
        <w:pStyle w:val="ManualConsidrant"/>
        <w:rPr>
          <w:noProof/>
        </w:rPr>
      </w:pPr>
      <w:r>
        <w:t>(92)</w:t>
      </w:r>
      <w:r>
        <w:tab/>
      </w:r>
      <w:r>
        <w:rPr>
          <w:noProof/>
        </w:rPr>
        <w:t xml:space="preserve">Η Επιτροπή, μέσω του προεδρεύοντα, θα πρέπει να συμμετέχει στο συμβούλιο χωρίς δικαιώματα ψήφου. Μέσω του προεδρεύοντα, η Επιτροπή θα πρέπει να διασφαλίζει ότι η ημερήσια διάταξη των συνεδριάσεων καθορίζεται σύμφωνα με τα αιτήματα των μελών του συμβουλίου όπως προβλέπεται στον εσωτερικό κανονισμό και σύμφωνα τα καθήκοντα του συμβουλίου που προβλέπονται στον παρόντα κανονισμό. </w:t>
      </w:r>
    </w:p>
    <w:p>
      <w:pPr>
        <w:pStyle w:val="ManualConsidrant"/>
        <w:rPr>
          <w:noProof/>
        </w:rPr>
      </w:pPr>
      <w:r>
        <w:t>(93)</w:t>
      </w:r>
      <w:r>
        <w:tab/>
      </w:r>
      <w:r>
        <w:rPr>
          <w:noProof/>
        </w:rPr>
        <w:t xml:space="preserve">Λαμβανομένης υπόψη της ανάγκης διασφάλισης υποστήριξης για τις δραστηριότητες του συμβουλίου, το συμβούλιο θα πρέπει να μπορεί να βασιστεί στην εμπειρογνωσία και στους ανθρώπινους πόρους της Επιτροπής, καθώς και των αρμόδιων εθνικών αρχών. Οι συγκεκριμένες λειτουργικές ρυθμίσεις για την εσωτερική λειτουργία του </w:t>
      </w:r>
      <w:r>
        <w:rPr>
          <w:noProof/>
        </w:rPr>
        <w:lastRenderedPageBreak/>
        <w:t xml:space="preserve">συμβουλίου θα πρέπει να προσδιορίζονται περαιτέρω στον εσωτερικό κανονισμό του συμβουλίου. </w:t>
      </w:r>
    </w:p>
    <w:p>
      <w:pPr>
        <w:pStyle w:val="ManualConsidrant"/>
        <w:rPr>
          <w:noProof/>
        </w:rPr>
      </w:pPr>
      <w:r>
        <w:t>(94)</w:t>
      </w:r>
      <w:r>
        <w:tab/>
      </w:r>
      <w:r>
        <w:rPr>
          <w:noProof/>
        </w:rPr>
        <w:t xml:space="preserve">Δεδομένης της σημασίας των πολύ μεγάλων επιγραμμικών πλατφορμών, λόγω της εμβέλειας και του αντίκτυπού τους, η μη συμμόρφωσή τους με τις ειδικές εφαρμοστέες σε αυτές υποχρεώσεις μπορεί να επηρεάσει σημαντικό αριθμό αποδεκτών των υπηρεσιών σε διάφορα κράτη μέλη και μπορεί να έχει σημαντικές επιβλαβείς κοινωνικές συνέπειες, ενώ παράλληλα ενδέχεται να είναι ιδιαίτερα πολύπλοκος ο εντοπισμός και η αντιμετώπιση της εν λόγω μη συμμόρφωσης. </w:t>
      </w:r>
    </w:p>
    <w:p>
      <w:pPr>
        <w:pStyle w:val="ManualConsidrant"/>
        <w:rPr>
          <w:noProof/>
        </w:rPr>
      </w:pPr>
      <w:r>
        <w:t>(95)</w:t>
      </w:r>
      <w:r>
        <w:tab/>
      </w:r>
      <w:r>
        <w:rPr>
          <w:noProof/>
        </w:rPr>
        <w:t xml:space="preserve">Προκειμένου να αντιμετωπιστούν αυτά τα ζητήματα δημόσιας πολιτικής, είναι ως εκ τούτου αναγκαίο να προβλεφθεί ένα κοινό σύστημα ενισχυμένης επίβλεψης και επιβολής σε ενωσιακό επίπεδο. Όταν εντοπίζεται παράβαση μίας από τις διατάξεις που εφαρμόζονται μόνο στις πολύ μεγάλες επιγραμμικές πλατφόρμες, για παράδειγμα, στο πλαίσιο χωριστών ή κοινών ερευνών, ελέγχων ή καταγγελιών, ο συντονιστής ψηφιακών υπηρεσιών της χώρας εγκατάστασης, με δική του πρωτοβουλία ή κατόπιν συμβουλής του συμβουλίου, θα πρέπει να παρακολουθεί κάθε επακόλουθο μέτρο που λαμβάνεται από την οικεία πολύ μεγάλη επιγραμμική πλατφόρμα όπως καθορίζεται στο σχέδιο δράσης της. Ο συντονιστής ψηφιακών υπηρεσιών θα πρέπει να μπορεί να ζητήσει, κατά περίπτωση, τη διενέργεια πρόσθετου, ειδικού ελέγχου, σε προαιρετική βάση, προκειμένου να διαπιστωθεί αν τα μέτρα αυτά επαρκούν για την αντιμετώπιση της παράβασης. Μετά το πέρας αυτής της διαδικασίας, θα πρέπει να ενημερώνει το συμβούλιο, την Επιτροπή και την οικεία πλατφόρμα σχετικά με τις απόψεις τους ως προς το αν η πλατφόρμα αντιμετώπισε ή όχι την παράβαση, προσδιορίζοντας ειδικότερα τη σχετική συμπεριφορά και την εκ μέρους του αξιολόγηση τυχόν ληφθέντων μέτρων. Ο συντονιστής ψηφιακών υπηρεσιών θα πρέπει να επιτελεί τον ρόλο του στο πλαίσιο του κοινού αυτού συστήματος με έγκαιρο τρόπο και λαμβάνοντας ιδιαιτέρως υπόψη κάθε γνώμη και άλλη συμβουλή του συμβουλίου. </w:t>
      </w:r>
    </w:p>
    <w:p>
      <w:pPr>
        <w:pStyle w:val="ManualConsidrant"/>
        <w:rPr>
          <w:noProof/>
        </w:rPr>
      </w:pPr>
      <w:r>
        <w:t>(96)</w:t>
      </w:r>
      <w:r>
        <w:tab/>
      </w:r>
      <w:r>
        <w:rPr>
          <w:noProof/>
        </w:rPr>
        <w:t xml:space="preserve">Εάν η παράβαση της διάταξης που εφαρμόζεται μόνο στις πολύ μεγάλες επιγραμμικές πλατφόρμες δεν αντιμετωπιστεί αποτελεσματικά από την πλατφόρμα σύμφωνα με το σχέδιο δράσης, μόνο η Επιτροπή, και όχι ο συντονιστής ψηφιακών υπηρεσιών της χώρας εγκατάστασης, μπορεί, με δική της πρωτοβουλία ή κατόπιν συμβουλής του συμβουλίου, να αποφασίσει να διερευνήσει περαιτέρω τη σχετική παράβαση και τα μέτρα τα οποία έλαβε στη συνέχεια η πλατφόρμα. Αφού διενεργήσει τις αναγκαίες έρευνες, η Επιτροπή θα πρέπει να είναι σε θέση να εκδώσει αποφάσεις με τις οποίες διαπιστώνεται παράβαση και επιβάλλονται κυρώσεις σε πολύ μεγάλες επιγραμμικές πλατφόρμες, όπου αυτό είναι αιτιολογημένο. Θα πρέπει επίσης να έχει τη δυνατότητα να παρεμβαίνει σε περιπτώσεις διασυνοριακού χαρακτήρα στις οποίες ο συντονιστής ψηφιακών υπηρεσιών της χώρας εγκατάστασης δεν έλαβε κανένα μέτρο παρά το αίτημα της Επιτροπής ή σε περιπτώσεις στις οποίες ο συντονιστής ψηφιακών υπηρεσιών της χώρας εγκατάστασης ζήτησε ο ίδιος από την Επιτροπή να παρέμβει σχετικά με παράβαση οποιασδήποτε άλλης διάταξης του παρόντος κανονισμού, η οποία διαπράχθηκε από πολύ μεγάλη επιγραμμική πλατφόρμα. </w:t>
      </w:r>
    </w:p>
    <w:p>
      <w:pPr>
        <w:pStyle w:val="ManualConsidrant"/>
        <w:rPr>
          <w:noProof/>
        </w:rPr>
      </w:pPr>
      <w:r>
        <w:t>(97)</w:t>
      </w:r>
      <w:r>
        <w:tab/>
      </w:r>
      <w:r>
        <w:rPr>
          <w:noProof/>
        </w:rPr>
        <w:t>Η Επιτροπή θα πρέπει να είναι ελεύθερη να αποφασίζει αν επιθυμεί ή όχι να παρέμβει σε οποιαδήποτε από τις περιπτώσεις για τις οποίες της έχουν ανατεθεί αρμοδιότητες βάσει του παρόντος κανονισμού. Αφού η Επιτροπή κινήσει τη διαδικασία, θα πρέπει να αποκλείεται η άσκηση των εξουσιών έρευνας και επιβολής από τους οικείους συντονιστές ψηφιακών υπηρεσιών της εγκατάστασης όσον αφορά τη σχετική συμπεριφορά της υπό εξέταση πολύ μεγάλης επιγραμμικής πλατφόρμας, προκειμένου να αποφεύγονται οι αλληλεπικαλύψεις, οι ασυνέπειες και οι κίνδυνοι από την άποψη της αρχής ne bis in idem.</w:t>
      </w:r>
      <w:r>
        <w:rPr>
          <w:i/>
          <w:iCs/>
          <w:noProof/>
        </w:rPr>
        <w:t xml:space="preserve"> </w:t>
      </w:r>
      <w:r>
        <w:rPr>
          <w:noProof/>
        </w:rPr>
        <w:t xml:space="preserve">Ωστόσο, για λόγους αποτελεσματικότητας, οι εν λόγω </w:t>
      </w:r>
      <w:r>
        <w:rPr>
          <w:noProof/>
        </w:rPr>
        <w:lastRenderedPageBreak/>
        <w:t xml:space="preserve">συντονιστές ψηφιακών υπηρεσιών δεν θα πρέπει να εμποδίζονται να ασκούν τις εξουσίες τους είτε για να συνδράμουν την Επιτροπή, κατόπιν αιτήματός της στο πλαίσιο της εκτέλεσης των καθηκόντων επίβλεψής της, είτε όσον αφορά άλλη συμπεριφορά, συμπεριλαμβανομένης της συμπεριφοράς της ίδιας πολύ μεγάλης επιγραμμικής πλατφόρμας για την οποία υπάρχει υπόνοια νέας παράβασης. Οι εν λόγω συντονιστές ψηφιακών υπηρεσιών, καθώς και το συμβούλιο και άλλοι συντονιστές ψηφιακών υπηρεσιών, κατά περίπτωση, θα πρέπει να παρέχουν στην Επιτροπή κάθε απαραίτητη πληροφορία και συνδρομή, ώστε να μπορεί να εκτελεί τα καθήκοντά της αποτελεσματικά, ενώ, αντιστρόφως, η Επιτροπή θα πρέπει να τους τηρεί ενήμερους σχετικά με την άσκηση των εξουσιών της όπως αρμόζει. Στο πλαίσιο αυτό, η Επιτροπή θα πρέπει, κατά περίπτωση, να λαμβάνει υπόψη κάθε σχετική αξιολόγηση που διενεργείται από το συμβούλιο ή τους οικείους συντονιστές ψηφιακών υπηρεσιών, καθώς και κάθε σχετικό αποδεικτικό στοιχείο και πληροφορία που συλλέγεται από αυτούς, με την επιφύλαξη των εξουσιών και της αρμοδιότητας της Επιτροπής να διενεργεί πρόσθετες έρευνες εφόσον χρειάζεται. </w:t>
      </w:r>
    </w:p>
    <w:p>
      <w:pPr>
        <w:pStyle w:val="ManualConsidrant"/>
        <w:rPr>
          <w:noProof/>
        </w:rPr>
      </w:pPr>
      <w:r>
        <w:t>(98)</w:t>
      </w:r>
      <w:r>
        <w:tab/>
      </w:r>
      <w:r>
        <w:rPr>
          <w:noProof/>
        </w:rPr>
        <w:t>Δεδομένων τόσο των ιδιαίτερων προκλήσεων που μπορεί να προκύψουν στο πλαίσιο της προσπάθειας διασφάλισης της συμμόρφωσης από τις πολύ μεγάλες επιγραμμικές πλατφόρμες, όσο και της σημασίας της αποτελεσματικότητας των ενεργειών για τον σκοπό αυτόν, και λαμβανομένου υπόψη του μεγέθους και του αντίκτυπού τους, καθώς και των επιβλαβών συνεπειών τους, η Επιτροπή θα πρέπει να διαθέτει ισχυρές εξουσίες έρευνας και επιβολής ώστε να μπορεί να διερευνά, να επιβάλλει και να παρακολουθεί ορισμένους από τους κανόνες που προβλέπονται στον παρόντα κανονισμό, με πλήρη σεβασμό της αρχής της αναλογικότητας και των δικαιωμάτων και συμφερόντων των θιγόμενων μερών.</w:t>
      </w:r>
    </w:p>
    <w:p>
      <w:pPr>
        <w:pStyle w:val="ManualConsidrant"/>
        <w:rPr>
          <w:noProof/>
        </w:rPr>
      </w:pPr>
      <w:r>
        <w:t>(99)</w:t>
      </w:r>
      <w:r>
        <w:tab/>
      </w:r>
      <w:r>
        <w:rPr>
          <w:noProof/>
        </w:rPr>
        <w:t>Ειδικότερα, η Επιτροπή θα πρέπει να έχει πρόσβαση σε όλα τα σχετικά έγγραφα, δεδομένα και πληροφορίες που απαιτούνται για την κίνηση και τη διεξαγωγή ερευνών και για την παρακολούθηση της συμμόρφωσης με τις σχετικές υποχρεώσεις που προβλέπονται στον παρόντα κανονισμό, ανεξάρτητα από τον κάτοχο των εν λόγω εγγράφων, δεδομένων και πληροφοριών, καθώς και από τη μορφή ή τον μορφότυπό τους, το μέσο αποθήκευσής τους ή τον ακριβή τόπο όπου είναι αποθηκευμένα. Η Επιτροπή θα πρέπει να μπορεί να ζητεί απευθείας από την οικεία πολύ μεγάλη επιγραμμική πλατφόρμα ή σχετικούς τρίτους, ή άλλα πρόσωπα, να παράσχουν κάθε σχετικό αποδεικτικό στοιχείο, δεδομένο και πληροφορία. Επιπλέον, η Επιτροπή θα πρέπει να μπορεί να ζητεί κάθε σχετική πληροφορία από οποιαδήποτε δημόσια αρχή, φορέα ή οργανισμό του κράτους μέλους, ή από κάθε φυσικό ή νομικό πρόσωπο για τους σκοπούς του παρόντος κανονισμού. Η Επιτροπή θα πρέπει να εξουσιοδοτηθεί να απαιτεί πρόσβαση σε βάσεις δεδομένων και αλγορίθμους αρμόδιων προσώπων, καθώς και σχετικές εξηγήσεις, και να καλεί σε συνέντευξη, με τη συγκατάθεσή του, οποιοδήποτε πρόσωπο το οποίο διαθέτει ενδεχομένως χρήσιμες πληροφορίες και να καταγράφει τις δηλώσεις του. Η Επιτροπή θα πρέπει επίσης να εξουσιοδοτηθεί να προβαίνει σε κάθε αναγκαία επιθεώρηση για την επιβολή των σχετικών διατάξεων του παρόντος κανονισμού. Σκοπός αυτών των εξουσιών έρευνας είναι να συμπληρώνουν τη δυνατότητα της Επιτροπής να ζητεί συνδρομή από τους συντονιστές ψηφιακών υπηρεσιών και άλλες αρχές των κρατών μελών, για παράδειγμα, με την παροχή πληροφοριών ή κατά την άσκηση των ανωτέρω εξουσιών.</w:t>
      </w:r>
    </w:p>
    <w:p>
      <w:pPr>
        <w:pStyle w:val="ManualConsidrant"/>
        <w:rPr>
          <w:noProof/>
        </w:rPr>
      </w:pPr>
      <w:r>
        <w:t>(100)</w:t>
      </w:r>
      <w:r>
        <w:tab/>
      </w:r>
      <w:r>
        <w:rPr>
          <w:noProof/>
        </w:rPr>
        <w:t xml:space="preserve">Η συμμόρφωση με τις σχετικές υποχρεώσεις που επιβάλλονται βάσει του παρόντος κανονισμού θα πρέπει να μπορεί να επιβληθεί μέσω προστίμων και περιοδικών χρηματικών ποινών. Για τον σκοπό αυτόν, θα πρέπει επίσης να προβλεφθούν κατάλληλα επίπεδα προστίμων και περιοδικών χρηματικών ποινών λόγω μη </w:t>
      </w:r>
      <w:r>
        <w:rPr>
          <w:noProof/>
        </w:rPr>
        <w:lastRenderedPageBreak/>
        <w:t>συμμόρφωσης με τις υποχρεώσεις και παράβασης των διαδικαστικών κανόνων, τα οποία θα υπόκεινται σε κατάλληλες προθεσμίες παραγραφής.</w:t>
      </w:r>
    </w:p>
    <w:p>
      <w:pPr>
        <w:pStyle w:val="ManualConsidrant"/>
        <w:rPr>
          <w:noProof/>
        </w:rPr>
      </w:pPr>
      <w:r>
        <w:t>(101)</w:t>
      </w:r>
      <w:r>
        <w:tab/>
      </w:r>
      <w:r>
        <w:rPr>
          <w:noProof/>
        </w:rPr>
        <w:t xml:space="preserve">Στις οικείες πολύ μεγάλες επιγραμμικές πλατφόρμες και σε άλλα πρόσωπα που υπόκεινται στην άσκηση των εξουσιών της Επιτροπής και των οποίων τα συμφέροντα μπορεί να επηρεάζονται από μια απόφαση θα πρέπει να παρέχεται η ευκαιρία να διατυπώνουν τις παρατηρήσεις τους πριν από την έκδοση αυτής και να δίδεται ευρεία δημοσιότητα στις εκδιδόμενες αποφάσεις. Είναι επιβεβλημένη η προστασία των εμπιστευτικών πληροφοριών, χωρίς όμως να θίγονται τα δικαιώματα υπεράσπισης των ενδιαφερόμενων μερών, και ιδίως το δικαίωμα πρόσβασης στον φάκελο της υπόθεσης. Επιπλέον, στο πλαίσιο τήρησης της εμπιστευτικότητας των πληροφοριών, η Επιτροπή θα πρέπει να διασφαλίζει τη γνωστοποίηση κάθε πληροφορίας στην οποία βασίζεται για την έκδοση της απόφασής της στον βαθμό που επιτρέπει στον αποδέκτη της απόφασης να κατανοήσει τα γεγονότα και τις παραμέτρους που οδήγησαν στην απόφαση. </w:t>
      </w:r>
    </w:p>
    <w:p>
      <w:pPr>
        <w:pStyle w:val="ManualConsidrant"/>
        <w:rPr>
          <w:noProof/>
        </w:rPr>
      </w:pPr>
      <w:r>
        <w:t>(102)</w:t>
      </w:r>
      <w:r>
        <w:tab/>
      </w:r>
      <w:r>
        <w:rPr>
          <w:noProof/>
        </w:rPr>
        <w:t xml:space="preserve">Για λόγους αποτελεσματικότητας και αποδοτικότητας, επιπλέον της γενικής αξιολόγησης του κανονισμού, η οποία πρέπει να πραγματοποιηθεί εντός πέντε ετών από την έναρξη ισχύος του, μετά την αρχική φάση εκκίνησης και βάσει των τριών πρώτων ετών εφαρμογής του παρόντος κανονισμού, η Επιτροπή θα πρέπει να διενεργήσει επίσης αξιολόγηση των δραστηριοτήτων του συμβουλίου και της δομής του. </w:t>
      </w:r>
    </w:p>
    <w:p>
      <w:pPr>
        <w:pStyle w:val="ManualConsidrant"/>
        <w:rPr>
          <w:noProof/>
        </w:rPr>
      </w:pPr>
      <w:r>
        <w:t>(103)</w:t>
      </w:r>
      <w:r>
        <w:tab/>
      </w:r>
      <w:r>
        <w:rPr>
          <w:noProof/>
        </w:rPr>
        <w:t>Προκειμένου να εξασφαλισθούν ενιαίες προϋποθέσεις για την εκτέλεση του παρόντος κανονισμού, θα πρέπει να ανατεθούν στην Επιτροπή εκτελεστικές αρμοδιότητες. Οι εν λόγω αρμοδιότητες θα πρέπει να ασκούνται σύμφωνα με τον κανονισμό (ΕΕ) αριθ. 182/2011 του Ευρωπαϊκού Κοινοβουλίου και του Συμβουλίου</w:t>
      </w:r>
      <w:r>
        <w:rPr>
          <w:rStyle w:val="FootnoteReference"/>
          <w:noProof/>
        </w:rPr>
        <w:footnoteReference w:id="50"/>
      </w:r>
      <w:r>
        <w:rPr>
          <w:noProof/>
        </w:rPr>
        <w:t>.</w:t>
      </w:r>
    </w:p>
    <w:p>
      <w:pPr>
        <w:pStyle w:val="ManualConsidrant"/>
        <w:rPr>
          <w:noProof/>
        </w:rPr>
      </w:pPr>
      <w:r>
        <w:t>(104)</w:t>
      </w:r>
      <w:r>
        <w:tab/>
      </w:r>
      <w:r>
        <w:rPr>
          <w:noProof/>
        </w:rPr>
        <w:t>Για να επιτευχθούν οι στόχοι του παρόντος κανονισμού, θα πρέπει να ανατεθεί στην Επιτροπή η εξουσία έκδοσης πράξεων σύμφωνα με το άρθρο 290 της Συνθήκης, ώστε να συμπληρώνει τον παρόντα κανονισμό. Ειδικότερα, θα πρέπει να εκδοθούν κατ’ εξουσιοδότηση πράξεις σχετικά με κριτήρια για τον προσδιορισμό των πολύ μεγάλων επιγραμμικών πλατφορμών και των τεχνικών προδιαγραφών των αιτημάτων πρόσβασης. Είναι ιδιαίτερα σημαντικό να διενεργεί η Επιτροπή κατάλληλες διαβουλεύσεις και οι εν λόγω διαβουλεύσεις να διενεργούνται σύμφωνα με τις αρχές που προβλέπονται στη διοργανική συμφωνία για τη βελτίωση της νομοθεσίας της 13ης Απριλίου 2016. Πιο συγκεκριμένα, προκειμένου να εξασφαλιστεί η ίση συμμετοχή στην προετοιμασία των κατ’ εξουσιοδότηση πράξεων, το Ευρωπαϊκό Κοινοβούλιο και το Συμβούλιο λαμβάνουν όλα τα έγγραφα κατά τον ίδιο χρόνο με τους εμπειρογνώμονες των κρατών μελών, και οι εμπειρογνώμονές τους έχουν συστηματικά πρόσβαση στις συνεδριάσεις των ομάδων εμπειρογνωμόνων της Επιτροπής που ασχολούνται με την προετοιμασία κατ’ εξουσιοδότηση πράξεων.</w:t>
      </w:r>
    </w:p>
    <w:p>
      <w:pPr>
        <w:pStyle w:val="ManualConsidrant"/>
        <w:rPr>
          <w:noProof/>
        </w:rPr>
      </w:pPr>
      <w:r>
        <w:t>(105)</w:t>
      </w:r>
      <w:r>
        <w:tab/>
      </w:r>
      <w:r>
        <w:rPr>
          <w:noProof/>
        </w:rPr>
        <w:t xml:space="preserve">Ο παρών κανονισμός σέβεται τα θεμελιώδη δικαιώματα που αναγνωρίζονται από τον Χάρτη και τα θεμελιώδη δικαιώματα που αποτελούν γενικές αρχές του ενωσιακού δικαίου. Συνεπώς, ο παρών κανονισμός θα πρέπει να ερμηνεύεται και να εφαρμόζεται, σύμφωνα με αυτά τα θεμελιώδη δικαιώματα, περιλαμβανομένης της ελευθερίας έκφρασης και πληροφόρησης, καθώς και της ελευθερίας και του πλουραλισμού των μέσων ενημέρωσης. Κατά την άσκηση των εξουσιών που καθορίζονται στον παρόντα </w:t>
      </w:r>
      <w:r>
        <w:rPr>
          <w:noProof/>
        </w:rPr>
        <w:lastRenderedPageBreak/>
        <w:t>κανονισμό, όλες οι εμπλεκόμενες δημόσιες αρχές θα πρέπει να επιτυγχάνουν, σε περιπτώσεις σύγκρουσης μεταξύ των σχετικών θεμελιωδών δικαιωμάτων, δίκαιη ισορροπία μεταξύ των δικαιωμάτων, σύμφωνα με την αρχή της αναλογικότητας.</w:t>
      </w:r>
    </w:p>
    <w:p>
      <w:pPr>
        <w:pStyle w:val="ManualConsidrant"/>
        <w:rPr>
          <w:noProof/>
        </w:rPr>
      </w:pPr>
      <w:r>
        <w:t>(106)</w:t>
      </w:r>
      <w:r>
        <w:tab/>
      </w:r>
      <w:r>
        <w:rPr>
          <w:noProof/>
        </w:rPr>
        <w:t>Δεδομένου ότι ο στόχος του παρόντος κανονισμού, συγκεκριμένα, η εύρυθμη λειτουργία της εσωτερικής αγοράς και η διασφάλιση ασφαλούς, προβλέψιμου και αξιόπιστου επιγραμμικού περιβάλλοντος στο οποίο προστατεύονται δεόντως τα θεμελιώδη δικαιώματα που κατοχυρώνονται στον Χάρτη, δεν μπορεί να επιτευχθεί επαρκώς από τα κράτη μέλη, επειδή αυτά δεν μπορούν να εξασφαλίσουν την αναγκαία εναρμόνιση και συνεργασία δρώντας μόνα τους, αλλά μπορεί, λόγω του εδαφικού και προσωπικού πεδίου εφαρμογής του, να επιτευχθεί καλύτερα σε επίπεδο Ένωσης, η Ένωση μπορεί να λάβει μέτρα σύμφωνα με την αρχή της επικουρικότητας, όπως ορίζεται στο άρθρο 5 της Συνθήκης για την Ευρωπαϊκή Ένωση. Σύμφωνα με την αρχή της αναλογικότητας, όπως αυτή διατυπώνεται στο εν λόγω άρθρο, ο παρών κανονισμός δεν υπερβαίνει τα αναγκαία όρια για την επίτευξη του στόχου αυτού,</w:t>
      </w:r>
    </w:p>
    <w:p>
      <w:pPr>
        <w:pStyle w:val="Formuledadoption"/>
        <w:rPr>
          <w:noProof/>
        </w:rPr>
      </w:pPr>
      <w:r>
        <w:rPr>
          <w:noProof/>
        </w:rPr>
        <w:t>ΕΞΕΔΩΣΑΝ ΤΟΝ ΠΑΡΟΝΤΑ ΚΑΝΟΝΙΣΜΟ:</w:t>
      </w:r>
    </w:p>
    <w:p>
      <w:pPr>
        <w:pStyle w:val="ChapterTitle"/>
        <w:rPr>
          <w:noProof/>
        </w:rPr>
      </w:pPr>
      <w:bookmarkStart w:id="1" w:name="_Toc44837439"/>
      <w:r>
        <w:rPr>
          <w:noProof/>
        </w:rPr>
        <w:t>Κεφάλαιο Ι – Γενικές διατάξεις</w:t>
      </w:r>
      <w:bookmarkEnd w:id="1"/>
    </w:p>
    <w:p>
      <w:pPr>
        <w:pStyle w:val="Titrearticle"/>
        <w:rPr>
          <w:noProof/>
        </w:rPr>
      </w:pPr>
      <w:r>
        <w:rPr>
          <w:noProof/>
        </w:rPr>
        <w:t>Άρθρο 1</w:t>
      </w:r>
      <w:r>
        <w:rPr>
          <w:noProof/>
        </w:rPr>
        <w:br w:type="textWrapping" w:clear="all"/>
        <w:t>Αντικείμενο και πεδίο εφαρμογής</w:t>
      </w:r>
    </w:p>
    <w:p>
      <w:pPr>
        <w:pStyle w:val="ManualNumPar1"/>
        <w:rPr>
          <w:noProof/>
        </w:rPr>
      </w:pPr>
      <w:r>
        <w:t>1.</w:t>
      </w:r>
      <w:r>
        <w:tab/>
      </w:r>
      <w:r>
        <w:rPr>
          <w:noProof/>
        </w:rPr>
        <w:t>Ο παρών κανονισμός θεσπίζει εναρμονισμένους κανόνες σχετικά με την παροχή ενδιάμεσων υπηρεσιών στην εσωτερική αγορά. Ειδικότερα, ορίζει:</w:t>
      </w:r>
    </w:p>
    <w:p>
      <w:pPr>
        <w:pStyle w:val="Point1"/>
        <w:rPr>
          <w:noProof/>
        </w:rPr>
      </w:pPr>
      <w:r>
        <w:rPr>
          <w:noProof/>
        </w:rPr>
        <w:t>α)</w:t>
      </w:r>
      <w:r>
        <w:rPr>
          <w:noProof/>
        </w:rPr>
        <w:tab/>
        <w:t>πλαίσιο για την υπό όρους απαλλαγή των παρόχων ενδιάμεσων υπηρεσιών από την ευθύνη·</w:t>
      </w:r>
    </w:p>
    <w:p>
      <w:pPr>
        <w:pStyle w:val="Point1"/>
        <w:rPr>
          <w:noProof/>
        </w:rPr>
      </w:pPr>
      <w:r>
        <w:rPr>
          <w:noProof/>
        </w:rPr>
        <w:t>β)</w:t>
      </w:r>
      <w:r>
        <w:rPr>
          <w:noProof/>
        </w:rPr>
        <w:tab/>
        <w:t xml:space="preserve">κανόνες σχετικά με ειδικές υποχρεώσεις δέουσας επιμέλειας προσαρμοσμένες σε ορισμένες ειδικές κατηγορίες παρόχων ενδιάμεσων υπηρεσιών· </w:t>
      </w:r>
    </w:p>
    <w:p>
      <w:pPr>
        <w:pStyle w:val="Point1"/>
        <w:rPr>
          <w:noProof/>
        </w:rPr>
      </w:pPr>
      <w:r>
        <w:rPr>
          <w:noProof/>
        </w:rPr>
        <w:t>γ)</w:t>
      </w:r>
      <w:r>
        <w:rPr>
          <w:noProof/>
        </w:rPr>
        <w:tab/>
        <w:t>κανόνες σχετικά με την εφαρμογή και την επιβολή του παρόντος κανονισμού, συμπεριλαμβανομένης της συνεργασίας και του συντονισμού μεταξύ των αρμόδιων αρχών.</w:t>
      </w:r>
    </w:p>
    <w:p>
      <w:pPr>
        <w:pStyle w:val="ManualNumPar1"/>
        <w:rPr>
          <w:noProof/>
        </w:rPr>
      </w:pPr>
      <w:r>
        <w:t>2.</w:t>
      </w:r>
      <w:r>
        <w:tab/>
      </w:r>
      <w:r>
        <w:rPr>
          <w:noProof/>
        </w:rPr>
        <w:t>Οι στόχοι του παρόντος κανονισμού είναι οι εξής:</w:t>
      </w:r>
    </w:p>
    <w:p>
      <w:pPr>
        <w:pStyle w:val="Point1"/>
        <w:rPr>
          <w:noProof/>
        </w:rPr>
      </w:pPr>
      <w:r>
        <w:rPr>
          <w:noProof/>
        </w:rPr>
        <w:t>α)</w:t>
      </w:r>
      <w:r>
        <w:rPr>
          <w:noProof/>
        </w:rPr>
        <w:tab/>
        <w:t>να συμβάλει στην εύρυθμη λειτουργία της εσωτερικής αγοράς ενδιάμεσων υπηρεσιών·</w:t>
      </w:r>
    </w:p>
    <w:p>
      <w:pPr>
        <w:pStyle w:val="Point1"/>
        <w:rPr>
          <w:noProof/>
        </w:rPr>
      </w:pPr>
      <w:r>
        <w:rPr>
          <w:noProof/>
        </w:rPr>
        <w:t>β)</w:t>
      </w:r>
      <w:r>
        <w:rPr>
          <w:noProof/>
        </w:rPr>
        <w:tab/>
        <w:t xml:space="preserve">να ορίσει ενιαίους κανόνες για ένα ασφαλές, προβλέψιμο και αξιόπιστο επιγραμμικό περιβάλλον, στο οποίο προστατεύονται αποτελεσματικά τα θεμελιώδη δικαιώματα που κατοχυρώνονται στον Χάρτη. </w:t>
      </w:r>
    </w:p>
    <w:p>
      <w:pPr>
        <w:pStyle w:val="ManualNumPar1"/>
        <w:rPr>
          <w:noProof/>
        </w:rPr>
      </w:pPr>
      <w:r>
        <w:t>3.</w:t>
      </w:r>
      <w:r>
        <w:tab/>
      </w:r>
      <w:r>
        <w:rPr>
          <w:noProof/>
        </w:rPr>
        <w:t>Ο παρών κανονισμός εφαρμόζεται σε ενδιάμεσες υπηρεσίες που παρέχονται σε αποδέκτες της υπηρεσίας των οποίων ο τόπος εγκατάστασης ή διαμονής βρίσκεται στην Ένωση, ανεξάρτητα από τον τόπο εγκατάστασης των παρόχων των υπηρεσιών αυτών.</w:t>
      </w:r>
    </w:p>
    <w:p>
      <w:pPr>
        <w:pStyle w:val="ManualNumPar1"/>
        <w:rPr>
          <w:noProof/>
        </w:rPr>
      </w:pPr>
      <w:r>
        <w:t>4.</w:t>
      </w:r>
      <w:r>
        <w:tab/>
      </w:r>
      <w:r>
        <w:rPr>
          <w:noProof/>
        </w:rPr>
        <w:t>Ο παρών κανονισμός δεν εφαρμόζεται σε υπηρεσίες που δεν είναι ενδιάμεσες υπηρεσίες ή σε οποιεσδήποτε απαιτήσεις που επιβάλλονται σε σχέση με τέτοιες υπηρεσίες, ανεξαρτήτως του αν η υπηρεσία παρέχεται μέσω της χρήσης ενδιάμεσης υπηρεσίας.</w:t>
      </w:r>
    </w:p>
    <w:p>
      <w:pPr>
        <w:pStyle w:val="ManualNumPar1"/>
        <w:rPr>
          <w:noProof/>
        </w:rPr>
      </w:pPr>
      <w:r>
        <w:t>5.</w:t>
      </w:r>
      <w:r>
        <w:tab/>
      </w:r>
      <w:r>
        <w:rPr>
          <w:noProof/>
        </w:rPr>
        <w:t>Ο παρών κανονισμός δεν θίγει τους κανόνες που θεσπίζονται με τις ακόλουθες νομοθετικές πράξεις:</w:t>
      </w:r>
    </w:p>
    <w:p>
      <w:pPr>
        <w:pStyle w:val="Point1"/>
        <w:rPr>
          <w:noProof/>
        </w:rPr>
      </w:pPr>
      <w:r>
        <w:rPr>
          <w:noProof/>
        </w:rPr>
        <w:lastRenderedPageBreak/>
        <w:t>α)</w:t>
      </w:r>
      <w:r>
        <w:rPr>
          <w:noProof/>
        </w:rPr>
        <w:tab/>
        <w:t>οδηγία 2000/31/ΕΚ·</w:t>
      </w:r>
    </w:p>
    <w:p>
      <w:pPr>
        <w:pStyle w:val="Point1"/>
        <w:rPr>
          <w:noProof/>
        </w:rPr>
      </w:pPr>
      <w:r>
        <w:rPr>
          <w:noProof/>
        </w:rPr>
        <w:t>β)</w:t>
      </w:r>
      <w:r>
        <w:rPr>
          <w:noProof/>
        </w:rPr>
        <w:tab/>
        <w:t>οδηγία 2010/13/ΕΚ·</w:t>
      </w:r>
    </w:p>
    <w:p>
      <w:pPr>
        <w:pStyle w:val="Point1"/>
        <w:rPr>
          <w:noProof/>
        </w:rPr>
      </w:pPr>
      <w:r>
        <w:rPr>
          <w:noProof/>
        </w:rPr>
        <w:t>γ)</w:t>
      </w:r>
      <w:r>
        <w:rPr>
          <w:noProof/>
        </w:rPr>
        <w:tab/>
        <w:t xml:space="preserve">ενωσιακό δίκαιο σχετικά με τα δικαιώματα πνευματικής ιδιοκτησίας και τα συγγενικά δικαιώματα· </w:t>
      </w:r>
    </w:p>
    <w:p>
      <w:pPr>
        <w:pStyle w:val="Point1"/>
        <w:rPr>
          <w:noProof/>
        </w:rPr>
      </w:pPr>
      <w:r>
        <w:rPr>
          <w:noProof/>
        </w:rPr>
        <w:t>δ)</w:t>
      </w:r>
      <w:r>
        <w:rPr>
          <w:noProof/>
        </w:rPr>
        <w:tab/>
        <w:t>κανονισμός (ΕΕ) …/… σχετικά με την πρόληψη της διάδοσης τρομοκρατικού περιεχομένου στο διαδίκτυο [ΤΠΔ μόλις εγκριθεί]·</w:t>
      </w:r>
    </w:p>
    <w:p>
      <w:pPr>
        <w:pStyle w:val="Point1"/>
        <w:rPr>
          <w:noProof/>
        </w:rPr>
      </w:pPr>
      <w:r>
        <w:rPr>
          <w:noProof/>
        </w:rPr>
        <w:t>ε)</w:t>
      </w:r>
      <w:r>
        <w:rPr>
          <w:noProof/>
        </w:rPr>
        <w:tab/>
        <w:t>κανονισμός (ΕΕ) …/… σχετικά με την ευρωπαϊκή εντολή υποβολής και την ευρωπαϊκή εντολή διατήρησης ηλεκτρονικών αποδεικτικών στοιχείων σε ποινικές υποθέσεις και οδηγία (ΕΕ) …/… σχετικά με τη θέσπιση εναρμονισμένων κανόνων για τον ορισμό νόμιμων εκπροσώπων με σκοπό τη συγκέντρωση αποδεικτικών στοιχείων στο πλαίσιο ποινικών διαδικασιών [ηλεκτρονικά αποδεικτικά στοιχεία μόλις εγκριθούν]·</w:t>
      </w:r>
    </w:p>
    <w:p>
      <w:pPr>
        <w:pStyle w:val="Point1"/>
        <w:rPr>
          <w:noProof/>
        </w:rPr>
      </w:pPr>
      <w:r>
        <w:rPr>
          <w:noProof/>
        </w:rPr>
        <w:t>στ)</w:t>
      </w:r>
      <w:r>
        <w:rPr>
          <w:noProof/>
        </w:rPr>
        <w:tab/>
        <w:t xml:space="preserve">κανονισμός (EΕ) 2019/1148· </w:t>
      </w:r>
    </w:p>
    <w:p>
      <w:pPr>
        <w:pStyle w:val="Point1"/>
        <w:rPr>
          <w:noProof/>
        </w:rPr>
      </w:pPr>
      <w:r>
        <w:rPr>
          <w:noProof/>
        </w:rPr>
        <w:t>ζ)</w:t>
      </w:r>
      <w:r>
        <w:rPr>
          <w:noProof/>
        </w:rPr>
        <w:tab/>
        <w:t>κανονισμός (EΕ) 2019/1150·</w:t>
      </w:r>
    </w:p>
    <w:p>
      <w:pPr>
        <w:pStyle w:val="Point1"/>
        <w:rPr>
          <w:noProof/>
        </w:rPr>
      </w:pPr>
      <w:r>
        <w:rPr>
          <w:noProof/>
        </w:rPr>
        <w:t>η)</w:t>
      </w:r>
      <w:r>
        <w:rPr>
          <w:noProof/>
        </w:rPr>
        <w:tab/>
        <w:t xml:space="preserve">ενωσιακό δίκαιο για την προστασία των καταναλωτών και την ασφάλεια των προϊόντων, συμπεριλαμβανομένου του κανονισμού (ΕΕ) 2017/2394· </w:t>
      </w:r>
    </w:p>
    <w:p>
      <w:pPr>
        <w:pStyle w:val="Point1"/>
        <w:rPr>
          <w:noProof/>
        </w:rPr>
      </w:pPr>
      <w:r>
        <w:rPr>
          <w:noProof/>
        </w:rPr>
        <w:t>θ)</w:t>
      </w:r>
      <w:r>
        <w:rPr>
          <w:noProof/>
        </w:rPr>
        <w:tab/>
        <w:t>ενωσιακό δίκαιο για την προστασία των δεδομένων προσωπικού χαρακτήρα, και ιδίως κανονισμός (ΕΕ) 2016/679 και οδηγία 2002/58/ΕΚ.</w:t>
      </w:r>
    </w:p>
    <w:p>
      <w:pPr>
        <w:pStyle w:val="Titrearticle"/>
        <w:rPr>
          <w:noProof/>
        </w:rPr>
      </w:pPr>
      <w:r>
        <w:rPr>
          <w:noProof/>
        </w:rPr>
        <w:t>Άρθρο 2</w:t>
      </w:r>
      <w:r>
        <w:rPr>
          <w:noProof/>
        </w:rPr>
        <w:br w:type="textWrapping" w:clear="all"/>
        <w:t>Ορισμοί</w:t>
      </w:r>
    </w:p>
    <w:p>
      <w:pPr>
        <w:rPr>
          <w:noProof/>
        </w:rPr>
      </w:pPr>
      <w:r>
        <w:rPr>
          <w:noProof/>
        </w:rPr>
        <w:t>Για τους σκοπούς του παρόντος κανονισμού, ισχύουν οι ακόλουθοι ορισμοί:</w:t>
      </w:r>
    </w:p>
    <w:p>
      <w:pPr>
        <w:pStyle w:val="Point0"/>
        <w:rPr>
          <w:noProof/>
        </w:rPr>
      </w:pPr>
      <w:r>
        <w:rPr>
          <w:noProof/>
        </w:rPr>
        <w:t>α)</w:t>
      </w:r>
      <w:r>
        <w:rPr>
          <w:noProof/>
        </w:rPr>
        <w:tab/>
        <w:t>«υπηρεσίες της κοινωνίας των πληροφοριών»: υπηρεσίες κατά την έννοια του άρθρου 1 παράγραφος 1 στοιχείο β) της οδηγίας (ΕΕ) 2015/1535·</w:t>
      </w:r>
    </w:p>
    <w:p>
      <w:pPr>
        <w:pStyle w:val="Point0"/>
        <w:rPr>
          <w:noProof/>
        </w:rPr>
      </w:pPr>
      <w:r>
        <w:rPr>
          <w:noProof/>
        </w:rPr>
        <w:t>β)</w:t>
      </w:r>
      <w:r>
        <w:rPr>
          <w:noProof/>
        </w:rPr>
        <w:tab/>
        <w:t>«αποδέκτης της υπηρεσίας»: κάθε φυσικό ή νομικό πρόσωπο το οποίο χρησιμοποιεί τη σχετική ενδιάμεση υπηρεσία·</w:t>
      </w:r>
    </w:p>
    <w:p>
      <w:pPr>
        <w:pStyle w:val="Point0"/>
        <w:rPr>
          <w:noProof/>
        </w:rPr>
      </w:pPr>
      <w:r>
        <w:rPr>
          <w:noProof/>
        </w:rPr>
        <w:t>γ)</w:t>
      </w:r>
      <w:r>
        <w:rPr>
          <w:noProof/>
        </w:rPr>
        <w:tab/>
        <w:t>«καταναλωτής»: κάθε φυσικό πρόσωπο το οποίο ενεργεί για σκοπούς που δεν εμπίπτουν στην εμπορική, επιχειρηματική ή επαγγελματική του δραστηριότητα·</w:t>
      </w:r>
    </w:p>
    <w:p>
      <w:pPr>
        <w:pStyle w:val="Point0"/>
        <w:rPr>
          <w:noProof/>
        </w:rPr>
      </w:pPr>
      <w:r>
        <w:rPr>
          <w:noProof/>
        </w:rPr>
        <w:t>δ)</w:t>
      </w:r>
      <w:r>
        <w:rPr>
          <w:noProof/>
        </w:rPr>
        <w:tab/>
        <w:t>«προσφορά υπηρεσιών στην Ένωση»: η παροχή σε νομικά ή φυσικά πρόσωπα σε ένα ή περισσότερα κράτη μέλη της δυνατότητας να χρησιμοποιούν τις υπηρεσίες του παρόχου υπηρεσιών της κοινωνίας των πληροφοριών που έχει ουσιώδη σύνδεση με την Ένωση· η εν λόγω ουσιώδης σύνδεση θεωρείται ότι υφίσταται όταν ο πάροχος διαθέτει εγκατάσταση στην Ένωση· ελλείψει τέτοιας εγκατάστασης, η αξιολόγηση της ουσιώδους σύνδεσης βασίζεται σε συγκεκριμένα αντικειμενικά κριτήρια, όπως τα εξής:</w:t>
      </w:r>
    </w:p>
    <w:p>
      <w:pPr>
        <w:pStyle w:val="Tiret1"/>
        <w:numPr>
          <w:ilvl w:val="0"/>
          <w:numId w:val="81"/>
        </w:numPr>
        <w:rPr>
          <w:noProof/>
        </w:rPr>
      </w:pPr>
      <w:r>
        <w:rPr>
          <w:noProof/>
        </w:rPr>
        <w:t>ο σημαντικός αριθμός χρηστών σε ένα ή περισσότερα κράτη μέλη· ή</w:t>
      </w:r>
    </w:p>
    <w:p>
      <w:pPr>
        <w:pStyle w:val="Tiret1"/>
        <w:rPr>
          <w:noProof/>
        </w:rPr>
      </w:pPr>
      <w:r>
        <w:rPr>
          <w:noProof/>
        </w:rPr>
        <w:t>η στόχευση δραστηριοτήτων προς ένα ή περισσότερα κράτη μέλη.</w:t>
      </w:r>
    </w:p>
    <w:p>
      <w:pPr>
        <w:pStyle w:val="Point0"/>
        <w:rPr>
          <w:noProof/>
        </w:rPr>
      </w:pPr>
      <w:r>
        <w:rPr>
          <w:noProof/>
        </w:rPr>
        <w:t>ε)</w:t>
      </w:r>
      <w:r>
        <w:rPr>
          <w:noProof/>
        </w:rPr>
        <w:tab/>
        <w:t>«έμπορος»: κάθε φυσικό ή νομικό πρόσωπο, ιδιωτικό ή δημόσιο, το οποίο ενεργεί, ενδεχομένως μέσω άλλου προσώπου ενεργούντος εξ ονόματός του ή για λογαριασμό του, για σκοπούς που εμπίπτουν στο πλαίσιο της εμπορικής, επιχειρηματικής, βιοτεχνικής ή επαγγελματικής του δραστηριότητας·</w:t>
      </w:r>
    </w:p>
    <w:p>
      <w:pPr>
        <w:pStyle w:val="Point0"/>
        <w:rPr>
          <w:noProof/>
        </w:rPr>
      </w:pPr>
      <w:r>
        <w:rPr>
          <w:noProof/>
        </w:rPr>
        <w:t>στ)</w:t>
      </w:r>
      <w:r>
        <w:rPr>
          <w:noProof/>
        </w:rPr>
        <w:tab/>
        <w:t>«ενδιάμεση υπηρεσία»: μία από τις ακόλουθες υπηρεσίες:</w:t>
      </w:r>
    </w:p>
    <w:p>
      <w:pPr>
        <w:pStyle w:val="Tiret1"/>
        <w:numPr>
          <w:ilvl w:val="0"/>
          <w:numId w:val="75"/>
        </w:numPr>
        <w:rPr>
          <w:noProof/>
        </w:rPr>
      </w:pPr>
      <w:r>
        <w:rPr>
          <w:noProof/>
        </w:rPr>
        <w:lastRenderedPageBreak/>
        <w:t>«απλή μετάδοση»: υπηρεσία η οποία συνίσταται στη μετάδοση, σε δίκτυο επικοινωνιών, πληροφοριών που παρέχει αποδέκτης της υπηρεσίας ή η παροχή πρόσβασης σε δίκτυο επικοινωνιών·</w:t>
      </w:r>
    </w:p>
    <w:p>
      <w:pPr>
        <w:pStyle w:val="Tiret1"/>
        <w:rPr>
          <w:noProof/>
        </w:rPr>
      </w:pPr>
      <w:r>
        <w:rPr>
          <w:noProof/>
        </w:rPr>
        <w:t>«προσωρινή αποθήκευση»: υπηρεσία η οποία συνίσταται στη μετάδοση, σε δίκτυο επικοινωνιών, πληροφοριών που παρέχει αποδέκτης της υπηρεσίας και περιλαμβάνει την αυτόματη, ενδιάμεση και προσωρινή αποθήκευση των εν λόγω πληροφοριών, με αποκλειστικό σκοπό να καταστεί αποτελεσματικότερη η μεταγενέστερη μετάδοση των πληροφοριών σε άλλους αποδέκτες κατόπιν αιτήματός τους·</w:t>
      </w:r>
    </w:p>
    <w:p>
      <w:pPr>
        <w:pStyle w:val="Tiret1"/>
        <w:rPr>
          <w:noProof/>
        </w:rPr>
      </w:pPr>
      <w:r>
        <w:rPr>
          <w:noProof/>
        </w:rPr>
        <w:t>«φιλοξενία»: υπηρεσία η οποία συνίσταται στην αποθήκευση πληροφοριών που παρέχει αποδέκτης της υπηρεσίας, κατόπιν αιτήματός του·</w:t>
      </w:r>
    </w:p>
    <w:p>
      <w:pPr>
        <w:pStyle w:val="Point0"/>
        <w:rPr>
          <w:noProof/>
        </w:rPr>
      </w:pPr>
      <w:r>
        <w:rPr>
          <w:noProof/>
        </w:rPr>
        <w:t>ζ)</w:t>
      </w:r>
      <w:r>
        <w:rPr>
          <w:noProof/>
        </w:rPr>
        <w:tab/>
        <w:t>«παράνομο περιεχόμενο»: κάθε πληροφορία, η οποία</w:t>
      </w:r>
      <w:r>
        <w:rPr>
          <w:strike/>
          <w:noProof/>
        </w:rPr>
        <w:t>,</w:t>
      </w:r>
      <w:r>
        <w:rPr>
          <w:noProof/>
        </w:rPr>
        <w:t xml:space="preserve"> από μόνη της ή με αναφορά της σε μια δραστηριότητα, συμπεριλαμβανομένης της πώλησης προϊόντων ή της παροχής υπηρεσιών, δεν συμμορφώνεται με το ενωσιακό δίκαιο ή το δίκαιο κράτους μέλους, ανεξάρτητα από το ακριβές αντικείμενο ή τη φύση του δικαίου αυτού· </w:t>
      </w:r>
    </w:p>
    <w:p>
      <w:pPr>
        <w:pStyle w:val="Point0"/>
        <w:rPr>
          <w:rFonts w:eastAsia="Times New Roman"/>
          <w:noProof/>
        </w:rPr>
      </w:pPr>
      <w:r>
        <w:rPr>
          <w:noProof/>
        </w:rPr>
        <w:t>η)</w:t>
      </w:r>
      <w:r>
        <w:rPr>
          <w:noProof/>
        </w:rPr>
        <w:tab/>
        <w:t xml:space="preserve"> «επιγραμμική πλατφόρμα»: πάροχος υπηρεσίας φιλοξενίας ο οποίος, κατόπιν αιτήματος αποδέκτη της υπηρεσίας, αποθηκεύει και διαδίδει στο κοινό πληροφορίες, εκτός εάν η δραστηριότητα αυτή αποτελεί ήσσονος σημασίας και αμιγώς δευτερεύον στοιχείο άλλης υπηρεσίας και, για αντικειμενικούς και τεχνικούς λόγους, δεν μπορεί να χρησιμοποιηθεί χωρίς αυτή την άλλη υπηρεσία και η ενσωμάτωση του στοιχείου στην άλλη υπηρεσία δεν αποτελεί μέσο για την παράκαμψη της εφαρμογής του παρόντος κανονισμού·</w:t>
      </w:r>
    </w:p>
    <w:p>
      <w:pPr>
        <w:pStyle w:val="Point0"/>
        <w:rPr>
          <w:rFonts w:eastAsia="Times New Roman"/>
          <w:noProof/>
        </w:rPr>
      </w:pPr>
      <w:r>
        <w:rPr>
          <w:noProof/>
        </w:rPr>
        <w:t>θ)</w:t>
      </w:r>
      <w:r>
        <w:rPr>
          <w:noProof/>
        </w:rPr>
        <w:tab/>
        <w:t xml:space="preserve">«διάδοση στο κοινό»: η διάθεση πληροφοριών, κατόπιν αιτήματος του αποδέκτη της υπηρεσίας που παρείχε τις πληροφορίες, σε δυνητικά απεριόριστο αριθμό τρίτων· </w:t>
      </w:r>
    </w:p>
    <w:p>
      <w:pPr>
        <w:pStyle w:val="Point0"/>
        <w:rPr>
          <w:noProof/>
        </w:rPr>
      </w:pPr>
      <w:r>
        <w:rPr>
          <w:noProof/>
        </w:rPr>
        <w:t>ι)</w:t>
      </w:r>
      <w:r>
        <w:rPr>
          <w:noProof/>
        </w:rPr>
        <w:tab/>
        <w:t>«εξ αποστάσεως σύμβαση»: σύμβαση κατά την έννοια του άρθρου 2 σημείο 7 της οδηγίας 2011/83/EE·</w:t>
      </w:r>
    </w:p>
    <w:p>
      <w:pPr>
        <w:pStyle w:val="Point0"/>
        <w:rPr>
          <w:rFonts w:eastAsia="Times New Roman"/>
          <w:noProof/>
        </w:rPr>
      </w:pPr>
      <w:r>
        <w:rPr>
          <w:noProof/>
        </w:rPr>
        <w:t>ια)</w:t>
      </w:r>
      <w:r>
        <w:rPr>
          <w:noProof/>
        </w:rPr>
        <w:tab/>
        <w:t>«επιγραμμική διεπαφή»: κάθε λογισμικό, συμπεριλαμβανομένου ενός ιστότοπου ή μέρους αυτού, και εφαρμογές, συμπεριλαμβανομένων των εφαρμογών για φορητές συσκευές·</w:t>
      </w:r>
    </w:p>
    <w:p>
      <w:pPr>
        <w:pStyle w:val="Point0"/>
        <w:rPr>
          <w:noProof/>
        </w:rPr>
      </w:pPr>
      <w:r>
        <w:rPr>
          <w:noProof/>
        </w:rPr>
        <w:t>ιβ)</w:t>
      </w:r>
      <w:r>
        <w:rPr>
          <w:noProof/>
        </w:rPr>
        <w:tab/>
        <w:t>«συντονιστής ψηφιακών υπηρεσιών της χώρας εγκατάστασης»: ο συντονιστής ψηφιακών υπηρεσιών του κράτους μέλους στο οποίο είναι εγκατεστημένος ο πάροχος ενδιάμεσης υπηρεσίας ή διαμένει ή είναι εγκατεστημένος ο νόμιμος εκπρόσωπός του·</w:t>
      </w:r>
    </w:p>
    <w:p>
      <w:pPr>
        <w:pStyle w:val="Point0"/>
        <w:rPr>
          <w:noProof/>
        </w:rPr>
      </w:pPr>
      <w:r>
        <w:rPr>
          <w:noProof/>
        </w:rPr>
        <w:t>ιγ)</w:t>
      </w:r>
      <w:r>
        <w:rPr>
          <w:noProof/>
        </w:rPr>
        <w:tab/>
        <w:t>«συντονιστής ψηφιακών υπηρεσιών της χώρας προορισμού»: ο συντονιστής ψηφιακών υπηρεσιών του κράτους μέλους στο οποίο παρέχεται η ενδιάμεση υπηρεσία·</w:t>
      </w:r>
    </w:p>
    <w:p>
      <w:pPr>
        <w:pStyle w:val="Point0"/>
        <w:rPr>
          <w:noProof/>
        </w:rPr>
      </w:pPr>
      <w:r>
        <w:rPr>
          <w:noProof/>
        </w:rPr>
        <w:t>ιδ)</w:t>
      </w:r>
      <w:r>
        <w:rPr>
          <w:noProof/>
        </w:rPr>
        <w:tab/>
        <w:t xml:space="preserve">«διαφήμιση»: πληροφορίες που έχουν σχεδιαστεί για την προώθηση του μηνύματος νομικού ή φυσικού προσώπου, ανεξαρτήτως του αν επιδιώκουν να επιτύχουν εμπορικούς ή μη εμπορικούς σκοπούς, και προβάλλονται από επιγραμμική πλατφόρμα στην επιγραμμική διεπαφή της έναντι αμοιβής ειδικά για την προώθηση των πληροφοριών αυτών· </w:t>
      </w:r>
    </w:p>
    <w:p>
      <w:pPr>
        <w:pStyle w:val="Point0"/>
        <w:rPr>
          <w:noProof/>
        </w:rPr>
      </w:pPr>
      <w:r>
        <w:rPr>
          <w:noProof/>
        </w:rPr>
        <w:t>ιε)</w:t>
      </w:r>
      <w:r>
        <w:rPr>
          <w:noProof/>
        </w:rPr>
        <w:tab/>
        <w:t>«σύστημα συστάσεων»: πλήρως ή μερικώς αυτοματοποιημένο σύστημα το οποίο χρησιμοποιείται από επιγραμμική πλατφόρμα για να προτείνει στην επιγραμμική διεπαφή της συγκεκριμένες πληροφορίες σε αποδέκτες της υπηρεσίας, μεταξύ άλλων, ως αποτέλεσμα αναζήτησης που ξεκίνησε ο αποδέκτης ή προσδιορίζοντας με άλλον τρόπο τη σχετική σειρά ή την προβολή των πληροφοριών που εμφανίζονται·</w:t>
      </w:r>
    </w:p>
    <w:p>
      <w:pPr>
        <w:pStyle w:val="Point0"/>
        <w:rPr>
          <w:noProof/>
        </w:rPr>
      </w:pPr>
      <w:r>
        <w:rPr>
          <w:noProof/>
        </w:rPr>
        <w:lastRenderedPageBreak/>
        <w:t>ιστ)</w:t>
      </w:r>
      <w:r>
        <w:rPr>
          <w:noProof/>
        </w:rPr>
        <w:tab/>
        <w:t>«έλεγχος περιεχομένου»: οι δραστηριότητες που αναλαμβάνουν πάροχοι ενδιάμεσων υπηρεσιών με στόχο την ανίχνευση, τον εντοπισμό και την αντιμετώπιση παράνομου περιεχομένου ή πληροφοριών που δεν συνάδουν με τους όρους και τις προϋποθέσεις τους, οι οποίες παρέχονται από αποδέκτες της υπηρεσίας, συμπεριλαμβανομένων μέτρων που λαμβάνονται και επηρεάζουν τη διαθεσιμότητα, την προβολή και την προσβασιμότητα του εν λόγω παράνομου περιεχομένου ή των εν λόγω πληροφοριών, όπως υποβιβασμός, απενεργοποίηση της πρόσβασης ή απόσυρσή τους, ή την ικανότητα των αποδεκτών να παρέχουν τις εν λόγω πληροφορίες, όπως κατάργηση ή αναστολή του λογαριασμού του αποδέκτη·</w:t>
      </w:r>
    </w:p>
    <w:p>
      <w:pPr>
        <w:pStyle w:val="Point0"/>
        <w:rPr>
          <w:noProof/>
        </w:rPr>
      </w:pPr>
      <w:r>
        <w:rPr>
          <w:noProof/>
        </w:rPr>
        <w:t>ιζ)</w:t>
      </w:r>
      <w:r>
        <w:rPr>
          <w:noProof/>
        </w:rPr>
        <w:tab/>
        <w:t>«όροι και προϋποθέσεις»: όλοι οι όροι και οι προϋποθέσεις ή οι προδιαγραφές, ανεξάρτητα από την ονομασία ή τη μορφή τους, που διέπουν τη συμβατική σχέση μεταξύ του παρόχου ενδιάμεσων υπηρεσιών και των αποδεκτών των υπηρεσιών.</w:t>
      </w:r>
    </w:p>
    <w:p>
      <w:pPr>
        <w:pStyle w:val="ChapterTitle"/>
        <w:rPr>
          <w:noProof/>
        </w:rPr>
      </w:pPr>
      <w:bookmarkStart w:id="2" w:name="_Toc44837443"/>
      <w:r>
        <w:rPr>
          <w:noProof/>
        </w:rPr>
        <w:t xml:space="preserve">Κεφάλαιο ΙΙ –Ευθύνη των παρόχων ενδιάμεσων υπηρεσιών </w:t>
      </w:r>
    </w:p>
    <w:p>
      <w:pPr>
        <w:pStyle w:val="Titrearticle"/>
        <w:rPr>
          <w:noProof/>
        </w:rPr>
      </w:pPr>
      <w:r>
        <w:rPr>
          <w:noProof/>
        </w:rPr>
        <w:t>Άρθρο 3</w:t>
      </w:r>
      <w:r>
        <w:rPr>
          <w:noProof/>
        </w:rPr>
        <w:br w:type="textWrapping" w:clear="all"/>
        <w:t xml:space="preserve">«Απλή μετάδοση» </w:t>
      </w:r>
    </w:p>
    <w:p>
      <w:pPr>
        <w:pStyle w:val="ManualNumPar1"/>
        <w:rPr>
          <w:noProof/>
        </w:rPr>
      </w:pPr>
      <w:r>
        <w:t>1.</w:t>
      </w:r>
      <w:r>
        <w:tab/>
      </w:r>
      <w:r>
        <w:rPr>
          <w:noProof/>
        </w:rPr>
        <w:t>Σε περίπτωση παροχής υπηρεσίας της κοινωνίας των πληροφοριών η οποία συνίσταται στη μετάδοση πληροφοριών που παρέχει ο αποδέκτης της υπηρεσίας σε δίκτυο επικοινωνιών ή στην παροχή πρόσβασης σε δίκτυο επικοινωνιών, ο πάροχος της υπηρεσίας δεν φέρει ευθύνη όσον αφορά τις μεταδιδόμενες πληροφορίες, υπό τον όρο ότι ο πάροχος:</w:t>
      </w:r>
    </w:p>
    <w:p>
      <w:pPr>
        <w:pStyle w:val="Point1"/>
        <w:rPr>
          <w:noProof/>
        </w:rPr>
      </w:pPr>
      <w:r>
        <w:rPr>
          <w:noProof/>
        </w:rPr>
        <w:t>α)</w:t>
      </w:r>
      <w:r>
        <w:rPr>
          <w:noProof/>
        </w:rPr>
        <w:tab/>
        <w:t>δεν αποτελεί την αφετηρία της μετάδοσης των πληροφοριών·</w:t>
      </w:r>
    </w:p>
    <w:p>
      <w:pPr>
        <w:pStyle w:val="Point1"/>
        <w:rPr>
          <w:noProof/>
        </w:rPr>
      </w:pPr>
      <w:r>
        <w:rPr>
          <w:noProof/>
        </w:rPr>
        <w:t>β)</w:t>
      </w:r>
      <w:r>
        <w:rPr>
          <w:noProof/>
        </w:rPr>
        <w:tab/>
        <w:t>δεν επιλέγει τον αποδέκτη της μετάδοσης· και</w:t>
      </w:r>
    </w:p>
    <w:p>
      <w:pPr>
        <w:pStyle w:val="Point1"/>
        <w:rPr>
          <w:noProof/>
        </w:rPr>
      </w:pPr>
      <w:r>
        <w:rPr>
          <w:noProof/>
        </w:rPr>
        <w:t>γ)</w:t>
      </w:r>
      <w:r>
        <w:rPr>
          <w:noProof/>
        </w:rPr>
        <w:tab/>
        <w:t>δεν επιλέγει και δεν τροποποιεί τις μεταδιδόμενες πληροφορίες.</w:t>
      </w:r>
    </w:p>
    <w:p>
      <w:pPr>
        <w:pStyle w:val="ManualNumPar1"/>
        <w:rPr>
          <w:noProof/>
        </w:rPr>
      </w:pPr>
      <w:r>
        <w:t>2.</w:t>
      </w:r>
      <w:r>
        <w:tab/>
      </w:r>
      <w:r>
        <w:rPr>
          <w:noProof/>
        </w:rPr>
        <w:t>Οι δραστηριότητες μετάδοσης και παροχής πρόσβασης που αναφέρονται στην παράγραφο 1 περιλαμβάνουν την αυτόματη, ενδιάμεση και προσωρινή αποθήκευση των μεταδιδόμενων πληροφοριών, στον βαθμό που η εν λόγω αποθήκευση εξυπηρετεί αποκλειστικά την πραγματοποίηση της μετάδοσης στο δίκτυο επικοινωνιών και η διάρκειά της δεν υπερβαίνει τον χρόνο που είναι ευλόγως απαραίτητος για τη μετάδοση.</w:t>
      </w:r>
    </w:p>
    <w:p>
      <w:pPr>
        <w:pStyle w:val="ManualNumPar1"/>
        <w:rPr>
          <w:rFonts w:eastAsia="Times New Roman"/>
          <w:noProof/>
        </w:rPr>
      </w:pPr>
      <w:r>
        <w:t>3.</w:t>
      </w:r>
      <w:r>
        <w:tab/>
      </w:r>
      <w:r>
        <w:rPr>
          <w:noProof/>
        </w:rPr>
        <w:t xml:space="preserve">Το παρόν άρθρο δεν θίγει τη δυνατότητα δικαστικής ή διοικητικής αρχής, σύμφωνα με τα νομικά συστήματα των κρατών μελών, να απαιτήσει από τον πάροχο υπηρεσιών την παύση ή αποτροπή της παράβασης. </w:t>
      </w:r>
    </w:p>
    <w:p>
      <w:pPr>
        <w:pStyle w:val="Titrearticle"/>
        <w:rPr>
          <w:noProof/>
        </w:rPr>
      </w:pPr>
      <w:r>
        <w:rPr>
          <w:noProof/>
        </w:rPr>
        <w:t>Άρθρο 4</w:t>
      </w:r>
      <w:r>
        <w:rPr>
          <w:noProof/>
        </w:rPr>
        <w:br w:type="textWrapping" w:clear="all"/>
        <w:t xml:space="preserve">«Προσωρινή αποθήκευση» </w:t>
      </w:r>
    </w:p>
    <w:p>
      <w:pPr>
        <w:pStyle w:val="ManualNumPar1"/>
        <w:rPr>
          <w:noProof/>
        </w:rPr>
      </w:pPr>
      <w:r>
        <w:t>1.</w:t>
      </w:r>
      <w:r>
        <w:tab/>
      </w:r>
      <w:r>
        <w:rPr>
          <w:noProof/>
        </w:rPr>
        <w:t>Σε περίπτωση παροχής υπηρεσίας της κοινωνίας των πληροφοριών η οποία συνίσταται στη μετάδοση πληροφοριών που παρέχει ο αποδέκτης της υπηρεσίας σε δίκτυο επικοινωνιών, ο πάροχος της υπηρεσίας δεν φέρει ευθύνη όσον αφορά την αυτόματη, ενδιάμεση και προσωρινή αποθήκευση των εν λόγω πληροφοριών η οποία πραγματοποιείται με αποκλειστικό σκοπό να καταστεί αποδοτικότερη η μεταγενέστερη μετάδοση των πληροφοριών σε άλλους αποδέκτες της υπηρεσίας, κατόπιν αιτήματός τους, υπό τον όρο ότι ο πάροχος:</w:t>
      </w:r>
    </w:p>
    <w:p>
      <w:pPr>
        <w:pStyle w:val="Point1"/>
        <w:rPr>
          <w:noProof/>
        </w:rPr>
      </w:pPr>
      <w:r>
        <w:rPr>
          <w:noProof/>
        </w:rPr>
        <w:t>α)</w:t>
      </w:r>
      <w:r>
        <w:rPr>
          <w:noProof/>
        </w:rPr>
        <w:tab/>
        <w:t>δεν τροποποιεί τις πληροφορίες·</w:t>
      </w:r>
    </w:p>
    <w:p>
      <w:pPr>
        <w:pStyle w:val="Point1"/>
        <w:rPr>
          <w:noProof/>
        </w:rPr>
      </w:pPr>
      <w:r>
        <w:rPr>
          <w:noProof/>
        </w:rPr>
        <w:t>β)</w:t>
      </w:r>
      <w:r>
        <w:rPr>
          <w:noProof/>
        </w:rPr>
        <w:tab/>
        <w:t>τηρεί τους όρους πρόσβασης στις πληροφορίες·</w:t>
      </w:r>
    </w:p>
    <w:p>
      <w:pPr>
        <w:pStyle w:val="Point1"/>
        <w:rPr>
          <w:noProof/>
        </w:rPr>
      </w:pPr>
      <w:r>
        <w:rPr>
          <w:noProof/>
        </w:rPr>
        <w:lastRenderedPageBreak/>
        <w:t>γ)</w:t>
      </w:r>
      <w:r>
        <w:rPr>
          <w:noProof/>
        </w:rPr>
        <w:tab/>
        <w:t>τηρεί τους κανόνες που αφορούν την επικαιροποίηση των πληροφοριών, οι οποίοι καθορίζονται κατά ευρέως αναγνωρισμένο τρόπο και χρησιμοποιούνται από τον κλάδο·</w:t>
      </w:r>
    </w:p>
    <w:p>
      <w:pPr>
        <w:pStyle w:val="Point1"/>
        <w:rPr>
          <w:noProof/>
        </w:rPr>
      </w:pPr>
      <w:r>
        <w:rPr>
          <w:noProof/>
        </w:rPr>
        <w:t>δ)</w:t>
      </w:r>
      <w:r>
        <w:rPr>
          <w:noProof/>
        </w:rPr>
        <w:tab/>
        <w:t>δεν παρεμποδίζει τη νόμιμη χρήση της τεχνολογίας, η οποία αναγνωρίζεται ευρέως και χρησιμοποιείται από τον κλάδο, προκειμένου να αποκτήσει δεδομένα σχετικά με τη χρήση των πληροφοριών· και</w:t>
      </w:r>
    </w:p>
    <w:p>
      <w:pPr>
        <w:pStyle w:val="Point1"/>
        <w:rPr>
          <w:noProof/>
        </w:rPr>
      </w:pPr>
      <w:r>
        <w:rPr>
          <w:noProof/>
        </w:rPr>
        <w:t>ε)</w:t>
      </w:r>
      <w:r>
        <w:rPr>
          <w:noProof/>
        </w:rPr>
        <w:tab/>
        <w:t>ενεργεί άμεσα προκειμένου να αποσύρει τις πληροφορίες που αποθήκευσε ή να απενεργοποιήσει την πρόσβαση σε αυτές, μόλις αντιληφθεί ότι οι πληροφορίες έχουν αποσυρθεί από το σημείο του δικτύου στο οποίο βρίσκονταν αρχικά ή η πρόσβαση στις πληροφορίες έχει απενεργοποιηθεί ή μια δικαστική ή διοικητική αρχή διέταξε την απόσυρση των πληροφοριών ή την απενεργοποίηση της πρόσβασης σε αυτές.</w:t>
      </w:r>
    </w:p>
    <w:p>
      <w:pPr>
        <w:pStyle w:val="ManualNumPar1"/>
        <w:rPr>
          <w:noProof/>
        </w:rPr>
      </w:pPr>
      <w:r>
        <w:t>2.</w:t>
      </w:r>
      <w:r>
        <w:tab/>
      </w:r>
      <w:r>
        <w:rPr>
          <w:noProof/>
        </w:rPr>
        <w:t>Το παρόν άρθρο δεν θίγει τη δυνατότητα δικαστικής ή διοικητικής αρχής, σύμφωνα με τα νομικά συστήματα των κρατών μελών, να απαιτήσει από τον πάροχο υπηρεσιών την παύση ή αποτροπή της παράβασης.</w:t>
      </w:r>
    </w:p>
    <w:p>
      <w:pPr>
        <w:pStyle w:val="Titrearticle"/>
        <w:rPr>
          <w:noProof/>
        </w:rPr>
      </w:pPr>
      <w:r>
        <w:rPr>
          <w:noProof/>
        </w:rPr>
        <w:t>Άρθρο 5</w:t>
      </w:r>
      <w:r>
        <w:rPr>
          <w:noProof/>
        </w:rPr>
        <w:br w:type="textWrapping" w:clear="all"/>
        <w:t>Φιλοξενία</w:t>
      </w:r>
    </w:p>
    <w:p>
      <w:pPr>
        <w:pStyle w:val="ManualNumPar1"/>
        <w:rPr>
          <w:noProof/>
        </w:rPr>
      </w:pPr>
      <w:r>
        <w:t>1.</w:t>
      </w:r>
      <w:r>
        <w:tab/>
      </w:r>
      <w:r>
        <w:rPr>
          <w:noProof/>
        </w:rPr>
        <w:t>Σε περίπτωση παροχής υπηρεσίας της κοινωνίας των πληροφοριών η οποία συνίσταται στην αποθήκευση πληροφοριών που παρέχει ο αποδέκτης της υπηρεσίας, ο πάροχος της υπηρεσίας δεν φέρει ευθύνη όσον αφορά τις πληροφορίες που αποθηκεύονται κατόπιν αιτήματος του αποδέκτη της υπηρεσίας, υπό τον όρο ότι ο πάροχος:</w:t>
      </w:r>
    </w:p>
    <w:p>
      <w:pPr>
        <w:pStyle w:val="Point1"/>
        <w:rPr>
          <w:noProof/>
        </w:rPr>
      </w:pPr>
      <w:r>
        <w:rPr>
          <w:noProof/>
        </w:rPr>
        <w:t>α)</w:t>
      </w:r>
      <w:r>
        <w:rPr>
          <w:noProof/>
        </w:rPr>
        <w:tab/>
        <w:t>δεν γνωρίζει πραγματικά ότι πρόκειται για παράνομη δραστηριότητα ή παράνομο περιεχόμενο και, όσον αφορά αξιώσεις αποζημίωσης, δεν έχει αντίληψη των γεγονότων ή των περιστάσεων από τις οποίες προκύπτει η παράνομη δραστηριότητα ή το παράνομο περιεχόμενο· ή</w:t>
      </w:r>
    </w:p>
    <w:p>
      <w:pPr>
        <w:pStyle w:val="Point1"/>
        <w:rPr>
          <w:noProof/>
        </w:rPr>
      </w:pPr>
      <w:r>
        <w:rPr>
          <w:noProof/>
        </w:rPr>
        <w:t>β)</w:t>
      </w:r>
      <w:r>
        <w:rPr>
          <w:noProof/>
        </w:rPr>
        <w:tab/>
        <w:t>μόλις λάβει γνώση ή αντιληφθεί τα ανωτέρω, αποσύρει αμέσως το παράνομο περιεχόμενο ή απενεργοποιεί την πρόσβαση σε αυτό.</w:t>
      </w:r>
    </w:p>
    <w:p>
      <w:pPr>
        <w:pStyle w:val="ManualNumPar1"/>
        <w:rPr>
          <w:noProof/>
        </w:rPr>
      </w:pPr>
      <w:r>
        <w:t>2.</w:t>
      </w:r>
      <w:r>
        <w:tab/>
      </w:r>
      <w:r>
        <w:rPr>
          <w:noProof/>
        </w:rPr>
        <w:t>Η παράγραφος 1 δεν εφαρμόζεται σε περιπτώσεις στις οποίες ο αποδέκτης της υπηρεσίας ενεργεί υπό την εξουσία ή υπό τον έλεγχο του παρόχου υπηρεσιών.</w:t>
      </w:r>
    </w:p>
    <w:p>
      <w:pPr>
        <w:pStyle w:val="ManualNumPar1"/>
        <w:rPr>
          <w:noProof/>
        </w:rPr>
      </w:pPr>
      <w:r>
        <w:t>3.</w:t>
      </w:r>
      <w:r>
        <w:tab/>
      </w:r>
      <w:r>
        <w:rPr>
          <w:noProof/>
        </w:rPr>
        <w:t>Η παράγραφος 1 δεν εφαρμόζεται όσον αφορά την ευθύνη, βάσει του δικαίου για την προστασία των καταναλωτών, των επιγραμμικών πλατφορμών που επιτρέπουν στους καταναλωτές να συνάπτουν εξ αποστάσεως συμβάσεις με εμπόρους, όταν η εν λόγω επιγραμμική πλατφόρμα παρουσιάζει το συγκεκριμένο πληροφοριακό στοιχείο ή καθιστά με άλλο τρόπον δυνατή τη συγκεκριμένη συναλλαγή κατά τρόπο που θα είχε ως αποτέλεσμα ένας μέσος και εύλογα ενημερωμένος καταναλωτής να πιστέψει ότι οι πληροφορίες ή το προϊόν ή η υπηρεσία που αποτελεί αντικείμενο της συναλλαγής παρέχονται είτε από την ίδια την επιγραμμική πλατφόρμα είτε από αποδέκτη της υπηρεσίας που ενεργεί υπό την εξουσία ή τον έλεγχό της.</w:t>
      </w:r>
    </w:p>
    <w:p>
      <w:pPr>
        <w:pStyle w:val="ManualNumPar1"/>
        <w:rPr>
          <w:bCs/>
          <w:noProof/>
        </w:rPr>
      </w:pPr>
      <w:r>
        <w:t>4.</w:t>
      </w:r>
      <w:r>
        <w:tab/>
      </w:r>
      <w:r>
        <w:rPr>
          <w:noProof/>
        </w:rPr>
        <w:t>Το παρόν άρθρο δεν θίγει τη δυνατότητα δικαστικής ή διοικητικής αρχής, σύμφωνα με τα νομικά συστήματα των κρατών μελών, να απαιτήσει από τον πάροχο υπηρεσιών την παύση ή αποτροπή της παράβασης.</w:t>
      </w:r>
    </w:p>
    <w:p>
      <w:pPr>
        <w:pStyle w:val="Titrearticle"/>
        <w:rPr>
          <w:noProof/>
        </w:rPr>
      </w:pPr>
      <w:r>
        <w:rPr>
          <w:noProof/>
        </w:rPr>
        <w:lastRenderedPageBreak/>
        <w:t>Άρθρο 6</w:t>
      </w:r>
      <w:r>
        <w:rPr>
          <w:noProof/>
        </w:rPr>
        <w:br w:type="textWrapping" w:clear="all"/>
        <w:t>Εθελοντικές αυτεπάγγελτες έρευνες και συμμόρφωση με τις κείμενες διατάξεις</w:t>
      </w:r>
    </w:p>
    <w:p>
      <w:pPr>
        <w:rPr>
          <w:noProof/>
        </w:rPr>
      </w:pPr>
      <w:r>
        <w:rPr>
          <w:noProof/>
        </w:rPr>
        <w:t>Οι πάροχοι ενδιάμεσων υπηρεσιών δεν θεωρούνται μη επιλέξιμοι για την απαλλαγή από την ευθύνη που αναφέρεται στα άρθρα 3, 4 και 5 αποκλειστικά και μόνο επειδή πραγματοποιούν εθελοντικές αυτεπάγγελτες έρευνες ή άλλες δραστηριότητες με στόχο την ανίχνευση, τον εντοπισμό και την απόσυρση παράνομου περιεχομένου ή την απενεργοποίηση της πρόσβασης σε αυτό, ή επειδή λαμβάνουν τα αναγκαία μέτρα για να συμμορφωθούν με τις απαιτήσεις του ενωσιακού δικαίου, συμπεριλαμβανομένων εκείνων που ορίζονται στον παρόντα κανονισμό.</w:t>
      </w:r>
    </w:p>
    <w:p>
      <w:pPr>
        <w:pStyle w:val="Titrearticle"/>
        <w:rPr>
          <w:rFonts w:ascii="Segoe UI" w:eastAsia="Times New Roman" w:hAnsi="Segoe UI" w:cs="Segoe UI"/>
          <w:noProof/>
          <w:sz w:val="18"/>
          <w:szCs w:val="18"/>
        </w:rPr>
      </w:pPr>
      <w:r>
        <w:rPr>
          <w:noProof/>
        </w:rPr>
        <w:t>Άρθρο 7</w:t>
      </w:r>
      <w:r>
        <w:rPr>
          <w:noProof/>
        </w:rPr>
        <w:br w:type="textWrapping" w:clear="all"/>
        <w:t>Μη επιβολή γενικής υποχρέωσης παρακολούθησης ή ενεργητικής αναζήτησης γεγονότων</w:t>
      </w:r>
    </w:p>
    <w:p>
      <w:pPr>
        <w:rPr>
          <w:noProof/>
        </w:rPr>
      </w:pPr>
      <w:r>
        <w:rPr>
          <w:noProof/>
        </w:rPr>
        <w:t>Δεν επιβάλλεται στους παρόχους ενδιάμεσων υπηρεσιών γενική υποχρέωση παρακολούθησης των πληροφοριών που μεταδίδουν ή αποθηκεύουν, ούτε γενική υποχρέωση ενεργητικής αναζήτησης γεγονότων ή περιστάσεων που υποδηλώνουν παράνομη δραστηριότητα. </w:t>
      </w:r>
    </w:p>
    <w:p>
      <w:pPr>
        <w:pStyle w:val="Titrearticle"/>
        <w:rPr>
          <w:noProof/>
        </w:rPr>
      </w:pPr>
      <w:r>
        <w:rPr>
          <w:noProof/>
        </w:rPr>
        <w:t>Άρθρο 8</w:t>
      </w:r>
      <w:r>
        <w:rPr>
          <w:noProof/>
        </w:rPr>
        <w:br w:type="textWrapping" w:clear="all"/>
        <w:t>Εντολές ανάληψης δράσης κατά παράνομου περιεχομένου</w:t>
      </w:r>
    </w:p>
    <w:p>
      <w:pPr>
        <w:pStyle w:val="ManualNumPar1"/>
        <w:rPr>
          <w:noProof/>
        </w:rPr>
      </w:pPr>
      <w:r>
        <w:t>1.</w:t>
      </w:r>
      <w:r>
        <w:tab/>
      </w:r>
      <w:r>
        <w:rPr>
          <w:noProof/>
        </w:rPr>
        <w:t>Κατόπιν παραλαβής εντολής ανάληψης δράσης κατά συγκεκριμένου στοιχείου παράνομου περιεχομένου, η οποία εκδίδεται από τις αρμόδιες εθνικές δικαστικές ή διοικητικές αρχές βάσει του εφαρμοστέου ενωσιακού ή εθνικού δικαίου, οι πάροχοι ενδιάμεσων υπηρεσιών ενημερώνουν, σύμφωνα με το ενωσιακό δίκαιο και χωρίς αδικαιολόγητη καθυστέρηση, την αρχή που εκδίδει την εντολή σχετικά με την εκτέλεση των εντολών, προσδιορίζοντας το ληφθέν μέτρο και τη στιγμή κατά την οποία ελήφθη.</w:t>
      </w:r>
    </w:p>
    <w:p>
      <w:pPr>
        <w:pStyle w:val="ManualNumPar1"/>
        <w:rPr>
          <w:noProof/>
        </w:rPr>
      </w:pPr>
      <w:r>
        <w:t>2.</w:t>
      </w:r>
      <w:r>
        <w:tab/>
      </w:r>
      <w:r>
        <w:rPr>
          <w:noProof/>
        </w:rPr>
        <w:t>Τα κράτη μέλη διασφαλίζουν ότι οι εντολές που αναφέρονται στην παράγραφο 1 πληρούν τις ακόλουθες προϋποθέσεις:</w:t>
      </w:r>
    </w:p>
    <w:p>
      <w:pPr>
        <w:pStyle w:val="Point1"/>
        <w:rPr>
          <w:noProof/>
        </w:rPr>
      </w:pPr>
      <w:r>
        <w:rPr>
          <w:noProof/>
        </w:rPr>
        <w:t>α)</w:t>
      </w:r>
      <w:r>
        <w:rPr>
          <w:noProof/>
        </w:rPr>
        <w:tab/>
        <w:t>οι εντολές περιέχουν τα ακόλουθα στοιχεία:</w:t>
      </w:r>
    </w:p>
    <w:p>
      <w:pPr>
        <w:pStyle w:val="Tiret2"/>
        <w:numPr>
          <w:ilvl w:val="0"/>
          <w:numId w:val="76"/>
        </w:numPr>
        <w:rPr>
          <w:noProof/>
        </w:rPr>
      </w:pPr>
      <w:r>
        <w:rPr>
          <w:noProof/>
        </w:rPr>
        <w:t>παρουσίαση των λόγων για τους οποίους οι πληροφορίες αποτελούν παράνομο περιεχόμενο, με αναφορά στη συγκεκριμένη διάταξη του ενωσιακού ή του εθνικού δικαίου που παραβιάζεται·</w:t>
      </w:r>
    </w:p>
    <w:p>
      <w:pPr>
        <w:pStyle w:val="Tiret2"/>
        <w:rPr>
          <w:noProof/>
        </w:rPr>
      </w:pPr>
      <w:r>
        <w:rPr>
          <w:noProof/>
        </w:rPr>
        <w:t xml:space="preserve">έναν ή περισσότερους ακριβείς ενιαίους εντοπιστές πόρου (URL) και, όπου κρίνεται σκόπιμο, πρόσθετες πληροφορίες που επιτρέπουν τον προσδιορισμό του σχετικού παράνομου περιεχομένου· </w:t>
      </w:r>
    </w:p>
    <w:p>
      <w:pPr>
        <w:pStyle w:val="Tiret2"/>
        <w:rPr>
          <w:noProof/>
        </w:rPr>
      </w:pPr>
      <w:r>
        <w:rPr>
          <w:noProof/>
        </w:rPr>
        <w:t>πληροφορίες σχετικά με τη δυνατότητα προσφυγής που διατίθεται στον πάροχο της υπηρεσίας και στον αποδέκτη της υπηρεσίας που παρείχε το περιεχόμενο·</w:t>
      </w:r>
    </w:p>
    <w:p>
      <w:pPr>
        <w:pStyle w:val="Point1"/>
        <w:rPr>
          <w:noProof/>
        </w:rPr>
      </w:pPr>
      <w:r>
        <w:rPr>
          <w:noProof/>
        </w:rPr>
        <w:t>β)</w:t>
      </w:r>
      <w:r>
        <w:rPr>
          <w:noProof/>
        </w:rPr>
        <w:tab/>
        <w:t>το εδαφικό πεδίο εφαρμογής της εντολής, βάσει των εφαρμοστέων κανόνων του ενωσιακού και του εθνικού δικαίου, συμπεριλαμβανομένου του Χάρτη, και, κατά περίπτωση, των γενικών αρχών του διεθνούς δικαίου, δεν υπερβαίνει το απολύτως αναγκαίο για την επίτευξη του στόχου της·</w:t>
      </w:r>
    </w:p>
    <w:p>
      <w:pPr>
        <w:pStyle w:val="Point1"/>
        <w:rPr>
          <w:noProof/>
        </w:rPr>
      </w:pPr>
      <w:r>
        <w:rPr>
          <w:noProof/>
        </w:rPr>
        <w:t>γ)</w:t>
      </w:r>
      <w:r>
        <w:rPr>
          <w:noProof/>
        </w:rPr>
        <w:tab/>
        <w:t>η εντολή συντάσσεται στη γλώσσα που δηλώνει ο πάροχος και αποστέλλεται στο σημείο επαφής που ορίζει ο πάροχος, σύμφωνα με το άρθρο 10.</w:t>
      </w:r>
    </w:p>
    <w:p>
      <w:pPr>
        <w:pStyle w:val="ManualNumPar1"/>
        <w:rPr>
          <w:noProof/>
        </w:rPr>
      </w:pPr>
      <w:r>
        <w:t>3.</w:t>
      </w:r>
      <w:r>
        <w:tab/>
      </w:r>
      <w:r>
        <w:rPr>
          <w:noProof/>
        </w:rPr>
        <w:t xml:space="preserve">Ο συντονιστής ψηφιακών υπηρεσιών από το κράτος μέλος της δικαστικής ή διοικητικής αρχής που εκδίδει την εντολή διαβιβάζει, χωρίς αδικαιολόγητη </w:t>
      </w:r>
      <w:r>
        <w:rPr>
          <w:noProof/>
        </w:rPr>
        <w:lastRenderedPageBreak/>
        <w:t>καθυστέρηση, αντίγραφο των εντολών που αναφέρονται στην παράγραφο 1 σε όλους τους άλλους συντονιστές ψηφιακών υπηρεσιών μέσω του συστήματος που θεσπίζεται σύμφωνα με το άρθρο 67.</w:t>
      </w:r>
    </w:p>
    <w:p>
      <w:pPr>
        <w:pStyle w:val="ManualNumPar1"/>
        <w:rPr>
          <w:noProof/>
        </w:rPr>
      </w:pPr>
      <w:r>
        <w:t>4.</w:t>
      </w:r>
      <w:r>
        <w:tab/>
      </w:r>
      <w:r>
        <w:rPr>
          <w:noProof/>
        </w:rPr>
        <w:t>Οι όροι και οι απαιτήσεις που ορίζονται στο παρόν άρθρο δεν θίγουν απαιτήσεις βάσει εθνικού ποινικού δικονομικού δικαίου που συνάδει με το ενωσιακό δίκαιο.</w:t>
      </w:r>
    </w:p>
    <w:p>
      <w:pPr>
        <w:pStyle w:val="Titrearticle"/>
        <w:rPr>
          <w:noProof/>
        </w:rPr>
      </w:pPr>
      <w:r>
        <w:rPr>
          <w:noProof/>
        </w:rPr>
        <w:t>Άρθρο 9</w:t>
      </w:r>
      <w:r>
        <w:rPr>
          <w:noProof/>
        </w:rPr>
        <w:br w:type="textWrapping" w:clear="all"/>
        <w:t>Εντολές παροχής πληροφοριών</w:t>
      </w:r>
    </w:p>
    <w:p>
      <w:pPr>
        <w:pStyle w:val="ManualNumPar1"/>
        <w:rPr>
          <w:noProof/>
        </w:rPr>
      </w:pPr>
      <w:r>
        <w:t>1.</w:t>
      </w:r>
      <w:r>
        <w:tab/>
      </w:r>
      <w:r>
        <w:rPr>
          <w:noProof/>
        </w:rPr>
        <w:t xml:space="preserve">Κατόπιν παραλαβής εντολής παροχής συγκεκριμένου πληροφοριακού στοιχείου σχετικού με έναν ή περισσότερους συγκεκριμένους μεμονωμένους αποδέκτες της υπηρεσίας, η οποία εκδίδεται από τις αρμόδιες εθνικές δικαστικές ή διοικητικές αρχές βάσει του εφαρμοστέου ενωσιακού ή εθνικού δικαίου, οι πάροχοι ενδιάμεσων υπηρεσιών ενημερώνουν, σύμφωνα με το ενωσιακό δίκαιο και χωρίς αδικαιολόγητη καθυστέρηση, την αρχή που εκδίδει την εντολή σχετικά με την παραλαβή και την εκτέλεση της εντολής. </w:t>
      </w:r>
    </w:p>
    <w:p>
      <w:pPr>
        <w:pStyle w:val="ManualNumPar1"/>
        <w:rPr>
          <w:noProof/>
        </w:rPr>
      </w:pPr>
      <w:r>
        <w:t>2.</w:t>
      </w:r>
      <w:r>
        <w:tab/>
      </w:r>
      <w:r>
        <w:rPr>
          <w:noProof/>
        </w:rPr>
        <w:t xml:space="preserve">Τα κράτη μέλη διασφαλίζουν ότι οι εντολές που αναφέρονται στην παράγραφο 1 πληρούν τις ακόλουθες προϋποθέσεις: </w:t>
      </w:r>
    </w:p>
    <w:p>
      <w:pPr>
        <w:pStyle w:val="Point1"/>
        <w:rPr>
          <w:noProof/>
        </w:rPr>
      </w:pPr>
      <w:r>
        <w:rPr>
          <w:noProof/>
        </w:rPr>
        <w:t>α)</w:t>
      </w:r>
      <w:r>
        <w:rPr>
          <w:noProof/>
        </w:rPr>
        <w:tab/>
        <w:t xml:space="preserve">η εντολή περιέχει τα ακόλουθα στοιχεία: </w:t>
      </w:r>
    </w:p>
    <w:p>
      <w:pPr>
        <w:pStyle w:val="Tiret2"/>
        <w:rPr>
          <w:noProof/>
        </w:rPr>
      </w:pPr>
      <w:r>
        <w:rPr>
          <w:noProof/>
        </w:rPr>
        <w:t xml:space="preserve">παρουσίαση των λόγων που τεκμηριώνουν τον σκοπό για τον οποίο ζητούνται οι πληροφορίες και για τους οποίους είναι απαραίτητη και αναλογική η απαίτηση παροχής των πληροφοριών για τον προσδιορισμό της συμμόρφωσης των αποδεκτών των ενδιάμεσων υπηρεσιών με τους εφαρμοστέους ενωσιακούς ή εθνικούς κανόνες, εκτός εάν η εν λόγω παρουσίαση δεν είναι δυνατό να παρασχεθεί για λόγους που αφορούν την πρόληψη, τη διερεύνηση, την ανίχνευση και τη δίωξη ποινικών αδικημάτων· </w:t>
      </w:r>
    </w:p>
    <w:p>
      <w:pPr>
        <w:pStyle w:val="Tiret2"/>
        <w:rPr>
          <w:noProof/>
        </w:rPr>
      </w:pPr>
      <w:r>
        <w:rPr>
          <w:noProof/>
        </w:rPr>
        <w:t>πληροφορίες σχετικά με τη δυνατότητα προσφυγής που διατίθεται στον πάροχο και στους αποδέκτες της οικείας υπηρεσίας·</w:t>
      </w:r>
    </w:p>
    <w:p>
      <w:pPr>
        <w:pStyle w:val="Point1"/>
        <w:rPr>
          <w:noProof/>
        </w:rPr>
      </w:pPr>
      <w:r>
        <w:rPr>
          <w:noProof/>
        </w:rPr>
        <w:t>β)</w:t>
      </w:r>
      <w:r>
        <w:rPr>
          <w:noProof/>
        </w:rPr>
        <w:tab/>
        <w:t xml:space="preserve">η εντολή ζητεί από τον πάροχο να παράσχει μόνο πληροφορίες που έχουν ήδη συλλεγεί για τους σκοπούς της παροχής της υπηρεσίας και οι οποίες εμπίπτουν στον έλεγχό του· </w:t>
      </w:r>
    </w:p>
    <w:p>
      <w:pPr>
        <w:pStyle w:val="Point1"/>
        <w:rPr>
          <w:noProof/>
        </w:rPr>
      </w:pPr>
      <w:r>
        <w:rPr>
          <w:noProof/>
        </w:rPr>
        <w:t>γ)</w:t>
      </w:r>
      <w:r>
        <w:rPr>
          <w:noProof/>
        </w:rPr>
        <w:tab/>
        <w:t>η εντολή συντάσσεται στη γλώσσα που δηλώνει ο πάροχος και αποστέλλεται στο σημείο επαφής που ορίζει ο εν λόγω πάροχος, σύμφωνα με το άρθρο 10.</w:t>
      </w:r>
    </w:p>
    <w:p>
      <w:pPr>
        <w:pStyle w:val="ManualNumPar1"/>
        <w:rPr>
          <w:noProof/>
        </w:rPr>
      </w:pPr>
      <w:r>
        <w:t>3.</w:t>
      </w:r>
      <w:r>
        <w:tab/>
      </w:r>
      <w:r>
        <w:rPr>
          <w:noProof/>
        </w:rPr>
        <w:t>Ο συντονιστής ψηφιακών υπηρεσιών από το κράτος μέλος της εθνικής δικαστικής ή διοικητικής αρχής που εκδίδει την εντολή διαβιβάζει, χωρίς αδικαιολόγητη καθυστέρηση, αντίγραφο της εντολής που αναφέρεται στην παράγραφο 1 σε όλους τους συντονιστές ψηφιακών υπηρεσιών μέσω του συστήματος που θεσπίζεται σύμφωνα με το άρθρο 67.</w:t>
      </w:r>
    </w:p>
    <w:p>
      <w:pPr>
        <w:pStyle w:val="ManualNumPar1"/>
        <w:rPr>
          <w:noProof/>
        </w:rPr>
      </w:pPr>
      <w:r>
        <w:t>4.</w:t>
      </w:r>
      <w:r>
        <w:tab/>
      </w:r>
      <w:r>
        <w:rPr>
          <w:noProof/>
        </w:rPr>
        <w:t>Οι όροι και οι απαιτήσεις που ορίζονται στο παρόν άρθρο δεν θίγουν απαιτήσεις βάσει εθνικού ποινικού δικονομικού δικαίου που συνάδει με το ενωσιακό δίκαιο.</w:t>
      </w:r>
    </w:p>
    <w:p>
      <w:pPr>
        <w:pStyle w:val="ChapterTitle"/>
        <w:rPr>
          <w:noProof/>
        </w:rPr>
      </w:pPr>
      <w:r>
        <w:rPr>
          <w:noProof/>
        </w:rPr>
        <w:lastRenderedPageBreak/>
        <w:t>Κεφάλαιο III</w:t>
      </w:r>
      <w:r>
        <w:rPr>
          <w:noProof/>
        </w:rPr>
        <w:br w:type="textWrapping" w:clear="all"/>
        <w:t>Υποχρεώσεις δέουσας επιμέλειας για ένα διαφανές και ασφαλές επιγραμμικό περιβάλλον</w:t>
      </w:r>
    </w:p>
    <w:bookmarkEnd w:id="2"/>
    <w:p>
      <w:pPr>
        <w:pStyle w:val="SectionTitle"/>
        <w:rPr>
          <w:b w:val="0"/>
          <w:noProof/>
        </w:rPr>
      </w:pPr>
      <w:r>
        <w:rPr>
          <w:noProof/>
        </w:rPr>
        <w:t>Τμήμα 1</w:t>
      </w:r>
      <w:r>
        <w:rPr>
          <w:noProof/>
        </w:rPr>
        <w:br w:type="textWrapping" w:clear="all"/>
        <w:t>Διατάξεις που εφαρμόζονται σε όλους τους παρόχους ενδιάμεσων υπηρεσιών</w:t>
      </w:r>
    </w:p>
    <w:p>
      <w:pPr>
        <w:pStyle w:val="Titrearticle"/>
        <w:rPr>
          <w:noProof/>
        </w:rPr>
      </w:pPr>
      <w:r>
        <w:rPr>
          <w:noProof/>
        </w:rPr>
        <w:t>Άρθρο 10</w:t>
      </w:r>
      <w:r>
        <w:rPr>
          <w:noProof/>
        </w:rPr>
        <w:br w:type="textWrapping" w:clear="all"/>
        <w:t xml:space="preserve">Σημεία επαφής </w:t>
      </w:r>
    </w:p>
    <w:p>
      <w:pPr>
        <w:pStyle w:val="ManualNumPar1"/>
        <w:rPr>
          <w:noProof/>
        </w:rPr>
      </w:pPr>
      <w:r>
        <w:t>1.</w:t>
      </w:r>
      <w:r>
        <w:tab/>
      </w:r>
      <w:r>
        <w:rPr>
          <w:noProof/>
        </w:rPr>
        <w:t xml:space="preserve">Οι πάροχοι ενδιάμεσων υπηρεσιών θεσπίζουν ένα ενιαίο σημείο επαφής που επιτρέπει την άμεση επικοινωνία, με ηλεκτρονικά μέσα, με τις αρχές των κρατών μελών, την Επιτροπή και το συμβούλιο που αναφέρεται στο άρθρο 47 για την εφαρμογή του παρόντος κανονισμού. </w:t>
      </w:r>
    </w:p>
    <w:p>
      <w:pPr>
        <w:pStyle w:val="ManualNumPar1"/>
        <w:rPr>
          <w:noProof/>
        </w:rPr>
      </w:pPr>
      <w:r>
        <w:t>2.</w:t>
      </w:r>
      <w:r>
        <w:tab/>
      </w:r>
      <w:r>
        <w:rPr>
          <w:noProof/>
        </w:rPr>
        <w:t>Οι πάροχοι ενδιάμεσων υπηρεσιών δημοσιοποιούν τις απαραίτητες πληροφορίες για τον εύκολο εντοπισμό και την επικοινωνία με τα ενιαία σημεία επαφής τους.</w:t>
      </w:r>
    </w:p>
    <w:p>
      <w:pPr>
        <w:pStyle w:val="ManualNumPar1"/>
        <w:rPr>
          <w:noProof/>
        </w:rPr>
      </w:pPr>
      <w:r>
        <w:t>3.</w:t>
      </w:r>
      <w:r>
        <w:tab/>
      </w:r>
      <w:r>
        <w:rPr>
          <w:noProof/>
        </w:rPr>
        <w:t>Οι πάροχοι ενδιάμεσων υπηρεσιών προσδιορίζουν στις πληροφορίες που αναφέρονται στην παράγραφο 2 την επίσημη γλώσσα ή τις γλώσσες της Ένωσης, οι οποίες μπορούν να χρησιμοποιούνται για την επικοινωνία με τα σημεία επαφής τους και οι οποίες περιλαμβάνουν τουλάχιστον μία από τις επίσημες γλώσσες του κράτους μέλους στο οποίο ο πάροχος ενδιάμεσων υπηρεσιών έχει την κύρια εγκατάστασή του ή στο οποίο διαμένει ή είναι εγκατεστημένος ο νόμιμος εκπρόσωπός του.</w:t>
      </w:r>
    </w:p>
    <w:p>
      <w:pPr>
        <w:pStyle w:val="Titrearticle"/>
        <w:rPr>
          <w:noProof/>
        </w:rPr>
      </w:pPr>
      <w:r>
        <w:rPr>
          <w:noProof/>
        </w:rPr>
        <w:t>Άρθρο 11</w:t>
      </w:r>
      <w:r>
        <w:rPr>
          <w:noProof/>
        </w:rPr>
        <w:br w:type="textWrapping" w:clear="all"/>
        <w:t>Νόμιμοι εκπρόσωποι</w:t>
      </w:r>
    </w:p>
    <w:p>
      <w:pPr>
        <w:pStyle w:val="ManualNumPar1"/>
        <w:rPr>
          <w:noProof/>
        </w:rPr>
      </w:pPr>
      <w:r>
        <w:t>1.</w:t>
      </w:r>
      <w:r>
        <w:tab/>
      </w:r>
      <w:r>
        <w:rPr>
          <w:noProof/>
        </w:rPr>
        <w:t>Οι πάροχοι ενδιάμεσων υπηρεσιών που δεν διαθέτουν εγκατάσταση στην Ένωση αλλά προσφέρουν υπηρεσίες στην Ένωση ορίζουν, γραπτώς, νομικό ή φυσικό πρόσωπο ως νόμιμο εκπρόσωπό τους σε ένα από τα κράτη μέλη στα οποία ο πάροχος προσφέρει τις υπηρεσίες του.</w:t>
      </w:r>
    </w:p>
    <w:p>
      <w:pPr>
        <w:pStyle w:val="ManualNumPar1"/>
        <w:rPr>
          <w:noProof/>
        </w:rPr>
      </w:pPr>
      <w:r>
        <w:t>2.</w:t>
      </w:r>
      <w:r>
        <w:tab/>
      </w:r>
      <w:r>
        <w:rPr>
          <w:noProof/>
        </w:rPr>
        <w:t xml:space="preserve">Οι πάροχοι ενδιάμεσων υπηρεσιών αναθέτουν στους νόμιμους εκπροσώπους τους την εντολή να ενημερώνονται από τις αρχές των κρατών μελών, την Επιτροπή και το συμβούλιο, επιπλέον του παρόχου ή αντ’ αυτού, για όλα τα ζητήματα που είναι απαραίτητα για την παραλαβή, τη συμμόρφωση με και την επιβολή αποφάσεων που εκδίδονται σε σχέση με τον παρόντα κανονισμό. </w:t>
      </w:r>
      <w:r>
        <w:rPr>
          <w:noProof/>
          <w:shd w:val="clear" w:color="auto" w:fill="FFFFFF"/>
        </w:rPr>
        <w:t xml:space="preserve">Οι πάροχοι </w:t>
      </w:r>
      <w:r>
        <w:rPr>
          <w:noProof/>
        </w:rPr>
        <w:t xml:space="preserve">ενδιάμεσων υπηρεσιών </w:t>
      </w:r>
      <w:r>
        <w:rPr>
          <w:noProof/>
          <w:shd w:val="clear" w:color="auto" w:fill="FFFFFF"/>
        </w:rPr>
        <w:t xml:space="preserve">παρέχουν στους νόμιμους εκπροσώπους τους τις εξουσίες και τους πόρους που απαιτούνται για τη συνεργασία με τις </w:t>
      </w:r>
      <w:r>
        <w:rPr>
          <w:noProof/>
        </w:rPr>
        <w:t xml:space="preserve">αρχές των κρατών μελών, την Επιτροπή και το συμβούλιο, </w:t>
      </w:r>
      <w:r>
        <w:rPr>
          <w:noProof/>
          <w:shd w:val="clear" w:color="auto" w:fill="FFFFFF"/>
        </w:rPr>
        <w:t>καθώς και τη συμμόρφωση με τις εν λόγω αποφάσεις.</w:t>
      </w:r>
    </w:p>
    <w:p>
      <w:pPr>
        <w:pStyle w:val="ManualNumPar1"/>
        <w:rPr>
          <w:noProof/>
        </w:rPr>
      </w:pPr>
      <w:r>
        <w:t>3.</w:t>
      </w:r>
      <w:r>
        <w:tab/>
      </w:r>
      <w:r>
        <w:rPr>
          <w:noProof/>
        </w:rPr>
        <w:t xml:space="preserve">Ο ορισθείς νόμιμος εκπρόσωπος μπορεί να θεωρηθεί υπεύθυνος για τη μη συμμόρφωση με τις υποχρεώσεις που απορρέουν από τον παρόντα κανονισμό, με την επιφύλαξη της ευθύνης και των νομικών ενεργειών οι οποίες θα μπορούσαν να αναληφθούν κατά του παρόχου ενδιάμεσων υπηρεσιών. </w:t>
      </w:r>
    </w:p>
    <w:p>
      <w:pPr>
        <w:pStyle w:val="ManualNumPar1"/>
        <w:rPr>
          <w:noProof/>
        </w:rPr>
      </w:pPr>
      <w:r>
        <w:t>4.</w:t>
      </w:r>
      <w:r>
        <w:tab/>
      </w:r>
      <w:r>
        <w:rPr>
          <w:noProof/>
        </w:rPr>
        <w:t xml:space="preserve">Οι πάροχοι ενδιάμεσων υπηρεσιών κοινοποιούν το όνομα, τη διεύθυνση, τη διεύθυνση ηλεκτρονικού ταχυδρομείου και τον αριθμό τηλεφώνου του νόμιμου εκπροσώπου τους στον συντονιστή ψηφιακών υπηρεσιών στο κράτος μέλος στο </w:t>
      </w:r>
      <w:r>
        <w:rPr>
          <w:noProof/>
        </w:rPr>
        <w:lastRenderedPageBreak/>
        <w:t>οποίο διαμένει ή είναι εγκατεστημένος ο εν λόγω νόμιμος εκπρόσωπος. Διασφαλίζουν ότι οι πληροφορίες αυτές είναι επικαιροποιημένες.</w:t>
      </w:r>
    </w:p>
    <w:p>
      <w:pPr>
        <w:pStyle w:val="ManualNumPar1"/>
        <w:rPr>
          <w:noProof/>
        </w:rPr>
      </w:pPr>
      <w:r>
        <w:t>5.</w:t>
      </w:r>
      <w:r>
        <w:tab/>
      </w:r>
      <w:r>
        <w:rPr>
          <w:noProof/>
        </w:rPr>
        <w:t>Ο ορισμός νόμιμου εκπροσώπου εντός της Ένωσης σύμφωνα με την παράγραφο 1 δεν ισοδυναμεί με εγκατάσταση στην Ένωση.</w:t>
      </w:r>
    </w:p>
    <w:p>
      <w:pPr>
        <w:pStyle w:val="Titrearticle"/>
        <w:rPr>
          <w:noProof/>
        </w:rPr>
      </w:pPr>
      <w:r>
        <w:rPr>
          <w:noProof/>
        </w:rPr>
        <w:t>Άρθρο 12</w:t>
      </w:r>
      <w:r>
        <w:rPr>
          <w:noProof/>
        </w:rPr>
        <w:br w:type="textWrapping" w:clear="all"/>
        <w:t>Όροι και προϋποθέσεις</w:t>
      </w:r>
    </w:p>
    <w:p>
      <w:pPr>
        <w:pStyle w:val="ManualNumPar1"/>
        <w:rPr>
          <w:noProof/>
        </w:rPr>
      </w:pPr>
      <w:r>
        <w:t>1.</w:t>
      </w:r>
      <w:r>
        <w:tab/>
      </w:r>
      <w:r>
        <w:rPr>
          <w:noProof/>
        </w:rPr>
        <w:t>Οι πάροχοι ενδιάμεσων υπηρεσιών περιλαμβάνουν στους όρους και τις προϋποθέσεις τους πληροφορίες σχετικά με τυχόν περιορισμούς τους οποίους επιβάλλουν σε σχέση με τη χρήση της υπηρεσίας τους όσον αφορά τις πληροφορίες που παρέχονται από τους αποδέκτες της υπηρεσίας. Οι πληροφορίες αυτές περιλαμβάνουν πληροφορίες για κάθε πολιτική, διαδικασία, μέτρο και εργαλείο που χρησιμοποιείται για τον σκοπό του ελέγχου περιεχομένου, συμπεριλαμβανομένων της αλγοριθμικής λήψης αποφάσεων και της επανεξέτασης από άνθρωπο. Διατυπώνονται σε απλή και σαφή γλώσσα και διατίθενται στο κοινό σε εύκολα προσβάσιμη μορφή.</w:t>
      </w:r>
    </w:p>
    <w:p>
      <w:pPr>
        <w:pStyle w:val="ManualNumPar1"/>
        <w:rPr>
          <w:noProof/>
        </w:rPr>
      </w:pPr>
      <w:r>
        <w:t>2.</w:t>
      </w:r>
      <w:r>
        <w:tab/>
      </w:r>
      <w:r>
        <w:rPr>
          <w:noProof/>
        </w:rPr>
        <w:t>Οι πάροχοι ενδιάμεσων υπηρεσιών ενεργούν με επιμελή, αντικειμενικό και αναλογικό τρόπο κατά την εφαρμογή και την επιβολή των περιορισμών που αναφέρονται στην παράγραφο 1, λαμβάνοντας δεόντως υπόψη τα δικαιώματα και τα έννομα συμφέροντα όλων των εμπλεκόμενων μερών, συμπεριλαμβανομένων των εφαρμοστέων θεμελιωδών δικαιωμάτων των αποδεκτών της υπηρεσίας, όπως κατοχυρώνονται στον Χάρτη.</w:t>
      </w:r>
    </w:p>
    <w:p>
      <w:pPr>
        <w:pStyle w:val="Titrearticle"/>
        <w:rPr>
          <w:noProof/>
        </w:rPr>
      </w:pPr>
      <w:r>
        <w:rPr>
          <w:noProof/>
        </w:rPr>
        <w:t>Άρθρο 13</w:t>
      </w:r>
      <w:r>
        <w:rPr>
          <w:noProof/>
        </w:rPr>
        <w:br w:type="textWrapping" w:clear="all"/>
        <w:t>Υποχρεώσεις υποβολής εκθέσεων σχετικά με τη διαφάνεια για παρόχους ενδιάμεσων υπηρεσιών</w:t>
      </w:r>
    </w:p>
    <w:p>
      <w:pPr>
        <w:pStyle w:val="ManualNumPar1"/>
        <w:rPr>
          <w:noProof/>
        </w:rPr>
      </w:pPr>
      <w:r>
        <w:t>1.</w:t>
      </w:r>
      <w:r>
        <w:tab/>
      </w:r>
      <w:r>
        <w:rPr>
          <w:noProof/>
        </w:rPr>
        <w:t xml:space="preserve">Οι πάροχοι ενδιάμεσων υπηρεσιών δημοσιεύουν, τουλάχιστον μία φορά ετησίως, σαφείς, εύκολα κατανοητές και λεπτομερείς εκθέσεις σχετικά με κάθε έλεγχο περιεχομένου που πραγματοποίησαν κατά τη διάρκεια της σχετικής περιόδου. Οι εκθέσεις αυτές περιλαμβάνουν, ιδίως, πληροφορίες σχετικά με τα ακόλουθα, κατά περίπτωση: </w:t>
      </w:r>
    </w:p>
    <w:p>
      <w:pPr>
        <w:pStyle w:val="Point1"/>
        <w:rPr>
          <w:noProof/>
        </w:rPr>
      </w:pPr>
      <w:r>
        <w:rPr>
          <w:noProof/>
        </w:rPr>
        <w:t>α)</w:t>
      </w:r>
      <w:r>
        <w:rPr>
          <w:noProof/>
        </w:rPr>
        <w:tab/>
        <w:t>τον αριθμό εντολών που ελήφθησαν από τις αρχές των κρατών μελών, κατηγοριοποιημένες ανά είδος παράνομου περιεχομένου, συμπεριλαμβανομένων των εντολών που εκδόθηκαν σύμφωνα με τα άρθρα 8 και 9, και τον μέσο χρόνο που απαιτήθηκε για την ανάληψη της δράσης που προσδιορίζεται στις εν λόγω εντολές·</w:t>
      </w:r>
    </w:p>
    <w:p>
      <w:pPr>
        <w:pStyle w:val="Point1"/>
        <w:rPr>
          <w:noProof/>
        </w:rPr>
      </w:pPr>
      <w:r>
        <w:rPr>
          <w:noProof/>
        </w:rPr>
        <w:t>β)</w:t>
      </w:r>
      <w:r>
        <w:rPr>
          <w:noProof/>
        </w:rPr>
        <w:tab/>
        <w:t>τον αριθμό ειδοποιήσεων που υποβλήθηκαν σύμφωνα με το άρθρο 14, κατηγοριοποιημένες ανά είδος εικαζόμενου παράνομου περιεχομένου, κάθε δράση που αναλήφθηκε σύμφωνα με τις ειδοποιήσεις, με διαφοροποίηση μεταξύ δράσεων που αναλήφθηκαν βάσει νόμου και δράσεων που αναλήφθηκαν βάσει των όρων και προϋποθέσεων του παρόχου, και τον μέσο χρόνο που απαιτήθηκε για την ανάληψη της δράσης·</w:t>
      </w:r>
    </w:p>
    <w:p>
      <w:pPr>
        <w:pStyle w:val="Point1"/>
        <w:rPr>
          <w:noProof/>
        </w:rPr>
      </w:pPr>
      <w:r>
        <w:rPr>
          <w:noProof/>
        </w:rPr>
        <w:t>γ)</w:t>
      </w:r>
      <w:r>
        <w:rPr>
          <w:noProof/>
        </w:rPr>
        <w:tab/>
        <w:t xml:space="preserve">τον έλεγχο περιεχομένου που πραγματοποιήθηκε από τους παρόχους με δική τους πρωτοβουλία, συμπεριλαμβανομένων του αριθμού και του είδους των μέτρων που ελήφθησαν και τα οποία επηρεάζουν τη διαθεσιμότητα, την προβολή και την προσβασιμότητα των πληροφοριών που παρασχέθηκαν από τους αποδέκτες της υπηρεσίας, καθώς και την ικανότητα των αποδεκτών να </w:t>
      </w:r>
      <w:r>
        <w:rPr>
          <w:noProof/>
        </w:rPr>
        <w:lastRenderedPageBreak/>
        <w:t>παρέχουν πληροφορίες, ανά είδος λόγου και βάσης για τη λήψη των μέτρων αυτών·</w:t>
      </w:r>
    </w:p>
    <w:p>
      <w:pPr>
        <w:pStyle w:val="Point1"/>
        <w:rPr>
          <w:noProof/>
        </w:rPr>
      </w:pPr>
      <w:r>
        <w:rPr>
          <w:noProof/>
        </w:rPr>
        <w:t>δ)</w:t>
      </w:r>
      <w:r>
        <w:rPr>
          <w:noProof/>
        </w:rPr>
        <w:tab/>
        <w:t>τον αριθμό των καταγγελιών που ελήφθησαν μέσω του εσωτερικού συστήματος διαχείρισης καταγγελιών που αναφέρεται στο άρθρο 17, τη βάση για τις εν λόγω καταγγελίες, τις αποφάσεις που ελήφθησαν σε σχέση με τις καταγγελίες αυτές, τον μέσο χρόνο που απαιτήθηκε για τη λήψη των αποφάσεων αυτών και τον αριθμό των περιπτώσεων στις οποίες ανακλήθηκαν οι εν λόγω αποφάσεις.</w:t>
      </w:r>
    </w:p>
    <w:p>
      <w:pPr>
        <w:pStyle w:val="ManualNumPar1"/>
        <w:rPr>
          <w:noProof/>
        </w:rPr>
      </w:pPr>
      <w:r>
        <w:t>2.</w:t>
      </w:r>
      <w:r>
        <w:tab/>
      </w:r>
      <w:r>
        <w:rPr>
          <w:noProof/>
        </w:rPr>
        <w:t>Η παράγραφος 1 δεν εφαρμόζεται σε παρόχους ενδιάμεσων υπηρεσιών οι οποίοι θεωρούνται πολύ μικρές ή μικρές επιχειρήσεις κατά την έννοια του παραρτήματος της σύστασης 2003/361/ΕΚ.</w:t>
      </w:r>
    </w:p>
    <w:p>
      <w:pPr>
        <w:pStyle w:val="SectionTitle"/>
        <w:rPr>
          <w:noProof/>
        </w:rPr>
      </w:pPr>
      <w:r>
        <w:rPr>
          <w:noProof/>
        </w:rPr>
        <w:t xml:space="preserve"> Τμήμα 2</w:t>
      </w:r>
      <w:r>
        <w:rPr>
          <w:noProof/>
        </w:rPr>
        <w:br w:type="textWrapping" w:clear="all"/>
        <w:t xml:space="preserve">Πρόσθετες διατάξεις που εφαρμόζονται σε παρόχους υπηρεσιών φιλοξενίας, συμπεριλαμβανομένων των επιγραμμικών πλατφορμών </w:t>
      </w:r>
    </w:p>
    <w:p>
      <w:pPr>
        <w:pStyle w:val="Titrearticle"/>
        <w:rPr>
          <w:noProof/>
        </w:rPr>
      </w:pPr>
      <w:r>
        <w:rPr>
          <w:noProof/>
        </w:rPr>
        <w:t>Άρθρο 14</w:t>
      </w:r>
      <w:r>
        <w:rPr>
          <w:noProof/>
        </w:rPr>
        <w:br w:type="textWrapping" w:clear="all"/>
        <w:t>Μηχανισμοί ειδοποίησης και δράσης</w:t>
      </w:r>
    </w:p>
    <w:p>
      <w:pPr>
        <w:pStyle w:val="ManualNumPar1"/>
        <w:rPr>
          <w:noProof/>
        </w:rPr>
      </w:pPr>
      <w:r>
        <w:t>1.</w:t>
      </w:r>
      <w:r>
        <w:tab/>
      </w:r>
      <w:r>
        <w:rPr>
          <w:noProof/>
        </w:rPr>
        <w:t>Οι πάροχοι υπηρεσιών φιλοξενίας θέτουν σε εφαρμογή μηχανισμούς που επιτρέπουν σε οποιοδήποτε πρόσωπο ή οντότητα να τους ειδοποιεί σχετικά με την ύπαρξη συγκεκριμένων πληροφοριακών στοιχείων στην υπηρεσία τους τα οποία το πρόσωπο ή η οντότητα θεωρεί παράνομο περιεχόμενο. Οι εν λόγω μηχανισμοί είναι εύκολα προσβάσιμοι, εύχρηστοι και παρέχουν τη δυνατότητα υποβολής ειδοποιήσεων αποκλειστικά με ηλεκτρονικά μέσα.</w:t>
      </w:r>
    </w:p>
    <w:p>
      <w:pPr>
        <w:pStyle w:val="ManualNumPar1"/>
        <w:rPr>
          <w:noProof/>
        </w:rPr>
      </w:pPr>
      <w:r>
        <w:t>2.</w:t>
      </w:r>
      <w:r>
        <w:tab/>
      </w:r>
      <w:r>
        <w:rPr>
          <w:noProof/>
        </w:rPr>
        <w:t>Οι μηχανισμοί που αναφέρονται στην παράγραφο 1 είναι τέτοιοι ώστε να διευκολύνουν την υποβολή επαρκώς ακριβών και αρκούντως τεκμηριωμένων ειδοποιήσεων, βάσει των οποίων ένας οικονομικός φορέας που επιδεικνύει δέουσα επιμέλεια μπορεί να διαπιστώσει τον παράνομο χαρακτήρα του εν λόγω περιεχομένου. Προς τούτο, οι πάροχοι λαμβάνουν τα αναγκαία μέτρα ώστε να καταστήσουν δυνατή και να διευκολύνουν την υποβολή ειδοποιήσεων που περιέχουν όλα τα ακόλουθα στοιχεία:</w:t>
      </w:r>
    </w:p>
    <w:p>
      <w:pPr>
        <w:pStyle w:val="Point1"/>
        <w:rPr>
          <w:noProof/>
        </w:rPr>
      </w:pPr>
      <w:r>
        <w:rPr>
          <w:noProof/>
        </w:rPr>
        <w:t>α)</w:t>
      </w:r>
      <w:r>
        <w:rPr>
          <w:noProof/>
        </w:rPr>
        <w:tab/>
        <w:t>επεξήγηση των λόγων για τους οποίους το πρόσωπο ή η οντότητα θεωρεί ότι οι επίμαχες πληροφορίες αποτελούν παράνομο περιεχόμενο·</w:t>
      </w:r>
    </w:p>
    <w:p>
      <w:pPr>
        <w:pStyle w:val="Point1"/>
        <w:rPr>
          <w:noProof/>
        </w:rPr>
      </w:pPr>
      <w:r>
        <w:rPr>
          <w:noProof/>
        </w:rPr>
        <w:t>β)</w:t>
      </w:r>
      <w:r>
        <w:rPr>
          <w:noProof/>
        </w:rPr>
        <w:tab/>
        <w:t>σαφή ένδειξη της ηλεκτρονικής τοποθεσίας των εν λόγω πληροφοριών, και ιδίως τον ακριβή URL ή τους ακριβείς URL και, εφόσον είναι απαραίτητο, πρόσθετες πληροφορίες που επιτρέπουν τον προσδιορισμό του παράνομου περιεχομένου·</w:t>
      </w:r>
    </w:p>
    <w:p>
      <w:pPr>
        <w:pStyle w:val="Point1"/>
        <w:rPr>
          <w:noProof/>
        </w:rPr>
      </w:pPr>
      <w:r>
        <w:rPr>
          <w:noProof/>
        </w:rPr>
        <w:t>γ)</w:t>
      </w:r>
      <w:r>
        <w:rPr>
          <w:noProof/>
        </w:rPr>
        <w:tab/>
        <w:t>το όνομα και τη διεύθυνση ηλεκτρονικού ταχυδρομείου του προσώπου ή της οντότητας που υποβάλλει την ειδοποίηση, με εξαίρεση την περίπτωση πληροφοριών που θεωρείται ότι αφορούν ένα από τα αδικήματα που αναφέρονται στα άρθρα 3 έως 7 της οδηγίας 2011/93/ΕΕ·</w:t>
      </w:r>
    </w:p>
    <w:p>
      <w:pPr>
        <w:pStyle w:val="Point1"/>
        <w:rPr>
          <w:noProof/>
        </w:rPr>
      </w:pPr>
      <w:r>
        <w:rPr>
          <w:noProof/>
        </w:rPr>
        <w:t>δ)</w:t>
      </w:r>
      <w:r>
        <w:rPr>
          <w:noProof/>
        </w:rPr>
        <w:tab/>
        <w:t>δήλωση που επιβεβαιώνει την καλή πίστη του προσώπου ή της οντότητας που υποβάλλει την ειδοποίηση και στην οποία αναφέρεται ότι οι πληροφορίες και οι ισχυρισμοί που περιέχονται σε αυτήν είναι ακριβείς και πλήρεις.</w:t>
      </w:r>
    </w:p>
    <w:p>
      <w:pPr>
        <w:pStyle w:val="ManualNumPar1"/>
        <w:rPr>
          <w:noProof/>
        </w:rPr>
      </w:pPr>
      <w:r>
        <w:lastRenderedPageBreak/>
        <w:t>3.</w:t>
      </w:r>
      <w:r>
        <w:tab/>
      </w:r>
      <w:r>
        <w:rPr>
          <w:noProof/>
        </w:rPr>
        <w:t>Οι ειδοποιήσεις που περιλαμβάνουν τα στοιχεία που αναφέρονται στην παράγραφο 2 θεωρείται ότι συνεπάγονται πραγματική γνώση ή αντίληψη για τους σκοπούς του άρθρου 5 σχετικά με το συγκεκριμένο πληροφοριακό στοιχείο.</w:t>
      </w:r>
    </w:p>
    <w:p>
      <w:pPr>
        <w:pStyle w:val="ManualNumPar1"/>
        <w:rPr>
          <w:noProof/>
        </w:rPr>
      </w:pPr>
      <w:r>
        <w:t>4.</w:t>
      </w:r>
      <w:r>
        <w:tab/>
      </w:r>
      <w:r>
        <w:rPr>
          <w:noProof/>
        </w:rPr>
        <w:t xml:space="preserve">Όταν η ειδοποίηση περιέχει το όνομα και τη διεύθυνση ηλεκτρονικού ταχυδρομείου του προσώπου ή της οντότητας που την υπέβαλε, ο πάροχος υπηρεσιών φιλοξενίας αποστέλλει αμέσως στο εν λόγω πρόσωπο ή στην εν λόγω οντότητα επιβεβαίωση παραλαβής της ειδοποίησης. </w:t>
      </w:r>
    </w:p>
    <w:p>
      <w:pPr>
        <w:pStyle w:val="ManualNumPar1"/>
        <w:rPr>
          <w:noProof/>
        </w:rPr>
      </w:pPr>
      <w:r>
        <w:t>5.</w:t>
      </w:r>
      <w:r>
        <w:tab/>
      </w:r>
      <w:r>
        <w:rPr>
          <w:noProof/>
        </w:rPr>
        <w:t xml:space="preserve">Ο πάροχος κοινοποιεί επίσης στο εν λόγω πρόσωπο ή στην εν λόγω οντότητα, χωρίς αδικαιολόγητη καθυστέρηση, την απόφασή του σχετικά με τις πληροφορίες στις οποίες αναφέρεται η ειδοποίηση, παρέχοντας πληροφορίες σχετικά με τις δυνατότητες προσφυγής κατά της εν λόγω απόφασης. </w:t>
      </w:r>
    </w:p>
    <w:p>
      <w:pPr>
        <w:pStyle w:val="ManualNumPar1"/>
        <w:rPr>
          <w:noProof/>
        </w:rPr>
      </w:pPr>
      <w:r>
        <w:t>6.</w:t>
      </w:r>
      <w:r>
        <w:tab/>
      </w:r>
      <w:r>
        <w:rPr>
          <w:noProof/>
        </w:rPr>
        <w:t xml:space="preserve">Οι πάροχοι υπηρεσιών φιλοξενίας επεξεργάζονται κάθε ειδοποίηση που λαμβάνουν σύμφωνα με τους μηχανισμούς που αναφέρονται στην παράγραφο 1 και λαμβάνουν τις αποφάσεις τους σχετικά με τις πληροφορίες στις οποίες αναφέρονται οι ειδοποιήσεις, με έγκαιρο, επιμελή και αντικειμενικό τρόπο. Όταν χρησιμοποιούν αυτοματοποιημένα μέσα για την εν λόγω επεξεργασία ή λήψη αποφάσεων, περιλαμβάνουν στην κοινοποίηση που προβλέπεται στην παράγραφο 4 πληροφορίες σχετικά με την εν λόγω χρήση. </w:t>
      </w:r>
    </w:p>
    <w:p>
      <w:pPr>
        <w:pStyle w:val="Titrearticle"/>
        <w:rPr>
          <w:noProof/>
        </w:rPr>
      </w:pPr>
      <w:r>
        <w:rPr>
          <w:noProof/>
        </w:rPr>
        <w:t>Άρθρο 15</w:t>
      </w:r>
      <w:r>
        <w:rPr>
          <w:noProof/>
        </w:rPr>
        <w:br w:type="textWrapping" w:clear="all"/>
        <w:t>Αιτιολόγηση</w:t>
      </w:r>
    </w:p>
    <w:p>
      <w:pPr>
        <w:pStyle w:val="ManualNumPar1"/>
        <w:rPr>
          <w:noProof/>
        </w:rPr>
      </w:pPr>
      <w:r>
        <w:t>1.</w:t>
      </w:r>
      <w:r>
        <w:tab/>
      </w:r>
      <w:r>
        <w:rPr>
          <w:noProof/>
        </w:rPr>
        <w:t xml:space="preserve">Όταν ένας πάροχος υπηρεσιών φιλοξενίας αποφασίζει να αποσύρει συγκεκριμένα πληροφοριακά στοιχεία που παρέχονται από τους αποδέκτες της υπηρεσίας ή να απενεργοποιήσει την πρόσβαση σε αυτά, ανεξάρτητα από τα μέσα που χρησιμοποιεί για την ανίχνευση, τον εντοπισμό ή την απόσυρση των εν λόγω πληροφοριών ή την απενεργοποίηση της πρόσβασης σε αυτές και ανεξάρτητα από τον λόγο της απόφασής του, ενημερώνει τον αποδέκτη, το αργότερο κατά τη χρονική στιγμή της απόσυρσης ή της απενεργοποίησης της πρόσβασης, σχετικά με την απόφαση και παρέχει σαφή και συγκεκριμένη αιτιολόγηση της απόφασης αυτής. </w:t>
      </w:r>
    </w:p>
    <w:p>
      <w:pPr>
        <w:pStyle w:val="ManualNumPar1"/>
        <w:rPr>
          <w:noProof/>
        </w:rPr>
      </w:pPr>
      <w:r>
        <w:t>2.</w:t>
      </w:r>
      <w:r>
        <w:tab/>
      </w:r>
      <w:r>
        <w:rPr>
          <w:noProof/>
        </w:rPr>
        <w:t>Η αιτιολόγηση που αναφέρεται στην παράγραφο 1 περιλαμβάνει τουλάχιστον τα εξής στοιχεία:</w:t>
      </w:r>
    </w:p>
    <w:p>
      <w:pPr>
        <w:pStyle w:val="Point1"/>
        <w:rPr>
          <w:noProof/>
        </w:rPr>
      </w:pPr>
      <w:r>
        <w:rPr>
          <w:noProof/>
        </w:rPr>
        <w:t>α)</w:t>
      </w:r>
      <w:r>
        <w:rPr>
          <w:noProof/>
        </w:rPr>
        <w:tab/>
        <w:t>κατά πόσον η απόφαση συνεπάγεται την απόσυρση των πληροφοριών ή την απενεργοποίηση της πρόσβασης σε αυτές και, κατά περίπτωση, το εδαφικό πεδίο εφαρμογής της απενεργοποίησης της πρόσβασης·</w:t>
      </w:r>
    </w:p>
    <w:p>
      <w:pPr>
        <w:pStyle w:val="Point1"/>
        <w:rPr>
          <w:noProof/>
        </w:rPr>
      </w:pPr>
      <w:r>
        <w:rPr>
          <w:noProof/>
        </w:rPr>
        <w:t>β)</w:t>
      </w:r>
      <w:r>
        <w:rPr>
          <w:noProof/>
        </w:rPr>
        <w:tab/>
        <w:t>τα γεγονότα και τις περιστάσεις στις οποίες βασίστηκε η λήψη της απόφασης, συμπεριλαμβανομένου, κατά περίπτωση, του κατά πόσον η απόφαση ελήφθη βάσει ειδοποίησης που υποβλήθηκε σύμφωνα με το άρθρο 14·</w:t>
      </w:r>
    </w:p>
    <w:p>
      <w:pPr>
        <w:pStyle w:val="Point1"/>
        <w:rPr>
          <w:noProof/>
        </w:rPr>
      </w:pPr>
      <w:r>
        <w:rPr>
          <w:noProof/>
        </w:rPr>
        <w:t>γ)</w:t>
      </w:r>
      <w:r>
        <w:rPr>
          <w:noProof/>
        </w:rPr>
        <w:tab/>
        <w:t>κατά περίπτωση, πληροφορίες σχετικά με τη χρήση αυτοματοποιημένων μέσων κατά τη λήψη της απόφασης, συμπεριλαμβανομένων περιπτώσεων στις οποίες η απόφαση ελήφθη σε σχέση με περιεχόμενο που ανιχνεύθηκε ή εντοπίστηκε με τη χρήση αυτοματοποιημένων μέσων·</w:t>
      </w:r>
    </w:p>
    <w:p>
      <w:pPr>
        <w:pStyle w:val="Point1"/>
        <w:rPr>
          <w:noProof/>
        </w:rPr>
      </w:pPr>
      <w:r>
        <w:rPr>
          <w:noProof/>
        </w:rPr>
        <w:t>δ)</w:t>
      </w:r>
      <w:r>
        <w:rPr>
          <w:noProof/>
        </w:rPr>
        <w:tab/>
        <w:t>όταν η απόφαση αφορά εικαζόμενο παράνομο περιεχόμενο, αναφέρεται ο νομικός λόγος στον οποίο βασίζεται και επεξηγείται γιατί οι πληροφορίες θεωρούνται παράνομο περιεχόμενο βάσει αυτού του λόγου·</w:t>
      </w:r>
    </w:p>
    <w:p>
      <w:pPr>
        <w:pStyle w:val="Point1"/>
        <w:rPr>
          <w:noProof/>
        </w:rPr>
      </w:pPr>
      <w:r>
        <w:rPr>
          <w:noProof/>
        </w:rPr>
        <w:t>ε)</w:t>
      </w:r>
      <w:r>
        <w:rPr>
          <w:noProof/>
        </w:rPr>
        <w:tab/>
        <w:t xml:space="preserve">όταν η απόφαση βασίζεται στην εικαζόμενη ασυμβατότητα των πληροφοριών με τους όρους και τις προϋποθέσεις του παρόχου, αναφέρεται η συμβατική </w:t>
      </w:r>
      <w:r>
        <w:rPr>
          <w:noProof/>
        </w:rPr>
        <w:lastRenderedPageBreak/>
        <w:t>διάταξη στην οποία βασίζεται και επεξηγείται γιατί θεωρείται ότι οι πληροφορίες δεν συνάδουν με την εν λόγω διάταξη·</w:t>
      </w:r>
    </w:p>
    <w:p>
      <w:pPr>
        <w:pStyle w:val="Point1"/>
        <w:rPr>
          <w:noProof/>
        </w:rPr>
      </w:pPr>
      <w:r>
        <w:rPr>
          <w:noProof/>
        </w:rPr>
        <w:t>στ)</w:t>
      </w:r>
      <w:r>
        <w:rPr>
          <w:noProof/>
        </w:rPr>
        <w:tab/>
        <w:t>πληροφορίες σχετικά με τις δυνατότητες προσφυγής που διατίθενται στον αποδέκτη της υπηρεσίας σε σχέση με την απόφαση, ιδίως μέσω εσωτερικών μηχανισμών διαχείρισης καταγγελιών, εξωδικαστικής επίλυσης διαφορών και δικαστικής προσφυγής.</w:t>
      </w:r>
    </w:p>
    <w:p>
      <w:pPr>
        <w:pStyle w:val="ManualNumPar1"/>
        <w:rPr>
          <w:noProof/>
        </w:rPr>
      </w:pPr>
      <w:r>
        <w:t>3.</w:t>
      </w:r>
      <w:r>
        <w:tab/>
      </w:r>
      <w:r>
        <w:rPr>
          <w:noProof/>
        </w:rPr>
        <w:t xml:space="preserve">Οι πληροφορίες που παρέχονται από τους παρόχους υπηρεσιών φιλοξενίας σύμφωνα με το παρόν άρθρο είναι σαφείς και εύκολα κατανοητές και όσο το δυνατόν πιο ακριβείς και συγκεκριμένες υπό τις δεδομένες συνθήκες. Οι πληροφορίες είναι, ειδικότερα, τέτοιες που να επιτρέπουν εύλογα στον αποδέκτη της οικείας υπηρεσίας να ασκήσει αποτελεσματικά τις δυνατότητες προσφυγής που αναφέρονται στην παράγραφο 2 στοιχείο στ). </w:t>
      </w:r>
    </w:p>
    <w:p>
      <w:pPr>
        <w:pStyle w:val="ManualNumPar1"/>
        <w:rPr>
          <w:noProof/>
        </w:rPr>
      </w:pPr>
      <w:r>
        <w:t>4.</w:t>
      </w:r>
      <w:r>
        <w:tab/>
      </w:r>
      <w:r>
        <w:rPr>
          <w:noProof/>
        </w:rPr>
        <w:t>Οι πάροχοι υπηρεσιών φιλοξενίας δημοσιεύουν τις αποφάσεις και την αιτιολόγηση, όπως αναφέρεται στην παράγραφο 1, σε δημόσια προσβάσιμη βάση δεδομένων που διαχειρίζεται η Επιτροπή. Οι εν λόγω πληροφορίες δεν περιέχουν δεδομένα προσωπικού χαρακτήρα.</w:t>
      </w:r>
    </w:p>
    <w:p>
      <w:pPr>
        <w:pStyle w:val="SectionTitle"/>
        <w:rPr>
          <w:noProof/>
        </w:rPr>
      </w:pPr>
      <w:r>
        <w:rPr>
          <w:noProof/>
        </w:rPr>
        <w:t>Τμήμα 3</w:t>
      </w:r>
      <w:r>
        <w:rPr>
          <w:noProof/>
        </w:rPr>
        <w:br w:type="textWrapping" w:clear="all"/>
        <w:t>Πρόσθετες διατάξεις που εφαρμόζονται σε επιγραμμικές πλατφόρμες</w:t>
      </w:r>
    </w:p>
    <w:p>
      <w:pPr>
        <w:pStyle w:val="Titrearticle"/>
        <w:rPr>
          <w:noProof/>
        </w:rPr>
      </w:pPr>
      <w:r>
        <w:rPr>
          <w:noProof/>
        </w:rPr>
        <w:t>Άρθρο 16</w:t>
      </w:r>
      <w:r>
        <w:rPr>
          <w:noProof/>
        </w:rPr>
        <w:br w:type="textWrapping" w:clear="all"/>
        <w:t>Εξαίρεση πολύ μικρών και μικρών επιχειρήσεων</w:t>
      </w:r>
    </w:p>
    <w:p>
      <w:pPr>
        <w:rPr>
          <w:noProof/>
        </w:rPr>
      </w:pPr>
      <w:r>
        <w:rPr>
          <w:noProof/>
        </w:rPr>
        <w:t>Το παρόν τμήμα δεν εφαρμόζεται σε επιγραμμικές πλατφόρμες οι οποίες θεωρούνται πολύ μικρές ή μικρές επιχειρήσεις κατά την έννοια του παραρτήματος της σύστασης 2003/361/ΕΚ.</w:t>
      </w:r>
    </w:p>
    <w:p>
      <w:pPr>
        <w:pStyle w:val="Titrearticle"/>
        <w:rPr>
          <w:noProof/>
        </w:rPr>
      </w:pPr>
      <w:r>
        <w:rPr>
          <w:noProof/>
        </w:rPr>
        <w:t>Άρθρο 17</w:t>
      </w:r>
      <w:r>
        <w:rPr>
          <w:noProof/>
        </w:rPr>
        <w:br w:type="textWrapping" w:clear="all"/>
        <w:t>Εσωτερικό σύστημα διαχείρισης καταγγελιών</w:t>
      </w:r>
    </w:p>
    <w:p>
      <w:pPr>
        <w:pStyle w:val="ManualNumPar1"/>
        <w:rPr>
          <w:noProof/>
        </w:rPr>
      </w:pPr>
      <w:r>
        <w:t>1.</w:t>
      </w:r>
      <w:r>
        <w:tab/>
      </w:r>
      <w:r>
        <w:rPr>
          <w:noProof/>
        </w:rPr>
        <w:t>Οι επιγραμμικές πλατφόρμες παρέχουν στους αποδέκτες της υπηρεσίας, για περίοδο τουλάχιστον έξι μηνών μετά την απόφαση που αναφέρεται στην παρούσα παράγραφο, πρόσβαση σε αποτελεσματικό εσωτερικό σύστημα διαχείρισης καταγγελιών, το οποίο καθιστά εφικτή την ηλεκτρονική υποβολή καταγγελιών, δωρεάν, κατά των ακόλουθων αποφάσεων που λαμβάνονται από την επιγραμμική πλατφόρμα, με την αιτιολογία ότι οι πληροφορίες που παρέχονται από τους αποδέκτες αποτελούν παράνομο περιεχόμενο ή περιεχόμενο που δεν συνάδει με τους όρους και τις προϋποθέσεις της:</w:t>
      </w:r>
    </w:p>
    <w:p>
      <w:pPr>
        <w:pStyle w:val="Point1"/>
        <w:rPr>
          <w:noProof/>
        </w:rPr>
      </w:pPr>
      <w:r>
        <w:rPr>
          <w:noProof/>
        </w:rPr>
        <w:t>α)</w:t>
      </w:r>
      <w:r>
        <w:rPr>
          <w:noProof/>
        </w:rPr>
        <w:tab/>
        <w:t>αποφάσεις απόσυρσης πληροφοριών ή απενεργοποίησης της πρόσβασης σε αυτές·</w:t>
      </w:r>
    </w:p>
    <w:p>
      <w:pPr>
        <w:pStyle w:val="Point1"/>
        <w:rPr>
          <w:noProof/>
        </w:rPr>
      </w:pPr>
      <w:r>
        <w:rPr>
          <w:noProof/>
        </w:rPr>
        <w:t>β)</w:t>
      </w:r>
      <w:r>
        <w:rPr>
          <w:noProof/>
        </w:rPr>
        <w:tab/>
        <w:t>αποφάσεις αναστολής ή παύσης της παροχής της υπηρεσίας, εν όλω ή εν μέρει, στους αποδέκτες·</w:t>
      </w:r>
    </w:p>
    <w:p>
      <w:pPr>
        <w:pStyle w:val="Point1"/>
        <w:rPr>
          <w:noProof/>
        </w:rPr>
      </w:pPr>
      <w:r>
        <w:rPr>
          <w:noProof/>
        </w:rPr>
        <w:t>γ)</w:t>
      </w:r>
      <w:r>
        <w:rPr>
          <w:noProof/>
        </w:rPr>
        <w:tab/>
        <w:t>αποφάσεις αναστολής ή κατάργησης του λογαριασμού των αποδεκτών.</w:t>
      </w:r>
    </w:p>
    <w:p>
      <w:pPr>
        <w:pStyle w:val="ManualNumPar1"/>
        <w:rPr>
          <w:noProof/>
        </w:rPr>
      </w:pPr>
      <w:r>
        <w:t>2.</w:t>
      </w:r>
      <w:r>
        <w:tab/>
      </w:r>
      <w:r>
        <w:rPr>
          <w:noProof/>
        </w:rPr>
        <w:t xml:space="preserve">Οι επιγραμμικές πλατφόρμες διασφαλίζουν ότι τα εσωτερικά συστήματα διαχείρισης καταγγελιών που διαθέτουν είναι εύκολα προσβάσιμα, εύχρηστα και επιτρέπουν και διευκολύνουν την υποβολή επαρκώς ακριβών και αρκούντως τεκμηριωμένων καταγγελιών. </w:t>
      </w:r>
    </w:p>
    <w:p>
      <w:pPr>
        <w:pStyle w:val="ManualNumPar1"/>
        <w:rPr>
          <w:noProof/>
        </w:rPr>
      </w:pPr>
      <w:r>
        <w:t>3.</w:t>
      </w:r>
      <w:r>
        <w:tab/>
      </w:r>
      <w:r>
        <w:rPr>
          <w:noProof/>
        </w:rPr>
        <w:t xml:space="preserve">Οι επιγραμμικές πλατφόρμες διαχειρίζονται καταγγελίες που υποβάλλονται μέσω του εσωτερικού συστήματος διαχείρισης καταγγελιών που διαθέτουν, με έγκαιρο, </w:t>
      </w:r>
      <w:r>
        <w:rPr>
          <w:noProof/>
        </w:rPr>
        <w:lastRenderedPageBreak/>
        <w:t>επιμελή και αντικειμενικό τρόπο. Όταν μια καταγγελία περιέχει επαρκείς λόγους ώστε η επιγραμμική πλατφόρμα να θεωρήσει ότι οι πληροφορίες στις οποίες αναφέρεται η καταγγελία δεν είναι παράνομες και δεν είναι ασυμβίβαστες με τους όρους και τις προϋποθέσεις της ή περιέχει πληροφορίες που υποδεικνύουν ότι η συμπεριφορά του καταγγέλλοντος δεν δικαιολογεί την αναστολή ή την παύση της υπηρεσίας ή την αναστολή ή την κατάργηση του λογαριασμού, η επιγραμμική πλατφόρμα ανακαλεί την απόφασή της που αναφέρεται στην παράγραφο 1 χωρίς αδικαιολόγητη καθυστέρηση.</w:t>
      </w:r>
    </w:p>
    <w:p>
      <w:pPr>
        <w:pStyle w:val="ManualNumPar1"/>
        <w:rPr>
          <w:noProof/>
        </w:rPr>
      </w:pPr>
      <w:r>
        <w:t>4.</w:t>
      </w:r>
      <w:r>
        <w:tab/>
      </w:r>
      <w:r>
        <w:rPr>
          <w:noProof/>
        </w:rPr>
        <w:t xml:space="preserve">Οι επιγραμμικές πλατφόρμες ενημερώνουν τους καταγγέλλοντες χωρίς αδικαιολόγητη καθυστέρηση για την απόφαση που έχουν λάβει σχετικά με τις πληροφορίες στις οποίες αναφέρεται η καταγγελία και ενημερώνουν τους καταγγέλλοντες για τη δυνατότητα εξωδικαστικής επίλυσης διαφορών που προβλέπεται στο άρθρο 18 και άλλες διαθέσιμες δυνατότητες προσφυγής. </w:t>
      </w:r>
    </w:p>
    <w:p>
      <w:pPr>
        <w:pStyle w:val="ManualNumPar1"/>
        <w:rPr>
          <w:noProof/>
        </w:rPr>
      </w:pPr>
      <w:r>
        <w:t>5.</w:t>
      </w:r>
      <w:r>
        <w:tab/>
      </w:r>
      <w:r>
        <w:rPr>
          <w:noProof/>
        </w:rPr>
        <w:t>Οι επιγραμμικές πλατφόρμες διασφαλίζουν ότι οι αποφάσεις που αναφέρονται στην παράγραφο 4 δεν λαμβάνονται αποκλειστικά βάσει αυτοματοποιημένων μέσων.</w:t>
      </w:r>
    </w:p>
    <w:p>
      <w:pPr>
        <w:pStyle w:val="Titrearticle"/>
        <w:rPr>
          <w:noProof/>
        </w:rPr>
      </w:pPr>
      <w:r>
        <w:rPr>
          <w:noProof/>
        </w:rPr>
        <w:t>Άρθρο 18</w:t>
      </w:r>
      <w:r>
        <w:rPr>
          <w:noProof/>
        </w:rPr>
        <w:br w:type="textWrapping" w:clear="all"/>
        <w:t>Εξωδικαστική επίλυση διαφορών</w:t>
      </w:r>
    </w:p>
    <w:p>
      <w:pPr>
        <w:pStyle w:val="ManualNumPar1"/>
        <w:rPr>
          <w:rFonts w:eastAsia="Times New Roman"/>
          <w:noProof/>
        </w:rPr>
      </w:pPr>
      <w:r>
        <w:t>1.</w:t>
      </w:r>
      <w:r>
        <w:tab/>
      </w:r>
      <w:r>
        <w:rPr>
          <w:noProof/>
        </w:rPr>
        <w:t xml:space="preserve">Οι αποδέκτες της υπηρεσίας στους οποίους απευθύνονται οι αποφάσεις που αναφέρονται στο άρθρο 17 παράγραφος 1 έχουν δικαίωμα να επιλέξουν οποιοδήποτε όργανο εξωδικαστικής επίλυσης διαφορών που έχει πιστοποιηθεί σύμφωνα με την παράγραφο 2, προκειμένου να επιλύσουν διαφορές που αφορούν τις αποφάσεις αυτές, συμπεριλαμβανομένων καταγγελιών που δεν κατέστη εφικτό να επιλυθούν μέσω του εσωτερικού συστήματος διαχείρισης καταγγελιών που αναφέρεται στο εν λόγω άρθρο. Οι επιγραμμικές πλατφόρμες συμμετέχουν, με καλή πίστη, στο όργανο που επιλέγεται για την επίλυση της διαφοράς και δεσμεύονται από την απόφαση που λαμβάνει το όργανο. </w:t>
      </w:r>
    </w:p>
    <w:p>
      <w:pPr>
        <w:pStyle w:val="Text1"/>
        <w:rPr>
          <w:rFonts w:eastAsia="Times New Roman"/>
          <w:noProof/>
        </w:rPr>
      </w:pPr>
      <w:r>
        <w:rPr>
          <w:noProof/>
        </w:rPr>
        <w:t>Το πρώτο εδάφιο δεν θίγει το δικαίωμα του οικείου αποδέκτη να ασκήσει προσφυγή κατά της απόφασης ενώπιον δικαστηρίου σύμφωνα με το εφαρμοστέο δίκαιο.</w:t>
      </w:r>
    </w:p>
    <w:p>
      <w:pPr>
        <w:pStyle w:val="ManualNumPar1"/>
        <w:rPr>
          <w:noProof/>
        </w:rPr>
      </w:pPr>
      <w:r>
        <w:t>2.</w:t>
      </w:r>
      <w:r>
        <w:tab/>
      </w:r>
      <w:r>
        <w:rPr>
          <w:noProof/>
        </w:rPr>
        <w:t>Ο συντονιστής ψηφιακών υπηρεσιών του κράτους μέλους στο οποίο είναι εγκατεστημένο το όργανο εξωδικαστικής επίλυσης διαφορών, κατόπιν αιτήματος του εν λόγω οργάνου, πιστοποιεί το όργανο, όταν αυτό αποδεικνύει ότι πληροί όλες τις ακόλουθες προϋποθέσεις:</w:t>
      </w:r>
    </w:p>
    <w:p>
      <w:pPr>
        <w:pStyle w:val="Point1"/>
        <w:rPr>
          <w:noProof/>
        </w:rPr>
      </w:pPr>
      <w:r>
        <w:rPr>
          <w:noProof/>
        </w:rPr>
        <w:t>α)</w:t>
      </w:r>
      <w:r>
        <w:rPr>
          <w:noProof/>
        </w:rPr>
        <w:tab/>
        <w:t>είναι αμερόληπτο και ανεξάρτητο από τις επιγραμμικές πλατφόρμες και τους αποδέκτες της υπηρεσίας που παρέχεται από τις επιγραμμικές πλατφόρμες·</w:t>
      </w:r>
    </w:p>
    <w:p>
      <w:pPr>
        <w:pStyle w:val="Point1"/>
        <w:rPr>
          <w:noProof/>
        </w:rPr>
      </w:pPr>
      <w:r>
        <w:rPr>
          <w:noProof/>
        </w:rPr>
        <w:t>β)</w:t>
      </w:r>
      <w:r>
        <w:rPr>
          <w:noProof/>
        </w:rPr>
        <w:tab/>
        <w:t>διαθέτει την αναγκαία τεχνογνωσία όσον αφορά τα ζητήματα που προκύπτουν σε έναν ή περισσότερους συγκεκριμένους τομείς παράνομου περιεχομένου ή όσον αφορά την εφαρμογή και επιβολή των όρων και προϋποθέσεων ενός ή περισσότερων τύπων επιγραμμικών πλατφορμών, η οποία δίνει τη δυνατότητα στο όργανο να μπορεί να συνεισφέρει αποτελεσματικά στην επίλυση της διαφοράς·</w:t>
      </w:r>
    </w:p>
    <w:p>
      <w:pPr>
        <w:pStyle w:val="Point1"/>
        <w:rPr>
          <w:noProof/>
        </w:rPr>
      </w:pPr>
      <w:r>
        <w:rPr>
          <w:noProof/>
        </w:rPr>
        <w:t>γ)</w:t>
      </w:r>
      <w:r>
        <w:rPr>
          <w:noProof/>
        </w:rPr>
        <w:tab/>
        <w:t>η επίλυση διαφορών είναι εύκολα προσβάσιμη μέσω τεχνολογίας ηλεκτρονικών επικοινωνιών·</w:t>
      </w:r>
    </w:p>
    <w:p>
      <w:pPr>
        <w:pStyle w:val="Point1"/>
        <w:rPr>
          <w:noProof/>
        </w:rPr>
      </w:pPr>
      <w:r>
        <w:rPr>
          <w:noProof/>
        </w:rPr>
        <w:t>δ)</w:t>
      </w:r>
      <w:r>
        <w:rPr>
          <w:noProof/>
        </w:rPr>
        <w:tab/>
        <w:t>είναι σε θέση να επιλύει διαφορές με ταχύ, αποτελεσματικό και οικονομικά αποδοτικό τρόπο και τουλάχιστον σε μία επίσημη γλώσσα της Ένωσης·</w:t>
      </w:r>
    </w:p>
    <w:p>
      <w:pPr>
        <w:pStyle w:val="Point1"/>
        <w:rPr>
          <w:noProof/>
        </w:rPr>
      </w:pPr>
      <w:r>
        <w:rPr>
          <w:noProof/>
        </w:rPr>
        <w:lastRenderedPageBreak/>
        <w:t>ε)</w:t>
      </w:r>
      <w:r>
        <w:rPr>
          <w:noProof/>
        </w:rPr>
        <w:tab/>
        <w:t>η επίλυση διαφορών πραγματοποιείται σύμφωνα με σαφείς και δίκαιους διαδικαστικούς κανόνες.</w:t>
      </w:r>
    </w:p>
    <w:p>
      <w:pPr>
        <w:ind w:left="850"/>
        <w:rPr>
          <w:noProof/>
        </w:rPr>
      </w:pPr>
      <w:r>
        <w:rPr>
          <w:noProof/>
        </w:rPr>
        <w:t>Ο συντονιστής ψηφιακών υπηρεσιών προσδιορίζει, κατά περίπτωση, στο πιστοποιητικό τα ειδικά ζητήματα με τα οποία σχετίζεται η τεχνογνωσία του οργάνου και την επίσημη γλώσσα ή γλώσσες της Ένωσης στις οποίες το όργανο είναι σε θέση να επιλύει διαφορές, όπως αναφέρεται στο πρώτο εδάφιο στοιχεία β) και δ), αντίστοιχα.</w:t>
      </w:r>
    </w:p>
    <w:p>
      <w:pPr>
        <w:pStyle w:val="ManualNumPar1"/>
        <w:rPr>
          <w:noProof/>
        </w:rPr>
      </w:pPr>
      <w:r>
        <w:t>3.</w:t>
      </w:r>
      <w:r>
        <w:tab/>
      </w:r>
      <w:r>
        <w:rPr>
          <w:noProof/>
        </w:rPr>
        <w:t xml:space="preserve">Εάν το όργανο αποφανθεί υπέρ του αποδέκτη της υπηρεσίας, η επιγραμμική πλατφόρμα αποζημιώνει τον αποδέκτη για τυχόν τέλη και άλλα εύλογα έξοδα που έχει καταβάλει ή πρόκειται να καταβάλει ο αποδέκτης σε σχέση με την επίλυση της διαφοράς. Εάν το όργανο αποφανθεί υπέρ της επιγραμμικής πλατφόρμας, ο αποδέκτης δεν απαιτείται να επιστρέψει τυχόν τέλη ή άλλα έξοδα που έχει καταβάλει ή πρόκειται να καταβάλει η επιγραμμική πλατφόρμα σε σχέση με την επίλυση της διαφοράς. </w:t>
      </w:r>
    </w:p>
    <w:p>
      <w:pPr>
        <w:ind w:left="850"/>
        <w:rPr>
          <w:noProof/>
        </w:rPr>
      </w:pPr>
      <w:r>
        <w:rPr>
          <w:noProof/>
        </w:rPr>
        <w:t xml:space="preserve">Τα τέλη που χρεώνει το όργανο για την επίλυση διαφορών είναι εύλογα και σε κάθε περίπτωση δεν υπερβαίνουν το κόστος αυτής. </w:t>
      </w:r>
    </w:p>
    <w:p>
      <w:pPr>
        <w:ind w:left="850"/>
        <w:rPr>
          <w:noProof/>
        </w:rPr>
      </w:pPr>
      <w:r>
        <w:rPr>
          <w:noProof/>
        </w:rPr>
        <w:t>Τα πιστοποιημένα όργανα εξωδικαστικής επίλυσης διαφορών γνωστοποιούν στον αποδέκτη των υπηρεσιών και την οικεία επιγραμμική πλατφόρμα τα τέλη ή τους μηχανισμούς που χρησιμοποιούνται για τον προσδιορισμό των τελών, πριν από την έναρξη της διαδικασίας επίλυσης της διαφοράς.</w:t>
      </w:r>
    </w:p>
    <w:p>
      <w:pPr>
        <w:pStyle w:val="ManualNumPar1"/>
        <w:rPr>
          <w:rFonts w:eastAsia="Times New Roman"/>
          <w:noProof/>
        </w:rPr>
      </w:pPr>
      <w:r>
        <w:t>4.</w:t>
      </w:r>
      <w:r>
        <w:tab/>
      </w:r>
      <w:r>
        <w:rPr>
          <w:noProof/>
        </w:rPr>
        <w:t>Τα κράτη μέλη δύνανται να συγκροτούν όργανα εξωδικαστικής επίλυσης διαφορών για τους σκοπούς της παραγράφου 1 ή να στηρίζουν τις δραστηριότητες ορισμένων ή όλων των οργάνων εξωδικαστικής επίλυσης διαφορών που έχουν πιστοποιήσει σύμφωνα με την παράγραφο 2.</w:t>
      </w:r>
    </w:p>
    <w:p>
      <w:pPr>
        <w:ind w:left="850"/>
        <w:rPr>
          <w:noProof/>
        </w:rPr>
      </w:pPr>
      <w:r>
        <w:rPr>
          <w:noProof/>
        </w:rPr>
        <w:t>Τα κράτη μέλη διασφαλίζουν ότι καμία από τις δραστηριότητες που αναλαμβάνουν βάσει του πρώτου εδαφίου δεν επηρεάζει την ικανότητα των συντονιστών ψηφιακών υπηρεσιών τους να πιστοποιούν τα οικεία όργανα σύμφωνα με την παράγραφο 2.</w:t>
      </w:r>
    </w:p>
    <w:p>
      <w:pPr>
        <w:pStyle w:val="ManualNumPar1"/>
        <w:rPr>
          <w:rFonts w:eastAsia="Times New Roman"/>
          <w:noProof/>
        </w:rPr>
      </w:pPr>
      <w:r>
        <w:t>5.</w:t>
      </w:r>
      <w:r>
        <w:tab/>
      </w:r>
      <w:r>
        <w:rPr>
          <w:noProof/>
        </w:rPr>
        <w:t>Οι συντονιστές ψηφιακών υπηρεσιών γνωστοποιούν στην Επιτροπή τα όργανα εξωδικαστικής επίλυσης διαφορών τα οποία έχουν πιστοποιήσει σύμφωνα με την παράγραφο 2, συμπεριλαμβανομένων, κατά περίπτωση, των προδιαγραφών που αναφέρονται στο δεύτερο εδάφιο της εν λόγω παραγράφου. Η Επιτροπή δημοσιεύει κατάλογο των οργάνων αυτών, συμπεριλαμβανομένων των εν λόγω προδιαγραφών, σε ειδικό ιστότοπο και τον διατηρεί ενημερωμένο.</w:t>
      </w:r>
    </w:p>
    <w:p>
      <w:pPr>
        <w:pStyle w:val="ManualNumPar1"/>
        <w:rPr>
          <w:rFonts w:eastAsia="Times New Roman"/>
          <w:noProof/>
        </w:rPr>
      </w:pPr>
      <w:r>
        <w:t>6.</w:t>
      </w:r>
      <w:r>
        <w:tab/>
      </w:r>
      <w:r>
        <w:rPr>
          <w:noProof/>
        </w:rPr>
        <w:t xml:space="preserve">Το παρόν άρθρο δεν θίγει την οδηγία 2013/11/ΕΕ και τις διαδικασίες και τους φορείς εναλλακτικής επίλυσης καταναλωτικών διαφορών που θεσπίζονται στο πλαίσιο της εν λόγω οδηγίας. </w:t>
      </w:r>
    </w:p>
    <w:p>
      <w:pPr>
        <w:pStyle w:val="Titrearticle"/>
        <w:rPr>
          <w:noProof/>
        </w:rPr>
      </w:pPr>
      <w:r>
        <w:rPr>
          <w:noProof/>
        </w:rPr>
        <w:t>Άρθρο 19</w:t>
      </w:r>
      <w:r>
        <w:rPr>
          <w:noProof/>
        </w:rPr>
        <w:br w:type="textWrapping" w:clear="all"/>
        <w:t>Αξιόπιστες πηγές επισήμανσης παράνομου περιεχομένου</w:t>
      </w:r>
    </w:p>
    <w:p>
      <w:pPr>
        <w:pStyle w:val="ManualNumPar1"/>
        <w:rPr>
          <w:rFonts w:eastAsia="Times New Roman"/>
          <w:noProof/>
        </w:rPr>
      </w:pPr>
      <w:r>
        <w:t>1.</w:t>
      </w:r>
      <w:r>
        <w:tab/>
      </w:r>
      <w:r>
        <w:rPr>
          <w:noProof/>
        </w:rPr>
        <w:t xml:space="preserve">Οι επιγραμμικές πλατφόρμες λαμβάνουν τα αναγκαία τεχνικά και οργανωτικά μέτρα ώστε να διασφαλίσουν ότι οι ειδοποιήσεις που υποβάλλονται από αξιόπιστες πηγές επισήμανσης παράνομου περιεχομένου μέσω των μηχανισμών που αναφέρονται στο άρθρο 14 υποβάλλονται σε επεξεργασία και λαμβάνεται σχετική απόφαση κατά προτεραιότητα και χωρίς καθυστέρηση. </w:t>
      </w:r>
    </w:p>
    <w:p>
      <w:pPr>
        <w:pStyle w:val="ManualNumPar1"/>
        <w:rPr>
          <w:noProof/>
        </w:rPr>
      </w:pPr>
      <w:r>
        <w:t>2.</w:t>
      </w:r>
      <w:r>
        <w:tab/>
      </w:r>
      <w:r>
        <w:rPr>
          <w:noProof/>
        </w:rPr>
        <w:t xml:space="preserve">Η ιδιότητα της αξιόπιστης πηγής επισήμανσης παράνομου περιεχομένου βάσει του παρόντος κανονισμού αναγνωρίζεται, έπειτα από αίτηση οποιασδήποτε οντότητας, </w:t>
      </w:r>
      <w:r>
        <w:rPr>
          <w:noProof/>
        </w:rPr>
        <w:lastRenderedPageBreak/>
        <w:t>από τον συντονιστή ψηφιακών υπηρεσιών του κράτους μέλους στο οποίο είναι εγκατεστημένος ο αιτών, όταν ο αιτών αποδεικνύει ότι πληροί όλες τις ακόλουθες προϋποθέσεις:</w:t>
      </w:r>
    </w:p>
    <w:p>
      <w:pPr>
        <w:pStyle w:val="Point1"/>
        <w:rPr>
          <w:noProof/>
        </w:rPr>
      </w:pPr>
      <w:r>
        <w:rPr>
          <w:noProof/>
        </w:rPr>
        <w:t>α)</w:t>
      </w:r>
      <w:r>
        <w:rPr>
          <w:noProof/>
        </w:rPr>
        <w:tab/>
        <w:t>διαθέτει ιδιαίτερη εμπειρογνωσία και ικανότητα για την ανίχνευση, τον εντοπισμό και την αναφορά παράνομου περιεχομένου·</w:t>
      </w:r>
    </w:p>
    <w:p>
      <w:pPr>
        <w:pStyle w:val="Point1"/>
        <w:rPr>
          <w:noProof/>
        </w:rPr>
      </w:pPr>
      <w:r>
        <w:rPr>
          <w:noProof/>
        </w:rPr>
        <w:t>β)</w:t>
      </w:r>
      <w:r>
        <w:rPr>
          <w:noProof/>
        </w:rPr>
        <w:tab/>
        <w:t>αντιπροσωπεύει συλλογικά συμφέροντα και είναι ανεξάρτητος από κάθε επιγραμμική πλατφόρμα·</w:t>
      </w:r>
    </w:p>
    <w:p>
      <w:pPr>
        <w:pStyle w:val="Point1"/>
        <w:rPr>
          <w:noProof/>
        </w:rPr>
      </w:pPr>
      <w:r>
        <w:rPr>
          <w:noProof/>
        </w:rPr>
        <w:t>γ)</w:t>
      </w:r>
      <w:r>
        <w:rPr>
          <w:noProof/>
        </w:rPr>
        <w:tab/>
        <w:t xml:space="preserve"> ασκεί τις δραστηριότητές του για τους σκοπούς της υποβολής ειδοποιήσεων με έγκαιρο, επιμελή και αντικειμενικό τρόπο.</w:t>
      </w:r>
    </w:p>
    <w:p>
      <w:pPr>
        <w:pStyle w:val="ManualNumPar1"/>
        <w:rPr>
          <w:noProof/>
        </w:rPr>
      </w:pPr>
      <w:r>
        <w:t>3.</w:t>
      </w:r>
      <w:r>
        <w:tab/>
      </w:r>
      <w:r>
        <w:rPr>
          <w:noProof/>
        </w:rPr>
        <w:t xml:space="preserve">Οι συντονιστές ψηφιακών υπηρεσιών κοινοποιούν στην Επιτροπή και το συμβούλιο τα ονόματα, τις διευθύνσεις και τις διευθύνσεις ηλεκτρονικού ταχυδρομείου των φορέων στους οποίους αναγνωρίζεται η ιδιότητα της αξιόπιστης πηγής επισήμανσης παράνομου περιεχομένου σύμφωνα με την παράγραφο 2. </w:t>
      </w:r>
    </w:p>
    <w:p>
      <w:pPr>
        <w:pStyle w:val="ManualNumPar1"/>
        <w:rPr>
          <w:noProof/>
        </w:rPr>
      </w:pPr>
      <w:r>
        <w:t>4.</w:t>
      </w:r>
      <w:r>
        <w:tab/>
      </w:r>
      <w:r>
        <w:rPr>
          <w:noProof/>
        </w:rPr>
        <w:t>Η Επιτροπή δημοσιεύει τα στοιχεία που αναφέρονται στην παράγραφο 3 σε δημόσια διαθέσιμη βάση δεδομένων και την διατηρεί ενημερωμένη.</w:t>
      </w:r>
    </w:p>
    <w:p>
      <w:pPr>
        <w:pStyle w:val="ManualNumPar1"/>
        <w:rPr>
          <w:noProof/>
        </w:rPr>
      </w:pPr>
      <w:r>
        <w:t>5.</w:t>
      </w:r>
      <w:r>
        <w:tab/>
      </w:r>
      <w:r>
        <w:rPr>
          <w:noProof/>
        </w:rPr>
        <w:t>Όταν μια επιγραμμική πλατφόρμα διαθέτει πληροφορίες που υποδηλώνουν ότι μια αξιόπιστη πηγή επισήμανσης παράνομου περιεχομένου υπέβαλε σημαντικό αριθμό ανεπαρκώς ακριβών ή μη αρκούντως τεκμηριωμένων ειδοποιήσεων μέσω των μηχανισμών που αναφέρονται στο άρθρο 14, συμπεριλαμβανομένων στοιχείων που συγκεντρώνονται σε σχέση με την επεξεργασία καταγγελιών μέσω των εσωτερικών συστημάτων διαχείρισης καταγγελιών που αναφέρονται στο άρθρο 17 παράγραφος 3, κοινοποιεί τις πληροφορίες αυτές στον συντονιστή ψηφιακών υπηρεσιών που αναγνώρισε την ιδιότητα της αξιόπιστης πηγής επισήμανσης παράνομου περιεχομένου στην αντίστοιχη οντότητα, παρέχοντας τις απαραίτητες επεξηγήσεις και δικαιολογητικά έγγραφα.</w:t>
      </w:r>
    </w:p>
    <w:p>
      <w:pPr>
        <w:pStyle w:val="ManualNumPar1"/>
        <w:rPr>
          <w:noProof/>
        </w:rPr>
      </w:pPr>
      <w:r>
        <w:t>6.</w:t>
      </w:r>
      <w:r>
        <w:tab/>
      </w:r>
      <w:r>
        <w:rPr>
          <w:noProof/>
        </w:rPr>
        <w:t>Ο συντονιστής ψηφιακών υπηρεσιών που αναγνώρισε σε οντότητα την ιδιότητα της αξιόπιστης πηγής επισήμανσης παράνομου περιεχομένου ανακαλεί την ιδιότητα αυτή, εάν διαπιστώσει, έπειτα από έρευνα είτε με δική του πρωτοβουλία είτε βάσει πληροφοριών που έλαβε από τρίτους, συμπεριλαμβανομένων των πληροφοριών που παρέχουν οι επιγραμμικές πλατφόρμες δυνάμει της παραγράφου 5, ότι ο φορέας δεν πληροί πλέον τις προϋποθέσεις που ορίζονται στην παράγραφο 2. Πριν ανακαλέσει την ιδιότητα, ο συντονιστής ψηφιακών υπηρεσιών παρέχει στην οντότητα τη δυνατότητα να σχολιάσει τα πορίσματα της έρευνάς του και την πρόθεσή του να ανακαλέσει την ιδιότητα της οντότητας ως αξιόπιστης πηγής επισήμανσης παράνομου περιεχομένου.</w:t>
      </w:r>
    </w:p>
    <w:p>
      <w:pPr>
        <w:pStyle w:val="ManualNumPar1"/>
        <w:rPr>
          <w:noProof/>
        </w:rPr>
      </w:pPr>
      <w:r>
        <w:t>7.</w:t>
      </w:r>
      <w:r>
        <w:tab/>
      </w:r>
      <w:r>
        <w:rPr>
          <w:noProof/>
        </w:rPr>
        <w:t>Η Επιτροπή, κατόπιν διαβούλευσης με το συμβούλιο, δύναται να εκδίδει κατευθυντήριες οδηγίες για να βοηθά τις επιγραμμικές πλατφόρμες και τους συντονιστές ψηφιακών υπηρεσιών στην εφαρμογή των παραγράφων 5 και 6.</w:t>
      </w:r>
    </w:p>
    <w:p>
      <w:pPr>
        <w:pStyle w:val="Titrearticle"/>
        <w:rPr>
          <w:noProof/>
        </w:rPr>
      </w:pPr>
      <w:r>
        <w:rPr>
          <w:noProof/>
        </w:rPr>
        <w:t>Άρθρο 20</w:t>
      </w:r>
      <w:r>
        <w:rPr>
          <w:noProof/>
        </w:rPr>
        <w:br w:type="textWrapping" w:clear="all"/>
        <w:t>Μέτρα και προστασία κατά της αθέμιτης χρήσης</w:t>
      </w:r>
    </w:p>
    <w:p>
      <w:pPr>
        <w:pStyle w:val="ManualNumPar1"/>
        <w:rPr>
          <w:noProof/>
        </w:rPr>
      </w:pPr>
      <w:r>
        <w:t>1.</w:t>
      </w:r>
      <w:r>
        <w:tab/>
      </w:r>
      <w:r>
        <w:rPr>
          <w:noProof/>
        </w:rPr>
        <w:t xml:space="preserve">Οι επιγραμμικές πλατφόρμες αναστέλλουν, για εύλογο χρονικό διάστημα και αφού εκδώσουν προειδοποίηση, την παροχή των υπηρεσιών τους σε αποδέκτες της υπηρεσίας οι οποίοι παρέχουν συχνά προδήλως παράνομο περιεχόμενο. </w:t>
      </w:r>
    </w:p>
    <w:p>
      <w:pPr>
        <w:pStyle w:val="ManualNumPar1"/>
        <w:rPr>
          <w:noProof/>
        </w:rPr>
      </w:pPr>
      <w:r>
        <w:t>2.</w:t>
      </w:r>
      <w:r>
        <w:tab/>
      </w:r>
      <w:r>
        <w:rPr>
          <w:noProof/>
        </w:rPr>
        <w:t xml:space="preserve">Οι επιγραμμικές πλατφόρμες αναστέλλουν, για εύλογο χρονικό διάστημα και αφού εκδώσουν προειδοποίηση, την επεξεργασία ειδοποιήσεων και καταγγελιών που </w:t>
      </w:r>
      <w:r>
        <w:rPr>
          <w:noProof/>
        </w:rPr>
        <w:lastRenderedPageBreak/>
        <w:t>υποβάλλονται μέσω των μηχανισμών ειδοποίησης και δράσης και των εσωτερικών συστημάτων διαχείρισης καταγγελιών που αναφέρονται στα άρθρα 14 και 17, αντίστοιχα, από πρόσωπα ή οντότητες ή από καταγγέλλοντες που υποβάλλουν συχνά ειδοποιήσεις ή καταγγελίες οι οποίες είναι προδήλως αβάσιμες.</w:t>
      </w:r>
    </w:p>
    <w:p>
      <w:pPr>
        <w:pStyle w:val="ManualNumPar1"/>
        <w:rPr>
          <w:noProof/>
        </w:rPr>
      </w:pPr>
      <w:r>
        <w:t>3.</w:t>
      </w:r>
      <w:r>
        <w:tab/>
      </w:r>
      <w:r>
        <w:rPr>
          <w:noProof/>
        </w:rPr>
        <w:t>Οι επιγραμμικές πλατφόρμες αξιολογούν, κατά περίπτωση και με έγκαιρο, επιμελή και αντικειμενικό τρόπο, εάν ένας αποδέκτης, πρόσωπο, οντότητα ή καταγγέλλων συμμετέχει στην αθέμιτη χρήση που αναφέρεται στις παραγράφους 1 και 2, λαμβάνοντας υπόψη όλα τα συναφή γεγονότα και τις περιστάσεις που προκύπτουν από τις πληροφορίες που διαθέτει η επιγραμμική πλατφόρμα. Οι περιστάσεις αυτές περιλαμβάνουν τουλάχιστον τα ακόλουθα:</w:t>
      </w:r>
    </w:p>
    <w:p>
      <w:pPr>
        <w:pStyle w:val="Point1"/>
        <w:rPr>
          <w:noProof/>
        </w:rPr>
      </w:pPr>
      <w:r>
        <w:rPr>
          <w:noProof/>
        </w:rPr>
        <w:t>α)</w:t>
      </w:r>
      <w:r>
        <w:rPr>
          <w:noProof/>
        </w:rPr>
        <w:tab/>
        <w:t>τον απόλυτο αριθμό στοιχείων προδήλως παράνομου περιεχομένου ή προδήλως αβάσιμων ειδοποιήσεων ή καταγγελιών που υποβλήθηκαν κατά το προηγούμενο έτος·</w:t>
      </w:r>
    </w:p>
    <w:p>
      <w:pPr>
        <w:pStyle w:val="Point1"/>
        <w:rPr>
          <w:noProof/>
        </w:rPr>
      </w:pPr>
      <w:r>
        <w:rPr>
          <w:noProof/>
        </w:rPr>
        <w:t>β)</w:t>
      </w:r>
      <w:r>
        <w:rPr>
          <w:noProof/>
        </w:rPr>
        <w:tab/>
        <w:t>τη σχετική αναλογία αυτών σε σχέση με τον συνολικό αριθμό πληροφοριακών στοιχείων που παρασχέθηκαν ή ειδοποιήσεων που υποβλήθηκαν κατά το προηγούμενο έτος·</w:t>
      </w:r>
    </w:p>
    <w:p>
      <w:pPr>
        <w:pStyle w:val="Point1"/>
        <w:rPr>
          <w:noProof/>
        </w:rPr>
      </w:pPr>
      <w:r>
        <w:rPr>
          <w:noProof/>
        </w:rPr>
        <w:t>γ)</w:t>
      </w:r>
      <w:r>
        <w:rPr>
          <w:noProof/>
        </w:rPr>
        <w:tab/>
        <w:t>τη σοβαρότητα της αθέμιτης χρήσης και τις συνέπειες αυτής·</w:t>
      </w:r>
    </w:p>
    <w:p>
      <w:pPr>
        <w:pStyle w:val="Point1"/>
        <w:rPr>
          <w:noProof/>
        </w:rPr>
      </w:pPr>
      <w:r>
        <w:rPr>
          <w:noProof/>
        </w:rPr>
        <w:t>δ)</w:t>
      </w:r>
      <w:r>
        <w:rPr>
          <w:noProof/>
        </w:rPr>
        <w:tab/>
        <w:t>την πρόθεση του αποδέκτη, του προσώπου, της οντότητας ή του καταγγέλλοντος.</w:t>
      </w:r>
    </w:p>
    <w:p>
      <w:pPr>
        <w:pStyle w:val="ManualNumPar1"/>
        <w:rPr>
          <w:noProof/>
        </w:rPr>
      </w:pPr>
      <w:r>
        <w:t>4.</w:t>
      </w:r>
      <w:r>
        <w:tab/>
      </w:r>
      <w:r>
        <w:rPr>
          <w:noProof/>
        </w:rPr>
        <w:t xml:space="preserve">Οι επιγραμμικές πλατφόρμες καθορίζουν, με σαφή και λεπτομερή τρόπο, στους όρους και τις προϋποθέσεις τους την πολιτική τους όσον αφορά την αθέμιτη χρήση που αναφέρεται στις παραγράφους 1 και 2, συμπεριλαμβανομένων των γεγονότων και των περιστάσεων που λαμβάνουν υπόψη όταν αξιολογούν κατά πόσον μια συγκεκριμένη συμπεριφορά συνιστά αθέμιτη χρήση, καθώς και της διάρκειας της αναστολής. </w:t>
      </w:r>
    </w:p>
    <w:p>
      <w:pPr>
        <w:pStyle w:val="Titrearticle"/>
        <w:rPr>
          <w:noProof/>
        </w:rPr>
      </w:pPr>
      <w:r>
        <w:rPr>
          <w:noProof/>
        </w:rPr>
        <w:t>Άρθρο 21</w:t>
      </w:r>
      <w:r>
        <w:rPr>
          <w:noProof/>
        </w:rPr>
        <w:br w:type="textWrapping" w:clear="all"/>
        <w:t>Αναφορά υπονοιών τέλεσης ποινικών αδικημάτων</w:t>
      </w:r>
    </w:p>
    <w:p>
      <w:pPr>
        <w:pStyle w:val="ManualNumPar1"/>
        <w:rPr>
          <w:noProof/>
        </w:rPr>
      </w:pPr>
      <w:r>
        <w:t>1.</w:t>
      </w:r>
      <w:r>
        <w:tab/>
      </w:r>
      <w:r>
        <w:rPr>
          <w:noProof/>
        </w:rPr>
        <w:t xml:space="preserve">Όταν μια επιγραμμική πλατφόρμα αντιληφθεί τυχόν πληροφορίες που εγείρουν υπόνοια ότι έχει διαπραχθεί, διαπράττεται ή είναι πιθανό να διαπραχθεί σοβαρό ποινικό αδίκημα το οποίο συνεπάγεται απειλή για τη ζωή ή την ασφάλεια προσώπων, ενημερώνει αμέσως τις αρχές επιβολής του νόμου ή τις δικαστικές αρχές του οικείου κράτους μέλους ή των οικείων κρατών μελών σχετικά με την υπόνοιά της και παρέχει όλες τις διαθέσιμες σχετικές πληροφορίες. </w:t>
      </w:r>
    </w:p>
    <w:p>
      <w:pPr>
        <w:pStyle w:val="ManualNumPar1"/>
        <w:rPr>
          <w:noProof/>
        </w:rPr>
      </w:pPr>
      <w:r>
        <w:t>2.</w:t>
      </w:r>
      <w:r>
        <w:tab/>
      </w:r>
      <w:r>
        <w:rPr>
          <w:noProof/>
        </w:rPr>
        <w:t xml:space="preserve">Όταν η επιγραμμική πλατφόρμα δεν μπορεί να προσδιορίσει με εύλογη βεβαιότητα το οικείο κράτος μέλος, ενημερώνει τις αρχές επιβολής του νόμου του κράτους μέλους στο οποίο είναι εγκατεστημένη ή έχει τον νόμιμο εκπρόσωπό της ή ενημερώνει την Ευρωπόλ. </w:t>
      </w:r>
    </w:p>
    <w:p>
      <w:pPr>
        <w:ind w:left="850"/>
        <w:rPr>
          <w:noProof/>
        </w:rPr>
      </w:pPr>
      <w:r>
        <w:rPr>
          <w:noProof/>
        </w:rPr>
        <w:t>Για τους σκοπούς του παρόντος άρθρου, το οικείο κράτος μέλος είναι το κράτος μέλος στο οποίο υπάρχει υπόνοια ότι έχει διαπραχθεί, διαπράττεται ή είναι πιθανό να διαπραχθεί το αδίκημα, ή το κράτος μέλος στο οποίο διαμένει ή βρίσκεται ο φερόμενος ως δράστης, ή το κράτος μέλος στο οποίο διαμένει ή βρίσκεται το θύμα του εικαζόμενου αδικήματος.</w:t>
      </w:r>
    </w:p>
    <w:p>
      <w:pPr>
        <w:pStyle w:val="Titrearticle"/>
        <w:rPr>
          <w:noProof/>
        </w:rPr>
      </w:pPr>
      <w:r>
        <w:rPr>
          <w:noProof/>
        </w:rPr>
        <w:lastRenderedPageBreak/>
        <w:t>Άρθρο 22</w:t>
      </w:r>
      <w:r>
        <w:rPr>
          <w:noProof/>
        </w:rPr>
        <w:br w:type="textWrapping" w:clear="all"/>
        <w:t xml:space="preserve">Ιχνηλασιμότητα εμπόρων </w:t>
      </w:r>
    </w:p>
    <w:p>
      <w:pPr>
        <w:pStyle w:val="ManualNumPar1"/>
        <w:rPr>
          <w:noProof/>
        </w:rPr>
      </w:pPr>
      <w:r>
        <w:t>1.</w:t>
      </w:r>
      <w:r>
        <w:tab/>
      </w:r>
      <w:r>
        <w:rPr>
          <w:noProof/>
        </w:rPr>
        <w:t xml:space="preserve">Όταν μια επιγραμμική πλατφόρμα επιτρέπει στους καταναλωτές να συνάπτουν εξ αποστάσεως συμβάσεις με εμπόρους, διασφαλίζει ότι οι έμποροι μπορούν να χρησιμοποιούν τις υπηρεσίες της μόνον για την προώθηση μηνυμάτων ή για την προσφορά προϊόντων ή υπηρεσιών σε καταναλωτές που βρίσκονται στην Ένωση εάν, πριν από τη χρήση των υπηρεσιών της, η επιγραμμική πλατφόρμα έχει λάβει τις ακόλουθες πληροφορίες: </w:t>
      </w:r>
    </w:p>
    <w:p>
      <w:pPr>
        <w:pStyle w:val="Point1"/>
        <w:rPr>
          <w:noProof/>
        </w:rPr>
      </w:pPr>
      <w:r>
        <w:rPr>
          <w:noProof/>
        </w:rPr>
        <w:t>α)</w:t>
      </w:r>
      <w:r>
        <w:rPr>
          <w:noProof/>
        </w:rPr>
        <w:tab/>
        <w:t xml:space="preserve">το όνομα, τη διεύθυνση, τον αριθμό τηλεφώνου και τη διεύθυνση ηλεκτρονικού ταχυδρομείου του εμπόρου· </w:t>
      </w:r>
    </w:p>
    <w:p>
      <w:pPr>
        <w:pStyle w:val="Point1"/>
        <w:rPr>
          <w:noProof/>
        </w:rPr>
      </w:pPr>
      <w:r>
        <w:rPr>
          <w:noProof/>
        </w:rPr>
        <w:t>β)</w:t>
      </w:r>
      <w:r>
        <w:rPr>
          <w:noProof/>
        </w:rPr>
        <w:tab/>
        <w:t>αντίγραφο του εγγράφου ταυτοποίησης του εμπόρου ή κάθε άλλη ηλεκτρονική ταυτοποίηση, όπως ορίζεται στο άρθρο 3 του κανονισμού (ΕΕ) αριθ. 910/2014 του Ευρωπαϊκού Κοινοβουλίου και του Συμβουλίου</w:t>
      </w:r>
      <w:r>
        <w:rPr>
          <w:rStyle w:val="FootnoteReference"/>
          <w:noProof/>
        </w:rPr>
        <w:footnoteReference w:id="51"/>
      </w:r>
      <w:r>
        <w:rPr>
          <w:noProof/>
        </w:rPr>
        <w:t>·</w:t>
      </w:r>
    </w:p>
    <w:p>
      <w:pPr>
        <w:pStyle w:val="Point1"/>
        <w:rPr>
          <w:noProof/>
        </w:rPr>
      </w:pPr>
      <w:r>
        <w:rPr>
          <w:noProof/>
        </w:rPr>
        <w:t>γ)</w:t>
      </w:r>
      <w:r>
        <w:rPr>
          <w:noProof/>
        </w:rPr>
        <w:tab/>
        <w:t>τα στοιχεία τραπεζικού λογαριασμού του εμπόρου, όταν ο έμπορος είναι φυσικό πρόσωπο·</w:t>
      </w:r>
    </w:p>
    <w:p>
      <w:pPr>
        <w:pStyle w:val="Point1"/>
        <w:rPr>
          <w:noProof/>
        </w:rPr>
      </w:pPr>
      <w:r>
        <w:rPr>
          <w:noProof/>
        </w:rPr>
        <w:t>δ)</w:t>
      </w:r>
      <w:r>
        <w:rPr>
          <w:noProof/>
        </w:rPr>
        <w:tab/>
        <w:t>το όνομα, τη διεύθυνση, τον αριθμό τηλεφώνου και τη διεύθυνση ηλεκτρονικού ταχυδρομείου του οικονομικού φορέα, κατά την έννοια του άρθρου 3 σημείο 13 και του άρθρου 4 του κανονισμού (ΕΕ) 2019/1020 του Ευρωπαϊκού Κοινοβουλίου και του Συμβουλίου</w:t>
      </w:r>
      <w:r>
        <w:rPr>
          <w:rStyle w:val="FootnoteReference"/>
          <w:noProof/>
        </w:rPr>
        <w:footnoteReference w:id="52"/>
      </w:r>
      <w:r>
        <w:rPr>
          <w:noProof/>
        </w:rPr>
        <w:t xml:space="preserve"> ή οποιασδήποτε σχετικής πράξης του δικαίου της Ένωσης· </w:t>
      </w:r>
    </w:p>
    <w:p>
      <w:pPr>
        <w:pStyle w:val="Point1"/>
        <w:rPr>
          <w:noProof/>
        </w:rPr>
      </w:pPr>
      <w:r>
        <w:rPr>
          <w:noProof/>
        </w:rPr>
        <w:t>ε)</w:t>
      </w:r>
      <w:r>
        <w:rPr>
          <w:noProof/>
        </w:rPr>
        <w:tab/>
        <w:t>όταν ο έμπορος είναι καταχωρισμένος σε εμπορικό μητρώο ή αντίστοιχο δημόσιο μητρώο, το εμπορικό μητρώο στο οποίο είναι καταχωρισμένος ο έμπορος και τον αριθμό καταχώρισής του ή ισοδύναμο μέσο ταυτοποίησης στο εν λόγω μητρώο·</w:t>
      </w:r>
    </w:p>
    <w:p>
      <w:pPr>
        <w:pStyle w:val="Point1"/>
        <w:rPr>
          <w:noProof/>
        </w:rPr>
      </w:pPr>
      <w:r>
        <w:rPr>
          <w:noProof/>
        </w:rPr>
        <w:t>στ)</w:t>
      </w:r>
      <w:r>
        <w:rPr>
          <w:noProof/>
        </w:rPr>
        <w:tab/>
        <w:t xml:space="preserve">αυτοπιστοποίηση του εμπόρου με την οποία δεσμεύεται να προσφέρει μόνο προϊόντα ή υπηρεσίες που συμμορφώνονται με τους εφαρμοστέους κανόνες του δικαίου της Ένωσης. </w:t>
      </w:r>
    </w:p>
    <w:p>
      <w:pPr>
        <w:pStyle w:val="ManualNumPar1"/>
        <w:rPr>
          <w:noProof/>
        </w:rPr>
      </w:pPr>
      <w:r>
        <w:t>2.</w:t>
      </w:r>
      <w:r>
        <w:tab/>
      </w:r>
      <w:r>
        <w:rPr>
          <w:noProof/>
        </w:rPr>
        <w:t xml:space="preserve">Mετά τη λήψη των εν λόγω πληροφοριών, η επιγραμμική πλατφόρμα καταβάλλει εύλογες προσπάθειες για να αξιολογήσει κατά πόσον είναι αξιόπιστες οι πληροφορίες που αναφέρονται στην παράγραφο 1 στοιχεία α), δ) και ε), με τη χρήση οποιασδήποτε ελεύθερα προσβάσιμης επίσημης επιγραμμικής βάσης δεδομένων ή επιγραμμικής διεπαφής που διατίθεται από κράτη μέλη ή την Ένωση ή μέσω αιτημάτων προς τον έμπορο για την παροχή δικαιολογητικών από αξιόπιστες πηγές. </w:t>
      </w:r>
    </w:p>
    <w:p>
      <w:pPr>
        <w:pStyle w:val="ManualNumPar1"/>
        <w:rPr>
          <w:noProof/>
        </w:rPr>
      </w:pPr>
      <w:r>
        <w:t>3.</w:t>
      </w:r>
      <w:r>
        <w:tab/>
      </w:r>
      <w:r>
        <w:rPr>
          <w:noProof/>
        </w:rPr>
        <w:t xml:space="preserve">Όταν η επιγραμμική πλατφόρμα έχει ενδείξεις ότι είναι ανακριβές ή ελλιπές οποιοδήποτε πληροφοριακό στοιχείο που αναφέρεται στην παράγραφο 1 και λαμβάνεται από τον οικείο έμπορο, η εν λόγω πλατφόρμα ζητεί από τον έμπορο να διορθώσει τις πληροφορίες στον βαθμό που είναι αναγκαίο, ώστε να διασφαλιστεί ότι όλες οι πληροφορίες είναι ακριβείς και πλήρεις, χωρίς καθυστέρηση ή εντός της προθεσμίας που ορίζει το ενωσιακό και το εθνικό δίκαιο. </w:t>
      </w:r>
    </w:p>
    <w:p>
      <w:pPr>
        <w:ind w:left="850"/>
        <w:rPr>
          <w:noProof/>
        </w:rPr>
      </w:pPr>
      <w:r>
        <w:rPr>
          <w:noProof/>
        </w:rPr>
        <w:lastRenderedPageBreak/>
        <w:t>Σε περίπτωση που ο έμπορος δεν διορθώσει ή δεν συμπληρώσει τις πληροφορίες αυτές, η επιγραμμική πλατφόρμα αναστέλλει την παροχή της υπηρεσίας της στον έμπορο μέχρι να ικανοποιηθεί το αίτημα.</w:t>
      </w:r>
    </w:p>
    <w:p>
      <w:pPr>
        <w:pStyle w:val="ManualNumPar1"/>
        <w:rPr>
          <w:noProof/>
        </w:rPr>
      </w:pPr>
      <w:r>
        <w:t>4.</w:t>
      </w:r>
      <w:r>
        <w:tab/>
      </w:r>
      <w:r>
        <w:rPr>
          <w:noProof/>
        </w:rPr>
        <w:t>Η επιγραμμική πλατφόρμα αποθηκεύει τις πληροφορίες που λαμβάνονται σύμφωνα με τις παραγράφους 1 και 2 με ασφαλή τρόπο για τη διάρκεια της συμβατικής της σχέσης με τον οικείο έμπορο. Στη συνέχεια διαγράφει τις πληροφορίες.</w:t>
      </w:r>
    </w:p>
    <w:p>
      <w:pPr>
        <w:pStyle w:val="ManualNumPar1"/>
        <w:rPr>
          <w:noProof/>
        </w:rPr>
      </w:pPr>
      <w:r>
        <w:t>5.</w:t>
      </w:r>
      <w:r>
        <w:tab/>
      </w:r>
      <w:r>
        <w:rPr>
          <w:noProof/>
        </w:rPr>
        <w:t>Με την επιφύλαξη της παραγράφου 2, η πλατφόρμα γνωστοποιεί τις πληροφορίες σε τρίτους μόνο εφόσον απαιτείται σύμφωνα με το εφαρμοστέο δίκαιο, συμπεριλαμβανομένων των εντολών που αναφέρονται στο άρθρο 9 και τυχόν εντολών που εκδίδονται από αρμόδιες αρχές των κρατών μελών ή από την Επιτροπή για την εκτέλεση των καθηκόντων τους βάσει του παρόντος κανονισμού.</w:t>
      </w:r>
    </w:p>
    <w:p>
      <w:pPr>
        <w:pStyle w:val="ManualNumPar1"/>
        <w:rPr>
          <w:noProof/>
        </w:rPr>
      </w:pPr>
      <w:r>
        <w:t>6.</w:t>
      </w:r>
      <w:r>
        <w:tab/>
      </w:r>
      <w:r>
        <w:rPr>
          <w:noProof/>
        </w:rPr>
        <w:t xml:space="preserve">Η επιγραμμική πλατφόρμα καθιστά διαθέσιμες τις πληροφορίες που αναφέρονται στην παράγραφο 1 στοιχεία α), δ), ε) και στ) στους αποδέκτες της υπηρεσίας με σαφή, εύκολα προσβάσιμο και κατανοητό τρόπο. </w:t>
      </w:r>
    </w:p>
    <w:p>
      <w:pPr>
        <w:pStyle w:val="ManualNumPar1"/>
        <w:rPr>
          <w:noProof/>
        </w:rPr>
      </w:pPr>
      <w:r>
        <w:t>7.</w:t>
      </w:r>
      <w:r>
        <w:tab/>
      </w:r>
      <w:r>
        <w:rPr>
          <w:noProof/>
        </w:rPr>
        <w:t>Η επιγραμμική πλατφόρμα σχεδιάζει και οργανώνει την επιγραμμική της διεπαφή κατά τρόπο που να επιτρέπει στους εμπόρους να συμμορφώνονται με τις υποχρεώσεις τους όσον αφορά τις πληροφορίες που παρέχονται πριν από τη σύναψη της σύμβασης και τις πληροφορίες σχετικά με την ασφάλεια των προϊόντων σύμφωνα με το εφαρμοστέο ενωσιακό δίκαιο.</w:t>
      </w:r>
    </w:p>
    <w:p>
      <w:pPr>
        <w:pStyle w:val="Titrearticle"/>
        <w:rPr>
          <w:noProof/>
        </w:rPr>
      </w:pPr>
      <w:r>
        <w:rPr>
          <w:noProof/>
        </w:rPr>
        <w:t>Άρθρο 23</w:t>
      </w:r>
      <w:r>
        <w:rPr>
          <w:noProof/>
        </w:rPr>
        <w:br w:type="textWrapping" w:clear="all"/>
        <w:t>Υποχρεώσεις υποβολής εκθέσεων σχετικά με τη διαφάνεια για τους παρόχους επιγραμμικών πλατφορμών</w:t>
      </w:r>
    </w:p>
    <w:p>
      <w:pPr>
        <w:pStyle w:val="ManualNumPar1"/>
        <w:rPr>
          <w:noProof/>
        </w:rPr>
      </w:pPr>
      <w:r>
        <w:t>1.</w:t>
      </w:r>
      <w:r>
        <w:tab/>
      </w:r>
      <w:r>
        <w:rPr>
          <w:noProof/>
        </w:rPr>
        <w:t>Εκτός από τις πληροφορίες που αναφέρονται στο άρθρο 13, οι επιγραμμικές πλατφόρμες περιλαμβάνουν στις εκθέσεις που προβλέπονται στο εν λόγω άρθρο πληροφορίες σχετικά με τα ακόλουθα:</w:t>
      </w:r>
    </w:p>
    <w:p>
      <w:pPr>
        <w:pStyle w:val="Point1"/>
        <w:rPr>
          <w:noProof/>
        </w:rPr>
      </w:pPr>
      <w:r>
        <w:rPr>
          <w:noProof/>
        </w:rPr>
        <w:t>α)</w:t>
      </w:r>
      <w:r>
        <w:rPr>
          <w:noProof/>
        </w:rPr>
        <w:tab/>
        <w:t>τον αριθμό των διαφορών που υποβλήθηκαν στα όργανα εξωδικαστικής επίλυσης διαφορών που αναφέρονται στο άρθρο 18, τα αποτελέσματα της επίλυσης διαφορών και τον μέσο απαιτούμενο χρόνο ολοκλήρωσης των διαδικασιών επίλυσης διαφορών·</w:t>
      </w:r>
    </w:p>
    <w:p>
      <w:pPr>
        <w:pStyle w:val="Point1"/>
        <w:rPr>
          <w:noProof/>
        </w:rPr>
      </w:pPr>
      <w:r>
        <w:rPr>
          <w:noProof/>
        </w:rPr>
        <w:t>β)</w:t>
      </w:r>
      <w:r>
        <w:rPr>
          <w:noProof/>
        </w:rPr>
        <w:tab/>
        <w:t>τον αριθμό των αναστολών που επιβλήθηκαν σύμφωνα με το άρθρο 20, κάνοντας διάκριση μεταξύ των αναστολών που επιβλήθηκαν λόγω παροχής προδήλως παράνομου περιεχομένου, υποβολής προδήλως αβάσιμων ειδοποιήσεων και υποβολής προδήλως αβάσιμων καταγγελιών·</w:t>
      </w:r>
    </w:p>
    <w:p>
      <w:pPr>
        <w:pStyle w:val="Point1"/>
        <w:rPr>
          <w:noProof/>
        </w:rPr>
      </w:pPr>
      <w:r>
        <w:rPr>
          <w:noProof/>
        </w:rPr>
        <w:t>γ)</w:t>
      </w:r>
      <w:r>
        <w:rPr>
          <w:noProof/>
        </w:rPr>
        <w:tab/>
        <w:t xml:space="preserve">κάθε χρήση αυτοματοποιημένων μέσων με σκοπό τον έλεγχο περιεχομένου, συμπεριλαμβανομένης της εξειδίκευσης των συγκεκριμένων σκοπών, των ενδείξεων της ακρίβειας των αυτοματοποιημένων μέσων κατά την εκπλήρωση των σκοπών αυτών και τυχόν διασφαλίσεων που εφαρμόστηκαν. </w:t>
      </w:r>
    </w:p>
    <w:p>
      <w:pPr>
        <w:pStyle w:val="ManualNumPar1"/>
        <w:rPr>
          <w:noProof/>
        </w:rPr>
      </w:pPr>
      <w:r>
        <w:t>2.</w:t>
      </w:r>
      <w:r>
        <w:tab/>
      </w:r>
      <w:r>
        <w:rPr>
          <w:noProof/>
        </w:rPr>
        <w:t xml:space="preserve">Οι επιγραμμικές πλατφόρμες δημοσιεύουν, τουλάχιστον μία φορά ανά έξι μήνες, πληροφορίες σχετικά με τους μέσους μηνιαίους ενεργούς αποδέκτες της υπηρεσίας σε κάθε κράτος μέλος, οι οποίοι υπολογίζονται ως ο μέσος όρος κατά την περίοδο των τελευταίων έξι μηνών, σύμφωνα με τη μεθοδολογία που ορίζεται στις κατ’ εξουσιοδότηση πράξεις που εκδίδονται σύμφωνα με το άρθρο 25 παράγραφος 2. </w:t>
      </w:r>
    </w:p>
    <w:p>
      <w:pPr>
        <w:pStyle w:val="ManualNumPar1"/>
        <w:rPr>
          <w:noProof/>
        </w:rPr>
      </w:pPr>
      <w:r>
        <w:t>3.</w:t>
      </w:r>
      <w:r>
        <w:tab/>
      </w:r>
      <w:r>
        <w:rPr>
          <w:noProof/>
        </w:rPr>
        <w:t xml:space="preserve">Οι επιγραμμικές πλατφόρμες κοινοποιούν στον συντονιστή ψηφιακών υπηρεσιών της χώρας εγκατάστασης, κατόπιν αιτήματός του, τις πληροφορίες που αναφέρονται </w:t>
      </w:r>
      <w:r>
        <w:rPr>
          <w:noProof/>
        </w:rPr>
        <w:lastRenderedPageBreak/>
        <w:t>στην παράγραφο 2, οι οποίες είναι επικαιροποιημένες έως τη στιγμή της υποβολής του εν λόγω αιτήματος. Ο συντονιστής ψηφιακών υπηρεσιών μπορεί να ζητήσει από την επιγραμμική πλατφόρμα να παράσχει πρόσθετες πληροφορίες σχετικά με τον υπολογισμό που αναφέρεται στην εν λόγω παράγραφο, συμπεριλαμβανομένων επεξηγήσεων και τεκμηρίωσης σχετικά με τα δεδομένα που χρησιμοποιήθηκαν. Οι εν λόγω πληροφορίες δεν περιλαμβάνουν δεδομένα προσωπικού χαρακτήρα.</w:t>
      </w:r>
    </w:p>
    <w:p>
      <w:pPr>
        <w:pStyle w:val="ManualNumPar1"/>
        <w:rPr>
          <w:noProof/>
        </w:rPr>
      </w:pPr>
      <w:r>
        <w:t>4.</w:t>
      </w:r>
      <w:r>
        <w:tab/>
      </w:r>
      <w:r>
        <w:rPr>
          <w:noProof/>
        </w:rPr>
        <w:t>Η Επιτροπή δύναται να εκδίδει εκτελεστικές πράξεις για τον καθορισμό υποδειγμάτων σχετικά με τη μορφή, το περιεχόμενο και άλλες λεπτομέρειες των εκθέσεων σύμφωνα με την παράγραφο 1.</w:t>
      </w:r>
    </w:p>
    <w:p>
      <w:pPr>
        <w:pStyle w:val="Titrearticle"/>
        <w:rPr>
          <w:noProof/>
        </w:rPr>
      </w:pPr>
      <w:r>
        <w:rPr>
          <w:noProof/>
        </w:rPr>
        <w:t>Άρθρο 24</w:t>
      </w:r>
      <w:r>
        <w:rPr>
          <w:noProof/>
        </w:rPr>
        <w:br w:type="textWrapping" w:clear="all"/>
        <w:t>Διαφάνεια επιγραμμικών διαφημίσεων</w:t>
      </w:r>
    </w:p>
    <w:p>
      <w:pPr>
        <w:rPr>
          <w:noProof/>
        </w:rPr>
      </w:pPr>
      <w:r>
        <w:rPr>
          <w:noProof/>
        </w:rPr>
        <w:t>Οι επιγραμμικές πλατφόρμες που προβάλλουν διαφημίσεις στις επιγραμμικές διεπαφές τους διασφαλίζουν ότι οι αποδέκτες της υπηρεσίας μπορούν να αναγνωρίσουν, για κάθε συγκεκριμένη διαφήμιση που εμφανίζεται σε κάθε μεμονωμένο αποδέκτη, με σαφή και ρητό τρόπο και σε πραγματικό χρόνο, τα εξής:</w:t>
      </w:r>
    </w:p>
    <w:p>
      <w:pPr>
        <w:pStyle w:val="Point1"/>
        <w:rPr>
          <w:noProof/>
        </w:rPr>
      </w:pPr>
      <w:r>
        <w:rPr>
          <w:noProof/>
        </w:rPr>
        <w:t>α)</w:t>
      </w:r>
      <w:r>
        <w:rPr>
          <w:noProof/>
        </w:rPr>
        <w:tab/>
        <w:t>ότι οι πληροφορίες που προβάλλονται αποτελούν διαφήμιση·</w:t>
      </w:r>
    </w:p>
    <w:p>
      <w:pPr>
        <w:pStyle w:val="Point1"/>
        <w:rPr>
          <w:noProof/>
        </w:rPr>
      </w:pPr>
      <w:r>
        <w:rPr>
          <w:noProof/>
        </w:rPr>
        <w:t>β)</w:t>
      </w:r>
      <w:r>
        <w:rPr>
          <w:noProof/>
        </w:rPr>
        <w:tab/>
        <w:t>το φυσικό ή νομικό πρόσωπο για λογαριασμό του οποίου προβάλλεται η διαφήμιση·</w:t>
      </w:r>
    </w:p>
    <w:p>
      <w:pPr>
        <w:pStyle w:val="Point1"/>
        <w:rPr>
          <w:noProof/>
        </w:rPr>
      </w:pPr>
      <w:r>
        <w:rPr>
          <w:noProof/>
        </w:rPr>
        <w:t>γ)</w:t>
      </w:r>
      <w:r>
        <w:rPr>
          <w:noProof/>
        </w:rPr>
        <w:tab/>
        <w:t>σημαντικές πληροφορίες σχετικά με τις κύριες παραμέτρους που χρησιμοποιούνται για τον καθορισμό του αποδέκτη στον οποίο προβάλλεται η διαφήμιση.</w:t>
      </w:r>
    </w:p>
    <w:p>
      <w:pPr>
        <w:pStyle w:val="SectionTitle"/>
        <w:rPr>
          <w:noProof/>
        </w:rPr>
      </w:pPr>
      <w:r>
        <w:rPr>
          <w:noProof/>
        </w:rPr>
        <w:t>Τμήμα 4</w:t>
      </w:r>
      <w:r>
        <w:rPr>
          <w:noProof/>
        </w:rPr>
        <w:br w:type="textWrapping" w:clear="all"/>
        <w:t xml:space="preserve"> Πρόσθετες υποχρεώσεις πολύ μεγάλων επιγραμμικών πλατφορμών όσον αφορά τη διαχείριση συστημικών κινδύνων</w:t>
      </w:r>
    </w:p>
    <w:p>
      <w:pPr>
        <w:pStyle w:val="Titrearticle"/>
        <w:bidi/>
        <w:rPr>
          <w:noProof/>
        </w:rPr>
      </w:pPr>
      <w:r>
        <w:rPr>
          <w:noProof/>
        </w:rPr>
        <w:t>Άρθρο 25</w:t>
      </w:r>
      <w:r>
        <w:rPr>
          <w:noProof/>
        </w:rPr>
        <w:br w:type="textWrapping" w:clear="all"/>
        <w:t>Πολύ μεγάλες επιγραμμικές πλατφόρμες</w:t>
      </w:r>
    </w:p>
    <w:p>
      <w:pPr>
        <w:pStyle w:val="ManualNumPar1"/>
        <w:rPr>
          <w:noProof/>
        </w:rPr>
      </w:pPr>
      <w:r>
        <w:t>1.</w:t>
      </w:r>
      <w:r>
        <w:tab/>
      </w:r>
      <w:r>
        <w:rPr>
          <w:noProof/>
        </w:rPr>
        <w:t>Το παρόν τμήμα εφαρμόζεται σε επιγραμμικές πλατφόρμες οι οποίες παρέχουν τις υπηρεσίες τους σε αριθμό μέσων μηνιαίων ενεργών αποδεκτών της υπηρεσίας στην Ένωση ίσο ή υψηλότερο από 45 εκατομμύρια, ο οποίος υπολογίζεται σύμφωνα με τη μεθοδολογία που καθορίζεται στις κατ’ εξουσιοδότηση πράξεις που αναφέρονται στην παράγραφο 3.</w:t>
      </w:r>
    </w:p>
    <w:p>
      <w:pPr>
        <w:pStyle w:val="ManualNumPar1"/>
        <w:rPr>
          <w:noProof/>
        </w:rPr>
      </w:pPr>
      <w:r>
        <w:t>2.</w:t>
      </w:r>
      <w:r>
        <w:tab/>
      </w:r>
      <w:r>
        <w:rPr>
          <w:noProof/>
        </w:rPr>
        <w:t xml:space="preserve">Η Επιτροπή εκδίδει κατ’ εξουσιοδότηση πράξεις σύμφωνα με το άρθρο 69 για να προσαρμόσει τον αριθμό των μέσων μηνιαίων αποδεκτών της υπηρεσίας στην Ένωση που αναφέρεται στην παράγραφο 1, όταν ο πληθυσμός της Ένωσης αυξάνεται ή μειώνεται τουλάχιστον κατά 5 % σε σχέση με τον πληθυσμό της το 2020 ή, έπειτα από προσαρμογή μέσω κατ’ εξουσιοδότηση πράξης, σε σχέση με τον πληθυσμό της το έτος κατά το οποίο εκδόθηκε η πλέον πρόσφατη κατ’ εξουσιοδότηση πράξη. Στην περίπτωση αυτή, προσαρμόζει τον αριθμό έτσι ώστε να αντιστοιχεί στο 10 % του πληθυσμού της Ένωσης το έτος κατά το οποίο εκδίδει την κατ’ εξουσιοδότηση πράξη, με στρογγυλοποίηση προς τα πάνω ή προς τα κάτω ώστε ο αριθμός να εκφράζεται σε εκατομμύρια. </w:t>
      </w:r>
    </w:p>
    <w:p>
      <w:pPr>
        <w:pStyle w:val="ManualNumPar1"/>
        <w:rPr>
          <w:noProof/>
        </w:rPr>
      </w:pPr>
      <w:r>
        <w:t>3.</w:t>
      </w:r>
      <w:r>
        <w:tab/>
      </w:r>
      <w:r>
        <w:rPr>
          <w:noProof/>
        </w:rPr>
        <w:t xml:space="preserve">Η Επιτροπή εκδίδει κατ’ εξουσιοδότηση πράξεις σύμφωνα με το άρθρο 69, έπειτα από διαβούλευση με το συμβούλιο, ώστε να καθορίσει ειδική μεθοδολογία για τον υπολογισμό του αριθμού των μέσων μηνιαίων ενεργών αποδεκτών της υπηρεσίας </w:t>
      </w:r>
      <w:r>
        <w:rPr>
          <w:noProof/>
        </w:rPr>
        <w:lastRenderedPageBreak/>
        <w:t xml:space="preserve">στην Ένωση, για τους σκοπούς της παραγράφου 1. Στη μεθοδολογία καθορίζεται, συγκεκριμένα, ο τρόπος προσδιορισμού του πληθυσμού της Ένωσης και τα κριτήρια για τον προσδιορισμό των μέσων μηνιαίων ενεργών αποδεκτών της υπηρεσίας στην Ένωση, λαμβανομένων υπόψη διαφορετικών χαρακτηριστικών προσβασιμότητας. </w:t>
      </w:r>
    </w:p>
    <w:p>
      <w:pPr>
        <w:pStyle w:val="ManualNumPar1"/>
        <w:rPr>
          <w:noProof/>
        </w:rPr>
      </w:pPr>
      <w:r>
        <w:t>4.</w:t>
      </w:r>
      <w:r>
        <w:tab/>
      </w:r>
      <w:r>
        <w:rPr>
          <w:noProof/>
        </w:rPr>
        <w:t xml:space="preserve">Ο συντονιστής ψηφιακών υπηρεσιών της χώρας εγκατάστασης επαληθεύει, τουλάχιστον ανά έξι μήνες, εάν ο αριθμός των μέσων μηνιαίων ενεργών αποδεκτών της υπηρεσίας στην Ένωση που διατηρούν οι υπαγόμενες στη δικαιοδοσία του επιγραμμικές πλατφόρμες είναι ίσος ή υψηλότερος από τον αριθμό που αναφέρεται στην παράγραφο 1. Βάσει αυτής της επαλήθευσης, εκδίδει απόφαση για τον χαρακτηρισμό της επιγραμμικής πλατφόρμας ως πολύ μεγάλης επιγραμμικής πλατφόρμας για τους σκοπούς του παρόντος κανονισμού ή για την παύση του εν λόγω χαρακτηρισμού και κοινοποιεί την απόφαση αυτή, χωρίς αδικαιολόγητη καθυστέρηση, στην οικεία επιγραμμική πλατφόρμα και στην Επιτροπή. </w:t>
      </w:r>
    </w:p>
    <w:p>
      <w:pPr>
        <w:ind w:left="850"/>
        <w:rPr>
          <w:noProof/>
        </w:rPr>
      </w:pPr>
      <w:r>
        <w:rPr>
          <w:noProof/>
        </w:rPr>
        <w:t xml:space="preserve">Η Επιτροπή διασφαλίζει ότι ο κατάλογος των χαρακτηρισμένων πολύ μεγάλων επιγραμμικών πλατφορμών δημοσιεύεται στην </w:t>
      </w:r>
      <w:r>
        <w:rPr>
          <w:i/>
          <w:noProof/>
        </w:rPr>
        <w:t>Επίσημη Εφημερίδα της Ευρωπαϊκής Ένωσης</w:t>
      </w:r>
      <w:r>
        <w:rPr>
          <w:noProof/>
        </w:rPr>
        <w:t xml:space="preserve"> και τηρεί τον κατάλογο ενημερωμένο. Οι υποχρεώσεις του παρόντος τμήματος εφαρμόζονται ή παύουν να εφαρμόζονται στις οικείες πολύ μεγάλες επιγραμμικές πλατφόρμες τέσσερις μήνες μετά την προαναφερόμενη δημοσίευση.</w:t>
      </w:r>
    </w:p>
    <w:p>
      <w:pPr>
        <w:pStyle w:val="Titrearticle"/>
        <w:rPr>
          <w:noProof/>
        </w:rPr>
      </w:pPr>
      <w:r>
        <w:rPr>
          <w:noProof/>
        </w:rPr>
        <w:t>Άρθρο 26</w:t>
      </w:r>
      <w:r>
        <w:rPr>
          <w:noProof/>
        </w:rPr>
        <w:br w:type="textWrapping" w:clear="all"/>
        <w:t xml:space="preserve">Εκτίμηση κινδύνων </w:t>
      </w:r>
    </w:p>
    <w:p>
      <w:pPr>
        <w:pStyle w:val="ManualNumPar1"/>
        <w:rPr>
          <w:noProof/>
        </w:rPr>
      </w:pPr>
      <w:r>
        <w:t>1.</w:t>
      </w:r>
      <w:r>
        <w:tab/>
      </w:r>
      <w:r>
        <w:rPr>
          <w:noProof/>
        </w:rPr>
        <w:t>Από την ημερομηνία εφαρμογής που αναφέρεται στο άρθρο 25 παράγραφος 4 δεύτερο εδάφιο, και στη συνέχεια τουλάχιστον μία φορά ανά έτος, οι πολύ μεγάλες επιγραμμικές πλατφόρμες εντοπίζουν, αναλύουν και αξιολογούν τυχόν σημαντικούς συστημικούς κινδύνους που απορρέουν από τη λειτουργία και τη χρήση των υπηρεσιών τους στην Ένωση. Η εν λόγω εκτίμηση κινδύνων αφορά ειδικά τις υπηρεσίες τους και περιλαμβάνει τους ακόλουθους συστημικούς κινδύνους:</w:t>
      </w:r>
    </w:p>
    <w:p>
      <w:pPr>
        <w:pStyle w:val="Point1"/>
        <w:rPr>
          <w:noProof/>
        </w:rPr>
      </w:pPr>
      <w:r>
        <w:rPr>
          <w:noProof/>
        </w:rPr>
        <w:t>α)</w:t>
      </w:r>
      <w:r>
        <w:rPr>
          <w:noProof/>
        </w:rPr>
        <w:tab/>
        <w:t>τη διάδοση παράνομου περιεχομένου μέσω των υπηρεσιών τους·</w:t>
      </w:r>
    </w:p>
    <w:p>
      <w:pPr>
        <w:pStyle w:val="Point1"/>
        <w:rPr>
          <w:noProof/>
        </w:rPr>
      </w:pPr>
      <w:r>
        <w:rPr>
          <w:noProof/>
        </w:rPr>
        <w:t>β)</w:t>
      </w:r>
      <w:r>
        <w:rPr>
          <w:noProof/>
        </w:rPr>
        <w:tab/>
        <w:t>τυχόν αρνητικές επιπτώσεις ως προς την άσκηση των θεμελιωδών δικαιωμάτων του σεβασμού της ιδιωτικής και οικογενειακής ζωής, της ελευθερίας έκφρασης και πληροφόρησης, της απαγόρευσης των διακρίσεων και των δικαιωμάτων του παιδιού, όπως κατοχυρώνονται στα άρθρα 7, 11, 21 και 24 του Χάρτη αντίστοιχα·</w:t>
      </w:r>
    </w:p>
    <w:p>
      <w:pPr>
        <w:pStyle w:val="Point1"/>
        <w:rPr>
          <w:noProof/>
        </w:rPr>
      </w:pPr>
      <w:r>
        <w:rPr>
          <w:noProof/>
        </w:rPr>
        <w:t>γ)</w:t>
      </w:r>
      <w:r>
        <w:rPr>
          <w:noProof/>
        </w:rPr>
        <w:tab/>
        <w:t xml:space="preserve">εσκεμμένη χειραγώγηση της υπηρεσίας τους, συμπεριλαμβανομένης της μη αυθεντικής χρήσης ή της αυτοματοποιημένης εκμετάλλευσης της υπηρεσίας, με πραγματική ή προβλέψιμη αρνητική επίπτωση στην προστασία της δημόσιας υγείας, των ανηλίκων, του πολιτικού λόγου, ή πραγματικές ή προβλέψιμες επιπτώσεις που σχετίζονται με εκλογικές διαδικασίες και τη δημόσια ασφάλεια. </w:t>
      </w:r>
    </w:p>
    <w:p>
      <w:pPr>
        <w:pStyle w:val="ManualNumPar1"/>
        <w:rPr>
          <w:noProof/>
        </w:rPr>
      </w:pPr>
      <w:r>
        <w:t>2.</w:t>
      </w:r>
      <w:r>
        <w:tab/>
      </w:r>
      <w:r>
        <w:rPr>
          <w:noProof/>
        </w:rPr>
        <w:t>Κατά τη διενέργεια εκτιμήσεων κινδύνου, οι πολύ μεγάλες επιγραμμικές πλατφόρμες λαμβάνουν υπόψη, ιδίως, τον τρόπο με τον οποίο τα οικεία συστήματα ελέγχου περιεχομένου, τα συστήματα συστάσεων και τα συστήματα επιλογής και προβολής διαφημίσεων επηρεάζουν οποιονδήποτε από τους συστημικούς κινδύνους που αναφέρονται στην παράγραφο 1, συμπεριλαμβανομένης της πιθανώς ταχείας και ευρείας διάδοσης παράνομου περιεχομένου και πληροφοριών που δεν συνάδουν με τους όρους και τις προϋποθέσεις τους.</w:t>
      </w:r>
    </w:p>
    <w:p>
      <w:pPr>
        <w:pStyle w:val="Titrearticle"/>
        <w:rPr>
          <w:noProof/>
        </w:rPr>
      </w:pPr>
      <w:r>
        <w:rPr>
          <w:noProof/>
        </w:rPr>
        <w:lastRenderedPageBreak/>
        <w:t>Άρθρο 27</w:t>
      </w:r>
      <w:r>
        <w:rPr>
          <w:noProof/>
        </w:rPr>
        <w:br w:type="textWrapping" w:clear="all"/>
        <w:t>Περιορισμός των κινδύνων</w:t>
      </w:r>
    </w:p>
    <w:p>
      <w:pPr>
        <w:pStyle w:val="ManualNumPar1"/>
        <w:rPr>
          <w:noProof/>
        </w:rPr>
      </w:pPr>
      <w:r>
        <w:t>1.</w:t>
      </w:r>
      <w:r>
        <w:tab/>
      </w:r>
      <w:r>
        <w:rPr>
          <w:noProof/>
        </w:rPr>
        <w:t>Οι πολύ μεγάλες επιγραμμικές πλατφόρμες εφαρμόζουν εύλογα, αναλογικά και αποτελεσματικά μέτρα περιορισμού, τα οποία προσαρμόζονται στους ειδικούς συστημικούς κινδύνους που εντοπίζονται σύμφωνα με το άρθρο 26. Τα μέτρα αυτά είναι δυνατόν να περιλαμβάνουν, κατά περίπτωση, τα εξής:</w:t>
      </w:r>
    </w:p>
    <w:p>
      <w:pPr>
        <w:pStyle w:val="Point1"/>
        <w:rPr>
          <w:noProof/>
        </w:rPr>
      </w:pPr>
      <w:r>
        <w:rPr>
          <w:noProof/>
        </w:rPr>
        <w:t>α)</w:t>
      </w:r>
      <w:r>
        <w:rPr>
          <w:noProof/>
        </w:rPr>
        <w:tab/>
        <w:t>προσαρμογή συστημάτων ελέγχου περιεχομένου ή συστάσεων, των διαδικασιών λήψης αποφάσεών τους, των χαρακτηριστικών ή της λειτουργίας των υπηρεσιών τους, ή των όρων και προϋποθέσεων τους·</w:t>
      </w:r>
    </w:p>
    <w:p>
      <w:pPr>
        <w:pStyle w:val="Point1"/>
        <w:rPr>
          <w:noProof/>
        </w:rPr>
      </w:pPr>
      <w:r>
        <w:rPr>
          <w:noProof/>
        </w:rPr>
        <w:t>β)</w:t>
      </w:r>
      <w:r>
        <w:rPr>
          <w:noProof/>
        </w:rPr>
        <w:tab/>
        <w:t>στοχευμένα μέτρα με σκοπό τον περιορισμό της προβολής διαφημίσεων συνδεόμενων με την υπηρεσία που παρέχουν·</w:t>
      </w:r>
    </w:p>
    <w:p>
      <w:pPr>
        <w:pStyle w:val="Point1"/>
        <w:rPr>
          <w:noProof/>
        </w:rPr>
      </w:pPr>
      <w:r>
        <w:rPr>
          <w:noProof/>
        </w:rPr>
        <w:t>γ)</w:t>
      </w:r>
      <w:r>
        <w:rPr>
          <w:noProof/>
        </w:rPr>
        <w:tab/>
        <w:t xml:space="preserve">ενίσχυση των εσωτερικών διαδικασιών ή της επίβλεψης οποιασδήποτε από τις δραστηριότητές τους, ιδίως όσον αφορά την ανίχνευση συστημικού κινδύνου· </w:t>
      </w:r>
    </w:p>
    <w:p>
      <w:pPr>
        <w:pStyle w:val="Point1"/>
        <w:rPr>
          <w:noProof/>
        </w:rPr>
      </w:pPr>
      <w:r>
        <w:rPr>
          <w:noProof/>
        </w:rPr>
        <w:t>δ)</w:t>
      </w:r>
      <w:r>
        <w:rPr>
          <w:noProof/>
        </w:rPr>
        <w:tab/>
        <w:t>έναρξη ή προσαρμογή της συνεργασίας με αξιόπιστες πηγές επισήμανσης παράνομου περιεχομένου σύμφωνα με το άρθρο 19·</w:t>
      </w:r>
    </w:p>
    <w:p>
      <w:pPr>
        <w:pStyle w:val="Point1"/>
        <w:rPr>
          <w:noProof/>
        </w:rPr>
      </w:pPr>
      <w:r>
        <w:rPr>
          <w:noProof/>
        </w:rPr>
        <w:t>ε)</w:t>
      </w:r>
      <w:r>
        <w:rPr>
          <w:noProof/>
        </w:rPr>
        <w:tab/>
      </w:r>
      <w:r>
        <w:rPr>
          <w:noProof/>
        </w:rPr>
        <w:tab/>
        <w:t xml:space="preserve">έναρξη ή προσαρμογή της συνεργασίας με άλλες επιγραμμικές πλατφόρμες με τη χρήση κωδίκων δεοντολογίας και πρωτοκόλλων διαχείρισης κρίσεων που προβλέπονται στα άρθρα 35 και 37, αντίστοιχα. </w:t>
      </w:r>
    </w:p>
    <w:p>
      <w:pPr>
        <w:pStyle w:val="ManualNumPar1"/>
        <w:rPr>
          <w:noProof/>
        </w:rPr>
      </w:pPr>
      <w:r>
        <w:t>2.</w:t>
      </w:r>
      <w:r>
        <w:tab/>
      </w:r>
      <w:r>
        <w:rPr>
          <w:noProof/>
        </w:rPr>
        <w:t xml:space="preserve">Το συμβούλιο, σε συνεργασία με την Επιτροπή, δημοσιεύει αναλυτικές εκθέσεις, μία φορά ανά έτος, οι οποίες περιλαμβάνουν τα ακόλουθα: </w:t>
      </w:r>
    </w:p>
    <w:p>
      <w:pPr>
        <w:pStyle w:val="Point1"/>
        <w:rPr>
          <w:noProof/>
        </w:rPr>
      </w:pPr>
      <w:r>
        <w:rPr>
          <w:noProof/>
        </w:rPr>
        <w:t>α)</w:t>
      </w:r>
      <w:r>
        <w:rPr>
          <w:noProof/>
        </w:rPr>
        <w:tab/>
        <w:t>προσδιορισμό και εκτίμηση των πλέον σημαντικών και επαναλαμβανόμενων συστημικών κινδύνων που αναφέρονται από πολύ μεγάλες επιγραμμικές πλατφόρμες ή εντοπίζονται από άλλες πηγές πληροφοριών, ιδίως εκείνων που παρέχονται σύμφωνα με τα άρθρα 31 και 33·</w:t>
      </w:r>
    </w:p>
    <w:p>
      <w:pPr>
        <w:pStyle w:val="Point1"/>
        <w:rPr>
          <w:noProof/>
        </w:rPr>
      </w:pPr>
      <w:r>
        <w:rPr>
          <w:noProof/>
        </w:rPr>
        <w:t>β)</w:t>
      </w:r>
      <w:r>
        <w:rPr>
          <w:noProof/>
        </w:rPr>
        <w:tab/>
        <w:t xml:space="preserve">βέλτιστες πρακτικές για τις πολύ μεγάλες επιγραμμικές πλατφόρμες με σκοπό τον περιορισμό των συστημικών κινδύνων που εντοπίζονται. </w:t>
      </w:r>
    </w:p>
    <w:p>
      <w:pPr>
        <w:pStyle w:val="ManualNumPar1"/>
        <w:rPr>
          <w:noProof/>
        </w:rPr>
      </w:pPr>
      <w:r>
        <w:t>3.</w:t>
      </w:r>
      <w:r>
        <w:tab/>
      </w:r>
      <w:r>
        <w:rPr>
          <w:noProof/>
        </w:rPr>
        <w:t>Η Επιτροπή, σε συνεργασία με τους συντονιστές ψηφιακών υπηρεσιών, μπορεί να εκδίδει γενικές κατευθυντήριες γραμμές για την εφαρμογή της παραγράφου 1 σε σχέση με συγκεκριμένους κινδύνους, και ιδίως για να παρουσιάσει βέλτιστες πρακτικές και να προτείνει πιθανά μέτρα, λαμβάνοντας δεόντως υπόψη τις πιθανές επιπτώσεις των μέτρων στα θεμελιώδη δικαιώματα όλων των εμπλεκόμενων μερών, τα οποία κατοχυρώνονται στον Χάρτη. Κατά την κατάρτιση των εν λόγω κατευθυντήριων γραμμών, η Επιτροπή οργανώνει δημόσιες διαβουλεύσεις.</w:t>
      </w:r>
    </w:p>
    <w:p>
      <w:pPr>
        <w:pStyle w:val="Titrearticle"/>
        <w:rPr>
          <w:noProof/>
        </w:rPr>
      </w:pPr>
      <w:r>
        <w:rPr>
          <w:noProof/>
        </w:rPr>
        <w:t>Άρθρο 28</w:t>
      </w:r>
      <w:r>
        <w:rPr>
          <w:noProof/>
        </w:rPr>
        <w:br w:type="textWrapping" w:clear="all"/>
        <w:t>Ανεξάρτητοι έλεγχοι</w:t>
      </w:r>
    </w:p>
    <w:p>
      <w:pPr>
        <w:pStyle w:val="ManualNumPar1"/>
        <w:rPr>
          <w:noProof/>
        </w:rPr>
      </w:pPr>
      <w:r>
        <w:t>1.</w:t>
      </w:r>
      <w:r>
        <w:tab/>
      </w:r>
      <w:r>
        <w:rPr>
          <w:noProof/>
        </w:rPr>
        <w:t>Οι πολύ μεγάλες επιγραμμικές πλατφόρμες υπόκεινται, με δικά τους έξοδα και τουλάχιστον μία φορά ανά έτος, σε ελέγχους για την αξιολόγηση της συμμόρφωσης με τα εξής:</w:t>
      </w:r>
    </w:p>
    <w:p>
      <w:pPr>
        <w:pStyle w:val="Point1"/>
        <w:rPr>
          <w:noProof/>
        </w:rPr>
      </w:pPr>
      <w:r>
        <w:rPr>
          <w:noProof/>
        </w:rPr>
        <w:t>α)</w:t>
      </w:r>
      <w:r>
        <w:rPr>
          <w:noProof/>
        </w:rPr>
        <w:tab/>
        <w:t xml:space="preserve">τις υποχρεώσεις που παρατίθενται στο κεφάλαιο III· </w:t>
      </w:r>
    </w:p>
    <w:p>
      <w:pPr>
        <w:pStyle w:val="Point1"/>
        <w:rPr>
          <w:noProof/>
        </w:rPr>
      </w:pPr>
      <w:r>
        <w:rPr>
          <w:noProof/>
        </w:rPr>
        <w:t>β)</w:t>
      </w:r>
      <w:r>
        <w:rPr>
          <w:noProof/>
        </w:rPr>
        <w:tab/>
        <w:t>τυχόν δεσμεύσεις που έχουν αναλάβει σύμφωνα με τους κώδικες δεοντολογίας που αναφέρονται στα άρθρα 35 και 36 και τα πρωτόκολλα διαχείρισης κρίσεων που αναφέρονται στο άρθρο 37.</w:t>
      </w:r>
    </w:p>
    <w:p>
      <w:pPr>
        <w:pStyle w:val="ManualNumPar1"/>
        <w:rPr>
          <w:noProof/>
        </w:rPr>
      </w:pPr>
      <w:r>
        <w:lastRenderedPageBreak/>
        <w:t>2.</w:t>
      </w:r>
      <w:r>
        <w:tab/>
      </w:r>
      <w:r>
        <w:rPr>
          <w:noProof/>
        </w:rPr>
        <w:t xml:space="preserve">Οι έλεγχοι που διενεργούνται σύμφωνα με την παράγραφο 1 διενεργούνται από οργανισμούς οι οποίοι: </w:t>
      </w:r>
    </w:p>
    <w:p>
      <w:pPr>
        <w:pStyle w:val="Point1"/>
        <w:rPr>
          <w:noProof/>
        </w:rPr>
      </w:pPr>
      <w:r>
        <w:rPr>
          <w:noProof/>
        </w:rPr>
        <w:t>α)</w:t>
      </w:r>
      <w:r>
        <w:rPr>
          <w:noProof/>
        </w:rPr>
        <w:tab/>
        <w:t xml:space="preserve">είναι ανεξάρτητοι από την οικεία πολύ μεγάλη επιγραμμική πλατφόρμα· </w:t>
      </w:r>
    </w:p>
    <w:p>
      <w:pPr>
        <w:pStyle w:val="Point1"/>
        <w:rPr>
          <w:noProof/>
        </w:rPr>
      </w:pPr>
      <w:r>
        <w:rPr>
          <w:noProof/>
        </w:rPr>
        <w:t>β)</w:t>
      </w:r>
      <w:r>
        <w:rPr>
          <w:noProof/>
        </w:rPr>
        <w:tab/>
        <w:t>διαθέτουν αποδεδειγμένη εμπειρογνωσία στον τομέα της διαχείρισης κινδύνων, τεχνική επάρκεια και ικανότητες·</w:t>
      </w:r>
    </w:p>
    <w:p>
      <w:pPr>
        <w:pStyle w:val="Point1"/>
        <w:rPr>
          <w:noProof/>
        </w:rPr>
      </w:pPr>
      <w:r>
        <w:rPr>
          <w:noProof/>
        </w:rPr>
        <w:t>γ)</w:t>
      </w:r>
      <w:r>
        <w:rPr>
          <w:noProof/>
        </w:rPr>
        <w:tab/>
        <w:t>διαθέτουν αποδεδειγμένη αντικειμενικότητα και επαγγελματική δεοντολογία, η οποία βασίζεται ιδίως στην τήρηση κωδίκων πρακτικής ή κατάλληλων προτύπων.</w:t>
      </w:r>
    </w:p>
    <w:p>
      <w:pPr>
        <w:pStyle w:val="ManualNumPar1"/>
        <w:rPr>
          <w:noProof/>
        </w:rPr>
      </w:pPr>
      <w:r>
        <w:t>3.</w:t>
      </w:r>
      <w:r>
        <w:tab/>
      </w:r>
      <w:r>
        <w:rPr>
          <w:noProof/>
        </w:rPr>
        <w:t xml:space="preserve">Οι οργανισμοί που διενεργούν τους ελέγχους καταρτίζουν έκθεση ελέγχου για κάθε έλεγχο. Η έκθεση καταρτίζεται γραπτώς και περιλαμβάνει τουλάχιστον τις ακόλουθες πληροφορίες: </w:t>
      </w:r>
    </w:p>
    <w:p>
      <w:pPr>
        <w:pStyle w:val="Point1"/>
        <w:rPr>
          <w:noProof/>
        </w:rPr>
      </w:pPr>
      <w:r>
        <w:rPr>
          <w:noProof/>
        </w:rPr>
        <w:t>α)</w:t>
      </w:r>
      <w:r>
        <w:rPr>
          <w:noProof/>
        </w:rPr>
        <w:tab/>
        <w:t>το όνομα, τη διεύθυνση και το σημείο επαφής της πολύ μεγάλης επιγραμμικής πλατφόρμας που υπόκειται στον έλεγχο, καθώς και την καλυπτόμενη περίοδο·</w:t>
      </w:r>
    </w:p>
    <w:p>
      <w:pPr>
        <w:pStyle w:val="Point1"/>
        <w:rPr>
          <w:noProof/>
        </w:rPr>
      </w:pPr>
      <w:r>
        <w:rPr>
          <w:noProof/>
        </w:rPr>
        <w:t>β)</w:t>
      </w:r>
      <w:r>
        <w:rPr>
          <w:noProof/>
        </w:rPr>
        <w:tab/>
        <w:t>το όνομα και τη διεύθυνση του οργανισμού που διενεργεί τον έλεγχο·</w:t>
      </w:r>
    </w:p>
    <w:p>
      <w:pPr>
        <w:pStyle w:val="Point1"/>
        <w:rPr>
          <w:noProof/>
        </w:rPr>
      </w:pPr>
      <w:r>
        <w:rPr>
          <w:noProof/>
        </w:rPr>
        <w:t>γ)</w:t>
      </w:r>
      <w:r>
        <w:rPr>
          <w:noProof/>
        </w:rPr>
        <w:tab/>
        <w:t xml:space="preserve">περιγραφή των ειδικών στοιχείων που ελέγχθηκαν και της μεθοδολογίας που εφαρμόστηκε· </w:t>
      </w:r>
    </w:p>
    <w:p>
      <w:pPr>
        <w:pStyle w:val="Point1"/>
        <w:rPr>
          <w:noProof/>
        </w:rPr>
      </w:pPr>
      <w:r>
        <w:rPr>
          <w:noProof/>
        </w:rPr>
        <w:t>δ)</w:t>
      </w:r>
      <w:r>
        <w:rPr>
          <w:noProof/>
        </w:rPr>
        <w:tab/>
        <w:t>περιγραφή των κύριων πορισμάτων που προέκυψαν από τον έλεγχο·</w:t>
      </w:r>
    </w:p>
    <w:p>
      <w:pPr>
        <w:pStyle w:val="Point1"/>
        <w:rPr>
          <w:noProof/>
        </w:rPr>
      </w:pPr>
      <w:r>
        <w:rPr>
          <w:noProof/>
        </w:rPr>
        <w:t>ε)</w:t>
      </w:r>
      <w:r>
        <w:rPr>
          <w:noProof/>
        </w:rPr>
        <w:tab/>
        <w:t xml:space="preserve">ελεγκτική γνώμη σχετικά με το κατά πόσον η πολύ μεγάλη επιγραμμική πλατφόρμα που υπόκειται στον έλεγχο συμμορφώνεται με τις υποχρεώσεις και τις δεσμεύσεις που αναφέρονται στην παράγραφο 1, είτε πρόκειται για θετική γνώμη, θετική γνώμη που συνοδεύεται από παρατηρήσεις ή αρνητική γνώμη· </w:t>
      </w:r>
    </w:p>
    <w:p>
      <w:pPr>
        <w:pStyle w:val="Point1"/>
        <w:rPr>
          <w:noProof/>
        </w:rPr>
      </w:pPr>
      <w:r>
        <w:rPr>
          <w:noProof/>
        </w:rPr>
        <w:t>στ)</w:t>
      </w:r>
      <w:r>
        <w:rPr>
          <w:noProof/>
        </w:rPr>
        <w:tab/>
        <w:t xml:space="preserve">όταν η ελεγκτική γνώμη δεν είναι θετική, επιχειρησιακές συστάσεις ειδικών μέτρων για την επίτευξη της συμμόρφωσης. </w:t>
      </w:r>
    </w:p>
    <w:p>
      <w:pPr>
        <w:pStyle w:val="ManualNumPar1"/>
        <w:rPr>
          <w:noProof/>
        </w:rPr>
      </w:pPr>
      <w:r>
        <w:t>4.</w:t>
      </w:r>
      <w:r>
        <w:tab/>
      </w:r>
      <w:r>
        <w:rPr>
          <w:noProof/>
        </w:rPr>
        <w:t xml:space="preserve">Οι πολύ μεγάλες επιγραμμικές πλατφόρμες που λαμβάνουν έκθεση ελέγχου η οποία δεν είναι θετική λαμβάνουν δεόντως υπόψη τυχόν επιχειρησιακές συστάσεις που απευθύνονται σε αυτές με σκοπό να λάβουν τα απαραίτητα μέτρα για την υλοποίησή τους. Εντός ενός μηνός από την παραλαβή των συστάσεων αυτών, εκδίδουν έκθεση εκτέλεσης του ελέγχου στην οποία παρατίθενται τα εν λόγω μέτρα. Σε περίπτωση που δεν υλοποιήσουν τις επιχειρησιακές συστάσεις, αιτιολογούν στην έκθεση εκτέλεσης του ελέγχου τους λόγους για τους οποίους δεν το έπραξαν και παραθέτουν τυχόν εναλλακτικά μέτρα που ενδέχεται να έλαβαν για να αντιμετωπίσουν τυχόν περιπτώσεις μη συμμόρφωσης που εντοπίστηκαν. </w:t>
      </w:r>
    </w:p>
    <w:p>
      <w:pPr>
        <w:pStyle w:val="Titrearticle"/>
        <w:rPr>
          <w:noProof/>
        </w:rPr>
      </w:pPr>
      <w:r>
        <w:rPr>
          <w:noProof/>
        </w:rPr>
        <w:t>Άρθρο 29</w:t>
      </w:r>
      <w:r>
        <w:rPr>
          <w:noProof/>
        </w:rPr>
        <w:br w:type="textWrapping" w:clear="all"/>
        <w:t xml:space="preserve">Συστήματα συστάσεων </w:t>
      </w:r>
    </w:p>
    <w:p>
      <w:pPr>
        <w:pStyle w:val="ManualNumPar1"/>
        <w:rPr>
          <w:noProof/>
        </w:rPr>
      </w:pPr>
      <w:r>
        <w:t>1.</w:t>
      </w:r>
      <w:r>
        <w:tab/>
      </w:r>
      <w:r>
        <w:rPr>
          <w:noProof/>
        </w:rPr>
        <w:t>Οι πολύ μεγάλες επιγραμμικές πλατφόρμες που χρησιμοποιούν συστήματα συστάσεων ορίζουν στους όρους και τις προϋποθέσεις τους, με σαφή, προσβάσιμο και εύκολα κατανοητό τρόπο, τις κύριες παραμέτρους που χρησιμοποιούνται στα συστήματα συστάσεών τους, καθώς και τυχόν επιλογές των αποδεκτών της υπηρεσίας να τροποποιούν ή να επηρεάζουν τις κύριες παραμέτρους που αυτές ενδέχεται να έχουν καταστήσει διαθέσιμες, συμπεριλαμβανομένης τουλάχιστον μίας επιλογής που δεν βασίζεται στην κατάρτιση προφίλ, κατά την έννοια του άρθρου 4 σημείο 4 του κανονισμού (ΕΕ) 2016/679.</w:t>
      </w:r>
    </w:p>
    <w:p>
      <w:pPr>
        <w:pStyle w:val="ManualNumPar1"/>
        <w:rPr>
          <w:noProof/>
        </w:rPr>
      </w:pPr>
      <w:r>
        <w:t>2.</w:t>
      </w:r>
      <w:r>
        <w:tab/>
      </w:r>
      <w:r>
        <w:rPr>
          <w:noProof/>
        </w:rPr>
        <w:t xml:space="preserve">Όταν διατίθενται πολλές επιλογές σύμφωνα με την παράγραφο 1, οι πολύ μεγάλες επιγραμμικές πλατφόρμες παρέχουν μια εύκολα προσβάσιμη λειτουργική </w:t>
      </w:r>
      <w:r>
        <w:rPr>
          <w:noProof/>
        </w:rPr>
        <w:lastRenderedPageBreak/>
        <w:t xml:space="preserve">δυνατότητα στην επιγραμμική διεπαφή τους, η οποία επιτρέπει στον αποδέκτη της υπηρεσίας να επιλέγει και να τροποποιεί ανά πάσα στιγμή την προτιμώμενη επιλογή του για καθένα από τα συστήματα συστάσεων η οποία καθορίζει τη σχετική σειρά των πληροφοριών που του παρουσιάζονται. </w:t>
      </w:r>
    </w:p>
    <w:p>
      <w:pPr>
        <w:pStyle w:val="Titrearticle"/>
        <w:rPr>
          <w:noProof/>
        </w:rPr>
      </w:pPr>
      <w:r>
        <w:rPr>
          <w:noProof/>
        </w:rPr>
        <w:t>Άρθρο 30</w:t>
      </w:r>
      <w:r>
        <w:rPr>
          <w:noProof/>
        </w:rPr>
        <w:br w:type="textWrapping" w:clear="all"/>
        <w:t xml:space="preserve">Πρόσθετη διαφάνεια επιγραμμικών διαφημίσεων </w:t>
      </w:r>
    </w:p>
    <w:p>
      <w:pPr>
        <w:pStyle w:val="ManualNumPar1"/>
        <w:rPr>
          <w:noProof/>
        </w:rPr>
      </w:pPr>
      <w:r>
        <w:t>1.</w:t>
      </w:r>
      <w:r>
        <w:tab/>
      </w:r>
      <w:r>
        <w:rPr>
          <w:noProof/>
        </w:rPr>
        <w:t>Οι πολύ μεγάλες επιγραμμικές πλατφόρμες που προβάλλουν διαφημίσεις στις επιγραμμικές διεπαφές τους συγκεντρώνουν και δημοσιοποιούν μέσω διεπαφών προγραμματισμού εφαρμογών ένα αποθετήριο το οποίο περιέχει τις πληροφορίες που αναφέρονται στην παράγραφο 2, έως ένα έτος μετά την τελευταία προβολή της διαφήμισης στις επιγραμμικές διεπαφές τους. Μεριμνούν ώστε το αποθετήριο να μην περιέχει δεδομένα προσωπικού χαρακτήρα των αποδεκτών της υπηρεσίας στους οποίους προβαλλόταν ή μπορούσε να έχει προβληθεί η διαφήμιση.</w:t>
      </w:r>
    </w:p>
    <w:p>
      <w:pPr>
        <w:pStyle w:val="ManualNumPar1"/>
        <w:rPr>
          <w:noProof/>
        </w:rPr>
      </w:pPr>
      <w:r>
        <w:t>2.</w:t>
      </w:r>
      <w:r>
        <w:tab/>
      </w:r>
      <w:r>
        <w:rPr>
          <w:noProof/>
        </w:rPr>
        <w:t>Το αποθετήριο περιλαμβάνει τουλάχιστον όλες τις ακόλουθες πληροφορίες:</w:t>
      </w:r>
    </w:p>
    <w:p>
      <w:pPr>
        <w:pStyle w:val="Point1"/>
        <w:rPr>
          <w:noProof/>
        </w:rPr>
      </w:pPr>
      <w:r>
        <w:rPr>
          <w:noProof/>
        </w:rPr>
        <w:t>α)</w:t>
      </w:r>
      <w:r>
        <w:rPr>
          <w:noProof/>
        </w:rPr>
        <w:tab/>
        <w:t>το περιεχόμενο της διαφήμισης·</w:t>
      </w:r>
    </w:p>
    <w:p>
      <w:pPr>
        <w:pStyle w:val="Point1"/>
        <w:rPr>
          <w:noProof/>
        </w:rPr>
      </w:pPr>
      <w:r>
        <w:rPr>
          <w:noProof/>
        </w:rPr>
        <w:t>β)</w:t>
      </w:r>
      <w:r>
        <w:rPr>
          <w:noProof/>
        </w:rPr>
        <w:tab/>
        <w:t>το φυσικό ή νομικό πρόσωπο για λογαριασμό του οποίου προβάλλεται η διαφήμιση·</w:t>
      </w:r>
    </w:p>
    <w:p>
      <w:pPr>
        <w:pStyle w:val="Point1"/>
        <w:rPr>
          <w:noProof/>
        </w:rPr>
      </w:pPr>
      <w:r>
        <w:rPr>
          <w:noProof/>
        </w:rPr>
        <w:t>γ)</w:t>
      </w:r>
      <w:r>
        <w:rPr>
          <w:noProof/>
        </w:rPr>
        <w:tab/>
        <w:t>την περίοδο κατά την οποία προβαλλόταν η διαφήμιση·</w:t>
      </w:r>
    </w:p>
    <w:p>
      <w:pPr>
        <w:pStyle w:val="Point1"/>
        <w:rPr>
          <w:noProof/>
        </w:rPr>
      </w:pPr>
      <w:r>
        <w:rPr>
          <w:noProof/>
        </w:rPr>
        <w:t>δ)</w:t>
      </w:r>
      <w:r>
        <w:rPr>
          <w:noProof/>
        </w:rPr>
        <w:tab/>
        <w:t xml:space="preserve">εάν η διαφήμιση προοριζόταν για προβολή ειδικά σε μία ή περισσότερες συγκεκριμένες ομάδες αποδεκτών της υπηρεσίας και, εάν ναι, τις κύριες παραμέτρους που χρησιμοποιούνταν για τον σκοπό αυτόν· </w:t>
      </w:r>
    </w:p>
    <w:p>
      <w:pPr>
        <w:pStyle w:val="Point1"/>
        <w:rPr>
          <w:noProof/>
        </w:rPr>
      </w:pPr>
      <w:r>
        <w:rPr>
          <w:noProof/>
        </w:rPr>
        <w:t>ε)</w:t>
      </w:r>
      <w:r>
        <w:rPr>
          <w:noProof/>
        </w:rPr>
        <w:tab/>
        <w:t>τον συνολικό αριθμό αποδεκτών της υπηρεσίας που έχει επιτευχθεί και, κατά περίπτωση, το άθροισμα για την ομάδα ή τις ομάδες αποδεκτών στους οποίους στόχευε συγκεκριμένα η διαφήμιση.</w:t>
      </w:r>
    </w:p>
    <w:p>
      <w:pPr>
        <w:pStyle w:val="Titrearticle"/>
        <w:rPr>
          <w:noProof/>
        </w:rPr>
      </w:pPr>
      <w:r>
        <w:rPr>
          <w:noProof/>
        </w:rPr>
        <w:t>Άρθρο 31</w:t>
      </w:r>
      <w:r>
        <w:rPr>
          <w:noProof/>
        </w:rPr>
        <w:br w:type="textWrapping" w:clear="all"/>
        <w:t>Πρόσβαση και έλεγχος δεδομένων</w:t>
      </w:r>
    </w:p>
    <w:p>
      <w:pPr>
        <w:pStyle w:val="ManualNumPar1"/>
        <w:rPr>
          <w:noProof/>
        </w:rPr>
      </w:pPr>
      <w:r>
        <w:t>1.</w:t>
      </w:r>
      <w:r>
        <w:tab/>
      </w:r>
      <w:r>
        <w:rPr>
          <w:noProof/>
        </w:rPr>
        <w:t xml:space="preserve">Οι πολύ μεγάλες επιγραμμικές πλατφόρμες παρέχουν στον συντονιστή ψηφιακών υπηρεσιών της χώρας εγκατάστασης ή στην Επιτροπή, μετά από αιτιολογημένο αίτημά τους και εντός εύλογου χρονικού διαστήματος, που ορίζεται στο αίτημα, πρόσβαση σε δεδομένα τα οποία είναι αναγκαία για την παρακολούθηση και την αξιολόγηση της συμμόρφωσης με τον παρόντα κανονισμό. Ο συντονιστής ψηφιακών υπηρεσιών και η Επιτροπή χρησιμοποιούν τα δεδομένα αυτά μόνον για τους εν λόγω σκοπούς. </w:t>
      </w:r>
    </w:p>
    <w:p>
      <w:pPr>
        <w:pStyle w:val="ManualNumPar1"/>
        <w:rPr>
          <w:noProof/>
        </w:rPr>
      </w:pPr>
      <w:r>
        <w:t>2.</w:t>
      </w:r>
      <w:r>
        <w:tab/>
      </w:r>
      <w:r>
        <w:rPr>
          <w:noProof/>
        </w:rPr>
        <w:t xml:space="preserve">Κατόπιν αιτιολογημένου αιτήματος του συντονιστή ψηφιακών υπηρεσιών της χώρας εγκατάστασης ή της Επιτροπής, οι πολύ μεγάλες επιγραμμικές πλατφόρμες παρέχουν, εντός εύλογου χρονικού διαστήματος, όπως ορίζεται στο αίτημα, πρόσβαση σε δεδομένα σε διαπιστευμένους ερευνητές οι οποίοι πληρούν τις απαιτήσεις της παραγράφου 4 του παρόντος άρθρου, με μοναδικό σκοπό τη διεξαγωγή έρευνας που συμβάλλει στον εντοπισμό και την κατανόηση συστημικών κινδύνων, όπως παρατίθενται στο άρθρο 26 παράγραφος 1. </w:t>
      </w:r>
    </w:p>
    <w:p>
      <w:pPr>
        <w:pStyle w:val="ManualNumPar1"/>
        <w:rPr>
          <w:noProof/>
        </w:rPr>
      </w:pPr>
      <w:r>
        <w:t>3.</w:t>
      </w:r>
      <w:r>
        <w:tab/>
      </w:r>
      <w:r>
        <w:rPr>
          <w:noProof/>
        </w:rPr>
        <w:t>Οι πολύ μεγάλες επιγραμμικές πλατφόρμες παρέχουν πρόσβαση σε δεδομένα σύμφωνα με τις παραγράφους 1 και 2 μέσω επιγραμμικών βάσεων δεδομένων ή διεπαφών προγραμματισμού εφαρμογών, ανάλογα με την περίπτωση.</w:t>
      </w:r>
    </w:p>
    <w:p>
      <w:pPr>
        <w:pStyle w:val="ManualNumPar1"/>
        <w:rPr>
          <w:noProof/>
        </w:rPr>
      </w:pPr>
      <w:r>
        <w:lastRenderedPageBreak/>
        <w:t>4.</w:t>
      </w:r>
      <w:r>
        <w:tab/>
      </w:r>
      <w:r>
        <w:rPr>
          <w:noProof/>
        </w:rPr>
        <w:t>Προκειμένου να λάβουν διαπίστευση, οι ερευνητές είναι συνδεδεμένοι με ακαδημαϊκά ιδρύματα, είναι ανεξάρτητοι από εμπορικά συμφέροντα, διαθέτουν αποδεδειγμένη εμπειρογνωσία στους τομείς που αφορούν τους υπό έρευνα κινδύνους ή τις σχετικές ερευνητικές μεθοδολογίες, και δεσμεύονται και είναι σε θέση να τηρούν τις ειδικές απαιτήσεις ασφάλειας και εμπιστευτικότητας των δεδομένων που αντιστοιχούν σε κάθε αίτημα.</w:t>
      </w:r>
    </w:p>
    <w:p>
      <w:pPr>
        <w:pStyle w:val="ManualNumPar1"/>
        <w:rPr>
          <w:noProof/>
        </w:rPr>
      </w:pPr>
      <w:r>
        <w:t>5.</w:t>
      </w:r>
      <w:r>
        <w:tab/>
      </w:r>
      <w:r>
        <w:rPr>
          <w:noProof/>
        </w:rPr>
        <w:t xml:space="preserve">Η Επιτροπή, μετά από διαβούλευση με το συμβούλιο, εκδίδει κατ’ εξουσιοδότηση πράξεις για τον καθορισμό των τεχνικών προϋποθέσεων υπό τις οποίες οι πολύ μεγάλες επιγραμμικές πλατφόρμες ανταλλάσσουν δεδομένα σύμφωνα με τις παραγράφους 1 και 2, καθώς και των σκοπών για τους οποίους μπορούν να χρησιμοποιηθούν τα δεδομένα. Οι εν λόγω κατ’ εξουσιοδότηση πράξεις ορίζουν τις ειδικές προϋποθέσεις υπό τις οποίες μπορεί να πραγματοποιείται αυτή η ανταλλαγή δεδομένων με διαπιστευμένους ερευνητές σύμφωνα με τον κανονισμό (ΕΕ) 2016/679, λαμβανομένων υπόψη των δικαιωμάτων και των συμφερόντων των πολύ μεγάλων επιγραμμικών πλατφορμών και των αποδεκτών της οικείας υπηρεσίας, συμπεριλαμβανομένης της προστασίας των εμπιστευτικών πληροφοριών, και ιδίως των εμπορικών απορρήτων, και με παράλληλη διατήρηση της ασφάλειας της υπηρεσίας τους. </w:t>
      </w:r>
    </w:p>
    <w:p>
      <w:pPr>
        <w:pStyle w:val="ManualNumPar1"/>
        <w:rPr>
          <w:noProof/>
        </w:rPr>
      </w:pPr>
      <w:r>
        <w:t>6.</w:t>
      </w:r>
      <w:r>
        <w:tab/>
      </w:r>
      <w:r>
        <w:rPr>
          <w:noProof/>
        </w:rPr>
        <w:t xml:space="preserve">Εντός 15 ημερών από την παραλαβή αιτήματος όπως αναφέρεται στις παραγράφους 1 και 2, μια πολύ μεγάλη επιγραμμική πλατφόρμα μπορεί να ζητήσει από τον συντονιστή ψηφιακών υπηρεσιών της χώρας εγκατάστασης ή την Επιτροπή, ανάλογα με την περίπτωση, να τροποποιήσει το αίτημα, εφόσον θεωρήσει ότι δεν είναι σε θέση να παραχωρήσει πρόσβαση στα ζητούμενα δεδομένα για έναν από τους ακόλουθους δύο λόγους: </w:t>
      </w:r>
    </w:p>
    <w:p>
      <w:pPr>
        <w:pStyle w:val="Point1"/>
        <w:rPr>
          <w:noProof/>
        </w:rPr>
      </w:pPr>
      <w:r>
        <w:rPr>
          <w:noProof/>
        </w:rPr>
        <w:t>α)</w:t>
      </w:r>
      <w:r>
        <w:rPr>
          <w:noProof/>
        </w:rPr>
        <w:tab/>
        <w:t xml:space="preserve">δεν έχει πρόσβαση στα δεδομένα· </w:t>
      </w:r>
    </w:p>
    <w:p>
      <w:pPr>
        <w:pStyle w:val="Point1"/>
        <w:rPr>
          <w:noProof/>
        </w:rPr>
      </w:pPr>
      <w:r>
        <w:rPr>
          <w:noProof/>
        </w:rPr>
        <w:t>β)</w:t>
      </w:r>
      <w:r>
        <w:rPr>
          <w:noProof/>
        </w:rPr>
        <w:tab/>
        <w:t>η παροχή πρόσβασης στα δεδομένα θα έχει ως αποτέλεσμα να υπάρξουν σημαντικά τρωτά σημεία για την ασφάλεια της υπηρεσίας της ή για την προστασία εμπιστευτικών πληροφοριών, ιδίως εμπορικών απορρήτων.</w:t>
      </w:r>
    </w:p>
    <w:p>
      <w:pPr>
        <w:pStyle w:val="ManualNumPar1"/>
        <w:rPr>
          <w:noProof/>
        </w:rPr>
      </w:pPr>
      <w:r>
        <w:t>7.</w:t>
      </w:r>
      <w:r>
        <w:tab/>
      </w:r>
      <w:r>
        <w:rPr>
          <w:noProof/>
        </w:rPr>
        <w:t xml:space="preserve">Τα αιτήματα τροποποίησης σύμφωνα με την παράγραφο 6 στοιχείο β) περιέχουν προτάσεις για ένα ή περισσότερα εναλλακτικά μέσα παροχής πρόσβασης στα ζητούμενα δεδομένα ή σε άλλα δεδομένα, που είναι κατάλληλα και επαρκή για τους σκοπούς του αιτήματος. </w:t>
      </w:r>
    </w:p>
    <w:p>
      <w:pPr>
        <w:pStyle w:val="Text1"/>
        <w:rPr>
          <w:noProof/>
        </w:rPr>
      </w:pPr>
      <w:r>
        <w:rPr>
          <w:noProof/>
        </w:rPr>
        <w:t xml:space="preserve">Ο συντονιστής ψηφιακών υπηρεσιών της χώρας εγκατάστασης ή η Επιτροπή αποφασίζουν επί του αιτήματος τροποποίησης εντός 15 ημερών και κοινοποιούν στην πολύ μεγάλη επιγραμμική πλατφόρμα την απόφασή τους και, κατά περίπτωση, το τροποποιημένο αίτημα και τη νέα προθεσμία συμμόρφωσης με το αίτημα. </w:t>
      </w:r>
    </w:p>
    <w:p>
      <w:pPr>
        <w:pStyle w:val="Titrearticle"/>
        <w:rPr>
          <w:noProof/>
        </w:rPr>
      </w:pPr>
      <w:r>
        <w:rPr>
          <w:noProof/>
        </w:rPr>
        <w:t>Άρθρο 32</w:t>
      </w:r>
      <w:r>
        <w:rPr>
          <w:noProof/>
        </w:rPr>
        <w:br w:type="textWrapping" w:clear="all"/>
        <w:t>Υπεύθυνοι συμμόρφωσης</w:t>
      </w:r>
    </w:p>
    <w:p>
      <w:pPr>
        <w:pStyle w:val="ManualNumPar1"/>
        <w:rPr>
          <w:noProof/>
        </w:rPr>
      </w:pPr>
      <w:r>
        <w:t>1.</w:t>
      </w:r>
      <w:r>
        <w:tab/>
      </w:r>
      <w:r>
        <w:rPr>
          <w:noProof/>
        </w:rPr>
        <w:t>Οι πολύ μεγάλες επιγραμμικές πλατφόρμες ορίζουν έναν ή περισσότερους υπεύθυνους συμμόρφωσης οι οποίοι είναι αρμόδιοι για την παρακολούθηση της συμμόρφωσης των πλατφορμών με τον παρόντα κανονισμό.</w:t>
      </w:r>
    </w:p>
    <w:p>
      <w:pPr>
        <w:pStyle w:val="ManualNumPar1"/>
        <w:rPr>
          <w:noProof/>
        </w:rPr>
      </w:pPr>
      <w:r>
        <w:t>2.</w:t>
      </w:r>
      <w:r>
        <w:tab/>
      </w:r>
      <w:r>
        <w:rPr>
          <w:noProof/>
        </w:rPr>
        <w:t xml:space="preserve">Οι πολύ μεγάλες επιγραμμικές πλατφόρμες ορίζουν ως υπεύθυνους συμμόρφωσης μόνον πρόσωπα τα οποία διαθέτουν τα επαγγελματικά προσόντα, τις γνώσεις, την πείρα και την ικανότητα που απαιτούνται για την εκπλήρωση των καθηκόντων που αναφέρονται στην παράγραφο 3. Οι υπεύθυνοι συμμόρφωσης μπορεί να είναι μέλη </w:t>
      </w:r>
      <w:r>
        <w:rPr>
          <w:noProof/>
        </w:rPr>
        <w:lastRenderedPageBreak/>
        <w:t xml:space="preserve">του προσωπικού της πολύ μεγάλης επιγραμμικής πλατφόρμας ή να εκτελούν τα καθήκοντα αυτά βάσει σύμβασης με αυτήν. </w:t>
      </w:r>
    </w:p>
    <w:p>
      <w:pPr>
        <w:pStyle w:val="ManualNumPar1"/>
        <w:rPr>
          <w:noProof/>
        </w:rPr>
      </w:pPr>
      <w:r>
        <w:t>3.</w:t>
      </w:r>
      <w:r>
        <w:tab/>
      </w:r>
      <w:r>
        <w:rPr>
          <w:noProof/>
        </w:rPr>
        <w:t>Οι υπεύθυνοι συμμόρφωσης έχουν τα ακόλουθα καθήκοντα:</w:t>
      </w:r>
    </w:p>
    <w:p>
      <w:pPr>
        <w:pStyle w:val="Point1"/>
        <w:rPr>
          <w:noProof/>
        </w:rPr>
      </w:pPr>
      <w:r>
        <w:rPr>
          <w:noProof/>
        </w:rPr>
        <w:t>α)</w:t>
      </w:r>
      <w:r>
        <w:rPr>
          <w:noProof/>
        </w:rPr>
        <w:tab/>
        <w:t>συνεργάζονται με τον συντονιστή ψηφιακών υπηρεσιών της χώρας εγκατάστασης και την Επιτροπή για τους σκοπούς του παρόντος κανονισμού·</w:t>
      </w:r>
    </w:p>
    <w:p>
      <w:pPr>
        <w:pStyle w:val="Point1"/>
        <w:rPr>
          <w:noProof/>
        </w:rPr>
      </w:pPr>
      <w:r>
        <w:rPr>
          <w:noProof/>
        </w:rPr>
        <w:t>β)</w:t>
      </w:r>
      <w:r>
        <w:rPr>
          <w:noProof/>
        </w:rPr>
        <w:tab/>
        <w:t>οργανώνουν και επιβλέπουν τις δραστηριότητες της πολύ μεγάλης επιγραμμικής πλατφόρμας που αφορούν τον ανεξάρτητο έλεγχο βάσει του άρθρου 28·</w:t>
      </w:r>
    </w:p>
    <w:p>
      <w:pPr>
        <w:pStyle w:val="Point1"/>
        <w:rPr>
          <w:noProof/>
        </w:rPr>
      </w:pPr>
      <w:r>
        <w:rPr>
          <w:noProof/>
        </w:rPr>
        <w:t>γ)</w:t>
      </w:r>
      <w:r>
        <w:rPr>
          <w:noProof/>
        </w:rPr>
        <w:tab/>
        <w:t>ενημερώνουν και παρέχουν συμβουλές στη διοίκηση και τους υπαλλήλους της πολύ μεγάλης επιγραμμικής πλατφόρμας όσον αφορά τις σχετικές υποχρεώσεις στο πλαίσιο του παρόντος κανονισμού·</w:t>
      </w:r>
    </w:p>
    <w:p>
      <w:pPr>
        <w:pStyle w:val="Point1"/>
        <w:rPr>
          <w:noProof/>
        </w:rPr>
      </w:pPr>
      <w:r>
        <w:rPr>
          <w:noProof/>
        </w:rPr>
        <w:t>δ)</w:t>
      </w:r>
      <w:r>
        <w:rPr>
          <w:noProof/>
        </w:rPr>
        <w:tab/>
        <w:t>παρακολουθούν τη συμμόρφωση της πολύ μεγάλης επιγραμμικής πλατφόρμας με τις υποχρεώσεις που υπέχει βάσει του παρόντος κανονισμού.</w:t>
      </w:r>
    </w:p>
    <w:p>
      <w:pPr>
        <w:pStyle w:val="ManualNumPar1"/>
        <w:rPr>
          <w:noProof/>
        </w:rPr>
      </w:pPr>
      <w:r>
        <w:t>4.</w:t>
      </w:r>
      <w:r>
        <w:tab/>
      </w:r>
      <w:r>
        <w:rPr>
          <w:noProof/>
        </w:rPr>
        <w:t xml:space="preserve">Οι πολύ μεγάλες επιγραμμικές πλατφόρμες λαμβάνουν τα αναγκαία μέτρα ώστε να διασφαλίζουν ότι οι υπεύθυνοι συμμόρφωσης μπορούν να εκτελούν τα καθήκοντά τους με ανεξάρτητο τρόπο. </w:t>
      </w:r>
    </w:p>
    <w:p>
      <w:pPr>
        <w:pStyle w:val="ManualNumPar1"/>
        <w:rPr>
          <w:noProof/>
        </w:rPr>
      </w:pPr>
      <w:r>
        <w:t>5.</w:t>
      </w:r>
      <w:r>
        <w:tab/>
      </w:r>
      <w:r>
        <w:rPr>
          <w:noProof/>
        </w:rPr>
        <w:t xml:space="preserve">Οι πολύ μεγάλες επιγραμμικές πλατφόρμες κοινοποιούν το όνομα και τα στοιχεία επικοινωνίας του υπεύθυνου συμμόρφωσης στον συντονιστή ψηφιακών υπηρεσιών της χώρας εγκατάστασης και στην Επιτροπή. </w:t>
      </w:r>
    </w:p>
    <w:p>
      <w:pPr>
        <w:pStyle w:val="ManualNumPar1"/>
        <w:rPr>
          <w:noProof/>
        </w:rPr>
      </w:pPr>
      <w:r>
        <w:t>6.</w:t>
      </w:r>
      <w:r>
        <w:tab/>
      </w:r>
      <w:r>
        <w:rPr>
          <w:noProof/>
        </w:rPr>
        <w:t>Οι πολύ μεγάλες επιγραμμικές πλατφόρμες στηρίζουν τον υπεύθυνο συμμόρφωσης κατά την εκτέλεση των καθηκόντων του και του παρέχουν τους απαραίτητους πόρους για την επαρκή εκτέλεση των καθηκόντων αυτών. Ο υπεύθυνος συμμόρφωσης λογοδοτεί απευθείας στο ανώτατο διοικητικό επίπεδο της πλατφόρμας.</w:t>
      </w:r>
    </w:p>
    <w:p>
      <w:pPr>
        <w:pStyle w:val="Titrearticle"/>
        <w:rPr>
          <w:noProof/>
        </w:rPr>
      </w:pPr>
      <w:r>
        <w:rPr>
          <w:noProof/>
        </w:rPr>
        <w:t>Άρθρο 33</w:t>
      </w:r>
      <w:r>
        <w:rPr>
          <w:noProof/>
        </w:rPr>
        <w:br w:type="textWrapping" w:clear="all"/>
        <w:t>Υποχρεώσεις υποβολής εκθέσεων σχετικά με τη διαφάνεια για τις πολύ μεγάλες επιγραμμικές πλατφόρμες</w:t>
      </w:r>
    </w:p>
    <w:p>
      <w:pPr>
        <w:pStyle w:val="ManualNumPar1"/>
        <w:rPr>
          <w:noProof/>
        </w:rPr>
      </w:pPr>
      <w:r>
        <w:t>1.</w:t>
      </w:r>
      <w:r>
        <w:tab/>
      </w:r>
      <w:r>
        <w:rPr>
          <w:noProof/>
        </w:rPr>
        <w:t xml:space="preserve">Οι πολύ μεγάλες επιγραμμικές πλατφόρμες δημοσιεύουν τις εκθέσεις που αναφέρονται στο άρθρο 13 εντός έξι μηνών από την ημερομηνία εφαρμογής που αναφέρεται στο άρθρο 25 παράγραφος 4 και στη συνέχεια κάθε έξι μήνες. </w:t>
      </w:r>
    </w:p>
    <w:p>
      <w:pPr>
        <w:pStyle w:val="ManualNumPar1"/>
        <w:rPr>
          <w:noProof/>
        </w:rPr>
      </w:pPr>
      <w:r>
        <w:t>2.</w:t>
      </w:r>
      <w:r>
        <w:tab/>
      </w:r>
      <w:r>
        <w:rPr>
          <w:noProof/>
        </w:rPr>
        <w:t xml:space="preserve">Πέραν των εκθέσεων που προβλέπονται στο άρθρο 13, οι πολύ μεγάλες επιγραμμικές πλατφόρμες δημοσιοποιούν και διαβιβάζουν στον συντονιστή ψηφιακών υπηρεσιών της χώρας εγκατάστασης και στην Επιτροπή, τουλάχιστον μία φορά ανά έτος και εντός 30 ημερών από την έκδοση της έκθεσης εκτέλεσης του ελέγχου που προβλέπεται στο άρθρο 28 παράγραφος 4: </w:t>
      </w:r>
    </w:p>
    <w:p>
      <w:pPr>
        <w:pStyle w:val="Point1"/>
        <w:rPr>
          <w:noProof/>
        </w:rPr>
      </w:pPr>
      <w:r>
        <w:rPr>
          <w:noProof/>
        </w:rPr>
        <w:t>α)</w:t>
      </w:r>
      <w:r>
        <w:rPr>
          <w:noProof/>
        </w:rPr>
        <w:tab/>
        <w:t>έκθεση στην οποία παρατίθενται τα αποτελέσματα της εκτίμησης κινδύνων σύμφωνα με το άρθρο 26·</w:t>
      </w:r>
    </w:p>
    <w:p>
      <w:pPr>
        <w:pStyle w:val="Point1"/>
        <w:rPr>
          <w:noProof/>
        </w:rPr>
      </w:pPr>
      <w:r>
        <w:rPr>
          <w:noProof/>
        </w:rPr>
        <w:t>β)</w:t>
      </w:r>
      <w:r>
        <w:rPr>
          <w:noProof/>
        </w:rPr>
        <w:tab/>
        <w:t>τα σχετικά μέτρα περιορισμού των κινδύνων τα οποία προσδιορίστηκαν και εφαρμόστηκαν σύμφωνα με το άρθρο 27·</w:t>
      </w:r>
    </w:p>
    <w:p>
      <w:pPr>
        <w:pStyle w:val="Point1"/>
        <w:rPr>
          <w:noProof/>
        </w:rPr>
      </w:pPr>
      <w:r>
        <w:rPr>
          <w:noProof/>
        </w:rPr>
        <w:t>γ)</w:t>
      </w:r>
      <w:r>
        <w:rPr>
          <w:noProof/>
        </w:rPr>
        <w:tab/>
        <w:t xml:space="preserve">την έκθεση ελέγχου που προβλέπεται στο άρθρο 28 παράγραφος 3· </w:t>
      </w:r>
    </w:p>
    <w:p>
      <w:pPr>
        <w:pStyle w:val="Point1"/>
        <w:rPr>
          <w:noProof/>
        </w:rPr>
      </w:pPr>
      <w:r>
        <w:rPr>
          <w:noProof/>
        </w:rPr>
        <w:t>δ)</w:t>
      </w:r>
      <w:r>
        <w:rPr>
          <w:noProof/>
        </w:rPr>
        <w:tab/>
        <w:t xml:space="preserve">την έκθεση εκτέλεσης του ελέγχου που προβλέπεται στο άρθρο 28 παράγραφος 4. </w:t>
      </w:r>
    </w:p>
    <w:p>
      <w:pPr>
        <w:pStyle w:val="ManualNumPar1"/>
        <w:rPr>
          <w:noProof/>
        </w:rPr>
      </w:pPr>
      <w:r>
        <w:lastRenderedPageBreak/>
        <w:t>3.</w:t>
      </w:r>
      <w:r>
        <w:tab/>
      </w:r>
      <w:r>
        <w:rPr>
          <w:noProof/>
        </w:rPr>
        <w:t>Όταν μια πολύ μεγάλη επιγραμμική πλατφόρμα θεωρεί ότι η δημοσίευση πληροφοριών σύμφωνα με την παράγραφο 2 ενδέχεται να έχει ως αποτέλεσμα την αποκάλυψη εμπιστευτικών πληροφοριών της πλατφόρμας αυτής ή των αποδεκτών της υπηρεσίας, να δημιουργήσει σημαντικά τρωτά σημεία για την ασφάλεια της υπηρεσίας της, να υπονομεύσει τη δημόσια ασφάλεια ή να έχει επιβλαβείς επιπτώσεις για τους αποδέκτες, η πλατφόρμα μπορεί να αφαιρέσει τις πληροφορίες αυτές από τις εκθέσεις. Στην περίπτωση αυτή, η πλατφόρμα διαβιβάζει τις πλήρεις εκθέσεις στον συντονιστή ψηφιακών υπηρεσιών της χώρας εγκατάστασης και στην Επιτροπή, συνοδευόμενες από αιτιολόγηση της αφαίρεσης των πληροφοριών από τις δημόσιες εκθέσεις.</w:t>
      </w:r>
    </w:p>
    <w:p>
      <w:pPr>
        <w:pStyle w:val="SectionTitle"/>
        <w:rPr>
          <w:noProof/>
        </w:rPr>
      </w:pPr>
      <w:r>
        <w:rPr>
          <w:noProof/>
        </w:rPr>
        <w:t xml:space="preserve"> Τμήμα 5</w:t>
      </w:r>
      <w:r>
        <w:rPr>
          <w:noProof/>
        </w:rPr>
        <w:br w:type="textWrapping" w:clear="all"/>
        <w:t>Άλλες διατάξεις που αφορούν τις υποχρεώσεις δέουσας επιμέλειας</w:t>
      </w:r>
    </w:p>
    <w:p>
      <w:pPr>
        <w:pStyle w:val="Titrearticle"/>
        <w:rPr>
          <w:noProof/>
        </w:rPr>
      </w:pPr>
      <w:r>
        <w:rPr>
          <w:noProof/>
        </w:rPr>
        <w:t>Άρθρο 34</w:t>
      </w:r>
      <w:r>
        <w:rPr>
          <w:noProof/>
        </w:rPr>
        <w:br w:type="textWrapping" w:clear="all"/>
        <w:t>Πρότυπα</w:t>
      </w:r>
    </w:p>
    <w:p>
      <w:pPr>
        <w:pStyle w:val="ManualNumPar1"/>
        <w:rPr>
          <w:noProof/>
        </w:rPr>
      </w:pPr>
      <w:r>
        <w:t>1.</w:t>
      </w:r>
      <w:r>
        <w:tab/>
      </w:r>
      <w:r>
        <w:rPr>
          <w:noProof/>
        </w:rPr>
        <w:t>Η Επιτροπή στηρίζει και προωθεί την εκπόνηση και την εφαρμογή προαιρετικών προτύπων του κλάδου τα οποία καθορίζονται από αρμόδιους ευρωπαϊκούς και διεθνείς οργανισμούς τυποποίησης τουλάχιστον όσον αφορά τα ακόλουθα:</w:t>
      </w:r>
    </w:p>
    <w:p>
      <w:pPr>
        <w:pStyle w:val="Point1"/>
        <w:rPr>
          <w:noProof/>
        </w:rPr>
      </w:pPr>
      <w:r>
        <w:rPr>
          <w:noProof/>
        </w:rPr>
        <w:t>α)</w:t>
      </w:r>
      <w:r>
        <w:rPr>
          <w:noProof/>
        </w:rPr>
        <w:tab/>
        <w:t>ηλεκτρονική υποβολή ειδοποιήσεων σύμφωνα με το άρθρο 14·</w:t>
      </w:r>
    </w:p>
    <w:p>
      <w:pPr>
        <w:pStyle w:val="Point1"/>
        <w:rPr>
          <w:noProof/>
        </w:rPr>
      </w:pPr>
      <w:r>
        <w:rPr>
          <w:noProof/>
        </w:rPr>
        <w:t>β)</w:t>
      </w:r>
      <w:r>
        <w:rPr>
          <w:noProof/>
        </w:rPr>
        <w:tab/>
        <w:t>ηλεκτρονική υποβολή ειδοποιήσεων από αξιόπιστες πηγές επισήμανσης παράνομου περιεχομένου σύμφωνα με το άρθρο 19, μεταξύ άλλων, μέσω διεπαφών προγραμματισμού εφαρμογών·</w:t>
      </w:r>
    </w:p>
    <w:p>
      <w:pPr>
        <w:pStyle w:val="Point1"/>
        <w:rPr>
          <w:noProof/>
        </w:rPr>
      </w:pPr>
      <w:r>
        <w:rPr>
          <w:noProof/>
        </w:rPr>
        <w:t>γ)</w:t>
      </w:r>
      <w:r>
        <w:rPr>
          <w:noProof/>
        </w:rPr>
        <w:tab/>
        <w:t>ειδικές διεπαφές, συμπεριλαμβανομένων των διεπαφών προγραμματισμού εφαρμογών, με σκοπό να διευκολυνθεί η συμμόρφωση με τις υποχρεώσεις που ορίζονται στα άρθρα 30 και 31·</w:t>
      </w:r>
    </w:p>
    <w:p>
      <w:pPr>
        <w:pStyle w:val="Point1"/>
        <w:rPr>
          <w:noProof/>
        </w:rPr>
      </w:pPr>
      <w:r>
        <w:rPr>
          <w:noProof/>
        </w:rPr>
        <w:t>δ)</w:t>
      </w:r>
      <w:r>
        <w:rPr>
          <w:noProof/>
        </w:rPr>
        <w:tab/>
        <w:t>έλεγχος των πολύ μεγάλων επιγραμμικών πλατφορμών σύμφωνα με το άρθρο 28·</w:t>
      </w:r>
    </w:p>
    <w:p>
      <w:pPr>
        <w:pStyle w:val="Point1"/>
        <w:rPr>
          <w:noProof/>
        </w:rPr>
      </w:pPr>
      <w:r>
        <w:rPr>
          <w:noProof/>
        </w:rPr>
        <w:t>ε)</w:t>
      </w:r>
      <w:r>
        <w:rPr>
          <w:noProof/>
        </w:rPr>
        <w:tab/>
        <w:t>διαλειτουργικότητα των αποθετηρίων διαφημίσεων που αναφέρονται στο άρθρο 30 παράγραφος 2·</w:t>
      </w:r>
    </w:p>
    <w:p>
      <w:pPr>
        <w:pStyle w:val="Point1"/>
        <w:rPr>
          <w:noProof/>
        </w:rPr>
      </w:pPr>
      <w:r>
        <w:rPr>
          <w:noProof/>
        </w:rPr>
        <w:t>στ)</w:t>
      </w:r>
      <w:r>
        <w:rPr>
          <w:noProof/>
        </w:rPr>
        <w:tab/>
        <w:t xml:space="preserve">διαβίβαση δεδομένων μεταξύ ενδιαμέσων διαφημιστικών υπηρεσιών για τη στήριξη των υποχρεώσεων διαφάνειας σύμφωνα με το άρθρο 24 στοιχεία β) και γ). </w:t>
      </w:r>
    </w:p>
    <w:p>
      <w:pPr>
        <w:pStyle w:val="ManualNumPar1"/>
        <w:rPr>
          <w:noProof/>
        </w:rPr>
      </w:pPr>
      <w:r>
        <w:t>2.</w:t>
      </w:r>
      <w:r>
        <w:tab/>
      </w:r>
      <w:r>
        <w:rPr>
          <w:noProof/>
        </w:rPr>
        <w:t>Η Επιτροπή στηρίζει την επικαιροποίηση των προτύπων με βάση τις τεχνολογικές εξελίξεις και τη συμπεριφορά των αποδεκτών των εν λόγω υπηρεσιών.</w:t>
      </w:r>
    </w:p>
    <w:p>
      <w:pPr>
        <w:pStyle w:val="Titrearticle"/>
        <w:rPr>
          <w:noProof/>
        </w:rPr>
      </w:pPr>
      <w:bookmarkStart w:id="3" w:name="_Toc44837444"/>
      <w:r>
        <w:rPr>
          <w:noProof/>
        </w:rPr>
        <w:t>Άρθρο 35</w:t>
      </w:r>
      <w:r>
        <w:rPr>
          <w:noProof/>
        </w:rPr>
        <w:br w:type="textWrapping" w:clear="all"/>
        <w:t>Κώδικες δεοντολογίας</w:t>
      </w:r>
    </w:p>
    <w:p>
      <w:pPr>
        <w:pStyle w:val="ManualNumPar1"/>
        <w:rPr>
          <w:noProof/>
        </w:rPr>
      </w:pPr>
      <w:r>
        <w:t>1.</w:t>
      </w:r>
      <w:r>
        <w:tab/>
      </w:r>
      <w:r>
        <w:rPr>
          <w:noProof/>
        </w:rPr>
        <w:t xml:space="preserve">Η Επιτροπή και το συμβούλιο ενθαρρύνουν και διευκολύνουν την εκπόνηση κωδίκων δεοντολογίας σε επίπεδο Ένωσης με σκοπό να συμβάλουν στην ορθή εφαρμογή του παρόντος κανονισμού, λαμβανομένων ιδίως υπόψη των ειδικών προκλήσεων της αντιμετώπισης διαφόρων ειδών παράνομου περιεχομένου και συστημικών κινδύνων, σύμφωνα με το ενωσιακό δίκαιο, ιδίως όσον αφορά τον ανταγωνισμό και την προστασία των δεδομένων προσωπικού χαρακτήρα. </w:t>
      </w:r>
    </w:p>
    <w:p>
      <w:pPr>
        <w:pStyle w:val="ManualNumPar1"/>
        <w:rPr>
          <w:noProof/>
        </w:rPr>
      </w:pPr>
      <w:r>
        <w:t>2.</w:t>
      </w:r>
      <w:r>
        <w:tab/>
      </w:r>
      <w:r>
        <w:rPr>
          <w:noProof/>
        </w:rPr>
        <w:t xml:space="preserve">Όταν εμφανίζεται σημαντικός συστημικός κίνδυνος κατά την έννοια του άρθρου 26 παράγραφος 1, ο οποίος αφορά αρκετές πολύ μεγάλες επιγραμμικές πλατφόρμες, η </w:t>
      </w:r>
      <w:r>
        <w:rPr>
          <w:noProof/>
        </w:rPr>
        <w:lastRenderedPageBreak/>
        <w:t>Επιτροπή δύναται να καλεί τις οικείες πολύ μεγάλες επιγραμμικές πλατφόρμες, άλλες πολύ μεγάλες επιγραμμικές πλατφόρμες, άλλες επιγραμμικές πλατφόρμες και άλλους παρόχους ενδιάμεσων υπηρεσιών, ανάλογα με την περίπτωση, καθώς και οργανώσεις της κοινωνίας των πολιτών και άλλα ενδιαφερόμενα μέρη, να συμμετάσχουν στην εκπόνηση κωδίκων δεοντολογίας, για παράδειγμα, με τον καθορισμό δεσμεύσεων για τη λήψη ειδικών μέτρων περιορισμού των κινδύνων, καθώς και ενός πλαισίου τακτικής υποβολής εκθέσεων σχετικά με μέτρα που λαμβάνονται και τα αποτελέσματά τους.</w:t>
      </w:r>
    </w:p>
    <w:p>
      <w:pPr>
        <w:pStyle w:val="ManualNumPar1"/>
        <w:rPr>
          <w:noProof/>
        </w:rPr>
      </w:pPr>
      <w:r>
        <w:t>3.</w:t>
      </w:r>
      <w:r>
        <w:tab/>
      </w:r>
      <w:r>
        <w:rPr>
          <w:noProof/>
        </w:rPr>
        <w:t xml:space="preserve">Κατά την εφαρμογή των παραγράφων 1 και 2, η Επιτροπή και το συμβούλιο έχουν ως στόχο να διασφαλίσουν ότι οι κώδικες δεοντολογίας ορίζουν σαφώς τους στόχους τους, περιέχουν βασικούς δείκτες επιδόσεων για τη μέτρηση της επίτευξης των στόχων αυτών και λαμβάνουν δεόντως υπόψη τις ανάγκες και τα συμφέροντα όλων των ενδιαφερόμενων μερών, συμπεριλαμβανομένων των πολιτών, σε επίπεδο Ένωσης. Η Επιτροπή και το συμβούλιο έχουν επίσης ως στόχο να διασφαλίσουν ότι οι συμμετέχοντες υποβάλλουν τακτικά εκθέσεις στην Επιτροπή και στους αντίστοιχους συντονιστές ψηφιακών υπηρεσιών της χώρας εγκατάστασής τους σχετικά με τα μέτρα που λαμβάνονται και τα αποτελέσματά τους, όπως αυτά μετρώνται με βάση τους βασικούς δείκτες επιδόσεων που περιέχουν οι κώδικες δεοντολογίας. </w:t>
      </w:r>
    </w:p>
    <w:p>
      <w:pPr>
        <w:pStyle w:val="ManualNumPar1"/>
        <w:rPr>
          <w:noProof/>
        </w:rPr>
      </w:pPr>
      <w:r>
        <w:t>4.</w:t>
      </w:r>
      <w:r>
        <w:tab/>
      </w:r>
      <w:r>
        <w:rPr>
          <w:noProof/>
        </w:rPr>
        <w:t>Η Επιτροπή και το συμβούλιο αξιολογούν κατά πόσον οι κώδικες δεοντολογίας πληρούν τους στόχους που ορίζονται στις παραγράφους 1 και 3 και παρακολουθούν και αξιολογούν τακτικά την επίτευξη των στόχων τους. Δημοσιεύουν τα συμπεράσματά τους.</w:t>
      </w:r>
    </w:p>
    <w:p>
      <w:pPr>
        <w:pStyle w:val="ManualNumPar1"/>
        <w:rPr>
          <w:noProof/>
        </w:rPr>
      </w:pPr>
      <w:r>
        <w:t>5.</w:t>
      </w:r>
      <w:r>
        <w:tab/>
      </w:r>
      <w:r>
        <w:rPr>
          <w:noProof/>
        </w:rPr>
        <w:t>Το συμβούλιο παρακολουθεί και αξιολογεί τακτικά την επίτευξη των στόχων των κωδίκων δεοντολογίας, λαμβάνοντας υπόψη τους βασικούς δείκτες επιδόσεων που ενδέχεται να περιέχουν.</w:t>
      </w:r>
    </w:p>
    <w:p>
      <w:pPr>
        <w:pStyle w:val="Titrearticle"/>
        <w:rPr>
          <w:noProof/>
        </w:rPr>
      </w:pPr>
      <w:r>
        <w:rPr>
          <w:noProof/>
        </w:rPr>
        <w:t>Άρθρο 36</w:t>
      </w:r>
      <w:r>
        <w:rPr>
          <w:noProof/>
        </w:rPr>
        <w:br w:type="textWrapping" w:clear="all"/>
        <w:t>Κώδικες δεοντολογίας για την επιγραμμική διαφήμιση</w:t>
      </w:r>
    </w:p>
    <w:p>
      <w:pPr>
        <w:pStyle w:val="ManualNumPar1"/>
        <w:rPr>
          <w:noProof/>
        </w:rPr>
      </w:pPr>
      <w:r>
        <w:t>1.</w:t>
      </w:r>
      <w:r>
        <w:tab/>
      </w:r>
      <w:r>
        <w:rPr>
          <w:noProof/>
        </w:rPr>
        <w:t xml:space="preserve">Η Επιτροπή ενθαρρύνει και διευκολύνει την εκπόνηση κωδίκων δεοντολογίας σε επίπεδο Ένωσης μεταξύ επιγραμμικών πλατφορμών και άλλων σχετικών παρόχων υπηρεσιών, όπως πάροχοι ενδιάμεσων επιγραμμικών διαφημιστικών υπηρεσιών ή οργανισμοί που εκπροσωπούν αποδέκτες της υπηρεσίας και οργανώσεις της κοινωνίας των πολιτών ή αρμόδιες αρχές, με σκοπό να συνεισφέρουν στην περαιτέρω διαφάνεια της επιγραμμικής διαφήμισης πέραν των απαιτήσεων των άρθρων 24 και 30. </w:t>
      </w:r>
    </w:p>
    <w:p>
      <w:pPr>
        <w:pStyle w:val="ManualNumPar1"/>
        <w:rPr>
          <w:noProof/>
        </w:rPr>
      </w:pPr>
      <w:r>
        <w:t>2.</w:t>
      </w:r>
      <w:r>
        <w:tab/>
      </w:r>
      <w:r>
        <w:rPr>
          <w:noProof/>
        </w:rPr>
        <w:t xml:space="preserve">Η Επιτροπή έχει ως στόχο να διασφαλίσει ότι οι κώδικες δεοντολογίας επιδιώκουν την αποτελεσματική διαβίβαση πληροφοριών, με πλήρη σεβασμό των δικαιωμάτων και των συμφερόντων όλων των εμπλεκόμενων μερών, και ένα ανταγωνιστικό, διαφανές και δίκαιο περιβάλλον στην επιγραμμική διαφήμιση, σύμφωνα με το ενωσιακό και το εθνικό δίκαιο, ιδίως σε σχέση με τον ανταγωνισμό και την προστασία των δεδομένων προσωπικού χαρακτήρα. Η Επιτροπή έχει ως στόχο να διασφαλίσει ότι οι κώδικες δεοντολογίας εξετάζουν τουλάχιστον τα εξής: </w:t>
      </w:r>
    </w:p>
    <w:p>
      <w:pPr>
        <w:pStyle w:val="Point1"/>
        <w:rPr>
          <w:noProof/>
        </w:rPr>
      </w:pPr>
      <w:r>
        <w:rPr>
          <w:noProof/>
        </w:rPr>
        <w:t>α)</w:t>
      </w:r>
      <w:r>
        <w:rPr>
          <w:noProof/>
        </w:rPr>
        <w:tab/>
        <w:t>τη διαβίβαση πληροφοριών που κατέχουν οι πάροχοι ενδιάμεσων επιγραμμικών διαφημιστικών υπηρεσιών σε αποδέκτες της υπηρεσίας όσον αφορά τις απαιτήσεις που ορίζονται στο άρθρο 24 στοιχεία β) και γ)·</w:t>
      </w:r>
    </w:p>
    <w:p>
      <w:pPr>
        <w:pStyle w:val="Point1"/>
        <w:rPr>
          <w:noProof/>
        </w:rPr>
      </w:pPr>
      <w:r>
        <w:rPr>
          <w:noProof/>
        </w:rPr>
        <w:lastRenderedPageBreak/>
        <w:t>β)</w:t>
      </w:r>
      <w:r>
        <w:rPr>
          <w:noProof/>
        </w:rPr>
        <w:tab/>
        <w:t>τη διαβίβαση πληροφοριών που κατέχουν οι πάροχοι ενδιάμεσων επιγραμμικών διαφημιστικών υπηρεσιών στα αποθετήρια σύμφωνα με το άρθρο 30.</w:t>
      </w:r>
    </w:p>
    <w:p>
      <w:pPr>
        <w:pStyle w:val="ManualNumPar1"/>
        <w:rPr>
          <w:noProof/>
        </w:rPr>
      </w:pPr>
      <w:r>
        <w:t>3.</w:t>
      </w:r>
      <w:r>
        <w:tab/>
      </w:r>
      <w:r>
        <w:rPr>
          <w:noProof/>
        </w:rPr>
        <w:t xml:space="preserve">Η Επιτροπή ενθαρρύνει την εκπόνηση των κωδίκων δεοντολογίας εντός ενός έτους από την ημερομηνία εφαρμογής του παρόντος κανονισμού και την εφαρμογή τους το αργότερο εντός έξι μηνών από την ημερομηνία αυτή. </w:t>
      </w:r>
    </w:p>
    <w:p>
      <w:pPr>
        <w:pStyle w:val="Titrearticle"/>
        <w:rPr>
          <w:b/>
          <w:noProof/>
        </w:rPr>
      </w:pPr>
      <w:r>
        <w:rPr>
          <w:noProof/>
        </w:rPr>
        <w:t>Άρθρο 37</w:t>
      </w:r>
      <w:r>
        <w:rPr>
          <w:noProof/>
        </w:rPr>
        <w:br w:type="textWrapping" w:clear="all"/>
        <w:t>Πρωτόκολλα διαχείρισης κρίσεων</w:t>
      </w:r>
    </w:p>
    <w:p>
      <w:pPr>
        <w:pStyle w:val="ManualNumPar1"/>
        <w:rPr>
          <w:noProof/>
        </w:rPr>
      </w:pPr>
      <w:r>
        <w:t>1.</w:t>
      </w:r>
      <w:r>
        <w:tab/>
      </w:r>
      <w:r>
        <w:rPr>
          <w:noProof/>
        </w:rPr>
        <w:t xml:space="preserve">Το συμβούλιο μπορεί να συστήσει στην Επιτροπή να κινήσει την εκπόνηση, σύμφωνα με τις παραγράφους 2, 3 και 4, πρωτοκόλλων διαχείρισης κρίσεων για την αντιμετώπιση καταστάσεων κρίσης που περιορίζονται αυστηρά σε έκτακτες περιστάσεις οι οποίες επηρεάζουν τη δημόσια ασφάλεια ή τη δημόσια υγεία. </w:t>
      </w:r>
    </w:p>
    <w:p>
      <w:pPr>
        <w:pStyle w:val="ManualNumPar1"/>
        <w:rPr>
          <w:noProof/>
        </w:rPr>
      </w:pPr>
      <w:r>
        <w:t>2.</w:t>
      </w:r>
      <w:r>
        <w:tab/>
      </w:r>
      <w:r>
        <w:rPr>
          <w:noProof/>
        </w:rPr>
        <w:t xml:space="preserve">Η Επιτροπή ενθαρρύνει και διευκολύνει τις πολύ μεγάλες επιγραμμικές πλατφόρμες και, κατά περίπτωση, άλλες επιγραμμικές πλατφόρμες, με τη συμμετοχή της Επιτροπής, να συμμετάσχουν στην εκπόνηση, τη δοκιμή και την εφαρμογή των εν λόγω πρωτοκόλλων διαχείρισης κρίσεων, τα οποία περιλαμβάνουν ένα ή περισσότερα από τα ακόλουθα μέτρα: </w:t>
      </w:r>
    </w:p>
    <w:p>
      <w:pPr>
        <w:pStyle w:val="Point1"/>
        <w:rPr>
          <w:noProof/>
        </w:rPr>
      </w:pPr>
      <w:r>
        <w:rPr>
          <w:noProof/>
        </w:rPr>
        <w:t>α)</w:t>
      </w:r>
      <w:r>
        <w:rPr>
          <w:noProof/>
        </w:rPr>
        <w:tab/>
        <w:t xml:space="preserve">προβολή ευδιάκριτων πληροφοριών σχετικά με την κατάσταση κρίσης οι οποίες παρέχονται από αρχές των κρατών μελών ή σε επίπεδο Ένωσης· </w:t>
      </w:r>
    </w:p>
    <w:p>
      <w:pPr>
        <w:pStyle w:val="Point1"/>
        <w:rPr>
          <w:noProof/>
        </w:rPr>
      </w:pPr>
      <w:r>
        <w:rPr>
          <w:noProof/>
        </w:rPr>
        <w:t>β)</w:t>
      </w:r>
      <w:r>
        <w:rPr>
          <w:noProof/>
        </w:rPr>
        <w:tab/>
        <w:t>διασφάλιση ότι το σημείο επαφής που αναφέρεται στο άρθρο 10 είναι αρμόδιο για τη διαχείριση κρίσεων·</w:t>
      </w:r>
    </w:p>
    <w:p>
      <w:pPr>
        <w:pStyle w:val="Point1"/>
        <w:rPr>
          <w:noProof/>
        </w:rPr>
      </w:pPr>
      <w:r>
        <w:rPr>
          <w:noProof/>
        </w:rPr>
        <w:t>γ)</w:t>
      </w:r>
      <w:r>
        <w:rPr>
          <w:noProof/>
        </w:rPr>
        <w:tab/>
        <w:t>κατά περίπτωση, προσαρμογή των πόρων που διατίθενται για τη συμμόρφωση με τις υποχρεώσεις που ορίζονται στα άρθρα 14, 17, 19, 20 και 27 στις ανάγκες που δημιουργούνται από την κατάσταση κρίσης.</w:t>
      </w:r>
    </w:p>
    <w:p>
      <w:pPr>
        <w:pStyle w:val="ManualNumPar1"/>
        <w:rPr>
          <w:noProof/>
        </w:rPr>
      </w:pPr>
      <w:r>
        <w:t>3.</w:t>
      </w:r>
      <w:r>
        <w:tab/>
      </w:r>
      <w:r>
        <w:rPr>
          <w:noProof/>
        </w:rPr>
        <w:t>Η Επιτροπή μπορεί να ζητεί, κατά περίπτωση, τη συμμετοχή αρχών των κρατών μελών και οργάνων, οργανισμών και υπηρεσιών της Ένωσης στην εκπόνηση, τη δοκιμή και την επίβλεψη της εφαρμογής των πρωτοκόλλων διαχείρισης κρίσεων. Η Επιτροπή μπορεί, όταν κρίνεται απαραίτητο και σκόπιμο, να ζητεί επίσης τη συμμετοχή οργανώσεων της κοινωνίας των πολιτών ή άλλων σχετικών οργανισμών στην εκπόνηση των πρωτοκόλλων διαχείρισης κρίσεων.</w:t>
      </w:r>
    </w:p>
    <w:p>
      <w:pPr>
        <w:pStyle w:val="ManualNumPar1"/>
        <w:rPr>
          <w:noProof/>
        </w:rPr>
      </w:pPr>
      <w:r>
        <w:t>4.</w:t>
      </w:r>
      <w:r>
        <w:tab/>
      </w:r>
      <w:r>
        <w:rPr>
          <w:noProof/>
        </w:rPr>
        <w:t xml:space="preserve">Η Επιτροπή έχει ως στόχο να διασφαλίσει ότι τα πρωτόκολλα διαχείρισης κρίσεων ορίζουν σαφώς όλα τα ακόλουθα: </w:t>
      </w:r>
    </w:p>
    <w:p>
      <w:pPr>
        <w:pStyle w:val="Point1"/>
        <w:rPr>
          <w:noProof/>
        </w:rPr>
      </w:pPr>
      <w:r>
        <w:rPr>
          <w:noProof/>
        </w:rPr>
        <w:t>α)</w:t>
      </w:r>
      <w:r>
        <w:rPr>
          <w:noProof/>
        </w:rPr>
        <w:tab/>
        <w:t>τις συγκεκριμένες παραμέτρους που καθορίζουν τι συνιστά την ειδική έκτακτη περίσταση την οποία επιδιώκει να αντιμετωπίσει το πρωτόκολλο διαχείρισης κρίσεων και τους επιδιωκόμενους στόχους·</w:t>
      </w:r>
    </w:p>
    <w:p>
      <w:pPr>
        <w:pStyle w:val="Point1"/>
        <w:rPr>
          <w:noProof/>
        </w:rPr>
      </w:pPr>
      <w:r>
        <w:rPr>
          <w:noProof/>
        </w:rPr>
        <w:t>β)</w:t>
      </w:r>
      <w:r>
        <w:rPr>
          <w:noProof/>
        </w:rPr>
        <w:tab/>
        <w:t xml:space="preserve">τον ρόλο κάθε συμμετέχοντος και τα μέτρα που πρέπει να εφαρμόζονται κατά την εκπόνηση και μετά την ενεργοποίηση του πρωτοκόλλου διαχείρισης κρίσεων· </w:t>
      </w:r>
    </w:p>
    <w:p>
      <w:pPr>
        <w:pStyle w:val="Point1"/>
        <w:rPr>
          <w:noProof/>
        </w:rPr>
      </w:pPr>
      <w:r>
        <w:rPr>
          <w:noProof/>
        </w:rPr>
        <w:t>γ)</w:t>
      </w:r>
      <w:r>
        <w:rPr>
          <w:noProof/>
        </w:rPr>
        <w:tab/>
        <w:t>σαφή διαδικασία για τον προσδιορισμό του χρόνου ενεργοποίησης του πρωτοκόλλου διαχείρισης κρίσεων·</w:t>
      </w:r>
    </w:p>
    <w:p>
      <w:pPr>
        <w:pStyle w:val="Point1"/>
        <w:rPr>
          <w:noProof/>
        </w:rPr>
      </w:pPr>
      <w:r>
        <w:rPr>
          <w:noProof/>
        </w:rPr>
        <w:t>δ)</w:t>
      </w:r>
      <w:r>
        <w:rPr>
          <w:noProof/>
        </w:rPr>
        <w:tab/>
        <w:t>σαφή διαδικασία για τον προσδιορισμό της περιόδου κατά την οποία πρέπει να ληφθούν τα προς λήψη μέτρα μόλις ενεργοποιηθεί το πρωτόκολλο διαχείρισης κρίσεων, η οποία περιορίζεται αυστηρά σε ό,τι είναι αναγκαίο για την αντιμετώπιση των οικείων ειδικών έκτακτων περιστάσεων·</w:t>
      </w:r>
    </w:p>
    <w:p>
      <w:pPr>
        <w:pStyle w:val="Point1"/>
        <w:rPr>
          <w:noProof/>
        </w:rPr>
      </w:pPr>
      <w:r>
        <w:rPr>
          <w:noProof/>
        </w:rPr>
        <w:lastRenderedPageBreak/>
        <w:t>ε)</w:t>
      </w:r>
      <w:r>
        <w:rPr>
          <w:noProof/>
        </w:rPr>
        <w:tab/>
        <w:t>διασφαλίσεις για την αντιμετώπιση τυχόν αρνητικών επιπτώσεων ως προς την άσκηση των θεμελιωδών δικαιωμάτων που κατοχυρώνονται στον Χάρτη, ιδίως της ελευθερίας έκφρασης και πληροφόρησης και του δικαιώματος στην απαγόρευση των διακρίσεων·</w:t>
      </w:r>
    </w:p>
    <w:p>
      <w:pPr>
        <w:pStyle w:val="Point1"/>
        <w:rPr>
          <w:noProof/>
        </w:rPr>
      </w:pPr>
      <w:r>
        <w:rPr>
          <w:noProof/>
        </w:rPr>
        <w:t>στ)</w:t>
      </w:r>
      <w:r>
        <w:rPr>
          <w:noProof/>
        </w:rPr>
        <w:tab/>
        <w:t>διαδικασία για τη δημοσίευση έκθεσης σχετικά με τυχόν ληφθέντα μέτρα, τη διάρκεια και τα αποτελέσματά τους, μετά τον τερματισμό της κατάστασης κρίσης.</w:t>
      </w:r>
    </w:p>
    <w:p>
      <w:pPr>
        <w:pStyle w:val="ManualNumPar1"/>
        <w:rPr>
          <w:noProof/>
        </w:rPr>
      </w:pPr>
      <w:r>
        <w:t>5.</w:t>
      </w:r>
      <w:r>
        <w:tab/>
      </w:r>
      <w:r>
        <w:rPr>
          <w:noProof/>
        </w:rPr>
        <w:t>Εάν η Επιτροπή κρίνει ότι ένα πρωτόκολλο διαχείρισης κρίσεων δεν αντιμετωπίζει αποτελεσματικά την κατάσταση κρίσης ή δεν διασφαλίζει την άσκηση των θεμελιωδών δικαιωμάτων όπως αναφέρεται στην παράγραφο 4 στοιχείο ε), μπορεί να ζητήσει από τους συμμετέχοντες να αναθεωρήσουν το πρωτόκολλο διαχείρισης κρίσεων και να λάβουν πρόσθετα μέτρα.</w:t>
      </w:r>
    </w:p>
    <w:p>
      <w:pPr>
        <w:pStyle w:val="ChapterTitle"/>
        <w:rPr>
          <w:noProof/>
        </w:rPr>
      </w:pPr>
      <w:bookmarkStart w:id="4" w:name="_Toc44837445"/>
      <w:bookmarkEnd w:id="3"/>
      <w:r>
        <w:rPr>
          <w:noProof/>
        </w:rPr>
        <w:t>Κεφάλαιο IV</w:t>
      </w:r>
      <w:r>
        <w:rPr>
          <w:noProof/>
        </w:rPr>
        <w:br w:type="textWrapping" w:clear="all"/>
        <w:t xml:space="preserve">Εφαρμογή, συνεργασία, κυρώσεις και επιβολή </w:t>
      </w:r>
    </w:p>
    <w:p>
      <w:pPr>
        <w:pStyle w:val="SectionTitle"/>
        <w:rPr>
          <w:noProof/>
        </w:rPr>
      </w:pPr>
      <w:r>
        <w:rPr>
          <w:noProof/>
        </w:rPr>
        <w:t>Τμήμα 1</w:t>
      </w:r>
      <w:r>
        <w:rPr>
          <w:noProof/>
        </w:rPr>
        <w:br w:type="textWrapping" w:clear="all"/>
        <w:t xml:space="preserve">Αρμόδιες αρχές και εθνικοί συντονιστές ψηφιακών υπηρεσιών </w:t>
      </w:r>
    </w:p>
    <w:p>
      <w:pPr>
        <w:pStyle w:val="Titrearticle"/>
        <w:rPr>
          <w:noProof/>
        </w:rPr>
      </w:pPr>
      <w:r>
        <w:rPr>
          <w:noProof/>
        </w:rPr>
        <w:t>Άρθρο 38</w:t>
      </w:r>
      <w:r>
        <w:rPr>
          <w:noProof/>
        </w:rPr>
        <w:br w:type="textWrapping" w:clear="all"/>
        <w:t>Αρμόδιες αρχές και συντονιστές ψηφιακών υπηρεσιών</w:t>
      </w:r>
    </w:p>
    <w:p>
      <w:pPr>
        <w:pStyle w:val="ManualNumPar1"/>
        <w:rPr>
          <w:noProof/>
        </w:rPr>
      </w:pPr>
      <w:r>
        <w:t>1.</w:t>
      </w:r>
      <w:r>
        <w:tab/>
      </w:r>
      <w:r>
        <w:rPr>
          <w:noProof/>
        </w:rPr>
        <w:t xml:space="preserve">Τα κράτη μέλη ορίζουν μία ή περισσότερες αρμόδιες αρχές ως υπεύθυνες για την εφαρμογή και την επιβολή του παρόντος κανονισμού (στο εξής: αρμόδιες αρχές). </w:t>
      </w:r>
    </w:p>
    <w:p>
      <w:pPr>
        <w:pStyle w:val="ManualNumPar1"/>
        <w:rPr>
          <w:noProof/>
        </w:rPr>
      </w:pPr>
      <w:r>
        <w:t>2.</w:t>
      </w:r>
      <w:r>
        <w:tab/>
      </w:r>
      <w:r>
        <w:rPr>
          <w:noProof/>
        </w:rPr>
        <w:t>Τα κράτη μέλη ορίζουν μία από τις αρμόδιες αρχές ως τον συντονιστή ψηφιακών υπηρεσιών τους. Ο συντονιστής ψηφιακών υπηρεσιών είναι υπεύθυνος για όλα τα ζητήματα που αφορούν την εφαρμογή και την επιβολή του παρόντος κανονισμού στο εν λόγω κράτος μέλος, εκτός εάν το οικείο κράτος μέλος έχει αναθέσει ορισμένα ειδικά καθήκοντα ή τομείς σε άλλες αρμόδιες αρχές. Ο συντονιστής ψηφιακών υπηρεσιών είναι σε κάθε περίπτωση υπεύθυνος για τη διασφάλιση του συντονισμού σε εθνικό επίπεδο όσον αφορά τα ζητήματα αυτά και για τη συμβολή στην αποτελεσματική και συνεπή εφαρμογή και επιβολή του παρόντος κανονισμού σε ολόκληρη την Ένωση.</w:t>
      </w:r>
    </w:p>
    <w:p>
      <w:pPr>
        <w:ind w:left="850"/>
        <w:rPr>
          <w:noProof/>
        </w:rPr>
      </w:pPr>
      <w:r>
        <w:rPr>
          <w:noProof/>
        </w:rPr>
        <w:t>Για τον σκοπό αυτόν, οι συντονιστές ψηφιακών υπηρεσιών συνεργάζονται μεταξύ τους, με άλλες εθνικές αρμόδιες αρχές, το συμβούλιο και την Επιτροπή, με την επιφύλαξη της δυνατότητας των κρατών μελών να προβλέπουν τακτικές ανταλλαγές απόψεων με άλλες αρχές, κατά περίπτωση, για την εκτέλεση των καθηκόντων των εν λόγω άλλων αρχών και του συντονιστή ψηφιακών υπηρεσιών.</w:t>
      </w:r>
    </w:p>
    <w:p>
      <w:pPr>
        <w:ind w:left="850"/>
        <w:rPr>
          <w:noProof/>
        </w:rPr>
      </w:pPr>
      <w:r>
        <w:rPr>
          <w:noProof/>
        </w:rPr>
        <w:t xml:space="preserve">Όταν ένα κράτος μέλος ορίζει περισσότερες από μία αρμόδιες αρχές επιπροσθέτως του συντονιστή ψηφιακών υπηρεσιών, διασφαλίζει τον σαφή καθορισμό των αντίστοιχων καθηκόντων των εν λόγω αρχών και του συντονιστή ψηφιακών υπηρεσιών, καθώς και τη στενή και αποτελεσματική συνεργασία τους κατά την εκτέλεση των καθηκόντων τους. Το οικείο κράτος μέλος κοινοποιεί στην Επιτροπή και το συμβούλιο την ονομασία των άλλων αρμόδιων αρχών καθώς και τα αντίστοιχα καθήκοντά τους. </w:t>
      </w:r>
    </w:p>
    <w:p>
      <w:pPr>
        <w:pStyle w:val="ManualNumPar1"/>
        <w:rPr>
          <w:noProof/>
        </w:rPr>
      </w:pPr>
      <w:r>
        <w:t>3.</w:t>
      </w:r>
      <w:r>
        <w:tab/>
      </w:r>
      <w:r>
        <w:rPr>
          <w:noProof/>
        </w:rPr>
        <w:t xml:space="preserve">Τα κράτη μέλη ορίζουν τους συντονιστές ψηφιακών υπηρεσιών εντός δύο μηνών από την ημερομηνία έναρξης ισχύος του παρόντος κανονισμού. </w:t>
      </w:r>
    </w:p>
    <w:p>
      <w:pPr>
        <w:ind w:left="850"/>
        <w:rPr>
          <w:noProof/>
        </w:rPr>
      </w:pPr>
      <w:r>
        <w:rPr>
          <w:noProof/>
        </w:rPr>
        <w:lastRenderedPageBreak/>
        <w:t xml:space="preserve">Τα κράτη μέλη δημοσιοποιούν και κοινοποιούν στην Επιτροπή και το συμβούλιο την ονομασία της αρμόδιας αρχής τους που ορίζεται ως συντονιστής ψηφιακών υπηρεσιών και πληροφορίες σχετικά με τον τρόπο επικοινωνίας με αυτήν. </w:t>
      </w:r>
    </w:p>
    <w:p>
      <w:pPr>
        <w:pStyle w:val="ManualNumPar1"/>
        <w:rPr>
          <w:noProof/>
        </w:rPr>
      </w:pPr>
      <w:r>
        <w:t>4.</w:t>
      </w:r>
      <w:r>
        <w:tab/>
      </w:r>
      <w:r>
        <w:rPr>
          <w:noProof/>
        </w:rPr>
        <w:t xml:space="preserve">Οι εφαρμοστέες απαιτήσεις για τους συντονιστές ψηφιακών υπηρεσιών, όπως ορίζονται στα άρθρα 39, 40 και 41, εφαρμόζονται επίσης σε κάθε άλλη αρμόδια αρχή που ορίζουν τα κράτη μέλη σύμφωνα με την παράγραφο 1. </w:t>
      </w:r>
    </w:p>
    <w:p>
      <w:pPr>
        <w:pStyle w:val="Titrearticle"/>
        <w:rPr>
          <w:noProof/>
        </w:rPr>
      </w:pPr>
      <w:r>
        <w:rPr>
          <w:noProof/>
        </w:rPr>
        <w:t>Άρθρο 39</w:t>
      </w:r>
      <w:r>
        <w:rPr>
          <w:noProof/>
        </w:rPr>
        <w:br w:type="textWrapping" w:clear="all"/>
        <w:t>Απαιτήσεις για τους συντονιστές ψηφιακών υπηρεσιών</w:t>
      </w:r>
    </w:p>
    <w:p>
      <w:pPr>
        <w:pStyle w:val="ManualNumPar1"/>
        <w:rPr>
          <w:noProof/>
        </w:rPr>
      </w:pPr>
      <w:r>
        <w:t>1.</w:t>
      </w:r>
      <w:r>
        <w:tab/>
      </w:r>
      <w:r>
        <w:rPr>
          <w:noProof/>
        </w:rPr>
        <w:t>Τα κράτη μέλη διασφαλίζουν ότι οι συντονιστές ψηφιακών υπηρεσιών τους εκτελούν τα καθήκοντά τους βάσει του παρόντος κανονισμού με αμερόληπτο, διαφανή και έγκαιρο τρόπο. Τα κράτη μέλη μεριμνούν ώστε οι συντονιστές ψηφιακών υπηρεσιών τους να διαθέτουν επαρκείς τεχνικούς, χρηματοδοτικούς και ανθρώπινους πόρους για την εκτέλεση των καθηκόντων τους.</w:t>
      </w:r>
    </w:p>
    <w:p>
      <w:pPr>
        <w:pStyle w:val="ManualNumPar1"/>
        <w:rPr>
          <w:noProof/>
        </w:rPr>
      </w:pPr>
      <w:r>
        <w:t>2.</w:t>
      </w:r>
      <w:r>
        <w:tab/>
      </w:r>
      <w:r>
        <w:rPr>
          <w:noProof/>
        </w:rPr>
        <w:t>Κατά την εκτέλεση των καθηκόντων τους και την άσκηση των εξουσιών τους σύμφωνα με τον παρόντα κανονισμό, οι συντονιστές ψηφιακών υπηρεσιών ενεργούν με απόλυτη ανεξαρτησία. Παραμένουν απαλλαγμένοι από οποιαδήποτε εξωτερική επιρροή, άμεση ή έμμεση, και δεν ζητούν ούτε λαμβάνουν οδηγίες από οποιαδήποτε άλλη δημόσια αρχή ή από οποιονδήποτε ιδιωτικό φορέα.</w:t>
      </w:r>
    </w:p>
    <w:p>
      <w:pPr>
        <w:pStyle w:val="ManualNumPar1"/>
        <w:rPr>
          <w:noProof/>
        </w:rPr>
      </w:pPr>
      <w:r>
        <w:t>3.</w:t>
      </w:r>
      <w:r>
        <w:tab/>
      </w:r>
      <w:r>
        <w:rPr>
          <w:noProof/>
        </w:rPr>
        <w:t xml:space="preserve">Η παράγραφος 2 δεν θίγει τα καθήκοντα των συντονιστών ψηφιακών υπηρεσιών στο πλαίσιο του συστήματος επίβλεψης και επιβολής που προβλέπεται στον παρόντα κανονισμό και τη συνεργασία με άλλες αρμόδιες αρχές σύμφωνα με το άρθρο 38 παράγραφος 2. Η παράγραφος 2 δεν εμποδίζει την επίβλεψη των οικείων αρχών σύμφωνα με το εθνικό συνταγματικό δίκαιο. </w:t>
      </w:r>
    </w:p>
    <w:p>
      <w:pPr>
        <w:pStyle w:val="Titrearticle"/>
        <w:rPr>
          <w:noProof/>
        </w:rPr>
      </w:pPr>
      <w:r>
        <w:rPr>
          <w:noProof/>
        </w:rPr>
        <w:t>Άρθρο 40</w:t>
      </w:r>
      <w:r>
        <w:rPr>
          <w:noProof/>
        </w:rPr>
        <w:br w:type="textWrapping" w:clear="all"/>
        <w:t>Δικαιοδοσία</w:t>
      </w:r>
    </w:p>
    <w:p>
      <w:pPr>
        <w:pStyle w:val="ManualNumPar1"/>
        <w:rPr>
          <w:noProof/>
        </w:rPr>
      </w:pPr>
      <w:r>
        <w:t>1.</w:t>
      </w:r>
      <w:r>
        <w:tab/>
      </w:r>
      <w:r>
        <w:rPr>
          <w:noProof/>
        </w:rPr>
        <w:t xml:space="preserve">Το κράτος μέλος στο οποίο βρίσκεται η κύρια εγκατάσταση του παρόχου ενδιάμεσων υπηρεσιών έχει δικαιοδοσία για τους σκοπούς των κεφαλαίων III και IV του παρόντος κανονισμού. </w:t>
      </w:r>
    </w:p>
    <w:p>
      <w:pPr>
        <w:pStyle w:val="ManualNumPar1"/>
        <w:rPr>
          <w:noProof/>
        </w:rPr>
      </w:pPr>
      <w:r>
        <w:t>2.</w:t>
      </w:r>
      <w:r>
        <w:tab/>
      </w:r>
      <w:r>
        <w:rPr>
          <w:noProof/>
        </w:rPr>
        <w:t>Πάροχος ενδιάμεσων υπηρεσιών ο οποίος δεν έχει εγκατάσταση στην Ένωση αλλά παρέχει υπηρεσίες στην Ένωση θεωρείται, για τους σκοπούς των κεφαλαίων III και IV, ότι υπάγεται στη δικαιοδοσία του κράτους μέλους στο οποίο διαμένει ή είναι εγκατεστημένος ο νόμιμος εκπρόσωπός του.</w:t>
      </w:r>
    </w:p>
    <w:p>
      <w:pPr>
        <w:pStyle w:val="ManualNumPar1"/>
        <w:rPr>
          <w:bCs/>
          <w:iCs/>
          <w:noProof/>
        </w:rPr>
      </w:pPr>
      <w:r>
        <w:t>3.</w:t>
      </w:r>
      <w:r>
        <w:tab/>
      </w:r>
      <w:r>
        <w:rPr>
          <w:noProof/>
        </w:rPr>
        <w:t xml:space="preserve">Όταν ένας πάροχος ενδιάμεσων υπηρεσιών δεν ορίσει νόμιμο εκπρόσωπο σύμφωνα με το άρθρο 11, όλα τα κράτη μέλη έχουν δικαιοδοσία για τους σκοπούς των κεφαλαίων III και IV. Όταν ένα κράτος μέλος αποφασίζει να ασκήσει δικαιοδοσία βάσει της παρούσας παραγράφου, ενημερώνει όλα τα άλλα κράτη μέλη και διασφαλίζει την τήρηση της αρχής </w:t>
      </w:r>
      <w:r>
        <w:rPr>
          <w:bCs/>
          <w:i/>
          <w:iCs/>
          <w:noProof/>
        </w:rPr>
        <w:t>ne bis in idem</w:t>
      </w:r>
      <w:r>
        <w:rPr>
          <w:noProof/>
        </w:rPr>
        <w:t xml:space="preserve">. </w:t>
      </w:r>
    </w:p>
    <w:p>
      <w:pPr>
        <w:pStyle w:val="ManualNumPar1"/>
        <w:rPr>
          <w:bCs/>
          <w:iCs/>
          <w:noProof/>
        </w:rPr>
      </w:pPr>
      <w:r>
        <w:t>4.</w:t>
      </w:r>
      <w:r>
        <w:tab/>
      </w:r>
      <w:r>
        <w:rPr>
          <w:noProof/>
        </w:rPr>
        <w:t xml:space="preserve">Οι παράγραφοι 1, 2 και 3 δεν θίγουν το άρθρο 50 παράγραφος 4 δεύτερο εδάφιο και το άρθρο 51 παράγραφος 2 δεύτερο εδάφιο, καθώς και τα καθήκοντα και τις εξουσίες της Επιτροπής σύμφωνα με το τμήμα 3.  </w:t>
      </w:r>
    </w:p>
    <w:p>
      <w:pPr>
        <w:pStyle w:val="Titrearticle"/>
        <w:rPr>
          <w:noProof/>
        </w:rPr>
      </w:pPr>
      <w:r>
        <w:rPr>
          <w:noProof/>
        </w:rPr>
        <w:lastRenderedPageBreak/>
        <w:t>Άρθρο 41</w:t>
      </w:r>
      <w:r>
        <w:rPr>
          <w:noProof/>
        </w:rPr>
        <w:br w:type="textWrapping" w:clear="all"/>
        <w:t>Εξουσίες των συντονιστών ψηφιακών υπηρεσιών</w:t>
      </w:r>
    </w:p>
    <w:p>
      <w:pPr>
        <w:pStyle w:val="ManualNumPar1"/>
        <w:rPr>
          <w:noProof/>
        </w:rPr>
      </w:pPr>
      <w:r>
        <w:t>1.</w:t>
      </w:r>
      <w:r>
        <w:tab/>
      </w:r>
      <w:r>
        <w:rPr>
          <w:noProof/>
        </w:rPr>
        <w:t>Όταν απαιτείται για την εκτέλεση των καθηκόντων τους, οι συντονιστές ψηφιακών υπηρεσιών διαθέτουν τουλάχιστον τις ακόλουθες εξουσίες έρευνας, όσον αφορά τη συμπεριφορά παρόχων ενδιάμεσων υπηρεσιών που υπάγονται στη δικαιοδοσία του κράτους μέλους τους:</w:t>
      </w:r>
    </w:p>
    <w:p>
      <w:pPr>
        <w:pStyle w:val="Point1"/>
        <w:rPr>
          <w:noProof/>
        </w:rPr>
      </w:pPr>
      <w:r>
        <w:rPr>
          <w:noProof/>
        </w:rPr>
        <w:t>α)</w:t>
      </w:r>
      <w:r>
        <w:rPr>
          <w:noProof/>
        </w:rPr>
        <w:tab/>
        <w:t>την εξουσία να ζητούν από αυτούς τους παρόχους, καθώς και κάθε άλλο πρόσωπο που ενεργεί για σκοπούς που αφορούν τις εμπορικές, επιχειρηματικές, βιοτεχνικές ή επαγγελματικές του δραστηριότητες, το οποίο μπορεί εύλογα να γνωρίζει πληροφορίες σχετικά με εικαζόμενη παράβαση του παρόντος κανονισμού, συμπεριλαμβανομένων των οργανισμών που διενεργούν τους ελέγχους που αναφέρονται στο άρθρο 28 και στο άρθρο 50 παράγραφος 3, να παράσχουν τις εν λόγω πληροφορίες εντός εύλογης προθεσμίας·</w:t>
      </w:r>
    </w:p>
    <w:p>
      <w:pPr>
        <w:pStyle w:val="Point1"/>
        <w:rPr>
          <w:noProof/>
        </w:rPr>
      </w:pPr>
      <w:r>
        <w:rPr>
          <w:noProof/>
        </w:rPr>
        <w:t>β)</w:t>
      </w:r>
      <w:r>
        <w:rPr>
          <w:noProof/>
        </w:rPr>
        <w:tab/>
        <w:t xml:space="preserve">την εξουσία να διενεργούν επιτόπιες επιθεωρήσεις οποιωνδήποτε εγκαταστάσεων που χρησιμοποιούν οι εν λόγω πάροχοι ή τα εν λόγω πρόσωπα για σκοπούς που αφορούν τις εμπορικές, επιχειρηματικές, βιοτεχνικές ή επαγγελματικές τους δραστηριότητες ή να ζητούν από άλλες δημόσιες αρχές τη διενέργειά τους, προκειμένου να εξετάσουν, να κατάσχουν, να λάβουν ή να αποκτήσουν αντίγραφα πληροφοριών σχετικών με εικαζόμενη παράβαση σε οποιαδήποτε μορφή, ανεξάρτητα από το μέσο αποθήκευσης· </w:t>
      </w:r>
    </w:p>
    <w:p>
      <w:pPr>
        <w:pStyle w:val="Point1"/>
        <w:rPr>
          <w:noProof/>
        </w:rPr>
      </w:pPr>
      <w:r>
        <w:rPr>
          <w:noProof/>
        </w:rPr>
        <w:t>γ)</w:t>
      </w:r>
      <w:r>
        <w:rPr>
          <w:noProof/>
        </w:rPr>
        <w:tab/>
        <w:t>την εξουσία να ζητούν από οποιοδήποτε μέλος του προσωπικού ή εκπρόσωπο των εν λόγω παρόχων ή των εν λόγω προσώπων να παράσχει εξηγήσεις όσον αφορά κάθε πληροφορία σχετική με εικαζόμενη παράβαση και να καταγράφουν τις απαντήσεις.</w:t>
      </w:r>
    </w:p>
    <w:p>
      <w:pPr>
        <w:pStyle w:val="ManualNumPar1"/>
        <w:rPr>
          <w:noProof/>
        </w:rPr>
      </w:pPr>
      <w:r>
        <w:t>2.</w:t>
      </w:r>
      <w:r>
        <w:tab/>
      </w:r>
      <w:r>
        <w:rPr>
          <w:noProof/>
        </w:rPr>
        <w:t>Όταν απαιτείται για την εκτέλεση των καθηκόντων τους, οι συντονιστές ψηφιακών υπηρεσιών διαθέτουν τουλάχιστον τις ακόλουθες εξουσίες επιβολής, όσον αφορά τους παρόχους ενδιάμεσων υπηρεσιών που υπάγονται στη δικαιοδοσία του κράτους μέλους τους:</w:t>
      </w:r>
    </w:p>
    <w:p>
      <w:pPr>
        <w:pStyle w:val="Point1"/>
        <w:rPr>
          <w:noProof/>
        </w:rPr>
      </w:pPr>
      <w:r>
        <w:rPr>
          <w:noProof/>
        </w:rPr>
        <w:t>α)</w:t>
      </w:r>
      <w:r>
        <w:rPr>
          <w:noProof/>
        </w:rPr>
        <w:tab/>
        <w:t>την εξουσία να αποδέχονται τις δεσμεύσεις που παρέχουν οι εν λόγω πάροχοι σε σχέση με τη συμμόρφωσή τους με τον παρόντα κανονισμό και να καθιστούν τις δεσμεύσεις αυτές υποχρεωτικές·</w:t>
      </w:r>
    </w:p>
    <w:p>
      <w:pPr>
        <w:pStyle w:val="Point1"/>
        <w:rPr>
          <w:noProof/>
        </w:rPr>
      </w:pPr>
      <w:r>
        <w:rPr>
          <w:noProof/>
        </w:rPr>
        <w:t>β)</w:t>
      </w:r>
      <w:r>
        <w:rPr>
          <w:noProof/>
        </w:rPr>
        <w:tab/>
        <w:t>την εξουσία να διατάσσουν την παύση των παραβάσεων και να επιβάλλουν, κατά περίπτωση, διορθωτικά μέτρα αναλογικά με την παράβαση και αναγκαία για την παύση της παράβασης·</w:t>
      </w:r>
    </w:p>
    <w:p>
      <w:pPr>
        <w:pStyle w:val="Point1"/>
        <w:rPr>
          <w:noProof/>
        </w:rPr>
      </w:pPr>
      <w:r>
        <w:rPr>
          <w:noProof/>
        </w:rPr>
        <w:t>γ)</w:t>
      </w:r>
      <w:r>
        <w:rPr>
          <w:noProof/>
        </w:rPr>
        <w:tab/>
        <w:t>την εξουσία να επιβάλλουν πρόστιμα σύμφωνα με το άρθρο 42 λόγω μη συμμόρφωσης με τον παρόντα κανονισμό, συμπεριλαμβανομένης οποιασδήποτε από τις εντολές που εκδίδονται σύμφωνα με την παράγραφο 1·</w:t>
      </w:r>
    </w:p>
    <w:p>
      <w:pPr>
        <w:pStyle w:val="Point1"/>
        <w:rPr>
          <w:noProof/>
        </w:rPr>
      </w:pPr>
      <w:r>
        <w:rPr>
          <w:noProof/>
        </w:rPr>
        <w:t>δ)</w:t>
      </w:r>
      <w:r>
        <w:rPr>
          <w:noProof/>
        </w:rPr>
        <w:tab/>
        <w:t>την εξουσία να επιβάλλουν περιοδική χρηματική ποινή σύμφωνα με το άρθρο 42 για να διασφαλιστεί η παύση της παράβασης σε συμμόρφωση με εντολή που εκδίδεται σύμφωνα με το στοιχείο β) της παρούσας παραγράφου ή λόγω μη συμμόρφωσης με οποιαδήποτε από τις εντολές που εκδίδονται σύμφωνα με την παράγραφο 1·</w:t>
      </w:r>
    </w:p>
    <w:p>
      <w:pPr>
        <w:pStyle w:val="Point1"/>
        <w:rPr>
          <w:noProof/>
        </w:rPr>
      </w:pPr>
      <w:r>
        <w:rPr>
          <w:noProof/>
        </w:rPr>
        <w:t>ε)</w:t>
      </w:r>
      <w:r>
        <w:rPr>
          <w:noProof/>
        </w:rPr>
        <w:tab/>
        <w:t>την εξουσία να θεσπίζουν προσωρινά μέτρα για την αποφυγή κινδύνου σοβαρής βλάβης.</w:t>
      </w:r>
    </w:p>
    <w:p>
      <w:pPr>
        <w:ind w:left="850"/>
        <w:rPr>
          <w:noProof/>
        </w:rPr>
      </w:pPr>
      <w:r>
        <w:rPr>
          <w:noProof/>
        </w:rPr>
        <w:lastRenderedPageBreak/>
        <w:t>Όσον αφορά τα στοιχεία γ) και δ) του πρώτου εδαφίου, οι συντονιστές ψηφιακών υπηρεσιών έχουν επίσης τις εξουσίες επιβολής που ορίζονται στα στοιχεία αυτά σε σχέση με τα άλλα πρόσωπα που αναφέρονται στην παράγραφο 1 λόγω μη συμμόρφωσης με οποιαδήποτε από τις εντολές που εκδίδονται προς αυτά σύμφωνα με την εν λόγω παράγραφο. Ασκούν τις εν λόγω εξουσίες επιβολής μόνον αφού έχουν παράσχει εγκαίρως στα εν λόγω άλλα πρόσωπα όλες τις σχετικές πληροφορίες που αφορούν τις εντολές αυτές, συμπεριλαμβανομένων της εφαρμοστέας προθεσμίας, των προστίμων ή των περιοδικών χρηματικών ποινών που ενδέχεται να επιβληθούν λόγω μη συμμόρφωσης και των δυνατοτήτων προσφυγής.</w:t>
      </w:r>
    </w:p>
    <w:p>
      <w:pPr>
        <w:pStyle w:val="ManualNumPar1"/>
        <w:rPr>
          <w:noProof/>
        </w:rPr>
      </w:pPr>
      <w:r>
        <w:t>3.</w:t>
      </w:r>
      <w:r>
        <w:tab/>
      </w:r>
      <w:r>
        <w:rPr>
          <w:noProof/>
        </w:rPr>
        <w:t xml:space="preserve">Όταν απαιτείται για την εκπλήρωση των καθηκόντων τους, οι συντονιστές ψηφιακών υπηρεσιών διαθέτουν επίσης, όσον αφορά τους παρόχους ενδιάμεσων υπηρεσιών που υπάγονται στη δικαιοδοσία του κράτους μέλους τους, όταν έχουν εξαντληθεί όλες οι άλλες εξουσίες σύμφωνα με το παρόν άρθρο για την παύση της παράβασης και η παράβαση συνεχίζεται και προκαλεί σοβαρές επιβλαβείς συνέπειες οι οποίες δεν μπορούν να αποφευχθούν μέσω της άσκησης άλλων εξουσιών που είναι διαθέσιμες βάσει του ενωσιακού ή του εθνικού δικαίου, την εξουσία να λαμβάνουν τα ακόλουθα μέτρα: </w:t>
      </w:r>
    </w:p>
    <w:p>
      <w:pPr>
        <w:pStyle w:val="Point1"/>
        <w:rPr>
          <w:noProof/>
        </w:rPr>
      </w:pPr>
      <w:r>
        <w:rPr>
          <w:noProof/>
        </w:rPr>
        <w:t>α)</w:t>
      </w:r>
      <w:r>
        <w:rPr>
          <w:noProof/>
        </w:rPr>
        <w:tab/>
        <w:t>να ζητούν από το διοικητικό όργανο των παρόχων, εντός εύλογης προθεσμίας, να εξετάσει την κατάσταση, να εγκρίνει και να υποβάλει σχέδιο δράσης που να καθορίζει τα αναγκαία μέτρα για την παύση της παράβασης, να διασφαλίσει ότι ο πάροχος λαμβάνει τα μέτρα αυτά και να υποβάλει έκθεση σχετικά με τα μέτρα που έχουν ληφθεί·</w:t>
      </w:r>
    </w:p>
    <w:p>
      <w:pPr>
        <w:pStyle w:val="Point1"/>
        <w:rPr>
          <w:noProof/>
        </w:rPr>
      </w:pPr>
      <w:r>
        <w:rPr>
          <w:noProof/>
        </w:rPr>
        <w:t>β)</w:t>
      </w:r>
      <w:r>
        <w:rPr>
          <w:noProof/>
        </w:rPr>
        <w:tab/>
        <w:t xml:space="preserve">όταν ο συντονιστής ψηφιακών υπηρεσιών θεωρεί ότι ο πάροχος δεν συμμορφώνεται επαρκώς με τις απαιτήσεις της πρώτης περίπτωσης, ότι η παράβαση συνεχίζεται και προκαλεί σοβαρές επιβλαβείς συνέπειες και ότι η παράβαση συνεπάγεται σοβαρό ποινικό αδίκημα που συνιστά απειλή για τη ζωή ή την ασφάλεια προσώπων, να ζητούν από την αρμόδια δικαστική αρχή του εν λόγω κράτους μέλους να διατάξει τον προσωρινό περιορισμό της πρόσβασης των αποδεκτών της υπηρεσίας που αφορά η παράβαση ή, μόνον όταν αυτό δεν είναι τεχνικά εφικτό, της πρόσβασης στην επιγραμμική διεπαφή του παρόχου ενδιάμεσων υπηρεσιών στην οποία πραγματοποιείται η παράβαση. </w:t>
      </w:r>
    </w:p>
    <w:p>
      <w:pPr>
        <w:ind w:left="850"/>
        <w:rPr>
          <w:noProof/>
        </w:rPr>
      </w:pPr>
      <w:r>
        <w:rPr>
          <w:noProof/>
        </w:rPr>
        <w:t xml:space="preserve">Ο συντονιστής ψηφιακών υπηρεσιών, προτού υποβάλει το αίτημα που αναφέρεται στο στοιχείο β) του πρώτου εδαφίου, καλεί τα ενδιαφερόμενα μέρη να υποβάλουν γραπτές παρατηρήσεις εντός προθεσμίας δύο εβδομάδων τουλάχιστον, περιγράφοντας τα μέτρα που προτίθεται να ζητήσει και προσδιορίζοντας τον σκοπούμενο αποδέκτη ή αποδέκτες αυτών, εκτός εάν ενεργεί κατόπιν αιτήματος της Επιτροπής που αναφέρεται στο άρθρο 65. Ο πάροχος, ο σκοπούμενος αποδέκτης ή αποδέκτες και κάθε άλλος τρίτος που διαθέτει αποδεδειγμένο έννομο συμφέρον έχει δικαίωμα να συμμετέχει στη διαδικασία ενώπιον της αρμόδιας δικαστικής αρχής. Κάθε μέτρο που διατάσσεται είναι αναλογικό με τη φύση, τη σοβαρότητα, την επανάληψη και τη διάρκεια της παράβασης, χωρίς να περιορίζει αδικαιολόγητα την πρόσβαση αποδεκτών της οικείας υπηρεσίας σε νόμιμες πληροφορίες. </w:t>
      </w:r>
    </w:p>
    <w:p>
      <w:pPr>
        <w:ind w:left="850"/>
        <w:rPr>
          <w:noProof/>
        </w:rPr>
      </w:pPr>
      <w:r>
        <w:rPr>
          <w:noProof/>
        </w:rPr>
        <w:t xml:space="preserve">Ο περιορισμός ισχύει για περίοδο τεσσάρων εβδομάδων, με την επιφύλαξη της δυνατότητας της αρμόδιας δικαστικής αρχής να επιτρέψει, με την εντολή της, στον συντονιστή ψηφιακών υπηρεσιών να παρατείνει την εν λόγω περίοδο για περαιτέρω περιόδους ίδιας διάρκειας, με την επιφύλαξη μέγιστου αριθμού παρατάσεων τον οποίο ορίζει η εν λόγω δικαστική αρχή. Ο συντονιστής ψηφιακών υπηρεσιών </w:t>
      </w:r>
      <w:r>
        <w:rPr>
          <w:noProof/>
        </w:rPr>
        <w:lastRenderedPageBreak/>
        <w:t>παρατείνει την περίοδο μόνον όταν θεωρεί ότι πληρούνται και οι δύο ακόλουθες προϋποθέσεις, λαμβάνοντας υπόψη τα δικαιώματα και τα συμφέροντα όλων των μερών που θίγονται από τον περιορισμό και όλες τις σχετικές περιστάσεις, συμπεριλαμβανομένων τυχόν πληροφοριών που μπορεί να του παράσχει ο πάροχος, ο αποδέκτης ή οι αποδέκτες και κάθε άλλος τρίτος που διαθέτει αποδεδειγμένο έννομο συμφέρον:</w:t>
      </w:r>
    </w:p>
    <w:p>
      <w:pPr>
        <w:pStyle w:val="Point1"/>
        <w:rPr>
          <w:noProof/>
        </w:rPr>
      </w:pPr>
      <w:r>
        <w:rPr>
          <w:noProof/>
        </w:rPr>
        <w:t>α)</w:t>
      </w:r>
      <w:r>
        <w:rPr>
          <w:noProof/>
        </w:rPr>
        <w:tab/>
        <w:t>ο πάροχος δεν έχει λάβει τα αναγκαία μέτρα για την παύση της παράβασης·</w:t>
      </w:r>
    </w:p>
    <w:p>
      <w:pPr>
        <w:pStyle w:val="Point1"/>
        <w:rPr>
          <w:noProof/>
        </w:rPr>
      </w:pPr>
      <w:r>
        <w:rPr>
          <w:noProof/>
        </w:rPr>
        <w:t>β)</w:t>
      </w:r>
      <w:r>
        <w:rPr>
          <w:noProof/>
        </w:rPr>
        <w:tab/>
        <w:t>ο προσωρινός περιορισμός δεν περιορίζει αδικαιολόγητα την πρόσβαση των αποδεκτών της υπηρεσίας σε νόμιμες πληροφορίες, λαμβανομένου υπόψη του αριθμού των αποδεκτών που θίγονται και κατά πόσον υπάρχουν επαρκείς και εύκολα προσβάσιμες εναλλακτικές.</w:t>
      </w:r>
    </w:p>
    <w:p>
      <w:pPr>
        <w:ind w:left="850"/>
        <w:rPr>
          <w:noProof/>
        </w:rPr>
      </w:pPr>
      <w:r>
        <w:rPr>
          <w:noProof/>
        </w:rPr>
        <w:t xml:space="preserve">Όταν ο συντονιστής ψηφιακών υπηρεσιών θεωρεί ότι πληρούνται οι δύο αυτές προϋποθέσεις, αλλά δεν μπορεί να παρατείνει περαιτέρω την περίοδο σύμφωνα με το τρίτο εδάφιο, υποβάλλει στην αρμόδια δικαστική αρχή νέο αίτημα, όπως προβλέπεται στο πρώτο εδάφιο στοιχείο β).    </w:t>
      </w:r>
    </w:p>
    <w:p>
      <w:pPr>
        <w:pStyle w:val="ManualNumPar1"/>
        <w:rPr>
          <w:noProof/>
        </w:rPr>
      </w:pPr>
      <w:r>
        <w:t>4.</w:t>
      </w:r>
      <w:r>
        <w:tab/>
      </w:r>
      <w:r>
        <w:rPr>
          <w:noProof/>
        </w:rPr>
        <w:t xml:space="preserve">Οι εξουσίες που παρατίθενται στις παραγράφους 1, 2 και 3 δεν θίγουν το τμήμα 3. </w:t>
      </w:r>
    </w:p>
    <w:p>
      <w:pPr>
        <w:pStyle w:val="ManualNumPar1"/>
        <w:rPr>
          <w:noProof/>
        </w:rPr>
      </w:pPr>
      <w:r>
        <w:t>5.</w:t>
      </w:r>
      <w:r>
        <w:tab/>
      </w:r>
      <w:r>
        <w:rPr>
          <w:noProof/>
        </w:rPr>
        <w:t>Τα μέτρα που λαμβάνονται από τους συντονιστές ψηφιακών υπηρεσιών κατά την άσκηση των εξουσιών τους που παρατίθενται στις παραγράφους 1, 2 και 3 είναι αποτελεσματικά, αποτρεπτικά και αναλογικά, λαμβανομένων ιδίως υπόψη της φύσης, της σοβαρότητας, της επανάληψης και της διάρκειας της παράβασης ή της εικαζόμενης παράβασης την οποία αφορούν τα μέτρα αυτά, καθώς και της οικονομικής, τεχνικής και επιχειρησιακής ικανότητας του παρόχου των οικείων ενδιάμεσων υπηρεσιών, ανάλογα με την περίπτωση.</w:t>
      </w:r>
    </w:p>
    <w:p>
      <w:pPr>
        <w:pStyle w:val="ManualNumPar1"/>
        <w:rPr>
          <w:noProof/>
        </w:rPr>
      </w:pPr>
      <w:r>
        <w:t>6.</w:t>
      </w:r>
      <w:r>
        <w:tab/>
      </w:r>
      <w:r>
        <w:rPr>
          <w:noProof/>
        </w:rPr>
        <w:t>Τα κράτη μέλη μεριμνούν ώστε κάθε άσκηση των εξουσιών σύμφωνα με τις παραγράφους 1, 2 και 3 να υπόκειται σε επαρκείς διασφαλίσεις που ορίζονται στο εφαρμοστέο εθνικό δίκαιο σύμφωνα με τον Χάρτη και τις γενικές αρχές του ενωσιακού δικαίου. Ειδικότερα, τα μέτρα αυτά λαμβάνονται μόνο σύμφωνα με το δικαίωμα σεβασμού της ιδιωτικής ζωής και των δικαιωμάτων υπεράσπισης, συμπεριλαμβανομένων των δικαιωμάτων ακρόασης και πρόσβασης στον φάκελο, και με την επιφύλαξη του δικαιώματος πραγματικής δικαστικής προσφυγής όλων των θιγόμενων μερών.</w:t>
      </w:r>
    </w:p>
    <w:p>
      <w:pPr>
        <w:pStyle w:val="Titrearticle"/>
        <w:rPr>
          <w:noProof/>
        </w:rPr>
      </w:pPr>
      <w:r>
        <w:rPr>
          <w:noProof/>
        </w:rPr>
        <w:t>Άρθρο 42</w:t>
      </w:r>
      <w:r>
        <w:rPr>
          <w:noProof/>
        </w:rPr>
        <w:br w:type="textWrapping" w:clear="all"/>
        <w:t xml:space="preserve">Κυρώσεις </w:t>
      </w:r>
    </w:p>
    <w:p>
      <w:pPr>
        <w:pStyle w:val="ManualNumPar1"/>
        <w:rPr>
          <w:noProof/>
        </w:rPr>
      </w:pPr>
      <w:r>
        <w:t>1.</w:t>
      </w:r>
      <w:r>
        <w:tab/>
      </w:r>
      <w:r>
        <w:rPr>
          <w:noProof/>
        </w:rPr>
        <w:t>Τα κράτη μέλη θεσπίζουν κανόνες για την επιβολή κυρώσεων σε περίπτωση παράβασης του παρόντος κανονισμού από παρόχους ενδιάμεσων υπηρεσιών που υπόκεινται στη δικαιοδοσία τους και λαμβάνουν όλα τα αναγκαία μέτρα για να διασφαλίζουν την εφαρμογή τους σύμφωνα με το άρθρο 41.</w:t>
      </w:r>
    </w:p>
    <w:p>
      <w:pPr>
        <w:pStyle w:val="ManualNumPar1"/>
        <w:rPr>
          <w:noProof/>
        </w:rPr>
      </w:pPr>
      <w:r>
        <w:t>2.</w:t>
      </w:r>
      <w:r>
        <w:tab/>
      </w:r>
      <w:r>
        <w:rPr>
          <w:noProof/>
        </w:rPr>
        <w:t>Οι κυρώσεις είναι αποτελεσματικές, αναλογικές και αποτρεπτικές. Τα κράτη μέλη κοινοποιούν στην Επιτροπή τους εν λόγω κανόνες και τα εν λόγω μέτρα και την ενημερώνουν αμελλητί σχετικά με κάθε μεταγενέστερη τροποποίησή τους.</w:t>
      </w:r>
    </w:p>
    <w:p>
      <w:pPr>
        <w:pStyle w:val="ManualNumPar1"/>
        <w:rPr>
          <w:noProof/>
        </w:rPr>
      </w:pPr>
      <w:r>
        <w:t>3.</w:t>
      </w:r>
      <w:r>
        <w:tab/>
      </w:r>
      <w:r>
        <w:rPr>
          <w:noProof/>
        </w:rPr>
        <w:t xml:space="preserve">Τα κράτη μέλη μεριμνούν ώστε το μέγιστο ποσό των κυρώσεων που επιβάλλονται για μη συμμόρφωση με τις υποχρεώσεις που προβλέπονται στον παρόντα κανονισμό να μην υπερβαίνει το 6 % του ετήσιου εισοδήματος ή κύκλου εργασιών του οικείου παρόχου ενδιάμεσων υπηρεσιών. Οι κυρώσεις για την παροχή ανακριβών, ελλιπών ή παραπλανητικών πληροφοριών, την παράλειψη απάντησης ή διόρθωσης ανακριβών, </w:t>
      </w:r>
      <w:r>
        <w:rPr>
          <w:noProof/>
        </w:rPr>
        <w:lastRenderedPageBreak/>
        <w:t xml:space="preserve">ελλιπών ή παραπλανητικών πληροφοριών και τη μη υποβολή σε επιτόπια επιθεώρηση δεν υπερβαίνουν το 1 % του ετήσιου εισοδήματος ή κύκλου εργασιών του οικείου παρόχου. </w:t>
      </w:r>
    </w:p>
    <w:p>
      <w:pPr>
        <w:pStyle w:val="ManualNumPar1"/>
        <w:rPr>
          <w:noProof/>
        </w:rPr>
      </w:pPr>
      <w:r>
        <w:t>4.</w:t>
      </w:r>
      <w:r>
        <w:tab/>
      </w:r>
      <w:r>
        <w:rPr>
          <w:noProof/>
        </w:rPr>
        <w:t>Τα κράτη μέλη μεριμνούν ώστε το μέγιστο ποσό περιοδικής χρηματικής ποινής να μην υπερβαίνει το 5 % του μέσου ημερήσιου κύκλου εργασιών του οικείου παρόχου ενδιάμεσων υπηρεσιών κατά το προηγούμενο οικονομικό έτος ανά ημέρα, υπολογιζόμενης από την ημερομηνία που ορίζεται στη σχετική απόφαση.</w:t>
      </w:r>
    </w:p>
    <w:p>
      <w:pPr>
        <w:pStyle w:val="Titrearticle"/>
        <w:rPr>
          <w:noProof/>
        </w:rPr>
      </w:pPr>
      <w:r>
        <w:rPr>
          <w:noProof/>
        </w:rPr>
        <w:t>Άρθρο 43</w:t>
      </w:r>
      <w:r>
        <w:rPr>
          <w:noProof/>
        </w:rPr>
        <w:br w:type="textWrapping" w:clear="all"/>
        <w:t>Δικαίωμα υποβολής καταγγελίας</w:t>
      </w:r>
    </w:p>
    <w:p>
      <w:pPr>
        <w:rPr>
          <w:noProof/>
        </w:rPr>
      </w:pPr>
      <w:r>
        <w:rPr>
          <w:noProof/>
        </w:rPr>
        <w:t xml:space="preserve">Οι αποδέκτες της υπηρεσίας έχουν το δικαίωμα να υποβάλουν καταγγελία κατά παρόχων ενδιάμεσων υπηρεσιών με τον ισχυρισμό παράβασης του παρόντος κανονισμού στον συντονιστή ψηφιακών υπηρεσιών του κράτους μέλους στο οποίο διαμένει ή είναι εγκατεστημένος ο αποδέκτης. Ο συντονιστής ψηφιακών υπηρεσιών αξιολογεί την καταγγελία και, κατά περίπτωση, την διαβιβάζει στον συντονιστή ψηφιακών υπηρεσιών της χώρας εγκατάστασης. Όταν η καταγγελία εμπίπτει στην αρμοδιότητα άλλης αρμόδιας αρχής στο κράτος μέλος του, ο συντονιστής ψηφιακών υπηρεσιών που λαμβάνει την καταγγελία τη διαβιβάζει στην εν λόγω αρχή. </w:t>
      </w:r>
    </w:p>
    <w:p>
      <w:pPr>
        <w:pStyle w:val="Titrearticle"/>
        <w:rPr>
          <w:noProof/>
        </w:rPr>
      </w:pPr>
      <w:r>
        <w:rPr>
          <w:noProof/>
        </w:rPr>
        <w:t>Άρθρο 44</w:t>
      </w:r>
      <w:r>
        <w:rPr>
          <w:noProof/>
        </w:rPr>
        <w:br w:type="textWrapping" w:clear="all"/>
        <w:t>Εκθέσεις δραστηριοτήτων</w:t>
      </w:r>
    </w:p>
    <w:p>
      <w:pPr>
        <w:pStyle w:val="ManualNumPar1"/>
        <w:rPr>
          <w:noProof/>
        </w:rPr>
      </w:pPr>
      <w:r>
        <w:t>1.</w:t>
      </w:r>
      <w:r>
        <w:tab/>
      </w:r>
      <w:r>
        <w:rPr>
          <w:noProof/>
        </w:rPr>
        <w:t>Οι συντονιστές ψηφιακών υπηρεσιών καταρτίζουν ετήσια έκθεση σχετικά με τις δραστηριότητές τους βάσει του παρόντος κανονισμού. Δημοσιεύουν τις ετήσιες εκθέσεις και τις κοινοποιούν στην Επιτροπή και στο συμβούλιο.</w:t>
      </w:r>
    </w:p>
    <w:p>
      <w:pPr>
        <w:pStyle w:val="ManualNumPar1"/>
        <w:rPr>
          <w:noProof/>
        </w:rPr>
      </w:pPr>
      <w:r>
        <w:t>2.</w:t>
      </w:r>
      <w:r>
        <w:tab/>
      </w:r>
      <w:r>
        <w:rPr>
          <w:noProof/>
        </w:rPr>
        <w:t>Η ετήσια έκθεση περιλαμβάνει τουλάχιστον τις ακόλουθες πληροφορίες:</w:t>
      </w:r>
    </w:p>
    <w:p>
      <w:pPr>
        <w:pStyle w:val="Point1"/>
        <w:rPr>
          <w:noProof/>
        </w:rPr>
      </w:pPr>
      <w:r>
        <w:rPr>
          <w:noProof/>
        </w:rPr>
        <w:t>α)</w:t>
      </w:r>
      <w:r>
        <w:rPr>
          <w:noProof/>
        </w:rPr>
        <w:tab/>
        <w:t xml:space="preserve">τον αριθμό και το αντικείμενο των εντολών ανάληψης δράσης κατά παράνομου περιεχομένου και των εντολών παροχής πληροφοριών που εκδίδονται σύμφωνα με τα άρθρα 8 και 9 από οποιαδήποτε εθνική δικαστική ή διοικητική αρχή του κράτους μέλους του οικείου συντονιστή ψηφιακών υπηρεσιών· </w:t>
      </w:r>
    </w:p>
    <w:p>
      <w:pPr>
        <w:pStyle w:val="Point1"/>
        <w:rPr>
          <w:noProof/>
        </w:rPr>
      </w:pPr>
      <w:r>
        <w:rPr>
          <w:noProof/>
        </w:rPr>
        <w:t>β)</w:t>
      </w:r>
      <w:r>
        <w:rPr>
          <w:noProof/>
        </w:rPr>
        <w:tab/>
        <w:t>την εφαρμογή των εντολών αυτών, όπως κοινοποιήθηκε στον συντονιστή ψηφιακών υπηρεσιών σύμφωνα με τα άρθρα 8 και 9.</w:t>
      </w:r>
    </w:p>
    <w:p>
      <w:pPr>
        <w:pStyle w:val="ManualNumPar1"/>
        <w:rPr>
          <w:noProof/>
        </w:rPr>
      </w:pPr>
      <w:r>
        <w:t>3.</w:t>
      </w:r>
      <w:r>
        <w:tab/>
      </w:r>
      <w:r>
        <w:rPr>
          <w:noProof/>
        </w:rPr>
        <w:t xml:space="preserve">Όταν ένα κράτος μέλος έχει ορίσει περισσότερες από μία αρμόδιες αρχές σύμφωνα με το άρθρο 38, διασφαλίζει ότι ο συντονιστής ψηφιακών υπηρεσιών συντάσσει ενιαία έκθεση η οποία καλύπτει τις δραστηριότητες όλων των αρμόδιων αρχών και ότι ο συντονιστής ψηφιακών υπηρεσιών λαμβάνει από τις άλλες αρμόδιες αρχές όλες τις σχετικές πληροφορίες και τη στήριξη που απαιτείται για τον σκοπό αυτόν. </w:t>
      </w:r>
    </w:p>
    <w:p>
      <w:pPr>
        <w:pStyle w:val="Titrearticle"/>
        <w:rPr>
          <w:noProof/>
        </w:rPr>
      </w:pPr>
      <w:r>
        <w:rPr>
          <w:noProof/>
        </w:rPr>
        <w:t>Άρθρο 45</w:t>
      </w:r>
      <w:r>
        <w:rPr>
          <w:noProof/>
        </w:rPr>
        <w:br w:type="textWrapping" w:clear="all"/>
        <w:t>Διασυνοριακή συνεργασία μεταξύ των συντονιστών ψηφιακών υπηρεσιών</w:t>
      </w:r>
    </w:p>
    <w:p>
      <w:pPr>
        <w:pStyle w:val="ManualNumPar1"/>
        <w:rPr>
          <w:noProof/>
        </w:rPr>
      </w:pPr>
      <w:r>
        <w:t>1.</w:t>
      </w:r>
      <w:r>
        <w:tab/>
      </w:r>
      <w:r>
        <w:rPr>
          <w:noProof/>
        </w:rPr>
        <w:t xml:space="preserve">Όταν ένας συντονιστής ψηφιακών υπηρεσιών έχει λόγους να εικάζει ότι πάροχος ενδιάμεσης υπηρεσίας, ο οποίος δεν υπάγεται στη δικαιοδοσία του οικείου κράτους μέλους, παραβίασε τον παρόντα κανονισμό, ζητεί από τον συντονιστή ψηφιακών υπηρεσιών της χώρας εγκατάστασης να αξιολογήσει το ζήτημα και να λάβει τα αναγκαία μέτρα έρευνας και επιβολής για τη διασφάλιση της συμμόρφωσης με τον παρόντα κανονισμό. </w:t>
      </w:r>
    </w:p>
    <w:p>
      <w:pPr>
        <w:ind w:left="850"/>
        <w:rPr>
          <w:noProof/>
        </w:rPr>
      </w:pPr>
      <w:r>
        <w:rPr>
          <w:noProof/>
        </w:rPr>
        <w:lastRenderedPageBreak/>
        <w:t>Όταν το συμβούλιο έχει λόγους να εικάζει ότι πάροχος ενδιάμεσων υπηρεσιών παραβίασε τον παρόντα κανονισμό κατά τρόπο που εμπλέκει τουλάχιστον τρία κράτη μέλη, μπορεί να προτείνει στον συντονιστή ψηφιακών υπηρεσιών της χώρας εγκατάστασης να αξιολογήσει το ζήτημα και να λάβει τα αναγκαία μέτρα έρευνας και επιβολής για τη διασφάλιση της συμμόρφωσης με τον παρόντα κανονισμό.</w:t>
      </w:r>
    </w:p>
    <w:p>
      <w:pPr>
        <w:pStyle w:val="ManualNumPar1"/>
        <w:rPr>
          <w:noProof/>
        </w:rPr>
      </w:pPr>
      <w:r>
        <w:t>2.</w:t>
      </w:r>
      <w:r>
        <w:tab/>
      </w:r>
      <w:r>
        <w:rPr>
          <w:noProof/>
        </w:rPr>
        <w:t>Στο αίτημα ή τη σύσταση δυνάμει της παραγράφου 1 αναφέρονται τουλάχιστον τα εξής:</w:t>
      </w:r>
    </w:p>
    <w:p>
      <w:pPr>
        <w:pStyle w:val="Point1"/>
        <w:rPr>
          <w:noProof/>
        </w:rPr>
      </w:pPr>
      <w:r>
        <w:rPr>
          <w:noProof/>
        </w:rPr>
        <w:t>α)</w:t>
      </w:r>
      <w:r>
        <w:rPr>
          <w:noProof/>
        </w:rPr>
        <w:tab/>
        <w:t>το σημείο επαφής του οικείου παρόχου ενδιάμεσων υπηρεσιών όπως προβλέπεται στο άρθρο 10·</w:t>
      </w:r>
    </w:p>
    <w:p>
      <w:pPr>
        <w:pStyle w:val="Point1"/>
        <w:rPr>
          <w:noProof/>
        </w:rPr>
      </w:pPr>
      <w:r>
        <w:rPr>
          <w:noProof/>
        </w:rPr>
        <w:t>β)</w:t>
      </w:r>
      <w:r>
        <w:rPr>
          <w:noProof/>
        </w:rPr>
        <w:tab/>
        <w:t>περιγραφή των σχετικών γεγονότων, των σχετικών διατάξεων του παρόντος κανονισμού και των λόγων για τους οποίους ο συντονιστής ψηφιακών υπηρεσιών που έστειλε το αίτημα ή το συμβούλιο εικάζει ότι ο πάροχος παραβίασε τον παρόντα κανονισμό·</w:t>
      </w:r>
    </w:p>
    <w:p>
      <w:pPr>
        <w:pStyle w:val="Point1"/>
        <w:rPr>
          <w:noProof/>
        </w:rPr>
      </w:pPr>
      <w:r>
        <w:rPr>
          <w:noProof/>
        </w:rPr>
        <w:t>γ)</w:t>
      </w:r>
      <w:r>
        <w:rPr>
          <w:noProof/>
        </w:rPr>
        <w:tab/>
        <w:t xml:space="preserve">κάθε άλλη πληροφορία την οποία θεωρεί συναφή ο συντονιστής ψηφιακών υπηρεσιών που έστειλε το αίτημα ή το συμβούλιο, συμπεριλαμβανομένων, κατά περίπτωση, πληροφοριών που συλλέγονται με δική του πρωτοβουλία ή προτάσεων για τη λήψη ειδικών μέτρων έρευνας ή επιβολής, συμπεριλαμβανομένων προσωρινών μέτρων. </w:t>
      </w:r>
    </w:p>
    <w:p>
      <w:pPr>
        <w:pStyle w:val="ManualNumPar1"/>
        <w:rPr>
          <w:noProof/>
        </w:rPr>
      </w:pPr>
      <w:r>
        <w:t>3.</w:t>
      </w:r>
      <w:r>
        <w:tab/>
      </w:r>
      <w:r>
        <w:rPr>
          <w:noProof/>
        </w:rPr>
        <w:t>Ο συντονιστής ψηφιακών υπηρεσιών της χώρας εγκατάστασης λαμβάνει ιδιαιτέρως υπόψη το αίτημα ή τη σύσταση δυνάμει της παραγράφου 1. Όταν θεωρεί ότι δεν διαθέτει επαρκείς πληροφορίες για να ανταποκριθεί στο αίτημα ή τη σύσταση και έχει λόγους να θεωρεί ότι ο συντονιστής ψηφιακών υπηρεσιών που έστειλε το αίτημα ή το συμβούλιο θα μπορούσε να παράσχει πρόσθετες πληροφορίες, μπορεί να ζητήσει τις πληροφορίες αυτές. Η προθεσμία που ορίζεται στην παράγραφο 4 αναστέλλεται έως ότου παρασχεθούν οι εν λόγω πρόσθετες πληροφορίες.</w:t>
      </w:r>
    </w:p>
    <w:p>
      <w:pPr>
        <w:pStyle w:val="ManualNumPar1"/>
        <w:rPr>
          <w:noProof/>
        </w:rPr>
      </w:pPr>
      <w:r>
        <w:t>4.</w:t>
      </w:r>
      <w:r>
        <w:tab/>
      </w:r>
      <w:r>
        <w:rPr>
          <w:noProof/>
        </w:rPr>
        <w:t xml:space="preserve">Ο συντονιστής ψηφιακών υπηρεσιών της χώρας εγκατάστασης, χωρίς αδικαιολόγητη καθυστέρηση και σε κάθε περίπτωση το αργότερο δύο μήνες μετά την παραλαβή του αιτήματος ή της σύστασης, κοινοποιεί στον συντονιστή ψηφιακών υπηρεσιών που έστειλε το αίτημα ή στο συμβούλιο την αξιολόγησή του σχετικά με την εικαζόμενη παράβαση ή εκείνη κάθε άλλης αρμόδιας αρχής σύμφωνα με το εθνικό δίκαιο, ανάλογα με την περίπτωση, και επεξήγηση τυχόν μέτρων έρευνας ή επιβολής που έχουν ληφθεί ή προβλέπονται σε σχέση με την παράβαση με σκοπό να διασφαλιστεί η συμμόρφωση με τον παρόντα κανονισμό. </w:t>
      </w:r>
    </w:p>
    <w:p>
      <w:pPr>
        <w:pStyle w:val="ManualNumPar1"/>
        <w:rPr>
          <w:noProof/>
        </w:rPr>
      </w:pPr>
      <w:r>
        <w:t>5.</w:t>
      </w:r>
      <w:r>
        <w:tab/>
      </w:r>
      <w:r>
        <w:rPr>
          <w:noProof/>
        </w:rPr>
        <w:t>Εάν ο συντονιστής ψηφιακών υπηρεσιών που έστειλε το αίτημα ή, κατά περίπτωση, το συμβούλιο δεν λάβει απάντηση εντός της προθεσμίας που ορίζεται στην παράγραφο 4 ή εάν δεν συμφωνεί με την αξιολόγηση του συντονιστή ψηφιακών υπηρεσιών της χώρας εγκατάστασης, μπορεί να παραπέμψει το ζήτημα στην Επιτροπή, παρέχοντας όλες τις σχετικές πληροφορίες. Οι εν λόγω πληροφορίες περιλαμβάνουν τουλάχιστον το αίτημα ή τη σύσταση που εστάλη στον συντονιστή ψηφιακών υπηρεσιών της χώρας εγκατάστασης, τυχόν πρόσθετες πληροφορίες που παρέχονται σύμφωνα με την παράγραφο 3 και την κοινοποίηση που αναφέρεται στην παράγραφο 4.</w:t>
      </w:r>
    </w:p>
    <w:p>
      <w:pPr>
        <w:pStyle w:val="ManualNumPar1"/>
        <w:rPr>
          <w:noProof/>
        </w:rPr>
      </w:pPr>
      <w:r>
        <w:t>6.</w:t>
      </w:r>
      <w:r>
        <w:tab/>
      </w:r>
      <w:r>
        <w:rPr>
          <w:noProof/>
        </w:rPr>
        <w:t xml:space="preserve">Η Επιτροπή αξιολογεί το ζήτημα εντός τριών μηνών από την παραπομπή του σύμφωνα με την παράγραφο 5, κατόπιν διαβούλευσης με τον συντονιστή ψηφιακών υπηρεσιών της χώρας εγκατάστασης και το συμβούλιο, εκτός εάν αυτό παρέπεμψε το ζήτημα. </w:t>
      </w:r>
    </w:p>
    <w:p>
      <w:pPr>
        <w:pStyle w:val="ManualNumPar1"/>
        <w:rPr>
          <w:noProof/>
        </w:rPr>
      </w:pPr>
      <w:r>
        <w:lastRenderedPageBreak/>
        <w:t>7.</w:t>
      </w:r>
      <w:r>
        <w:tab/>
      </w:r>
      <w:r>
        <w:rPr>
          <w:noProof/>
        </w:rPr>
        <w:t xml:space="preserve">Εάν η Επιτροπή καταλήξει, σύμφωνα με την παράγραφο 6, στο συμπέρασμα ότι η αξιολόγηση ή τα μέτρα έρευνας ή επιβολής που έχουν ληφθεί ή προβλέπονται σύμφωνα με την παράγραφο 4 δεν συνάδουν με τον παρόντα κανονισμό, ζητεί από τον συντονιστή ψηφιακών υπηρεσιών της χώρας εγκατάστασης, αφενός, να αξιολογήσει περαιτέρω το ζήτημα και να λάβει τα αναγκαία μέτρα έρευνας ή επιβολής για τη διασφάλιση της συμμόρφωσης με τον παρόντα κανονισμό και, αφετέρου, να την ενημερώσει σχετικά με τα μέτρα που ελήφθησαν εντός δύο μηνών από την υποβολή του εν λόγω αιτήματος. </w:t>
      </w:r>
    </w:p>
    <w:p>
      <w:pPr>
        <w:pStyle w:val="Titrearticle"/>
        <w:rPr>
          <w:noProof/>
        </w:rPr>
      </w:pPr>
      <w:r>
        <w:rPr>
          <w:noProof/>
        </w:rPr>
        <w:t>Άρθρο 46</w:t>
      </w:r>
      <w:r>
        <w:rPr>
          <w:noProof/>
        </w:rPr>
        <w:br w:type="textWrapping" w:clear="all"/>
        <w:t>Κοινές έρευνες και αιτήματα για παρέμβαση της Επιτροπής</w:t>
      </w:r>
    </w:p>
    <w:p>
      <w:pPr>
        <w:pStyle w:val="ManualNumPar1"/>
        <w:rPr>
          <w:noProof/>
        </w:rPr>
      </w:pPr>
      <w:r>
        <w:t>1.</w:t>
      </w:r>
      <w:r>
        <w:tab/>
      </w:r>
      <w:r>
        <w:rPr>
          <w:noProof/>
        </w:rPr>
        <w:t>Οι συντονιστές ψηφιακών υπηρεσιών μπορούν να συμμετέχουν σε κοινές έρευνες, οι οποίες μπορούν να συντονίζονται με τη στήριξη του συμβουλίου, όσον αφορά θέματα που καλύπτονται από τον παρόντα κανονισμό, σχετικά με τους παρόχους ενδιάμεσων υπηρεσιών που λειτουργούν σε περισσότερα από ένα κράτη μέλη.</w:t>
      </w:r>
    </w:p>
    <w:p>
      <w:pPr>
        <w:ind w:left="850"/>
        <w:rPr>
          <w:noProof/>
        </w:rPr>
      </w:pPr>
      <w:r>
        <w:rPr>
          <w:noProof/>
        </w:rPr>
        <w:t xml:space="preserve">Οι εν λόγω κοινές έρευνες δεν θίγουν τα καθήκοντα και τις εξουσίες των συμμετεχόντων συντονιστών ψηφιακών υπηρεσιών και τις εφαρμοστέες απαιτήσεις για την εκτέλεση των καθηκόντων και την άσκηση των εξουσιών που προβλέπονται στον παρόντα κανονισμό. Οι συμμετέχοντες συντονιστές ψηφιακών υπηρεσιών καθιστούν διαθέσιμα τα αποτελέσματα των κοινών ερευνών σε άλλους συντονιστές ψηφιακών υπηρεσιών, στην Επιτροπή και το συμβούλιο μέσω του συστήματος που προβλέπεται στο άρθρο 67 για την εκπλήρωση των αντίστοιχων καθηκόντων τους βάσει του παρόντος κανονισμού. </w:t>
      </w:r>
    </w:p>
    <w:p>
      <w:pPr>
        <w:pStyle w:val="ManualNumPar1"/>
        <w:rPr>
          <w:noProof/>
        </w:rPr>
      </w:pPr>
      <w:r>
        <w:t>2.</w:t>
      </w:r>
      <w:r>
        <w:tab/>
      </w:r>
      <w:r>
        <w:rPr>
          <w:noProof/>
        </w:rPr>
        <w:t xml:space="preserve">Όταν ένας συντονιστής ψηφιακών υπηρεσιών της χώρας εγκατάστασης έχει λόγους να εικάζει ότι μια πολύ μεγάλη επιγραμμική πλατφόρμα παραβίασε τον παρόντα κανονισμό, μπορεί να ζητεί από την Επιτροπή να λάβει τα αναγκαία μέτρα έρευνας και επιβολής, ώστε να διασφαλίζεται η συμμόρφωση με τον παρόντα κανονισμό σύμφωνα με το τμήμα 3. Το εν λόγω αίτημα περιέχει όλες τις πληροφορίες που παρατίθενται στο άρθρο 45 παράγραφος 2 και εκθέτει τους λόγους για τους οποίους ζητείται η παρέμβαση της Επιτροπής.  </w:t>
      </w:r>
    </w:p>
    <w:p>
      <w:pPr>
        <w:pStyle w:val="SectionTitle"/>
        <w:rPr>
          <w:noProof/>
        </w:rPr>
      </w:pPr>
      <w:r>
        <w:rPr>
          <w:noProof/>
        </w:rPr>
        <w:t>Τμήμα 2</w:t>
      </w:r>
      <w:r>
        <w:rPr>
          <w:noProof/>
        </w:rPr>
        <w:br w:type="textWrapping" w:clear="all"/>
        <w:t>Ευρωπαϊκό συμβούλιο ψηφιακών υπηρεσιών</w:t>
      </w:r>
    </w:p>
    <w:p>
      <w:pPr>
        <w:pStyle w:val="Titrearticle"/>
        <w:rPr>
          <w:noProof/>
        </w:rPr>
      </w:pPr>
      <w:r>
        <w:rPr>
          <w:noProof/>
        </w:rPr>
        <w:t>Άρθρο 47</w:t>
      </w:r>
      <w:r>
        <w:rPr>
          <w:noProof/>
        </w:rPr>
        <w:br w:type="textWrapping" w:clear="all"/>
        <w:t>Ευρωπαϊκό συμβούλιο ψηφιακών υπηρεσιών</w:t>
      </w:r>
    </w:p>
    <w:p>
      <w:pPr>
        <w:pStyle w:val="ManualNumPar1"/>
        <w:rPr>
          <w:noProof/>
        </w:rPr>
      </w:pPr>
      <w:r>
        <w:t>1.</w:t>
      </w:r>
      <w:r>
        <w:tab/>
      </w:r>
      <w:r>
        <w:rPr>
          <w:noProof/>
        </w:rPr>
        <w:t xml:space="preserve">Συγκροτείται ανεξάρτητη συμβουλευτική ομάδα συντονιστών ψηφιακών υπηρεσιών για την επίβλεψη παρόχων ενδιάμεσων υπηρεσιών με την ονομασία «ευρωπαϊκό συμβούλιο ψηφιακών υπηρεσιών» (στο εξής: συμβούλιο). </w:t>
      </w:r>
    </w:p>
    <w:p>
      <w:pPr>
        <w:pStyle w:val="ManualNumPar1"/>
        <w:rPr>
          <w:noProof/>
        </w:rPr>
      </w:pPr>
      <w:r>
        <w:t>2.</w:t>
      </w:r>
      <w:r>
        <w:tab/>
      </w:r>
      <w:r>
        <w:rPr>
          <w:noProof/>
        </w:rPr>
        <w:t>Το συμβούλιο συμβουλεύει τους συντονιστές ψηφιακών υπηρεσιών και την Επιτροπή σύμφωνα με τον παρόντα κανονισμό με σκοπό την επίτευξη των ακόλουθων στόχων:</w:t>
      </w:r>
    </w:p>
    <w:p>
      <w:pPr>
        <w:pStyle w:val="Point1"/>
        <w:rPr>
          <w:noProof/>
        </w:rPr>
      </w:pPr>
      <w:r>
        <w:rPr>
          <w:noProof/>
        </w:rPr>
        <w:t>α)</w:t>
      </w:r>
      <w:r>
        <w:rPr>
          <w:noProof/>
        </w:rPr>
        <w:tab/>
        <w:t>να συμβάλλει στη συνεπή εφαρμογή του παρόντος κανονισμού και στην αποτελεσματική συνεργασία των συντονιστών ψηφιακών υπηρεσιών και της Επιτροπής για θέματα που καλύπτονται από τον παρόντα κανονισμό·</w:t>
      </w:r>
    </w:p>
    <w:p>
      <w:pPr>
        <w:pStyle w:val="Point1"/>
        <w:rPr>
          <w:noProof/>
        </w:rPr>
      </w:pPr>
      <w:r>
        <w:rPr>
          <w:noProof/>
        </w:rPr>
        <w:t>β)</w:t>
      </w:r>
      <w:r>
        <w:rPr>
          <w:noProof/>
        </w:rPr>
        <w:tab/>
        <w:t xml:space="preserve">να συντονίζει και να συμβάλλει στην καθοδήγηση και ανάλυση της Επιτροπής και των συντονιστών ψηφιακών υπηρεσιών και άλλων αρμόδιων αρχών όσον </w:t>
      </w:r>
      <w:r>
        <w:rPr>
          <w:noProof/>
        </w:rPr>
        <w:lastRenderedPageBreak/>
        <w:t>αφορά αναδυόμενα ζητήματα στην εσωτερική αγορά σχετικά με θέματα που καλύπτονται από τον παρόντα κανονισμό·</w:t>
      </w:r>
    </w:p>
    <w:p>
      <w:pPr>
        <w:pStyle w:val="Point1"/>
        <w:rPr>
          <w:noProof/>
        </w:rPr>
      </w:pPr>
      <w:r>
        <w:rPr>
          <w:noProof/>
        </w:rPr>
        <w:t>γ)</w:t>
      </w:r>
      <w:r>
        <w:rPr>
          <w:noProof/>
        </w:rPr>
        <w:tab/>
        <w:t>να βοηθά τους συντονιστές ψηφιακών υπηρεσιών και την Επιτροπή στην επίβλεψη πολύ μεγάλων επιγραμμικών πλατφορμών.</w:t>
      </w:r>
    </w:p>
    <w:p>
      <w:pPr>
        <w:pStyle w:val="Titrearticle"/>
        <w:rPr>
          <w:noProof/>
        </w:rPr>
      </w:pPr>
      <w:r>
        <w:rPr>
          <w:noProof/>
        </w:rPr>
        <w:t>Άρθρο 48</w:t>
      </w:r>
      <w:r>
        <w:rPr>
          <w:noProof/>
        </w:rPr>
        <w:br w:type="textWrapping" w:clear="all"/>
        <w:t xml:space="preserve">Δομή του συμβουλίου </w:t>
      </w:r>
    </w:p>
    <w:p>
      <w:pPr>
        <w:pStyle w:val="ManualNumPar1"/>
        <w:rPr>
          <w:noProof/>
        </w:rPr>
      </w:pPr>
      <w:r>
        <w:t>1.</w:t>
      </w:r>
      <w:r>
        <w:tab/>
      </w:r>
      <w:r>
        <w:rPr>
          <w:noProof/>
        </w:rPr>
        <w:t xml:space="preserve">Το συμβούλιο απαρτίζεται από τους συντονιστές ψηφιακών υπηρεσιών, οι οποίοι εκπροσωπούνται από υψηλόβαθμους υπαλλήλους. Όταν προβλέπεται από το εθνικό δίκαιο, στο συμβούλιο συμμετέχουν άλλες αρμόδιες αρχές στις οποίες έχουν ανατεθεί συγκεκριμένες επιχειρησιακές αρμοδιότητες για την εφαρμογή και την επιβολή του παρόντος κανονισμού μαζί με τον συντονιστή ψηφιακών υπηρεσιών. Στις συνεδριάσεις μπορεί να προσκαλούνται άλλες εθνικές αρχές, όταν τις αφορούν τα ζητήματα που συζητούνται. </w:t>
      </w:r>
    </w:p>
    <w:p>
      <w:pPr>
        <w:pStyle w:val="ManualNumPar1"/>
        <w:rPr>
          <w:noProof/>
        </w:rPr>
      </w:pPr>
      <w:r>
        <w:t>2.</w:t>
      </w:r>
      <w:r>
        <w:tab/>
      </w:r>
      <w:r>
        <w:rPr>
          <w:noProof/>
        </w:rPr>
        <w:t xml:space="preserve">Κάθε κράτος μέλος έχει μία ψήφο. Η Επιτροπή δεν έχει δικαιώματα ψήφου. </w:t>
      </w:r>
    </w:p>
    <w:p>
      <w:pPr>
        <w:ind w:left="850"/>
        <w:rPr>
          <w:noProof/>
        </w:rPr>
      </w:pPr>
      <w:r>
        <w:rPr>
          <w:noProof/>
        </w:rPr>
        <w:t>Το συμβούλιο εγκρίνει τις πράξεις του με απλή πλειοψηφία.</w:t>
      </w:r>
    </w:p>
    <w:p>
      <w:pPr>
        <w:pStyle w:val="ManualNumPar1"/>
        <w:rPr>
          <w:noProof/>
        </w:rPr>
      </w:pPr>
      <w:r>
        <w:t>3.</w:t>
      </w:r>
      <w:r>
        <w:tab/>
      </w:r>
      <w:r>
        <w:rPr>
          <w:noProof/>
        </w:rPr>
        <w:t xml:space="preserve">Η προεδρία του συμβουλίου ασκείται από την Επιτροπή. Η Επιτροπή συγκαλεί τις συνεδριάσεις και καταρτίζει την ημερήσια διάταξη σύμφωνα με τα καθήκοντα του συμβουλίου βάσει του παρόντος κανονισμού και του εσωτερικού κανονισμού του. </w:t>
      </w:r>
    </w:p>
    <w:p>
      <w:pPr>
        <w:pStyle w:val="ManualNumPar1"/>
        <w:rPr>
          <w:noProof/>
        </w:rPr>
      </w:pPr>
      <w:r>
        <w:t>4.</w:t>
      </w:r>
      <w:r>
        <w:tab/>
      </w:r>
      <w:r>
        <w:rPr>
          <w:noProof/>
        </w:rPr>
        <w:t>Η Επιτροπή παρέχει διοικητική και αναλυτική στήριξη για τις δραστηριότητες του συμβουλίου σύμφωνα με τον παρόντα κανονισμό.</w:t>
      </w:r>
    </w:p>
    <w:p>
      <w:pPr>
        <w:pStyle w:val="ManualNumPar1"/>
        <w:rPr>
          <w:noProof/>
        </w:rPr>
      </w:pPr>
      <w:r>
        <w:t>5.</w:t>
      </w:r>
      <w:r>
        <w:tab/>
      </w:r>
      <w:r>
        <w:rPr>
          <w:noProof/>
        </w:rPr>
        <w:t>Το συμβούλιο μπορεί να προσκαλεί στις συνεδριάσεις του εμπειρογνώμονες και παρατηρητές και μπορεί να συνεργάζεται με άλλα όργανα, οργανισμούς, υπηρεσίες και συμβουλευτικές ομάδες της Ένωσης, καθώς και με εξωτερικούς εμπειρογνώμονες, κατά περίπτωση. Το συμβούλιο δημοσιεύει τα αποτελέσματα αυτής της συνεργασίας.</w:t>
      </w:r>
    </w:p>
    <w:p>
      <w:pPr>
        <w:pStyle w:val="ManualNumPar1"/>
        <w:rPr>
          <w:noProof/>
        </w:rPr>
      </w:pPr>
      <w:r>
        <w:t>6.</w:t>
      </w:r>
      <w:r>
        <w:tab/>
      </w:r>
      <w:r>
        <w:rPr>
          <w:noProof/>
        </w:rPr>
        <w:t>Το συμβούλιο θεσπίζει τον εσωτερικό του κανονισμό του, κατόπιν σύμφωνης γνώμης της Επιτροπής.</w:t>
      </w:r>
    </w:p>
    <w:p>
      <w:pPr>
        <w:pStyle w:val="Titrearticle"/>
        <w:rPr>
          <w:noProof/>
        </w:rPr>
      </w:pPr>
      <w:r>
        <w:rPr>
          <w:noProof/>
        </w:rPr>
        <w:t>Άρθρο 49</w:t>
      </w:r>
      <w:r>
        <w:rPr>
          <w:noProof/>
        </w:rPr>
        <w:br w:type="textWrapping" w:clear="all"/>
        <w:t>Καθήκοντα του συμβουλίου</w:t>
      </w:r>
    </w:p>
    <w:p>
      <w:pPr>
        <w:pStyle w:val="ManualNumPar1"/>
        <w:rPr>
          <w:noProof/>
        </w:rPr>
      </w:pPr>
      <w:r>
        <w:t>1.</w:t>
      </w:r>
      <w:r>
        <w:tab/>
      </w:r>
      <w:r>
        <w:rPr>
          <w:noProof/>
        </w:rPr>
        <w:t>Όταν απαιτείται για την επίτευξη των στόχων που ορίζονται στο άρθρο 47 παράγραφος 2, το συμβούλιο ειδικότερα:</w:t>
      </w:r>
    </w:p>
    <w:p>
      <w:pPr>
        <w:pStyle w:val="Point1"/>
        <w:rPr>
          <w:noProof/>
        </w:rPr>
      </w:pPr>
      <w:r>
        <w:rPr>
          <w:noProof/>
        </w:rPr>
        <w:t>α)</w:t>
      </w:r>
      <w:r>
        <w:rPr>
          <w:noProof/>
        </w:rPr>
        <w:tab/>
        <w:t>στηρίζει τον συντονισμό των κοινών ερευνών·</w:t>
      </w:r>
    </w:p>
    <w:p>
      <w:pPr>
        <w:pStyle w:val="Point1"/>
        <w:rPr>
          <w:noProof/>
        </w:rPr>
      </w:pPr>
      <w:r>
        <w:rPr>
          <w:noProof/>
        </w:rPr>
        <w:t>β)</w:t>
      </w:r>
      <w:r>
        <w:rPr>
          <w:noProof/>
        </w:rPr>
        <w:tab/>
        <w:t>στηρίζει τις αρμόδιες αρχές κατά την ανάλυση των εκθέσεων και των αποτελεσμάτων των ελέγχων πολύ μεγάλων επιγραμμικών πλατφορμών που πρέπει να διαβιβάζονται σύμφωνα με τον παρόντα κανονισμό·</w:t>
      </w:r>
    </w:p>
    <w:p>
      <w:pPr>
        <w:pStyle w:val="Point1"/>
        <w:rPr>
          <w:noProof/>
        </w:rPr>
      </w:pPr>
      <w:r>
        <w:rPr>
          <w:noProof/>
        </w:rPr>
        <w:t>γ)</w:t>
      </w:r>
      <w:r>
        <w:rPr>
          <w:noProof/>
        </w:rPr>
        <w:tab/>
        <w:t>διατυπώνει γνώμες, συστάσεις ή συμβουλές προς τους συντονιστές ψηφιακών υπηρεσιών σύμφωνα με τον παρόντα κανονισμό·</w:t>
      </w:r>
    </w:p>
    <w:p>
      <w:pPr>
        <w:pStyle w:val="Point1"/>
        <w:rPr>
          <w:noProof/>
        </w:rPr>
      </w:pPr>
      <w:r>
        <w:rPr>
          <w:noProof/>
        </w:rPr>
        <w:t>δ)</w:t>
      </w:r>
      <w:r>
        <w:rPr>
          <w:noProof/>
        </w:rPr>
        <w:tab/>
        <w:t>συμβουλεύει την Επιτροπή να λάβει τα μέτρα που αναφέρονται στο άρθρο 51 και, εφόσον ζητηθεί από την Επιτροπή, εκδίδει γνώμες σχετικά με σχέδια μέτρων της Επιτροπής που αφορούν πολύ μεγάλες επιγραμμικές πλατφόρμες σύμφωνα με τον παρόντα κανονισμό·</w:t>
      </w:r>
    </w:p>
    <w:p>
      <w:pPr>
        <w:pStyle w:val="Point1"/>
        <w:rPr>
          <w:noProof/>
        </w:rPr>
      </w:pPr>
      <w:r>
        <w:rPr>
          <w:noProof/>
        </w:rPr>
        <w:lastRenderedPageBreak/>
        <w:t>ε)</w:t>
      </w:r>
      <w:r>
        <w:rPr>
          <w:noProof/>
        </w:rPr>
        <w:tab/>
        <w:t>στηρίζει και προωθεί την εκπόνηση και την εφαρμογή ευρωπαϊκών προτύπων, κατευθυντήριων γραμμών, εκθέσεων, υποδειγμάτων και κωδίκων δεοντολογίας, όπως προβλέπεται στον παρόντα κανονισμό, καθώς και τον προσδιορισμό αναδυόμενων ζητημάτων, σε σχέση με θέματα που καλύπτονται από τον παρόντα κανονισμό.</w:t>
      </w:r>
    </w:p>
    <w:p>
      <w:pPr>
        <w:pStyle w:val="ManualNumPar1"/>
        <w:rPr>
          <w:noProof/>
        </w:rPr>
      </w:pPr>
      <w:r>
        <w:t>2.</w:t>
      </w:r>
      <w:r>
        <w:tab/>
      </w:r>
      <w:r>
        <w:rPr>
          <w:noProof/>
        </w:rPr>
        <w:t>Οι συντονιστές ψηφιακών υπηρεσιών και άλλες εθνικές αρμόδιες αρχές που δεν τηρούν τις γνωμοδοτήσεις, τα αιτήματα ή τις συστάσεις που τους απευθύνονται και εκδίδονται από το συμβούλιο παρέχουν τους λόγους της επιλογής αυτής κατά την υποβολή εκθέσεων σύμφωνα με τον παρόντα κανονισμό ή κατά τη λήψη των σχετικών αποφάσεών τους, ανάλογα με την περίπτωση.</w:t>
      </w:r>
    </w:p>
    <w:p>
      <w:pPr>
        <w:pStyle w:val="SectionTitle"/>
        <w:rPr>
          <w:b w:val="0"/>
          <w:smallCaps w:val="0"/>
          <w:noProof/>
        </w:rPr>
      </w:pPr>
      <w:r>
        <w:rPr>
          <w:noProof/>
        </w:rPr>
        <w:t>Τμήμα 3</w:t>
      </w:r>
      <w:r>
        <w:rPr>
          <w:noProof/>
        </w:rPr>
        <w:br w:type="textWrapping" w:clear="all"/>
        <w:t xml:space="preserve">Επίβλεψη, έρευνα, επιβολή και παρακολούθηση όσον αφορά τις πολύ μεγάλες επιγραμμικές πλατφόρμες </w:t>
      </w:r>
    </w:p>
    <w:p>
      <w:pPr>
        <w:pStyle w:val="Titrearticle"/>
        <w:rPr>
          <w:noProof/>
        </w:rPr>
      </w:pPr>
      <w:r>
        <w:rPr>
          <w:noProof/>
        </w:rPr>
        <w:t>Άρθρο 50</w:t>
      </w:r>
      <w:r>
        <w:rPr>
          <w:noProof/>
        </w:rPr>
        <w:br w:type="textWrapping" w:clear="all"/>
        <w:t>Ενισχυμένη επίβλεψη για τις πολύ μεγάλες επιγραμμικές πλατφόρμες</w:t>
      </w:r>
    </w:p>
    <w:p>
      <w:pPr>
        <w:pStyle w:val="ManualNumPar1"/>
        <w:rPr>
          <w:noProof/>
        </w:rPr>
      </w:pPr>
      <w:r>
        <w:t>1.</w:t>
      </w:r>
      <w:r>
        <w:tab/>
      </w:r>
      <w:r>
        <w:rPr>
          <w:noProof/>
        </w:rPr>
        <w:t xml:space="preserve">Εάν ο συντονιστής ψηφιακών υπηρεσιών της χώρας εγκατάστασης εκδώσει απόφαση στην οποία διαπιστώνεται ότι μια πολύ μεγάλη επιγραμμική πλατφόρμα έχει παραβιάσει κάποια από τις διατάξεις του κεφαλαίου III τμήμα 4, χρησιμοποιεί το σύστημα ενισχυμένης επίβλεψης που προβλέπεται στο παρόν άρθρο. Λαμβάνει ιδιαιτέρως υπόψη κάθε γνώμη και σύσταση της Επιτροπής και του συμβουλίου σύμφωνα με το παρόν άρθρο. </w:t>
      </w:r>
    </w:p>
    <w:p>
      <w:pPr>
        <w:ind w:left="850"/>
        <w:rPr>
          <w:noProof/>
        </w:rPr>
      </w:pPr>
      <w:r>
        <w:rPr>
          <w:noProof/>
        </w:rPr>
        <w:t>Η Επιτροπή ενεργώντας με δική της πρωτοβουλία ή το συμβούλιο ενεργώντας με δική του πρωτοβουλία ή κατόπιν αιτήματος τουλάχιστον τριών συντονιστών ψηφιακών υπηρεσιών της χώρας προορισμού, εάν έχει λόγους να εικάζει ότι μια πολύ μεγάλη επιγραμμική πλατφόρμα έχει παραβιάσει οποιαδήποτε από τις εν λόγω διατάξεις, μπορεί να προτείνει στον συντονιστή ψηφιακών υπηρεσιών της χώρας εγκατάστασης να διερευνήσει την εικαζόμενη παράβαση, ώστε ο εν λόγω συντονιστής ψηφιακών υπηρεσιών να λάβει σχετική απόφαση εντός εύλογης προθεσμίας.</w:t>
      </w:r>
    </w:p>
    <w:p>
      <w:pPr>
        <w:pStyle w:val="ManualNumPar1"/>
        <w:rPr>
          <w:noProof/>
        </w:rPr>
      </w:pPr>
      <w:r>
        <w:t>2.</w:t>
      </w:r>
      <w:r>
        <w:tab/>
      </w:r>
      <w:r>
        <w:rPr>
          <w:noProof/>
        </w:rPr>
        <w:t>Κατά την κοινοποίηση της απόφασης που αναφέρεται στην παράγραφο 1 πρώτο εδάφιο στην πολύ μεγάλη επιγραμμική πλατφόρμα, ο συντονιστής ψηφιακών υπηρεσιών της χώρας εγκατάστασης της ζητεί να καταρτίσει σχέδιο δράσης και να το κοινοποιήσει στον συντονιστή ψηφιακών υπηρεσιών της χώρας εγκατάστασης, στην Επιτροπή και στο συμβούλιο, εντός ενός μηνός από την εν λόγω απόφαση, διευκρινίζοντας τον τρόπο με τον οποίο η πλατφόρμα σκοπεύει να παύσει ή να αποκαταστήσει την παράβαση. Τα μέτρα που ορίζονται στο σχέδιο δράσης μπορούν να περιλαμβάνουν, κατά περίπτωση, συμμετοχή σε κώδικα δεοντολογίας όπως προβλέπεται στο άρθρο 35.</w:t>
      </w:r>
    </w:p>
    <w:p>
      <w:pPr>
        <w:pStyle w:val="ManualNumPar1"/>
        <w:rPr>
          <w:noProof/>
        </w:rPr>
      </w:pPr>
      <w:r>
        <w:t>3.</w:t>
      </w:r>
      <w:r>
        <w:tab/>
      </w:r>
      <w:r>
        <w:rPr>
          <w:noProof/>
        </w:rPr>
        <w:t xml:space="preserve">Εντός ενός μηνός από την παραλαβή του σχεδίου δράσης, το συμβούλιο γνωστοποιεί στον συντονιστή ψηφιακών υπηρεσιών της χώρας εγκατάστασης τη γνώμη του για το σχέδιο δράσης. Εντός ενός μηνός από την παραλαβή της προαναφερόμενης γνώμης, ο συντονιστής ψηφιακών υπηρεσιών αποφασίζει αν το σχέδιο δράσης είναι κατάλληλο για την παύση ή την αποκατάσταση της παράβασης. </w:t>
      </w:r>
    </w:p>
    <w:p>
      <w:pPr>
        <w:ind w:left="850"/>
        <w:rPr>
          <w:noProof/>
        </w:rPr>
      </w:pPr>
      <w:r>
        <w:rPr>
          <w:noProof/>
        </w:rPr>
        <w:t xml:space="preserve">Εάν ο συντονιστής ψηφιακών υπηρεσιών της χώρας εγκατάστασης έχει επιφυλάξεις ως προς την ικανότητα των μέτρων να παύσουν ή να αποκαταστήσουν την παράβαση, μπορεί να ζητήσει από την οικεία πολύ μεγάλη επιγραμμική πλατφόρμα </w:t>
      </w:r>
      <w:r>
        <w:rPr>
          <w:noProof/>
        </w:rPr>
        <w:lastRenderedPageBreak/>
        <w:t>να υποβληθεί σε πρόσθετο, ανεξάρτητο έλεγχο για την αξιολόγηση της αποτελεσματικότητας των μέτρων αυτών όσον αφορά την παύση ή την αποκατάσταση της παράβασης. Στην περίπτωση αυτή, η πλατφόρμα αποστέλλει την έκθεση ελέγχου στον εν λόγω συντονιστή ψηφιακών υπηρεσιών, στην Επιτροπή και στο συμβούλιο εντός τεσσάρων μηνών από την απόφαση που αναφέρεται στο πρώτο εδάφιο. Όταν ζητείται ο προαναφερόμενος πρόσθετος έλεγχος, ο συντονιστής ψηφιακών υπηρεσιών μπορεί να ορίσει συγκεκριμένο ελεγκτικό φορέα για τη διενέργεια του ελέγχου, με δαπάνες της οικείας πλατφόρμας, ο οποίος επιλέγεται βάσει των κριτηρίων που ορίζονται στο άρθρο 28 παράγραφος 2.</w:t>
      </w:r>
    </w:p>
    <w:p>
      <w:pPr>
        <w:pStyle w:val="ManualNumPar1"/>
        <w:rPr>
          <w:noProof/>
        </w:rPr>
      </w:pPr>
      <w:r>
        <w:t>4.</w:t>
      </w:r>
      <w:r>
        <w:tab/>
      </w:r>
      <w:r>
        <w:rPr>
          <w:noProof/>
        </w:rPr>
        <w:t>Ο συντονιστής ψηφιακών υπηρεσιών της χώρας εγκατάστασης κοινοποιεί στην Επιτροπή, το συμβούλιο και την οικεία πολύ μεγάλη επιγραμμική πλατφόρμα τις απόψεις του σχετικά με το αν η πολύ μεγάλη επιγραμμική πλατφόρμα έπαυσε ή αποκατέστησε την παράβαση και τις αιτιολογεί. Τούτο συμβαίνει εντός των ακόλουθων προθεσμιών, ανάλογα με την περίπτωση:</w:t>
      </w:r>
    </w:p>
    <w:p>
      <w:pPr>
        <w:pStyle w:val="Point1"/>
        <w:rPr>
          <w:noProof/>
        </w:rPr>
      </w:pPr>
      <w:r>
        <w:rPr>
          <w:noProof/>
        </w:rPr>
        <w:t>α)</w:t>
      </w:r>
      <w:r>
        <w:rPr>
          <w:noProof/>
        </w:rPr>
        <w:tab/>
        <w:t>εντός ενός μηνός από την παραλαβή της έκθεσης ελέγχου που αναφέρεται στην παράγραφο 3 δεύτερο εδάφιο, όταν έχει διενεργηθεί τέτοιος έλεγχος·</w:t>
      </w:r>
    </w:p>
    <w:p>
      <w:pPr>
        <w:pStyle w:val="Point1"/>
        <w:rPr>
          <w:noProof/>
        </w:rPr>
      </w:pPr>
      <w:r>
        <w:rPr>
          <w:noProof/>
        </w:rPr>
        <w:t>β)</w:t>
      </w:r>
      <w:r>
        <w:rPr>
          <w:noProof/>
        </w:rPr>
        <w:tab/>
        <w:t>εντός τριών μηνών από την απόφαση σχετικά με το σχέδιο δράσης που αναφέρεται στην παράγραφο 3 πρώτο εδάφιο, όταν δεν έχει διενεργηθεί τέτοιος έλεγχος·</w:t>
      </w:r>
    </w:p>
    <w:p>
      <w:pPr>
        <w:pStyle w:val="Point1"/>
        <w:rPr>
          <w:noProof/>
        </w:rPr>
      </w:pPr>
      <w:r>
        <w:rPr>
          <w:noProof/>
        </w:rPr>
        <w:t>γ)</w:t>
      </w:r>
      <w:r>
        <w:rPr>
          <w:noProof/>
        </w:rPr>
        <w:tab/>
        <w:t>αμέσως μετά τη λήξη της προθεσμίας που ορίζεται στην παράγραφο 2, όταν η πλατφόρμα δεν κοινοποίησε το σχέδιο δράσης εντός της εν λόγω προθεσμίας.</w:t>
      </w:r>
    </w:p>
    <w:p>
      <w:pPr>
        <w:ind w:left="850"/>
        <w:rPr>
          <w:noProof/>
        </w:rPr>
      </w:pPr>
      <w:r>
        <w:rPr>
          <w:noProof/>
        </w:rPr>
        <w:t>Σύμφωνα με την εν λόγω κοινοποίηση, ο συντονιστής ψηφιακών υπηρεσιών της χώρας εγκατάστασης δεν έχει πλέον το δικαίωμα να λάβει μέτρα έρευνας ή επιβολής όσον αφορά τη σχετική συμπεριφορά της πολύ μεγάλης επιγραμμικής πλατφόρμας, με την επιφύλαξη του άρθρου 66 ή τυχόν άλλων μέτρων που μπορεί να λάβει κατόπιν αιτήματος της Επιτροπής.</w:t>
      </w:r>
    </w:p>
    <w:p>
      <w:pPr>
        <w:pStyle w:val="Titrearticle"/>
        <w:rPr>
          <w:i w:val="0"/>
          <w:noProof/>
        </w:rPr>
      </w:pPr>
      <w:r>
        <w:rPr>
          <w:noProof/>
        </w:rPr>
        <w:t>Άρθρο 51</w:t>
      </w:r>
      <w:r>
        <w:rPr>
          <w:noProof/>
        </w:rPr>
        <w:br w:type="textWrapping" w:clear="all"/>
        <w:t>Παρέμβαση της Επιτροπής και κίνηση διαδικασίας</w:t>
      </w:r>
    </w:p>
    <w:p>
      <w:pPr>
        <w:pStyle w:val="ManualNumPar1"/>
        <w:rPr>
          <w:noProof/>
        </w:rPr>
      </w:pPr>
      <w:r>
        <w:t>1.</w:t>
      </w:r>
      <w:r>
        <w:tab/>
      </w:r>
      <w:r>
        <w:rPr>
          <w:noProof/>
        </w:rPr>
        <w:t>Η Επιτροπή, ενεργώντας είτε έπειτα από σύσταση του συμβουλίου είτε με δική της πρωτοβουλία κατόπιν διαβούλευσης με το συμβούλιο, μπορεί να κινήσει διαδικασία ενόψει της πιθανής έκδοσης αποφάσεων δυνάμει των άρθρων 58 και 59 όσον αφορά τη σχετική συμπεριφορά της πολύ μεγάλης επιγραμμικής πλατφόρμας, η οποία:</w:t>
      </w:r>
    </w:p>
    <w:p>
      <w:pPr>
        <w:pStyle w:val="Point1"/>
        <w:rPr>
          <w:noProof/>
        </w:rPr>
      </w:pPr>
      <w:r>
        <w:rPr>
          <w:noProof/>
        </w:rPr>
        <w:t>α)</w:t>
      </w:r>
      <w:r>
        <w:rPr>
          <w:noProof/>
        </w:rPr>
        <w:tab/>
        <w:t>εικάζεται ότι παραβίασε κάποια από τις διατάξεις του παρόντος κανονισμού και ο συντονιστής ψηφιακών υπηρεσιών της χώρας εγκατάστασης δεν έλαβε μέτρα έρευνας ή επιβολής, σύμφωνα με το αίτημα της Επιτροπής που αναφέρεται στο άρθρο 45 παράγραφος 7, κατά τη λήξη της προθεσμίας που ορίζεται στο αίτημα·</w:t>
      </w:r>
    </w:p>
    <w:p>
      <w:pPr>
        <w:pStyle w:val="Point1"/>
        <w:rPr>
          <w:noProof/>
        </w:rPr>
      </w:pPr>
      <w:r>
        <w:rPr>
          <w:noProof/>
        </w:rPr>
        <w:t>β)</w:t>
      </w:r>
      <w:r>
        <w:rPr>
          <w:noProof/>
        </w:rPr>
        <w:tab/>
        <w:t>εικάζεται ότι παραβίασε κάποια από τις διατάξεις του παρόντος κανονισμού και ο συντονιστής ψηφιακών υπηρεσιών της χώρας εγκατάστασης ζήτησε από την Επιτροπή να παρέμβει σύμφωνα με το άρθρο 46 παράγραφος 2, κατά την παραλαβή του αιτήματος·</w:t>
      </w:r>
    </w:p>
    <w:p>
      <w:pPr>
        <w:pStyle w:val="Point1"/>
        <w:rPr>
          <w:noProof/>
        </w:rPr>
      </w:pPr>
      <w:r>
        <w:rPr>
          <w:noProof/>
        </w:rPr>
        <w:t>γ)</w:t>
      </w:r>
      <w:r>
        <w:rPr>
          <w:noProof/>
        </w:rPr>
        <w:tab/>
        <w:t xml:space="preserve">διαπιστώθηκε ότι παραβίασε κάποια από τις διατάξεις του κεφαλαίου III τμήμα 4, κατά τη λήξη της σχετικής προθεσμίας για την κοινοποίηση που αναφέρεται στο άρθρο 50 παράγραφος 4. </w:t>
      </w:r>
    </w:p>
    <w:p>
      <w:pPr>
        <w:pStyle w:val="ManualNumPar1"/>
        <w:rPr>
          <w:noProof/>
        </w:rPr>
      </w:pPr>
      <w:r>
        <w:lastRenderedPageBreak/>
        <w:t>2.</w:t>
      </w:r>
      <w:r>
        <w:tab/>
      </w:r>
      <w:r>
        <w:rPr>
          <w:noProof/>
        </w:rPr>
        <w:t>Εάν η Επιτροπή αποφασίσει να κινήσει διαδικασία δυνάμει της παραγράφου 1, ενημερώνει όλους τους συντονιστές ψηφιακών υπηρεσιών, το συμβούλιο και την οικεία πολύ μεγάλη επιγραμμική πλατφόρμα.</w:t>
      </w:r>
    </w:p>
    <w:p>
      <w:pPr>
        <w:ind w:left="850"/>
        <w:rPr>
          <w:noProof/>
        </w:rPr>
      </w:pPr>
      <w:r>
        <w:rPr>
          <w:noProof/>
        </w:rPr>
        <w:t xml:space="preserve">Όσον αφορά την παράγραφο 1 στοιχεία α) και β), σύμφωνα με την εν λόγω κοινοποίηση, ο οικείος συντονιστής ψηφιακών υπηρεσιών της χώρας εγκατάστασης δεν έχει πλέον το δικαίωμα να λάβει μέτρα έρευνας ή επιβολής όσον αφορά τη σχετική συμπεριφορά της πολύ μεγάλης επιγραμμικής πλατφόρμας, με την επιφύλαξη του άρθρου 66 ή τυχόν άλλων μέτρων που μπορεί να λάβει κατόπιν αιτήματος της Επιτροπής. </w:t>
      </w:r>
    </w:p>
    <w:p>
      <w:pPr>
        <w:pStyle w:val="ManualNumPar1"/>
        <w:rPr>
          <w:noProof/>
        </w:rPr>
      </w:pPr>
      <w:r>
        <w:t>3.</w:t>
      </w:r>
      <w:r>
        <w:tab/>
      </w:r>
      <w:r>
        <w:rPr>
          <w:noProof/>
        </w:rPr>
        <w:t>Ο συντονιστής ψηφιακών υπηρεσιών που αναφέρεται στο άρθρο 45 παράγραφος 7, στο άρθρο 46 παράγραφος 2 και στο άρθρο 50 παράγραφος 1, κατά περίπτωση, διαβιβάζει στην Επιτροπή, χωρίς αδικαιολόγητη καθυστέρηση μετά την ενημέρωσή του:</w:t>
      </w:r>
    </w:p>
    <w:p>
      <w:pPr>
        <w:pStyle w:val="Point1"/>
        <w:rPr>
          <w:noProof/>
        </w:rPr>
      </w:pPr>
      <w:r>
        <w:rPr>
          <w:noProof/>
        </w:rPr>
        <w:t>α)</w:t>
      </w:r>
      <w:r>
        <w:rPr>
          <w:noProof/>
        </w:rPr>
        <w:tab/>
        <w:t>κάθε πληροφορία την οποία αντάλλαξε ο εν λόγω συντονιστής ψηφιακών υπηρεσιών σχετικά με την παράβαση ή την εικαζόμενη παράβαση, κατά περίπτωση, με το συμβούλιο και με την οικεία πολύ μεγάλη επιγραμμική πλατφόρμα·</w:t>
      </w:r>
    </w:p>
    <w:p>
      <w:pPr>
        <w:pStyle w:val="Point1"/>
        <w:rPr>
          <w:noProof/>
        </w:rPr>
      </w:pPr>
      <w:r>
        <w:rPr>
          <w:noProof/>
        </w:rPr>
        <w:t>β)</w:t>
      </w:r>
      <w:r>
        <w:rPr>
          <w:noProof/>
        </w:rPr>
        <w:tab/>
        <w:t xml:space="preserve">τον φάκελο της υπόθεσης του εν λόγω συντονιστή ψηφιακών υπηρεσιών σχετικά με την παράβαση ή την εικαζόμενη παράβαση, κατά περίπτωση· </w:t>
      </w:r>
    </w:p>
    <w:p>
      <w:pPr>
        <w:pStyle w:val="Point1"/>
        <w:rPr>
          <w:noProof/>
        </w:rPr>
      </w:pPr>
      <w:r>
        <w:rPr>
          <w:noProof/>
        </w:rPr>
        <w:t>γ)</w:t>
      </w:r>
      <w:r>
        <w:rPr>
          <w:noProof/>
        </w:rPr>
        <w:tab/>
        <w:t>κάθε άλλη πληροφορία την οποία έχει στην κατοχή του ο συντονιστής ψηφιακών υπηρεσιών και ενδέχεται να σχετίζεται με τη διαδικασία που κίνησε η Επιτροπή.</w:t>
      </w:r>
    </w:p>
    <w:p>
      <w:pPr>
        <w:pStyle w:val="ManualNumPar1"/>
        <w:rPr>
          <w:noProof/>
        </w:rPr>
      </w:pPr>
      <w:r>
        <w:t>4.</w:t>
      </w:r>
      <w:r>
        <w:tab/>
      </w:r>
      <w:r>
        <w:rPr>
          <w:noProof/>
        </w:rPr>
        <w:t xml:space="preserve">Το συμβούλιο και οι συντονιστές ψηφιακών υπηρεσιών που υποβάλλουν το αίτημα που αναφέρεται στο άρθρο 45 παράγραφος 1 διαβιβάζουν στην Επιτροπή, χωρίς αδικαιολόγητη καθυστέρηση μετά την ενημέρωσή τους, κάθε πληροφορία την οποία έχουν στην κατοχή τους και ενδέχεται να σχετίζεται με τη διαδικασία που κίνησε η Επιτροπή. </w:t>
      </w:r>
    </w:p>
    <w:p>
      <w:pPr>
        <w:pStyle w:val="Titrearticle"/>
        <w:rPr>
          <w:noProof/>
        </w:rPr>
      </w:pPr>
      <w:r>
        <w:rPr>
          <w:noProof/>
        </w:rPr>
        <w:t>Άρθρο 52</w:t>
      </w:r>
      <w:r>
        <w:rPr>
          <w:noProof/>
        </w:rPr>
        <w:br w:type="textWrapping" w:clear="all"/>
        <w:t>Αιτήματα παροχής πληροφοριών</w:t>
      </w:r>
    </w:p>
    <w:p>
      <w:pPr>
        <w:pStyle w:val="ManualNumPar1"/>
        <w:rPr>
          <w:noProof/>
        </w:rPr>
      </w:pPr>
      <w:r>
        <w:t>1.</w:t>
      </w:r>
      <w:r>
        <w:tab/>
      </w:r>
      <w:r>
        <w:rPr>
          <w:noProof/>
        </w:rPr>
        <w:t>Προκειμένου να εκτελεί τα καθήκοντα που της ανατίθενται βάσει του παρόντος τμήματος, η Επιτροπή μπορεί με απλό αίτημα ή με απόφαση να ζητήσει από τις οικείες πολύ μεγάλες επιγραμμικές πλατφόρμες, καθώς και κάθε άλλο πρόσωπο που ενεργεί για σκοπούς που αφορούν τις εμπορικές, επιχειρηματικές, βιοτεχνικές ή επαγγελματικές του δραστηριότητες, το οποίο μπορεί εύλογα να γνωρίζει πληροφορίες σχετικές με την εικαζόμενη παράβαση ή την παράβαση, ανάλογα με την περίπτωση, συμπεριλαμβανομένων των οργανισμών που διενεργούν τους ελέγχους που αναφέρονται στο άρθρο 28 και στο άρθρο 50 παράγραφος 3, να παράσχουν τις εν λόγω πληροφορίες εντός εύλογης προθεσμίας.</w:t>
      </w:r>
    </w:p>
    <w:p>
      <w:pPr>
        <w:pStyle w:val="ManualNumPar1"/>
        <w:rPr>
          <w:noProof/>
        </w:rPr>
      </w:pPr>
      <w:r>
        <w:t>2.</w:t>
      </w:r>
      <w:r>
        <w:tab/>
      </w:r>
      <w:r>
        <w:rPr>
          <w:noProof/>
        </w:rPr>
        <w:t>Κατά την υποβολή απλού αιτήματος παροχής πληροφοριών προς την οικεία πολύ μεγάλη επιγραμμική πλατφόρμα ή άλλο πρόσωπο που αναφέρεται στο άρθρο 52 παράγραφος 1, η Επιτροπή αναφέρει τη νομική βάση και τον σκοπό του αιτήματος, προσδιορίζει τις ζητούμενες πληροφορίες και καθορίζει την προθεσμία υποβολής των ζητούμενων πληροφοριών, καθώς και τις κυρώσεις που επισύρει η παροχή ανακριβών ή παραπλανητικών πληροφοριών σύμφωνα με το άρθρο 59.</w:t>
      </w:r>
    </w:p>
    <w:p>
      <w:pPr>
        <w:pStyle w:val="ManualNumPar1"/>
        <w:rPr>
          <w:noProof/>
        </w:rPr>
      </w:pPr>
      <w:r>
        <w:lastRenderedPageBreak/>
        <w:t>3.</w:t>
      </w:r>
      <w:r>
        <w:tab/>
      </w:r>
      <w:r>
        <w:rPr>
          <w:noProof/>
        </w:rPr>
        <w:t>Όταν η Επιτροπή ζητά με απόφαση την υποβολή πληροφοριών από την οικεία πολύ μεγάλη επιγραμμική πλατφόρμα ή άλλο πρόσωπο που αναφέρεται στο άρθρο 52 παράγραφος 1, αναφέρει τη νομική βάση και τον σκοπό του αιτήματός της, προσδιορίζει τις ζητούμενες πληροφορίες και καθορίζει την προθεσμία υποβολής των ζητούμενων πληροφοριών. Επίσης μνημονεύονται οι κυρώσεις που προβλέπει το άρθρο 59 και μνημονεύονται ή επιβάλλονται οι περιοδικές χρηματικές ποινές που προβλέπει το άρθρο 60. Στην απόφαση αναφέρεται επίσης το δικαίωμα προσφυγής κατά της απόφασης ενώπιον του Δικαστηρίου της Ευρωπαϊκής Ένωσης.</w:t>
      </w:r>
    </w:p>
    <w:p>
      <w:pPr>
        <w:pStyle w:val="ManualNumPar1"/>
        <w:rPr>
          <w:noProof/>
        </w:rPr>
      </w:pPr>
      <w:r>
        <w:t>4.</w:t>
      </w:r>
      <w:r>
        <w:tab/>
      </w:r>
      <w:r>
        <w:rPr>
          <w:noProof/>
        </w:rPr>
        <w:t xml:space="preserve">Οι ιδιοκτήτες της οικείας πολύ μεγάλης επιγραμμικής πλατφόρμας ή άλλο πρόσωπο που αναφέρεται στο άρθρο 52 παράγραφος 1 ή οι εκπρόσωποί τους και, στην περίπτωση των νομικών προσώπων, των εταιρειών ή των ενώσεων που στερούνται νομικής προσωπικότητας, τα πρόσωπα που είναι επιφορτισμένα με την εκπροσώπησή τους βάσει του νόμου ή του καταστατικού τους, οφείλουν να παράσχουν τις ζητούμενες πληροφορίες για λογαριασμό για λογαριασμό της οικείας πολύ μεγάλης επιγραμμικής πλατφόρμας ή άλλου προσώπου που αναφέρεται στο άρθρο 52 παράγραφος 1. Τις πληροφορίες είναι δυνατόν να παρέχουν δεόντως εξουσιοδοτημένοι δικηγόροι για λογαριασμό των πελατών τους. Οι τελευταίοι εξακολουθούν να ευθύνονται πλήρως για την παροχή ελλιπών, ανακριβών ή παραπλανητικών πληροφοριών. </w:t>
      </w:r>
    </w:p>
    <w:p>
      <w:pPr>
        <w:pStyle w:val="ManualNumPar1"/>
        <w:rPr>
          <w:noProof/>
        </w:rPr>
      </w:pPr>
      <w:r>
        <w:t>5.</w:t>
      </w:r>
      <w:r>
        <w:tab/>
      </w:r>
      <w:r>
        <w:rPr>
          <w:noProof/>
        </w:rPr>
        <w:t>Κατ’ αίτηση της Επιτροπής, οι συντονιστές ψηφιακών υπηρεσιών και άλλες αρμόδιες αρχές παρέχουν στην Επιτροπή όλες τις απαραίτητες πληροφορίες προς εκπλήρωση των καθηκόντων που της ανατίθενται βάσει του παρόντος τμήματος.</w:t>
      </w:r>
    </w:p>
    <w:p>
      <w:pPr>
        <w:pStyle w:val="Titrearticle"/>
        <w:rPr>
          <w:noProof/>
        </w:rPr>
      </w:pPr>
      <w:r>
        <w:rPr>
          <w:noProof/>
        </w:rPr>
        <w:t>Άρθρο 53</w:t>
      </w:r>
      <w:r>
        <w:rPr>
          <w:noProof/>
        </w:rPr>
        <w:br w:type="textWrapping" w:clear="all"/>
        <w:t>Εξουσία διεξαγωγής ακροάσεων και λήψης καταθέσεων</w:t>
      </w:r>
    </w:p>
    <w:p>
      <w:pPr>
        <w:rPr>
          <w:noProof/>
        </w:rPr>
      </w:pPr>
      <w:r>
        <w:rPr>
          <w:noProof/>
        </w:rPr>
        <w:t>Προς εκπλήρωση των καθηκόντων που της ανατίθενται βάσει του παρόντος τμήματος, η Επιτροπή δύναται να καλεί σε ακρόαση κάθε φυσικό ή νομικό πρόσωπο το οποίο συναινεί προς αυτό για τον σκοπό της συλλογής πληροφοριών σχετικών με το αντικείμενο της εκάστοτε έρευνας, όσον αφορά την εικαζόμενη παράβαση ή την παράβαση, κατά περίπτωση.</w:t>
      </w:r>
    </w:p>
    <w:p>
      <w:pPr>
        <w:pStyle w:val="Titrearticle"/>
        <w:rPr>
          <w:noProof/>
        </w:rPr>
      </w:pPr>
      <w:r>
        <w:rPr>
          <w:noProof/>
        </w:rPr>
        <w:t>Άρθρο 54</w:t>
      </w:r>
      <w:r>
        <w:rPr>
          <w:noProof/>
        </w:rPr>
        <w:br w:type="textWrapping" w:clear="all"/>
        <w:t>Εξουσία διεξαγωγής επιτόπιων επιθεωρήσεων</w:t>
      </w:r>
    </w:p>
    <w:p>
      <w:pPr>
        <w:pStyle w:val="ManualNumPar1"/>
        <w:rPr>
          <w:noProof/>
        </w:rPr>
      </w:pPr>
      <w:r>
        <w:t>1.</w:t>
      </w:r>
      <w:r>
        <w:tab/>
      </w:r>
      <w:r>
        <w:rPr>
          <w:noProof/>
        </w:rPr>
        <w:t>Προς εκπλήρωση των καθηκόντων που της ανατίθενται βάσει του παρόντος τμήματος, η Επιτροπή δύναται να διενεργεί επιτόπιες επιθεωρήσεις στις εγκαταστάσεις της οικείας πολύ μεγάλης επιγραμμικής πλατφόρμας ή σε άλλο πρόσωπο που αναφέρεται στο άρθρο 52 παράγραφος 1.</w:t>
      </w:r>
    </w:p>
    <w:p>
      <w:pPr>
        <w:pStyle w:val="ManualNumPar1"/>
        <w:rPr>
          <w:noProof/>
        </w:rPr>
      </w:pPr>
      <w:r>
        <w:t>2.</w:t>
      </w:r>
      <w:r>
        <w:tab/>
      </w:r>
      <w:r>
        <w:rPr>
          <w:noProof/>
        </w:rPr>
        <w:t xml:space="preserve">Επιτόπιες επιθεωρήσεις μπορούν επίσης να διενεργούνται με τη συνδρομή ελεγκτών ή εμπειρογνωμόνων που διορίζονται από την Επιτροπή σύμφωνα με το άρθρο 57 παράγραφος 2. </w:t>
      </w:r>
    </w:p>
    <w:p>
      <w:pPr>
        <w:pStyle w:val="ManualNumPar1"/>
        <w:rPr>
          <w:noProof/>
        </w:rPr>
      </w:pPr>
      <w:r>
        <w:t>3.</w:t>
      </w:r>
      <w:r>
        <w:tab/>
      </w:r>
      <w:r>
        <w:rPr>
          <w:noProof/>
        </w:rPr>
        <w:t xml:space="preserve">Κατά τη διάρκεια επιτόπιων επιθεωρήσεων, η Επιτροπή και οι ελεγκτές ή οι εμπειρογνώμονες που διορίζονται από αυτήν δύνανται να ζητήσουν από την πολύ μεγάλη επιγραμμική πλατφόρμα ή άλλο πρόσωπο που αναφέρεται στο άρθρο 52 παράγραφος 1 να παράσχει επεξηγήσεις σχετικά με την οργάνωση, τη λειτουργία, το σύστημα ΤΠ, τους αλγόριθμους, τη διαχείριση δεδομένων και την επιχειρηματική συμπεριφορά της. Η Επιτροπή και οι ελεγκτές ή οι εμπειρογνώμονες που διορίζονται από αυτήν μπορούν να απευθύνουν ερωτήσεις στο βασικό προσωπικό της πολύ </w:t>
      </w:r>
      <w:r>
        <w:rPr>
          <w:noProof/>
        </w:rPr>
        <w:lastRenderedPageBreak/>
        <w:t xml:space="preserve">μεγάλης επιγραμμικής πλατφόρμας ή σε άλλο πρόσωπο που αναφέρεται στο άρθρο 52 παράγραφος 1. </w:t>
      </w:r>
    </w:p>
    <w:p>
      <w:pPr>
        <w:pStyle w:val="ManualNumPar1"/>
        <w:rPr>
          <w:noProof/>
        </w:rPr>
      </w:pPr>
      <w:r>
        <w:t>4.</w:t>
      </w:r>
      <w:r>
        <w:tab/>
      </w:r>
      <w:r>
        <w:rPr>
          <w:noProof/>
        </w:rPr>
        <w:t xml:space="preserve">Η οικεία πολύ μεγάλη επιγραμμική πλατφόρμα ή άλλο πρόσωπο που αναφέρεται στο άρθρο 52 παράγραφος 1 απαιτείται να υποβληθεί σε επιτόπια επιθεώρηση την οποία έχει διατάξει με απόφασή της η Επιτροπή. Στην απόφαση προσδιορίζονται το αντικείμενο και ο σκοπός της επίσκεψης, ορίζεται η ημερομηνία έναρξής της και μνημονεύονται οι κυρώσεις που προβλέπονται στα άρθρα 59 και 60, καθώς και το δικαίωμα να ζητηθεί επανεξέτασης της απόφασης από το Δικαστήριο της Ευρωπαϊκής Ένωσης. </w:t>
      </w:r>
    </w:p>
    <w:p>
      <w:pPr>
        <w:pStyle w:val="Titrearticle"/>
        <w:rPr>
          <w:noProof/>
        </w:rPr>
      </w:pPr>
      <w:r>
        <w:rPr>
          <w:noProof/>
        </w:rPr>
        <w:t>Άρθρο 55</w:t>
      </w:r>
      <w:r>
        <w:rPr>
          <w:noProof/>
        </w:rPr>
        <w:br w:type="textWrapping" w:clear="all"/>
        <w:t>Προσωρινά μέτρα</w:t>
      </w:r>
    </w:p>
    <w:p>
      <w:pPr>
        <w:pStyle w:val="ManualNumPar1"/>
        <w:rPr>
          <w:noProof/>
        </w:rPr>
      </w:pPr>
      <w:r>
        <w:t>1.</w:t>
      </w:r>
      <w:r>
        <w:tab/>
      </w:r>
      <w:r>
        <w:rPr>
          <w:noProof/>
        </w:rPr>
        <w:t>Στο πλαίσιο διαδικασιών που είναι πιθανό να οδηγήσουν στη λήψη απόφασης μη συμμόρφωσης σύμφωνα με το άρθρο 58 παράγραφος 1, όταν επιβάλλεται να αναληφθεί επείγουσα δράση λόγω του κινδύνου σοβαρής ζημίας για τους αποδέκτες της υπηρεσίας, η Επιτροπή μπορεί, με απόφασή της, να διατάξει τη λήψη προσωρινών μέτρων κατά της οικείας πολύ μεγάλης επιγραμμικής πλατφόρμας με βάση εκ πρώτης όψεως διαπίστωση παράβασης.</w:t>
      </w:r>
    </w:p>
    <w:p>
      <w:pPr>
        <w:pStyle w:val="ManualNumPar1"/>
        <w:rPr>
          <w:noProof/>
        </w:rPr>
      </w:pPr>
      <w:r>
        <w:t>2.</w:t>
      </w:r>
      <w:r>
        <w:tab/>
      </w:r>
      <w:r>
        <w:rPr>
          <w:noProof/>
        </w:rPr>
        <w:t>Οι αποφάσεις που εκδίδονται δυνάμει της παραγράφου 1 εφαρμόζονται για ορισμένο χρονικό διάστημα και δύνανται να παραταθούν, εάν αυτό κρίνεται απαραίτητο και ενδεδειγμένο.</w:t>
      </w:r>
    </w:p>
    <w:p>
      <w:pPr>
        <w:pStyle w:val="Titrearticle"/>
        <w:rPr>
          <w:noProof/>
        </w:rPr>
      </w:pPr>
      <w:r>
        <w:rPr>
          <w:noProof/>
        </w:rPr>
        <w:t>Άρθρο 56</w:t>
      </w:r>
      <w:r>
        <w:rPr>
          <w:noProof/>
        </w:rPr>
        <w:br w:type="textWrapping" w:clear="all"/>
        <w:t>Αναλήψεις δεσμεύσεων</w:t>
      </w:r>
    </w:p>
    <w:p>
      <w:pPr>
        <w:pStyle w:val="ManualNumPar1"/>
        <w:rPr>
          <w:noProof/>
        </w:rPr>
      </w:pPr>
      <w:r>
        <w:t>1.</w:t>
      </w:r>
      <w:r>
        <w:tab/>
      </w:r>
      <w:r>
        <w:rPr>
          <w:noProof/>
        </w:rPr>
        <w:t>Εάν, κατά τη διάρκεια διαδικασίας βάσει του παρόντος τμήματος, η πολύ μεγάλη επιγραμμική πλατφόρμα προσφερθεί να αναλάβει ορισμένες δεσμεύσεις για τη διασφάλιση της συμμόρφωσης με τις οικείες διατάξεις του παρόντος κανονισμού, η Επιτροπή μπορεί, με απόφασή της, να καταστήσει τις δεσμεύσεις αυτές υποχρεωτικές για την πολύ μεγάλη επιγραμμική πλατφόρμα και να δηλώσει ότι δεν συντρέχουν περαιτέρω λόγοι για ανάληψη δράσης.</w:t>
      </w:r>
    </w:p>
    <w:p>
      <w:pPr>
        <w:pStyle w:val="ManualNumPar1"/>
        <w:rPr>
          <w:noProof/>
        </w:rPr>
      </w:pPr>
      <w:r>
        <w:t>2.</w:t>
      </w:r>
      <w:r>
        <w:tab/>
      </w:r>
      <w:r>
        <w:rPr>
          <w:noProof/>
        </w:rPr>
        <w:t>Η Επιτροπή δύναται, κατόπιν αιτήματος ή με δική της πρωτοβουλία, να κινήσει εκ νέου τη διαδικασία:</w:t>
      </w:r>
    </w:p>
    <w:p>
      <w:pPr>
        <w:pStyle w:val="Point1"/>
        <w:rPr>
          <w:noProof/>
        </w:rPr>
      </w:pPr>
      <w:r>
        <w:rPr>
          <w:noProof/>
        </w:rPr>
        <w:t>α)</w:t>
      </w:r>
      <w:r>
        <w:rPr>
          <w:noProof/>
        </w:rPr>
        <w:tab/>
        <w:t>σε περίπτωση ουσιαστικής μεταβολής των γεγονότων στα οποία βασίστηκε η απόφαση·</w:t>
      </w:r>
    </w:p>
    <w:p>
      <w:pPr>
        <w:pStyle w:val="Point1"/>
        <w:rPr>
          <w:noProof/>
        </w:rPr>
      </w:pPr>
      <w:r>
        <w:rPr>
          <w:noProof/>
        </w:rPr>
        <w:t>β)</w:t>
      </w:r>
      <w:r>
        <w:rPr>
          <w:noProof/>
        </w:rPr>
        <w:tab/>
        <w:t>σε περίπτωση που η πολύ μεγάλη επιγραμμική πλατφόρμα ενεργήσει αντίθετα προς τις δεσμεύσεις της· ή</w:t>
      </w:r>
    </w:p>
    <w:p>
      <w:pPr>
        <w:pStyle w:val="Point1"/>
        <w:rPr>
          <w:noProof/>
        </w:rPr>
      </w:pPr>
      <w:r>
        <w:rPr>
          <w:noProof/>
        </w:rPr>
        <w:t>γ)</w:t>
      </w:r>
      <w:r>
        <w:rPr>
          <w:noProof/>
        </w:rPr>
        <w:tab/>
        <w:t>σε περίπτωση που η απόφαση βασίστηκε σε ελλιπείς, ανακριβείς ή παραπλανητικές πληροφορίες τις οποίες παρείχε η πολύ μεγάλη επιγραμμική πλατφόρμα ή άλλο πρόσωπο που αναφέρεται στο άρθρο 52 παράγραφος 1.</w:t>
      </w:r>
    </w:p>
    <w:p>
      <w:pPr>
        <w:pStyle w:val="ManualNumPar1"/>
        <w:rPr>
          <w:noProof/>
        </w:rPr>
      </w:pPr>
      <w:r>
        <w:t>3.</w:t>
      </w:r>
      <w:r>
        <w:tab/>
      </w:r>
      <w:r>
        <w:rPr>
          <w:noProof/>
        </w:rPr>
        <w:t>Όταν η Επιτροπή θεωρεί ότι οι δεσμεύσεις που προσφέρεται να αναλάβει η πολύ μεγάλη επιγραμμική πλατφόρμα δεν μπορούν να διασφαλίσουν την αποτελεσματική συμμόρφωση με τις οικείες διατάξεις του παρόντος κανονισμού, απορρίπτει τις εν λόγω δεσμεύσεις με αιτιολογημένη απόφαση κατά την ολοκλήρωση της διαδικασίας.</w:t>
      </w:r>
    </w:p>
    <w:p>
      <w:pPr>
        <w:pStyle w:val="Titrearticle"/>
        <w:rPr>
          <w:i w:val="0"/>
          <w:noProof/>
        </w:rPr>
      </w:pPr>
      <w:r>
        <w:rPr>
          <w:noProof/>
        </w:rPr>
        <w:lastRenderedPageBreak/>
        <w:t>Άρθρο 57</w:t>
      </w:r>
      <w:r>
        <w:rPr>
          <w:noProof/>
        </w:rPr>
        <w:br w:type="textWrapping" w:clear="all"/>
        <w:t xml:space="preserve">Δράσεις παρακολούθησης </w:t>
      </w:r>
    </w:p>
    <w:p>
      <w:pPr>
        <w:pStyle w:val="ManualNumPar1"/>
        <w:rPr>
          <w:noProof/>
        </w:rPr>
      </w:pPr>
      <w:r>
        <w:t>1.</w:t>
      </w:r>
      <w:r>
        <w:tab/>
      </w:r>
      <w:r>
        <w:rPr>
          <w:noProof/>
        </w:rPr>
        <w:t>Για τους σκοπούς της εκτέλεσης των καθηκόντων που της ανατίθενται βάσει του παρόντος τμήματος</w:t>
      </w:r>
      <w:r>
        <w:rPr>
          <w:i/>
          <w:noProof/>
        </w:rPr>
        <w:t>,</w:t>
      </w:r>
      <w:r>
        <w:rPr>
          <w:noProof/>
        </w:rPr>
        <w:t xml:space="preserve"> η Επιτροπή μπορεί να αναλάβει τις απαραίτητες δράσεις για την παρακολούθηση της αποτελεσματικής εφαρμογής του παρόντος κανονισμού και συμμόρφωσης με αυτόν από την οικεία πολύ μεγάλη επιγραμμική πλατφόρμα. Η Επιτροπή μπορεί επίσης να διατάξει την εν λόγω πλατφόρμα να παράσχει πρόσβαση στις βάσεις δεδομένων και τους αλγορίθμους της και επεξηγήσεις σχετικά με αυτά.</w:t>
      </w:r>
    </w:p>
    <w:p>
      <w:pPr>
        <w:pStyle w:val="ManualNumPar1"/>
        <w:rPr>
          <w:noProof/>
        </w:rPr>
      </w:pPr>
      <w:r>
        <w:t>2.</w:t>
      </w:r>
      <w:r>
        <w:tab/>
      </w:r>
      <w:r>
        <w:rPr>
          <w:noProof/>
        </w:rPr>
        <w:t xml:space="preserve">Οι δράσεις σύμφωνα με την παράγραφο 1 μπορούν να περιλαμβάνουν τον διορισμό ανεξάρτητων εξωτερικών εμπειρογνωμόνων και ελεγκτών με σκοπό να συνδράμουν την Επιτροπή στην παρακολούθηση της συμμόρφωσης με τις οικείες διατάξεις του παρόντος κανονισμού και να παράσχουν στην Επιτροπή ειδική εμπειρογνωσία ή γνώσεις. </w:t>
      </w:r>
    </w:p>
    <w:p>
      <w:pPr>
        <w:pStyle w:val="Titrearticle"/>
        <w:rPr>
          <w:noProof/>
        </w:rPr>
      </w:pPr>
      <w:r>
        <w:rPr>
          <w:noProof/>
        </w:rPr>
        <w:t>Άρθρο 58</w:t>
      </w:r>
      <w:r>
        <w:rPr>
          <w:noProof/>
        </w:rPr>
        <w:br w:type="textWrapping" w:clear="all"/>
        <w:t>Μη συμμόρφωση</w:t>
      </w:r>
    </w:p>
    <w:p>
      <w:pPr>
        <w:pStyle w:val="ManualNumPar1"/>
        <w:rPr>
          <w:noProof/>
        </w:rPr>
      </w:pPr>
      <w:r>
        <w:t>1.</w:t>
      </w:r>
      <w:r>
        <w:tab/>
      </w:r>
      <w:r>
        <w:rPr>
          <w:noProof/>
        </w:rPr>
        <w:t>Η Επιτροπή εκδίδει απόφαση μη συμμόρφωσης όταν διαπιστώνει ότι η πολύ μεγάλη επιγραμμική πλατφόρμα δεν συμμορφώνεται με ένα ή περισσότερα από τα ακόλουθα:</w:t>
      </w:r>
    </w:p>
    <w:p>
      <w:pPr>
        <w:pStyle w:val="Point1"/>
        <w:rPr>
          <w:noProof/>
        </w:rPr>
      </w:pPr>
      <w:r>
        <w:rPr>
          <w:noProof/>
        </w:rPr>
        <w:t>α)</w:t>
      </w:r>
      <w:r>
        <w:rPr>
          <w:noProof/>
        </w:rPr>
        <w:tab/>
        <w:t xml:space="preserve">τις οικείες διατάξεις του παρόντος κανονισμού· </w:t>
      </w:r>
    </w:p>
    <w:p>
      <w:pPr>
        <w:pStyle w:val="Point1"/>
        <w:rPr>
          <w:noProof/>
        </w:rPr>
      </w:pPr>
      <w:r>
        <w:rPr>
          <w:noProof/>
        </w:rPr>
        <w:t>β)</w:t>
      </w:r>
      <w:r>
        <w:rPr>
          <w:noProof/>
        </w:rPr>
        <w:tab/>
        <w:t xml:space="preserve">τα προσωρινά μέτρα που διατάσσονται σύμφωνα με το άρθρο 55· </w:t>
      </w:r>
    </w:p>
    <w:p>
      <w:pPr>
        <w:pStyle w:val="Point1"/>
        <w:rPr>
          <w:noProof/>
        </w:rPr>
      </w:pPr>
      <w:r>
        <w:rPr>
          <w:noProof/>
        </w:rPr>
        <w:t>γ)</w:t>
      </w:r>
      <w:r>
        <w:rPr>
          <w:noProof/>
        </w:rPr>
        <w:tab/>
        <w:t>τις δεσμεύσεις που καθίστανται υποχρεωτικές σύμφωνα με το άρθρο 56.</w:t>
      </w:r>
    </w:p>
    <w:p>
      <w:pPr>
        <w:pStyle w:val="ManualNumPar1"/>
        <w:rPr>
          <w:noProof/>
        </w:rPr>
      </w:pPr>
      <w:r>
        <w:t>2.</w:t>
      </w:r>
      <w:r>
        <w:tab/>
      </w:r>
      <w:r>
        <w:rPr>
          <w:noProof/>
        </w:rPr>
        <w:t>Πριν από την έκδοση της απόφασης δυνάμει της παραγράφου 1, η Επιτροπή κοινοποιεί στην οικεία πολύ μεγάλη επιγραμμική πλατφόρμα τα προκαταρκτικά της πορίσματα. Στα προκαταρκτικά πορίσματα, η Επιτροπή επεξηγεί τα μέτρα που εξετάζει να λάβει ή θεωρεί ότι πρέπει να λάβει η πολύ μεγάλη επιγραμμική πλατφόρμα, προκειμένου να δώσει αποτελεσματική συνέχεια στα προκαταρκτικά πορίσματα.</w:t>
      </w:r>
    </w:p>
    <w:p>
      <w:pPr>
        <w:pStyle w:val="ManualNumPar1"/>
        <w:rPr>
          <w:noProof/>
        </w:rPr>
      </w:pPr>
      <w:r>
        <w:t>3.</w:t>
      </w:r>
      <w:r>
        <w:tab/>
      </w:r>
      <w:r>
        <w:rPr>
          <w:noProof/>
        </w:rPr>
        <w:t>Στην απόφαση που εκδίδεται δυνάμει της παραγράφου 1, η Επιτροπή διατάσσει την οικεία πολύ μεγάλη επιγραμμική πλατφόρμα να λάβει τα αναγκαία μέτρα για να διασφαλίσει τη συμμόρφωση με την απόφαση δυνάμει της παραγράφου 1 εντός εύλογης προθεσμίας και να παράσχει πληροφορίες σχετικά με τα μέτρα που προτίθεται να λάβει η εν λόγω πλατφόρμα ώστε να συμμορφωθεί με την απόφαση.</w:t>
      </w:r>
    </w:p>
    <w:p>
      <w:pPr>
        <w:pStyle w:val="ManualNumPar1"/>
        <w:rPr>
          <w:noProof/>
        </w:rPr>
      </w:pPr>
      <w:r>
        <w:t>4.</w:t>
      </w:r>
      <w:r>
        <w:tab/>
      </w:r>
      <w:r>
        <w:rPr>
          <w:noProof/>
        </w:rPr>
        <w:t>Η οικεία πολύ μεγάλη επιγραμμική πλατφόρμα παρέχει στην Επιτροπή περιγραφή των μέτρων που έχει λάβει για να διασφαλίσει τη συμμόρφωση με την απόφαση δυνάμει της παραγράφου 1 μετά την εφαρμογή τους.</w:t>
      </w:r>
    </w:p>
    <w:p>
      <w:pPr>
        <w:pStyle w:val="ManualNumPar1"/>
        <w:rPr>
          <w:noProof/>
        </w:rPr>
      </w:pPr>
      <w:r>
        <w:t>5.</w:t>
      </w:r>
      <w:r>
        <w:tab/>
      </w:r>
      <w:r>
        <w:rPr>
          <w:noProof/>
        </w:rPr>
        <w:t>Εάν η Επιτροπή διαπιστώσει ότι δεν πληρούνται οι προϋποθέσεις της παραγράφου 1, περατώνει την έρευνα με απόφαση.</w:t>
      </w:r>
    </w:p>
    <w:p>
      <w:pPr>
        <w:pStyle w:val="Titrearticle"/>
        <w:rPr>
          <w:noProof/>
        </w:rPr>
      </w:pPr>
      <w:r>
        <w:rPr>
          <w:noProof/>
        </w:rPr>
        <w:t>Άρθρο 59</w:t>
      </w:r>
      <w:r>
        <w:rPr>
          <w:noProof/>
        </w:rPr>
        <w:br w:type="textWrapping" w:clear="all"/>
        <w:t>Πρόστιμα</w:t>
      </w:r>
    </w:p>
    <w:p>
      <w:pPr>
        <w:pStyle w:val="ManualNumPar1"/>
        <w:rPr>
          <w:noProof/>
        </w:rPr>
      </w:pPr>
      <w:r>
        <w:t>1.</w:t>
      </w:r>
      <w:r>
        <w:tab/>
      </w:r>
      <w:r>
        <w:rPr>
          <w:noProof/>
        </w:rPr>
        <w:t>Στην απόφαση δυνάμει του άρθρου 58, η Επιτροπή μπορεί να επιβάλει στην οικεία πολύ μεγάλη επιγραμμική πλατφόρμα πρόστιμα που δεν υπερβαίνουν το 6 % του συνολικού κύκλου εργασιών της κατά το προηγούμενο οικονομικό έτος, εάν διαπιστώσει ότι η εν λόγω πλατφόρμα, εκ προθέσεως ή εξ αμελείας:</w:t>
      </w:r>
    </w:p>
    <w:p>
      <w:pPr>
        <w:pStyle w:val="Point1"/>
        <w:rPr>
          <w:noProof/>
        </w:rPr>
      </w:pPr>
      <w:r>
        <w:rPr>
          <w:noProof/>
        </w:rPr>
        <w:lastRenderedPageBreak/>
        <w:t>α)</w:t>
      </w:r>
      <w:r>
        <w:rPr>
          <w:noProof/>
        </w:rPr>
        <w:tab/>
        <w:t xml:space="preserve">παραβιάζει τις οικείες διατάξεις του παρόντος κανονισμού· </w:t>
      </w:r>
    </w:p>
    <w:p>
      <w:pPr>
        <w:pStyle w:val="Point1"/>
        <w:rPr>
          <w:noProof/>
        </w:rPr>
      </w:pPr>
      <w:r>
        <w:rPr>
          <w:noProof/>
        </w:rPr>
        <w:t>β)</w:t>
      </w:r>
      <w:r>
        <w:rPr>
          <w:noProof/>
        </w:rPr>
        <w:tab/>
        <w:t>δεν συμμορφώνεται με απόφαση με την οποία διατάσσεται η λήψη προσωρινών μέτρων σύμφωνα με το άρθρο 55· ή</w:t>
      </w:r>
    </w:p>
    <w:p>
      <w:pPr>
        <w:pStyle w:val="Point1"/>
        <w:rPr>
          <w:noProof/>
        </w:rPr>
      </w:pPr>
      <w:r>
        <w:rPr>
          <w:noProof/>
        </w:rPr>
        <w:t>γ)</w:t>
      </w:r>
      <w:r>
        <w:rPr>
          <w:noProof/>
        </w:rPr>
        <w:tab/>
        <w:t>δεν συμμορφώνεται με εθελοντικό μέτρο το οποίο έχει καταστεί υποχρεωτικό με απόφαση κατ’ εφαρμογή του άρθρου 56.</w:t>
      </w:r>
    </w:p>
    <w:p>
      <w:pPr>
        <w:pStyle w:val="ManualNumPar1"/>
        <w:rPr>
          <w:noProof/>
        </w:rPr>
      </w:pPr>
      <w:bookmarkStart w:id="5" w:name="_Toc54302766"/>
      <w:bookmarkStart w:id="6" w:name="_Toc54303774"/>
      <w:r>
        <w:t>2.</w:t>
      </w:r>
      <w:r>
        <w:tab/>
      </w:r>
      <w:r>
        <w:rPr>
          <w:noProof/>
        </w:rPr>
        <w:t>Η Επιτροπή μπορεί με απόφασή της να επιβάλει στην οικεία πολύ μεγάλη επιγραμμική πλατφόρμα ή σε άλλο πρόσωπο που αναφέρεται στο άρθρο 52 παράγραφος 1 πρόστιμα που δεν υπερβαίνουν το 1 % του συνολικού κύκλου εργασιών κατά το προηγούμενο οικονομικό έτος, όταν εκ προθέσεως ή εξ αμελείας:</w:t>
      </w:r>
    </w:p>
    <w:p>
      <w:pPr>
        <w:pStyle w:val="Point1"/>
        <w:rPr>
          <w:noProof/>
        </w:rPr>
      </w:pPr>
      <w:bookmarkStart w:id="7" w:name="_Toc54302767"/>
      <w:bookmarkStart w:id="8" w:name="_Toc54303775"/>
      <w:bookmarkEnd w:id="5"/>
      <w:bookmarkEnd w:id="6"/>
      <w:r>
        <w:rPr>
          <w:noProof/>
        </w:rPr>
        <w:t>α)</w:t>
      </w:r>
      <w:r>
        <w:rPr>
          <w:noProof/>
        </w:rPr>
        <w:tab/>
        <w:t>παρέχουν ανακριβείς, ελλιπείς ή παραπλανητικές πληροφορίες σε απάντηση αιτήματος δυνάμει του άρθρου 52 ή, όταν οι πληροφορίες ζητούνται με απόφαση, δεν απαντούν στο αίτημα εντός της καθορισμένης προθεσμίας·</w:t>
      </w:r>
      <w:bookmarkEnd w:id="7"/>
      <w:bookmarkEnd w:id="8"/>
    </w:p>
    <w:p>
      <w:pPr>
        <w:pStyle w:val="Point1"/>
        <w:rPr>
          <w:noProof/>
        </w:rPr>
      </w:pPr>
      <w:bookmarkStart w:id="9" w:name="_Toc54302769"/>
      <w:bookmarkStart w:id="10" w:name="_Toc54303777"/>
      <w:r>
        <w:rPr>
          <w:noProof/>
        </w:rPr>
        <w:t>β)</w:t>
      </w:r>
      <w:r>
        <w:rPr>
          <w:noProof/>
        </w:rPr>
        <w:tab/>
        <w:t>δεν διορθώνουν εντός της προθεσμίας που θέτει η Επιτροπή ανακριβείς, ελλιπείς ή παραπλανητικές πληροφορίες που δόθηκαν από μέλη του προσωπικού ή αδυνατούν ή αρνούνται να παράσχουν πλήρεις πληροφορίες·</w:t>
      </w:r>
      <w:bookmarkEnd w:id="9"/>
      <w:bookmarkEnd w:id="10"/>
    </w:p>
    <w:p>
      <w:pPr>
        <w:pStyle w:val="Point1"/>
        <w:rPr>
          <w:noProof/>
        </w:rPr>
      </w:pPr>
      <w:r>
        <w:rPr>
          <w:noProof/>
        </w:rPr>
        <w:t>γ)</w:t>
      </w:r>
      <w:r>
        <w:rPr>
          <w:noProof/>
        </w:rPr>
        <w:tab/>
        <w:t>αρνούνται να υποβληθούν σε επιτόπια επιθεώρηση δυνάμει του άρθρου 54.</w:t>
      </w:r>
    </w:p>
    <w:p>
      <w:pPr>
        <w:pStyle w:val="ManualNumPar1"/>
        <w:rPr>
          <w:noProof/>
        </w:rPr>
      </w:pPr>
      <w:r>
        <w:t>3.</w:t>
      </w:r>
      <w:r>
        <w:tab/>
      </w:r>
      <w:r>
        <w:rPr>
          <w:noProof/>
        </w:rPr>
        <w:t>Πριν από την έκδοση της απόφασης δυνάμει της παραγράφου 2, η Επιτροπή κοινοποιεί στην οικεία πολύ μεγάλη επιγραμμική πλατφόρμα ή σε άλλο πρόσωπο που αναφέρεται στο άρθρο 52 παράγραφος 1 τα προκαταρκτικά της πορίσματα.</w:t>
      </w:r>
    </w:p>
    <w:p>
      <w:pPr>
        <w:pStyle w:val="ManualNumPar1"/>
        <w:rPr>
          <w:noProof/>
        </w:rPr>
      </w:pPr>
      <w:r>
        <w:t>4.</w:t>
      </w:r>
      <w:r>
        <w:tab/>
      </w:r>
      <w:r>
        <w:rPr>
          <w:noProof/>
        </w:rPr>
        <w:t>Κατά τον καθορισμό του ποσού του προστίμου, η Επιτροπή λαμβάνει υπόψη τη φύση, τη σοβαρότητα, τη διάρκεια και την επανάληψη της παράβασης και, για τα πρόστιμα που επιβάλλονται δυνάμει της παραγράφου 2, την καθυστέρηση που προκλήθηκε στη διαδικασία.</w:t>
      </w:r>
    </w:p>
    <w:p>
      <w:pPr>
        <w:pStyle w:val="Titrearticle"/>
        <w:rPr>
          <w:noProof/>
        </w:rPr>
      </w:pPr>
      <w:r>
        <w:rPr>
          <w:noProof/>
        </w:rPr>
        <w:t>Άρθρο 60</w:t>
      </w:r>
      <w:r>
        <w:rPr>
          <w:noProof/>
        </w:rPr>
        <w:br w:type="textWrapping" w:clear="all"/>
        <w:t>Περιοδικές χρηματικές ποινές</w:t>
      </w:r>
    </w:p>
    <w:p>
      <w:pPr>
        <w:pStyle w:val="ManualNumPar1"/>
        <w:rPr>
          <w:noProof/>
        </w:rPr>
      </w:pPr>
      <w:r>
        <w:t>1.</w:t>
      </w:r>
      <w:r>
        <w:tab/>
      </w:r>
      <w:r>
        <w:rPr>
          <w:noProof/>
        </w:rPr>
        <w:t>Η Επιτροπή δύναται με απόφασή της να επιβάλλει στην οικεία πολύ μεγάλη επιγραμμική πλατφόρμα ή σε άλλο πρόσωπο που αναφέρεται στο άρθρο 52 παράγραφος 1, κατά περίπτωση, περιοδικές χρηματικές ποινές που δεν υπερβαίνουν το 5 % του μέσου ημερήσιου κύκλου εργασιών κατά το προηγούμενο οικονομικό έτος ανά ημέρα, υπολογιζόμενες από την ημερομηνία που ορίζεται στην απόφασή της, προκειμένου να τα αναγκάσει:</w:t>
      </w:r>
    </w:p>
    <w:p>
      <w:pPr>
        <w:pStyle w:val="Point1"/>
        <w:rPr>
          <w:noProof/>
        </w:rPr>
      </w:pPr>
      <w:r>
        <w:rPr>
          <w:noProof/>
        </w:rPr>
        <w:t>α)</w:t>
      </w:r>
      <w:r>
        <w:rPr>
          <w:noProof/>
        </w:rPr>
        <w:tab/>
        <w:t>να παράσχουν ακριβείς και πλήρεις πληροφορίες σε απάντηση σε απόφαση με την οποία ζητείται η παροχή πληροφοριών σύμφωνα με το άρθρο 52·</w:t>
      </w:r>
    </w:p>
    <w:p>
      <w:pPr>
        <w:pStyle w:val="Point1"/>
        <w:rPr>
          <w:noProof/>
        </w:rPr>
      </w:pPr>
      <w:r>
        <w:rPr>
          <w:noProof/>
        </w:rPr>
        <w:t>β)</w:t>
      </w:r>
      <w:r>
        <w:rPr>
          <w:noProof/>
        </w:rPr>
        <w:tab/>
        <w:t>να υποβληθούν σε επιτόπια επιθεώρηση που διατάχθηκε με απόφαση κατ’ εφαρμογή του άρθρου 54·</w:t>
      </w:r>
    </w:p>
    <w:p>
      <w:pPr>
        <w:pStyle w:val="Point1"/>
        <w:rPr>
          <w:noProof/>
        </w:rPr>
      </w:pPr>
      <w:r>
        <w:rPr>
          <w:noProof/>
        </w:rPr>
        <w:t>γ)</w:t>
      </w:r>
      <w:r>
        <w:rPr>
          <w:noProof/>
        </w:rPr>
        <w:tab/>
        <w:t>να συμμορφωθούν με απόφαση με την οποία διατάσσεται η λήψη προσωρινών μέτρων κατ’ εφαρμογή του άρθρου 55 παράγραφος 1·</w:t>
      </w:r>
    </w:p>
    <w:p>
      <w:pPr>
        <w:pStyle w:val="Point1"/>
        <w:rPr>
          <w:noProof/>
        </w:rPr>
      </w:pPr>
      <w:r>
        <w:rPr>
          <w:noProof/>
        </w:rPr>
        <w:t>δ)</w:t>
      </w:r>
      <w:r>
        <w:rPr>
          <w:noProof/>
        </w:rPr>
        <w:tab/>
        <w:t>να συμμορφωθούν με τις δεσμεύσεις που έχουν καταστεί νομικά υποχρεωτικές με απόφαση κατ’ εφαρμογή του άρθρου 56 παράγραφος 1·</w:t>
      </w:r>
    </w:p>
    <w:p>
      <w:pPr>
        <w:pStyle w:val="Point1"/>
        <w:rPr>
          <w:noProof/>
        </w:rPr>
      </w:pPr>
      <w:r>
        <w:rPr>
          <w:noProof/>
        </w:rPr>
        <w:t>ε)</w:t>
      </w:r>
      <w:r>
        <w:rPr>
          <w:noProof/>
        </w:rPr>
        <w:tab/>
        <w:t>να συμμορφωθούν με απόφαση σύμφωνα με το άρθρο 58 παράγραφος 1.</w:t>
      </w:r>
    </w:p>
    <w:p>
      <w:pPr>
        <w:pStyle w:val="ManualNumPar1"/>
        <w:rPr>
          <w:noProof/>
        </w:rPr>
      </w:pPr>
      <w:r>
        <w:t>2.</w:t>
      </w:r>
      <w:r>
        <w:tab/>
      </w:r>
      <w:r>
        <w:rPr>
          <w:noProof/>
        </w:rPr>
        <w:t xml:space="preserve">Εάν η οικεία πολύ μεγάλη επιγραμμική πλατφόρμα ή άλλο πρόσωπο που αναφέρεται στο άρθρο 52 παράγραφος 1 συμμορφωθούν με την υποχρέωση για την εκπλήρωση της οποίας επιβλήθηκε η περιοδική χρηματική ποινή, η Επιτροπή δύναται να μειώσει </w:t>
      </w:r>
      <w:r>
        <w:rPr>
          <w:noProof/>
        </w:rPr>
        <w:lastRenderedPageBreak/>
        <w:t xml:space="preserve">το οριστικό ύψος της σε ποσό χαμηλότερο εκείνου που είχε καθοριστεί με την αρχική απόφαση. </w:t>
      </w:r>
    </w:p>
    <w:p>
      <w:pPr>
        <w:pStyle w:val="Titrearticle"/>
        <w:rPr>
          <w:noProof/>
        </w:rPr>
      </w:pPr>
      <w:r>
        <w:rPr>
          <w:noProof/>
        </w:rPr>
        <w:t>Άρθρο 61</w:t>
      </w:r>
      <w:r>
        <w:rPr>
          <w:noProof/>
        </w:rPr>
        <w:br w:type="textWrapping" w:clear="all"/>
        <w:t>Προθεσμία παραγραφής της επιβολής ποινών</w:t>
      </w:r>
    </w:p>
    <w:p>
      <w:pPr>
        <w:pStyle w:val="ManualNumPar1"/>
        <w:rPr>
          <w:noProof/>
        </w:rPr>
      </w:pPr>
      <w:r>
        <w:t>1.</w:t>
      </w:r>
      <w:r>
        <w:tab/>
      </w:r>
      <w:r>
        <w:rPr>
          <w:noProof/>
        </w:rPr>
        <w:t>Οι εξουσίες που ανατίθενται στην Επιτροπή δυνάμει των άρθρων 59 και 60 υπόκεινται σε πενταετή προθεσμία παραγραφής.</w:t>
      </w:r>
    </w:p>
    <w:p>
      <w:pPr>
        <w:pStyle w:val="ManualNumPar1"/>
        <w:rPr>
          <w:noProof/>
        </w:rPr>
      </w:pPr>
      <w:r>
        <w:t>2.</w:t>
      </w:r>
      <w:r>
        <w:tab/>
      </w:r>
      <w:r>
        <w:rPr>
          <w:noProof/>
        </w:rPr>
        <w:t>Η προθεσμία αρχίζει να ισχύει από την ημέρα διάπραξης της παράβασης. Ωστόσο, στην περίπτωση διαρκούς ή επαναλαμβανόμενης παράβασης, η προθεσμία αρχίζει να ισχύει από την ημέρα παύσης της παράβασης.</w:t>
      </w:r>
    </w:p>
    <w:p>
      <w:pPr>
        <w:pStyle w:val="ManualNumPar1"/>
        <w:rPr>
          <w:noProof/>
        </w:rPr>
      </w:pPr>
      <w:r>
        <w:t>3.</w:t>
      </w:r>
      <w:r>
        <w:tab/>
      </w:r>
      <w:r>
        <w:rPr>
          <w:noProof/>
        </w:rPr>
        <w:t>Η περίοδος παραγραφής που ισχύει για την επιβολή προστίμων ή περιοδικών χρηματικών ποινών διακόπτεται από κάθε δράση της Επιτροπής ή του συντονιστή ψηφιακών υπηρεσιών η οποία αποβλέπει στη διερεύνηση της παράβασης ή σε διαδικασία επί παραβάσει. Ως δράσεις που διακόπτουν την περίοδο παραγραφής θεωρούνται ειδικότερα οι ακόλουθες:</w:t>
      </w:r>
    </w:p>
    <w:p>
      <w:pPr>
        <w:pStyle w:val="Point1"/>
        <w:rPr>
          <w:noProof/>
        </w:rPr>
      </w:pPr>
      <w:r>
        <w:rPr>
          <w:noProof/>
        </w:rPr>
        <w:t>α)</w:t>
      </w:r>
      <w:r>
        <w:rPr>
          <w:noProof/>
        </w:rPr>
        <w:tab/>
        <w:t>αιτήματα παροχής πληροφοριών από την Επιτροπή ή συντονιστή ψηφιακών υπηρεσιών·</w:t>
      </w:r>
    </w:p>
    <w:p>
      <w:pPr>
        <w:pStyle w:val="Point1"/>
        <w:rPr>
          <w:noProof/>
        </w:rPr>
      </w:pPr>
      <w:r>
        <w:rPr>
          <w:noProof/>
        </w:rPr>
        <w:t>β)</w:t>
      </w:r>
      <w:r>
        <w:rPr>
          <w:noProof/>
        </w:rPr>
        <w:tab/>
        <w:t>διενέργεια επιτόπιας επιθεώρησης·</w:t>
      </w:r>
    </w:p>
    <w:p>
      <w:pPr>
        <w:pStyle w:val="Point1"/>
        <w:rPr>
          <w:noProof/>
        </w:rPr>
      </w:pPr>
      <w:r>
        <w:rPr>
          <w:noProof/>
        </w:rPr>
        <w:t>γ)</w:t>
      </w:r>
      <w:r>
        <w:rPr>
          <w:noProof/>
        </w:rPr>
        <w:tab/>
        <w:t>κίνηση διαδικασίας από την Επιτροπή σύμφωνα με το άρθρο 51 παράγραφος 2.</w:t>
      </w:r>
    </w:p>
    <w:p>
      <w:pPr>
        <w:pStyle w:val="ManualNumPar1"/>
        <w:rPr>
          <w:noProof/>
        </w:rPr>
      </w:pPr>
      <w:r>
        <w:t>4.</w:t>
      </w:r>
      <w:r>
        <w:tab/>
      </w:r>
      <w:r>
        <w:rPr>
          <w:noProof/>
        </w:rPr>
        <w:t>Έπειτα από κάθε διακοπή, η προθεσμία αρχίζει να ισχύει εκ νέου. Ωστόσο, η περίοδος παραγραφής της επιβολής προστίμων ή περιοδικών χρηματικών ποινών λήγει το αργότερο την ημέρα παρέλευσης προθεσμίας ίσης με το διπλάσιο της προθεσμίας παραγραφής, υπό την προϋπόθεση ότι η Επιτροπή δεν έχει επιβάλει πρόστιμο ή περιοδική χρηματική ποινή. Η προθεσμία αυτή παρατείνεται κατά χρονικό διάστημα ίσο με τον χρόνο αναστολής της περιόδου παραγραφής κατά τα προβλεπόμενα στην παράγραφο 5.</w:t>
      </w:r>
    </w:p>
    <w:p>
      <w:pPr>
        <w:pStyle w:val="ManualNumPar1"/>
        <w:rPr>
          <w:noProof/>
        </w:rPr>
      </w:pPr>
      <w:r>
        <w:t>5.</w:t>
      </w:r>
      <w:r>
        <w:tab/>
      </w:r>
      <w:r>
        <w:rPr>
          <w:noProof/>
        </w:rPr>
        <w:t>Η περίοδος παραγραφής που ισχύει για την επιβολή προστίμων ή περιοδικών χρηματικών ποινών αναστέλλεται για όσο διάστημα η απόφαση της Επιτροπής αποτελεί αντικείμενο εκκρεμούς διαδικασίας ενώπιον του Δικαστηρίου της Ευρωπαϊκής Ένωσης.</w:t>
      </w:r>
    </w:p>
    <w:p>
      <w:pPr>
        <w:pStyle w:val="Titrearticle"/>
        <w:rPr>
          <w:noProof/>
        </w:rPr>
      </w:pPr>
      <w:r>
        <w:rPr>
          <w:noProof/>
        </w:rPr>
        <w:t>Άρθρο 62</w:t>
      </w:r>
      <w:r>
        <w:rPr>
          <w:noProof/>
        </w:rPr>
        <w:br w:type="textWrapping" w:clear="all"/>
        <w:t>Περίοδος παραγραφής της εκτέλεσης ποινών</w:t>
      </w:r>
    </w:p>
    <w:p>
      <w:pPr>
        <w:pStyle w:val="ManualNumPar1"/>
        <w:rPr>
          <w:noProof/>
        </w:rPr>
      </w:pPr>
      <w:r>
        <w:t>1.</w:t>
      </w:r>
      <w:r>
        <w:tab/>
      </w:r>
      <w:r>
        <w:rPr>
          <w:noProof/>
        </w:rPr>
        <w:t>Η εξουσία της Επιτροπής να εκτελεί τις αποφάσεις που εκδίδονται κατ’ εφαρμογή των άρθρων 59 και 60 υπόκειται σε πενταετή προθεσμία παραγραφής.</w:t>
      </w:r>
    </w:p>
    <w:p>
      <w:pPr>
        <w:pStyle w:val="ManualNumPar1"/>
        <w:rPr>
          <w:noProof/>
        </w:rPr>
      </w:pPr>
      <w:r>
        <w:t>2.</w:t>
      </w:r>
      <w:r>
        <w:tab/>
      </w:r>
      <w:r>
        <w:rPr>
          <w:noProof/>
        </w:rPr>
        <w:t>Η προθεσμία αρχίζει να ισχύει από την ημέρα κατά την οποία η απόφαση καθίσταται οριστική.</w:t>
      </w:r>
    </w:p>
    <w:p>
      <w:pPr>
        <w:pStyle w:val="ManualNumPar1"/>
        <w:rPr>
          <w:noProof/>
        </w:rPr>
      </w:pPr>
      <w:r>
        <w:t>3.</w:t>
      </w:r>
      <w:r>
        <w:tab/>
      </w:r>
      <w:r>
        <w:rPr>
          <w:noProof/>
        </w:rPr>
        <w:t>Η προθεσμία παραγραφής της εκτέλεσης των ποινών διακόπτεται:</w:t>
      </w:r>
    </w:p>
    <w:p>
      <w:pPr>
        <w:pStyle w:val="Point1"/>
        <w:rPr>
          <w:noProof/>
        </w:rPr>
      </w:pPr>
      <w:r>
        <w:rPr>
          <w:noProof/>
        </w:rPr>
        <w:t>α)</w:t>
      </w:r>
      <w:r>
        <w:rPr>
          <w:noProof/>
        </w:rPr>
        <w:tab/>
        <w:t>με κοινοποίηση απόφασης με την οποία τροποποιείται το αρχικό ποσό του προστίμου ή της περιοδικής χρηματικής ποινής ή απορρίπτεται αίτηση τροποποίησης του ποσού αυτού·</w:t>
      </w:r>
    </w:p>
    <w:p>
      <w:pPr>
        <w:pStyle w:val="Point1"/>
        <w:rPr>
          <w:noProof/>
        </w:rPr>
      </w:pPr>
      <w:r>
        <w:rPr>
          <w:noProof/>
        </w:rPr>
        <w:lastRenderedPageBreak/>
        <w:t>β)</w:t>
      </w:r>
      <w:r>
        <w:rPr>
          <w:noProof/>
        </w:rPr>
        <w:tab/>
        <w:t>με κάθε δράση της Επιτροπής ή κράτους μέλους, που ενεργεί κατόπιν αιτήματος της Επιτροπής, η οποία αποβλέπει να εκτελέσει αναγκαστική είσπραξη του προστίμου ή της περιοδικής χρηματικής ποινής.</w:t>
      </w:r>
    </w:p>
    <w:p>
      <w:pPr>
        <w:pStyle w:val="ManualNumPar1"/>
        <w:rPr>
          <w:noProof/>
        </w:rPr>
      </w:pPr>
      <w:r>
        <w:t>4.</w:t>
      </w:r>
      <w:r>
        <w:tab/>
      </w:r>
      <w:r>
        <w:rPr>
          <w:noProof/>
        </w:rPr>
        <w:t>Έπειτα από κάθε διακοπή, η προθεσμία αρχίζει να ισχύει εκ νέου.</w:t>
      </w:r>
    </w:p>
    <w:p>
      <w:pPr>
        <w:pStyle w:val="ManualNumPar1"/>
        <w:rPr>
          <w:noProof/>
        </w:rPr>
      </w:pPr>
      <w:r>
        <w:t>5.</w:t>
      </w:r>
      <w:r>
        <w:tab/>
      </w:r>
      <w:r>
        <w:rPr>
          <w:noProof/>
        </w:rPr>
        <w:t>Η προθεσμία παραγραφής της εκτέλεσης ποινών αναστέλλεται για όσο διάστημα:</w:t>
      </w:r>
    </w:p>
    <w:p>
      <w:pPr>
        <w:pStyle w:val="Point1"/>
        <w:rPr>
          <w:noProof/>
        </w:rPr>
      </w:pPr>
      <w:r>
        <w:rPr>
          <w:noProof/>
        </w:rPr>
        <w:t>α)</w:t>
      </w:r>
      <w:r>
        <w:rPr>
          <w:noProof/>
        </w:rPr>
        <w:tab/>
        <w:t>παρέχεται προθεσμία για καταβολή πληρωμής·</w:t>
      </w:r>
    </w:p>
    <w:p>
      <w:pPr>
        <w:pStyle w:val="Point1"/>
        <w:rPr>
          <w:noProof/>
        </w:rPr>
      </w:pPr>
      <w:r>
        <w:rPr>
          <w:noProof/>
        </w:rPr>
        <w:t>β)</w:t>
      </w:r>
      <w:r>
        <w:rPr>
          <w:noProof/>
        </w:rPr>
        <w:tab/>
        <w:t>αναστέλλεται η αναγκαστική εκτέλεση της πληρωμής με απόφαση του Δικαστηρίου της Ευρωπαϊκής Ένωσης.</w:t>
      </w:r>
    </w:p>
    <w:p>
      <w:pPr>
        <w:pStyle w:val="Titrearticle"/>
        <w:rPr>
          <w:noProof/>
        </w:rPr>
      </w:pPr>
      <w:r>
        <w:rPr>
          <w:noProof/>
        </w:rPr>
        <w:t>Άρθρο 63</w:t>
      </w:r>
      <w:r>
        <w:rPr>
          <w:noProof/>
        </w:rPr>
        <w:br w:type="textWrapping" w:clear="all"/>
        <w:t>Δικαίωμα ακρόασης και πρόσβασης στον φάκελο</w:t>
      </w:r>
    </w:p>
    <w:p>
      <w:pPr>
        <w:pStyle w:val="ManualNumPar1"/>
        <w:rPr>
          <w:rFonts w:eastAsia="Times New Roman"/>
          <w:noProof/>
          <w:szCs w:val="24"/>
        </w:rPr>
      </w:pPr>
      <w:r>
        <w:t>1.</w:t>
      </w:r>
      <w:r>
        <w:tab/>
      </w:r>
      <w:r>
        <w:rPr>
          <w:noProof/>
        </w:rPr>
        <w:t xml:space="preserve">Πριν από την έκδοση απόφασης σύμφωνα με το άρθρο 58 παράγραφος 1, το άρθρο 59 ή το άρθρο 60, η Επιτροπή παρέχει στην οικεία πολύ μεγάλη επιγραμμική πλατφόρμα ή σε άλλο πρόσωπο που αναφέρεται στο άρθρο 52 παράγραφος 1 τη δυνατότητα ακρόασης σχετικά με: </w:t>
      </w:r>
    </w:p>
    <w:p>
      <w:pPr>
        <w:pStyle w:val="Point1"/>
        <w:rPr>
          <w:noProof/>
        </w:rPr>
      </w:pPr>
      <w:r>
        <w:rPr>
          <w:noProof/>
        </w:rPr>
        <w:t>α)</w:t>
      </w:r>
      <w:r>
        <w:rPr>
          <w:noProof/>
        </w:rPr>
        <w:tab/>
        <w:t>τα προκαταρκτικά πορίσματα της Επιτροπής, συμπεριλαμβανομένων τυχόν αιτιάσεων της Επιτροπής· και</w:t>
      </w:r>
    </w:p>
    <w:p>
      <w:pPr>
        <w:pStyle w:val="Point1"/>
        <w:rPr>
          <w:noProof/>
        </w:rPr>
      </w:pPr>
      <w:r>
        <w:rPr>
          <w:noProof/>
        </w:rPr>
        <w:t>β)</w:t>
      </w:r>
      <w:r>
        <w:rPr>
          <w:noProof/>
        </w:rPr>
        <w:tab/>
        <w:t xml:space="preserve">μέτρα που ενδεχομένως προτίθεται να λάβει η Επιτροπή ενόψει των προκαταρκτικών πορισμάτων που αναφέρονται στο στοιχείο α). </w:t>
      </w:r>
    </w:p>
    <w:p>
      <w:pPr>
        <w:pStyle w:val="ManualNumPar1"/>
        <w:rPr>
          <w:rFonts w:eastAsia="Times New Roman"/>
          <w:noProof/>
          <w:szCs w:val="24"/>
        </w:rPr>
      </w:pPr>
      <w:r>
        <w:t>2.</w:t>
      </w:r>
      <w:r>
        <w:tab/>
      </w:r>
      <w:r>
        <w:rPr>
          <w:noProof/>
        </w:rPr>
        <w:t>Η οικεία πολύ μεγάλη επιγραμμική πλατφόρμα ή άλλο πρόσωπο που αναφέρεται στο άρθρο 52 παράγραφος 1 μπορούν να υποβάλουν τις παρατηρήσεις τους σχετικά με τα προκαταρκτικά πορίσματα της Επιτροπής εντός εύλογης προθεσμίας που ορίζει η Επιτροπή στα προκαταρκτικά της πορίσματα, ελάχιστης διάρκειας 14 ημερών.</w:t>
      </w:r>
    </w:p>
    <w:p>
      <w:pPr>
        <w:pStyle w:val="ManualNumPar1"/>
        <w:rPr>
          <w:rFonts w:eastAsia="Times New Roman"/>
          <w:noProof/>
          <w:szCs w:val="24"/>
        </w:rPr>
      </w:pPr>
      <w:r>
        <w:t>3.</w:t>
      </w:r>
      <w:r>
        <w:tab/>
      </w:r>
      <w:r>
        <w:rPr>
          <w:noProof/>
        </w:rPr>
        <w:t xml:space="preserve">Η Επιτροπή θεμελιώνει τις αποφάσεις της μόνον στις αντιρρήσεις για τις οποίες δόθηκε στα ενδιαφερόμενα μέρη η δυνατότητα να διατυπώσουν τις παρατηρήσεις τους. </w:t>
      </w:r>
    </w:p>
    <w:p>
      <w:pPr>
        <w:pStyle w:val="ManualNumPar1"/>
        <w:rPr>
          <w:rFonts w:eastAsia="Times New Roman"/>
          <w:noProof/>
        </w:rPr>
      </w:pPr>
      <w:r>
        <w:t>4.</w:t>
      </w:r>
      <w:r>
        <w:tab/>
      </w:r>
      <w:r>
        <w:rPr>
          <w:noProof/>
        </w:rPr>
        <w:t>Κατά τη διεξαγωγή της διαδικασίας διασφαλίζονται πλήρως τα δικαιώματα υπεράσπισης των ενδιαφερόμενων μερών. Έχουν το δικαίωμα να έχουν πρόσβαση στον φάκελο της Επιτροπής υπό τους όρους της γνωστοποίησης στοιχείων κατόπιν διαπραγμάτευσης, με την επιφύλαξη του έννομου συμφέροντος της οικείας πολύ μεγάλης επιγραμμικής πλατφόρμας ή άλλου προσώπου που αναφέρεται στο άρθρο 52 παράγραφος 1 για την προστασία των επιχειρηματικών τους απορρήτων. Το δικαίωμα πρόσβασης στον φάκελο δεν καλύπτει τις εμπιστευτικές πληροφορίες και τα εσωτερικά έγγραφα της Επιτροπής ή των αρχών των κρατών μελών. Ειδικότερα, το δικαίωμα πρόσβασης δεν καλύπτει την αλληλογραφία μεταξύ της Επιτροπής και των εν λόγω αρχών. Καμία διάταξη της παρούσας παραγράφου δεν εμποδίζει την Επιτροπή να γνωστοποιεί και να χρησιμοποιεί τις πληροφορίες που απαιτούνται για να αποδειχθεί μια παράβαση.</w:t>
      </w:r>
    </w:p>
    <w:p>
      <w:pPr>
        <w:pStyle w:val="ManualNumPar1"/>
        <w:rPr>
          <w:rFonts w:eastAsia="Times New Roman"/>
          <w:noProof/>
          <w:szCs w:val="24"/>
        </w:rPr>
      </w:pPr>
      <w:r>
        <w:t>5.</w:t>
      </w:r>
      <w:r>
        <w:tab/>
      </w:r>
      <w:r>
        <w:rPr>
          <w:noProof/>
        </w:rPr>
        <w:t>Οι πληροφορίες που συλλέγονται σύμφωνα με τα άρθρα 52, 53 και 54 χρησιμοποιούνται μόνον για τους σκοπούς του παρόντος κανονισμού.</w:t>
      </w:r>
    </w:p>
    <w:p>
      <w:pPr>
        <w:pStyle w:val="ManualNumPar1"/>
        <w:rPr>
          <w:rFonts w:eastAsia="Times New Roman"/>
          <w:noProof/>
        </w:rPr>
      </w:pPr>
      <w:r>
        <w:t>6.</w:t>
      </w:r>
      <w:r>
        <w:tab/>
      </w:r>
      <w:r>
        <w:rPr>
          <w:noProof/>
        </w:rPr>
        <w:t xml:space="preserve">Με την επιφύλαξη της ανταλλαγής και της χρήσης πληροφοριών που αναφέρονται στο άρθρο 51 παράγραφος 3 και στο άρθρο 52 παράγραφος 5, η Επιτροπή, το συμβούλιο, οι αρχές των κρατών μελών και οι αντίστοιχοι υπάλληλοί τους, τα μέλη του λοιπού προσωπικού τους και άλλα πρόσωπα που εργάζονται υπό την επίβλεψή τους, καθώς και κάθε άλλο εμπλεκόμενο φυσικό ή νομικό πρόσωπο, </w:t>
      </w:r>
      <w:r>
        <w:rPr>
          <w:noProof/>
        </w:rPr>
        <w:lastRenderedPageBreak/>
        <w:t>συμπεριλαμβανομένων των ελεγκτών και των εμπειρογνωμόνων που διορίζονται σύμφωνα με το άρθρο 57 παράγραφος 2, δεν γνωστοποιούν πληροφορίες που αποκτώνται ή ανταλλάσσονται από τα πρόσωπα αυτά σύμφωνα με το παρόν τμήμα και διέπονται από την υποχρέωση τήρησης επαγγελματικού απορρήτου.</w:t>
      </w:r>
    </w:p>
    <w:p>
      <w:pPr>
        <w:pStyle w:val="Titrearticle"/>
        <w:rPr>
          <w:noProof/>
        </w:rPr>
      </w:pPr>
      <w:r>
        <w:rPr>
          <w:noProof/>
        </w:rPr>
        <w:t>Άρθρο 64</w:t>
      </w:r>
      <w:r>
        <w:rPr>
          <w:noProof/>
        </w:rPr>
        <w:br w:type="textWrapping" w:clear="all"/>
        <w:t>Δημοσίευση των αποφάσεων</w:t>
      </w:r>
    </w:p>
    <w:p>
      <w:pPr>
        <w:pStyle w:val="ManualNumPar1"/>
        <w:rPr>
          <w:rFonts w:eastAsia="Times New Roman"/>
          <w:noProof/>
        </w:rPr>
      </w:pPr>
      <w:r>
        <w:t>1.</w:t>
      </w:r>
      <w:r>
        <w:tab/>
      </w:r>
      <w:r>
        <w:rPr>
          <w:noProof/>
        </w:rPr>
        <w:t>Η Επιτροπή δημοσιεύει τις αποφάσεις τις οποίες λαμβάνει σύμφωνα με το άρθρο 55 παράγραφος 1, το άρθρο 56 παράγραφος 1 και τα άρθρα 58, 59 και 60. Στη δημοσίευση αυτή αναφέρονται τα ονόματα των μερών και τα ουσιώδη στοιχεία της απόφασης, περιλαμβανομένων των κυρώσεων που επιβάλλονται.</w:t>
      </w:r>
    </w:p>
    <w:p>
      <w:pPr>
        <w:pStyle w:val="ManualNumPar1"/>
        <w:rPr>
          <w:rFonts w:eastAsia="Times New Roman"/>
          <w:noProof/>
        </w:rPr>
      </w:pPr>
      <w:r>
        <w:t>2.</w:t>
      </w:r>
      <w:r>
        <w:tab/>
      </w:r>
      <w:r>
        <w:rPr>
          <w:noProof/>
        </w:rPr>
        <w:t>Στη δημοσίευση λαμβάνονται υπόψη τα δικαιώματα και τα έννομα συμφέροντα της οικείας πολύ μεγάλης επιγραμμικής πλατφόρμας, κάθε άλλου προσώπου που αναφέρεται στο άρθρο 52 παράγραφος 1 και τυχόν τρίτων όσον αφορά την προστασία των εμπιστευτικών πληροφοριών τους.</w:t>
      </w:r>
    </w:p>
    <w:p>
      <w:pPr>
        <w:pStyle w:val="Titrearticle"/>
        <w:rPr>
          <w:noProof/>
        </w:rPr>
      </w:pPr>
      <w:r>
        <w:rPr>
          <w:noProof/>
        </w:rPr>
        <w:t>Άρθρο 65</w:t>
      </w:r>
      <w:r>
        <w:rPr>
          <w:noProof/>
        </w:rPr>
        <w:br w:type="textWrapping" w:clear="all"/>
        <w:t>Αιτήματα περιορισμού της πρόσβασης και συνεργασίας με τα εθνικά δικαστήρια</w:t>
      </w:r>
    </w:p>
    <w:p>
      <w:pPr>
        <w:pStyle w:val="ManualNumPar1"/>
        <w:rPr>
          <w:rFonts w:eastAsia="Times New Roman"/>
          <w:noProof/>
        </w:rPr>
      </w:pPr>
      <w:r>
        <w:t>1.</w:t>
      </w:r>
      <w:r>
        <w:tab/>
      </w:r>
      <w:r>
        <w:rPr>
          <w:noProof/>
        </w:rPr>
        <w:t xml:space="preserve">Όταν έχουν εξαντληθεί όλες οι εξουσίες σύμφωνα με το παρόν άρθρο για την παύση παράβασης του παρόντος κανονισμού, η παράβαση συνεχίζεται και προκαλεί σοβαρές επιβλαβείς συνέπειες οι οποίες δεν μπορούν να αποφευχθούν μέσω της άσκησης άλλων εξουσιών που είναι διαθέσιμες βάσει του ενωσιακού ή του εθνικού δικαίου, η Επιτροπή μπορεί να ζητήσει από τον συντονιστή ψηφιακών υπηρεσιών της χώρας εγκατάστασης της οικείας πολύ μεγάλης επιγραμμικής πλατφόρμας να αναλάβει δράση σύμφωνα με το άρθρο 41 παράγραφος 3. </w:t>
      </w:r>
    </w:p>
    <w:p>
      <w:pPr>
        <w:ind w:left="850"/>
        <w:rPr>
          <w:rFonts w:eastAsia="Times New Roman"/>
          <w:noProof/>
        </w:rPr>
      </w:pPr>
      <w:r>
        <w:rPr>
          <w:noProof/>
        </w:rPr>
        <w:t xml:space="preserve">Πριν από την υποβολή του εν λόγω αιτήματος στον συντονιστή ψηφιακών υπηρεσιών, η Επιτροπή καλεί τα ενδιαφερόμενα μέρη να υποβάλουν γραπτές παρατηρήσεις εντός προθεσμίας τουλάχιστον δύο εβδομάδων, περιγράφοντας τα μέτρα που προτίθεται να ζητήσει και προσδιορίζοντας τον σκοπούμενο αποδέκτη ή αποδέκτες αυτών. </w:t>
      </w:r>
    </w:p>
    <w:p>
      <w:pPr>
        <w:pStyle w:val="ManualNumPar1"/>
        <w:rPr>
          <w:rFonts w:eastAsia="Times New Roman"/>
          <w:noProof/>
        </w:rPr>
      </w:pPr>
      <w:r>
        <w:t>2.</w:t>
      </w:r>
      <w:r>
        <w:tab/>
      </w:r>
      <w:r>
        <w:rPr>
          <w:noProof/>
        </w:rPr>
        <w:t>Όταν απαιτείται για τη συνεπή εφαρμογή του παρόντος κανονισμού, η Επιτροπή, ενεργώντας με δική της πρωτοβουλία, δύναται να υποβάλει γραπτές παρατηρήσεις στην αρμόδια δικαστική αρχή που αναφέρεται στο άρθρο 41 παράγραφος 3. Με την άδεια της εν λόγω δικαστικής αρχής μπορεί επίσης να υποβάλει προφορικές παρατηρήσεις.</w:t>
      </w:r>
    </w:p>
    <w:p>
      <w:pPr>
        <w:ind w:left="850"/>
        <w:rPr>
          <w:noProof/>
        </w:rPr>
      </w:pPr>
      <w:r>
        <w:rPr>
          <w:noProof/>
        </w:rPr>
        <w:t>Για τον σκοπό της προετοιμασίας των παρατηρήσεών της και μόνο, η Επιτροπή μπορεί να ζητήσει από την εν λόγω δικαστική αρχή να διαβιβάσει ή να μεριμνήσει για τη διαβίβαση τυχόν εγγράφων που είναι αναγκαία για την αξιολόγηση της υπόθεσης.</w:t>
      </w:r>
    </w:p>
    <w:p>
      <w:pPr>
        <w:pStyle w:val="Titrearticle"/>
        <w:rPr>
          <w:i w:val="0"/>
          <w:noProof/>
        </w:rPr>
      </w:pPr>
      <w:r>
        <w:rPr>
          <w:noProof/>
        </w:rPr>
        <w:t>Άρθρο 66</w:t>
      </w:r>
      <w:r>
        <w:rPr>
          <w:noProof/>
        </w:rPr>
        <w:br w:type="textWrapping" w:clear="all"/>
        <w:t>Εκτελεστικές πράξεις σε σχέση με την παρέμβαση της Επιτροπής</w:t>
      </w:r>
    </w:p>
    <w:p>
      <w:pPr>
        <w:pStyle w:val="ManualNumPar1"/>
        <w:rPr>
          <w:rFonts w:eastAsia="Times New Roman"/>
          <w:noProof/>
        </w:rPr>
      </w:pPr>
      <w:r>
        <w:t>1.</w:t>
      </w:r>
      <w:r>
        <w:tab/>
      </w:r>
      <w:r>
        <w:rPr>
          <w:noProof/>
        </w:rPr>
        <w:t xml:space="preserve">Όσον αφορά την παρέμβαση της Επιτροπής που καλύπτεται από το παρόν τμήμα, η Επιτροπή μπορεί να εκδίδει εκτελεστικές πράξεις σχετικά με τις πρακτικές ρυθμίσεις: </w:t>
      </w:r>
    </w:p>
    <w:p>
      <w:pPr>
        <w:pStyle w:val="Point1"/>
        <w:rPr>
          <w:noProof/>
        </w:rPr>
      </w:pPr>
      <w:r>
        <w:rPr>
          <w:noProof/>
        </w:rPr>
        <w:t>α)</w:t>
      </w:r>
      <w:r>
        <w:rPr>
          <w:noProof/>
        </w:rPr>
        <w:tab/>
        <w:t>της διαδικασίας σύμφωνα με τα άρθρα 54 και 57·</w:t>
      </w:r>
    </w:p>
    <w:p>
      <w:pPr>
        <w:pStyle w:val="Point1"/>
        <w:rPr>
          <w:noProof/>
        </w:rPr>
      </w:pPr>
      <w:r>
        <w:rPr>
          <w:noProof/>
        </w:rPr>
        <w:lastRenderedPageBreak/>
        <w:t>β)</w:t>
      </w:r>
      <w:r>
        <w:rPr>
          <w:noProof/>
        </w:rPr>
        <w:tab/>
        <w:t>των ακροάσεων που προβλέπονται στο άρθρο 63·</w:t>
      </w:r>
    </w:p>
    <w:p>
      <w:pPr>
        <w:pStyle w:val="Point1"/>
        <w:rPr>
          <w:noProof/>
        </w:rPr>
      </w:pPr>
      <w:r>
        <w:rPr>
          <w:noProof/>
        </w:rPr>
        <w:t>γ)</w:t>
      </w:r>
      <w:r>
        <w:rPr>
          <w:noProof/>
        </w:rPr>
        <w:tab/>
        <w:t>της γνωστοποίησης στοιχείων κατόπιν διαπραγμάτευσης που προβλέπεται στο άρθρο 63.</w:t>
      </w:r>
    </w:p>
    <w:p>
      <w:pPr>
        <w:pStyle w:val="ManualNumPar1"/>
        <w:rPr>
          <w:rFonts w:eastAsia="Times New Roman"/>
          <w:noProof/>
        </w:rPr>
      </w:pPr>
      <w:r>
        <w:t>2.</w:t>
      </w:r>
      <w:r>
        <w:tab/>
      </w:r>
      <w:r>
        <w:rPr>
          <w:noProof/>
        </w:rPr>
        <w:t xml:space="preserve">Οι εκτελεστικές αυτές πράξεις εκδίδονται σύμφωνα με τη συμβουλευτική διαδικασία του άρθρου 70. Η Επιτροπή, πριν λάβει οποιαδήποτε μέτρο δυνάμει της παραγράφου 1, δημοσιεύει σχέδιο του μέτρου και καλεί όλους τους ενδιαφερομένους να υποβάλουν τις παρατηρήσεις τους εντός προθεσμίας που ορίζεται στο σχέδιο και η οποία είναι ελάχιστης διάρκειας ενός μήνα. </w:t>
      </w:r>
    </w:p>
    <w:p>
      <w:pPr>
        <w:pStyle w:val="SectionTitle"/>
        <w:rPr>
          <w:noProof/>
        </w:rPr>
      </w:pPr>
      <w:r>
        <w:rPr>
          <w:noProof/>
        </w:rPr>
        <w:t>Τμήμα 4</w:t>
      </w:r>
      <w:r>
        <w:rPr>
          <w:noProof/>
        </w:rPr>
        <w:br w:type="textWrapping" w:clear="all"/>
        <w:t xml:space="preserve">Κοινές διατάξεις επιβολής </w:t>
      </w:r>
    </w:p>
    <w:p>
      <w:pPr>
        <w:pStyle w:val="Titrearticle"/>
        <w:rPr>
          <w:noProof/>
        </w:rPr>
      </w:pPr>
      <w:r>
        <w:rPr>
          <w:noProof/>
        </w:rPr>
        <w:t>Άρθρο 67</w:t>
      </w:r>
      <w:r>
        <w:rPr>
          <w:noProof/>
        </w:rPr>
        <w:br w:type="textWrapping" w:clear="all"/>
        <w:t>Σύστημα ανταλλαγής πληροφοριών</w:t>
      </w:r>
    </w:p>
    <w:p>
      <w:pPr>
        <w:pStyle w:val="ManualNumPar1"/>
        <w:rPr>
          <w:noProof/>
        </w:rPr>
      </w:pPr>
      <w:r>
        <w:t>1.</w:t>
      </w:r>
      <w:r>
        <w:tab/>
      </w:r>
      <w:r>
        <w:rPr>
          <w:noProof/>
        </w:rPr>
        <w:t xml:space="preserve">Η Επιτροπή θεσπίζει και διατηρεί ένα αξιόπιστο και ασφαλές σύστημα ανταλλαγής πληροφοριών για τη στήριξη της επικοινωνίας μεταξύ των συντονιστών ψηφιακών υπηρεσιών, της Επιτροπής και του συμβουλίου. </w:t>
      </w:r>
    </w:p>
    <w:p>
      <w:pPr>
        <w:pStyle w:val="ManualNumPar1"/>
        <w:rPr>
          <w:noProof/>
        </w:rPr>
      </w:pPr>
      <w:r>
        <w:t>2.</w:t>
      </w:r>
      <w:r>
        <w:tab/>
      </w:r>
      <w:r>
        <w:rPr>
          <w:noProof/>
        </w:rPr>
        <w:t>Οι συντονιστές ψηφιακών υπηρεσιών, η Επιτροπή και το συμβούλιο χρησιμοποιούν το σύστημα ανταλλαγής πληροφοριών για όλες τις επικοινωνίες σύμφωνα με τον παρόντα κανονισμό.</w:t>
      </w:r>
    </w:p>
    <w:p>
      <w:pPr>
        <w:pStyle w:val="ManualNumPar1"/>
        <w:rPr>
          <w:noProof/>
        </w:rPr>
      </w:pPr>
      <w:r>
        <w:t>3.</w:t>
      </w:r>
      <w:r>
        <w:tab/>
      </w:r>
      <w:r>
        <w:rPr>
          <w:noProof/>
        </w:rPr>
        <w:t>Η Επιτροπή εκδίδει εκτελεστικές πράξεις που καθορίζουν τις πρακτικές και επιχειρησιακές ρυθμίσεις για τη λειτουργία του συστήματος ανταλλαγής πληροφοριών και τη διαλειτουργικότητά του με άλλα συναφή συστήματα. Οι εκτελεστικές αυτές πράξεις εκδίδονται σύμφωνα με τη συμβουλευτική διαδικασία του άρθρου 70.</w:t>
      </w:r>
    </w:p>
    <w:p>
      <w:pPr>
        <w:pStyle w:val="Titrearticle"/>
        <w:rPr>
          <w:noProof/>
        </w:rPr>
      </w:pPr>
      <w:r>
        <w:rPr>
          <w:noProof/>
        </w:rPr>
        <w:t>Άρθρο 68</w:t>
      </w:r>
      <w:r>
        <w:rPr>
          <w:noProof/>
        </w:rPr>
        <w:br w:type="textWrapping" w:clear="all"/>
        <w:t>Εκπροσώπηση</w:t>
      </w:r>
    </w:p>
    <w:p>
      <w:pPr>
        <w:rPr>
          <w:noProof/>
        </w:rPr>
      </w:pPr>
      <w:r>
        <w:rPr>
          <w:noProof/>
        </w:rPr>
        <w:t>Με την επιφύλαξη της οδηγίας 2020/XX/ΕΕ του Ευρωπαϊκού Κοινοβουλίου και του Συμβουλίου</w:t>
      </w:r>
      <w:r>
        <w:rPr>
          <w:rStyle w:val="FootnoteReference"/>
          <w:noProof/>
        </w:rPr>
        <w:footnoteReference w:id="53"/>
      </w:r>
      <w:r>
        <w:rPr>
          <w:noProof/>
        </w:rPr>
        <w:t xml:space="preserve">, οι αποδέκτες ενδιάμεσων υπηρεσιών έχουν το δικαίωμα να εξουσιοδοτούν φορέα, οργανισμό ή ένωση να ασκεί τα δικαιώματα που αναφέρονται στα άρθρα 17, 18 και 19 για λογαριασμό τους, υπό την προϋπόθεση ότι ο φορέας, ο οργανισμός ή η ένωση πληροί όλες τις ακόλουθες προϋποθέσεις: </w:t>
      </w:r>
    </w:p>
    <w:p>
      <w:pPr>
        <w:pStyle w:val="Point1"/>
        <w:rPr>
          <w:noProof/>
        </w:rPr>
      </w:pPr>
      <w:r>
        <w:rPr>
          <w:noProof/>
        </w:rPr>
        <w:t>α)</w:t>
      </w:r>
      <w:r>
        <w:rPr>
          <w:noProof/>
        </w:rPr>
        <w:tab/>
        <w:t>λειτουργεί σε μη κερδοσκοπική βάση·</w:t>
      </w:r>
    </w:p>
    <w:p>
      <w:pPr>
        <w:pStyle w:val="Point1"/>
        <w:rPr>
          <w:noProof/>
        </w:rPr>
      </w:pPr>
      <w:r>
        <w:rPr>
          <w:noProof/>
        </w:rPr>
        <w:t>β)</w:t>
      </w:r>
      <w:r>
        <w:rPr>
          <w:noProof/>
        </w:rPr>
        <w:tab/>
        <w:t xml:space="preserve">έχει συσταθεί δεόντως σύμφωνα με το δίκαιο κράτους μέλους· </w:t>
      </w:r>
    </w:p>
    <w:p>
      <w:pPr>
        <w:pStyle w:val="Point1"/>
        <w:rPr>
          <w:noProof/>
        </w:rPr>
      </w:pPr>
      <w:r>
        <w:rPr>
          <w:noProof/>
        </w:rPr>
        <w:t>γ)</w:t>
      </w:r>
      <w:r>
        <w:rPr>
          <w:noProof/>
        </w:rPr>
        <w:tab/>
        <w:t xml:space="preserve">στους καταστατικούς σκοπούς του περιλαμβάνεται έννομο συμφέρον για τη διασφάλιση της συμμόρφωσης με τον παρόντα κανονισμό. </w:t>
      </w:r>
    </w:p>
    <w:p>
      <w:pPr>
        <w:pStyle w:val="SectionTitle"/>
        <w:rPr>
          <w:noProof/>
        </w:rPr>
      </w:pPr>
      <w:r>
        <w:rPr>
          <w:noProof/>
        </w:rPr>
        <w:lastRenderedPageBreak/>
        <w:t>Τμήμα 5</w:t>
      </w:r>
      <w:r>
        <w:rPr>
          <w:noProof/>
        </w:rPr>
        <w:br w:type="textWrapping" w:clear="all"/>
        <w:t>Κατ’ εξουσιοδότηση πράξεις</w:t>
      </w:r>
    </w:p>
    <w:p>
      <w:pPr>
        <w:pStyle w:val="Titrearticle"/>
        <w:rPr>
          <w:noProof/>
        </w:rPr>
      </w:pPr>
      <w:r>
        <w:rPr>
          <w:noProof/>
        </w:rPr>
        <w:t>Άρθρο 69</w:t>
      </w:r>
      <w:r>
        <w:rPr>
          <w:noProof/>
        </w:rPr>
        <w:br w:type="textWrapping" w:clear="all"/>
        <w:t>Άσκηση της εξουσιοδότησης</w:t>
      </w:r>
    </w:p>
    <w:p>
      <w:pPr>
        <w:pStyle w:val="ManualNumPar1"/>
        <w:rPr>
          <w:noProof/>
        </w:rPr>
      </w:pPr>
      <w:r>
        <w:t>1.</w:t>
      </w:r>
      <w:r>
        <w:tab/>
      </w:r>
      <w:r>
        <w:rPr>
          <w:noProof/>
        </w:rPr>
        <w:t>Ανατίθεται στην Επιτροπή η εξουσία έκδοσης κατ’ εξουσιοδότηση πράξεων υπό τις προϋποθέσεις που ορίζονται στο παρόν άρθρο.</w:t>
      </w:r>
    </w:p>
    <w:p>
      <w:pPr>
        <w:pStyle w:val="ManualNumPar1"/>
        <w:rPr>
          <w:noProof/>
        </w:rPr>
      </w:pPr>
      <w:r>
        <w:t>2.</w:t>
      </w:r>
      <w:r>
        <w:tab/>
      </w:r>
      <w:r>
        <w:rPr>
          <w:noProof/>
        </w:rPr>
        <w:t>Η εξουσιοδότηση που προβλέπεται στα άρθρα 23, 25 και 31 ανατίθεται στην Επιτροπή για αόριστο χρονικό διάστημα από [ημερομηνία αναμενόμενης έγκρισης του κανονισμού].</w:t>
      </w:r>
    </w:p>
    <w:p>
      <w:pPr>
        <w:pStyle w:val="ManualNumPar1"/>
        <w:rPr>
          <w:noProof/>
        </w:rPr>
      </w:pPr>
      <w:r>
        <w:t>3.</w:t>
      </w:r>
      <w:r>
        <w:tab/>
      </w:r>
      <w:r>
        <w:rPr>
          <w:noProof/>
        </w:rPr>
        <w:t xml:space="preserve">Η εξουσιοδότηση που προβλέπεται στα άρθρα 23, 25 και 31 μπορεί να ανακληθεί ανά πάσα στιγμή από το Ευρωπαϊκό Κοινοβούλιο ή το Συμβούλιο. Η απόφαση ανάκλησης περατώνει την εξουσιοδότηση που προσδιορίζεται στην εν λόγω απόφαση. Αρχίζει να ισχύει την επόμενη ημέρα από τη δημοσίευσή της στην </w:t>
      </w:r>
      <w:r>
        <w:rPr>
          <w:i/>
          <w:noProof/>
        </w:rPr>
        <w:t>Επίσημη Εφημερίδα της Ευρωπαϊκής Ένωσης</w:t>
      </w:r>
      <w:r>
        <w:rPr>
          <w:noProof/>
        </w:rPr>
        <w:t xml:space="preserve"> ή σε μεταγενέστερη ημερομηνία που ορίζεται σε αυτήν. Δεν θίγει το κύρος των κατ’ εξουσιοδότηση πράξεων που ισχύουν ήδη. </w:t>
      </w:r>
    </w:p>
    <w:p>
      <w:pPr>
        <w:pStyle w:val="ManualNumPar1"/>
        <w:rPr>
          <w:noProof/>
        </w:rPr>
      </w:pPr>
      <w:r>
        <w:t>4.</w:t>
      </w:r>
      <w:r>
        <w:tab/>
      </w:r>
      <w:r>
        <w:rPr>
          <w:noProof/>
        </w:rPr>
        <w:t>Μόλις εκδώσει κατ’ εξουσιοδότηση πράξη, η Επιτροπή την κοινοποιεί ταυτόχρονα στο Ευρωπαϊκό Κοινοβούλιο και στο Συμβούλιο.</w:t>
      </w:r>
    </w:p>
    <w:p>
      <w:pPr>
        <w:pStyle w:val="ManualNumPar1"/>
        <w:rPr>
          <w:noProof/>
        </w:rPr>
      </w:pPr>
      <w:r>
        <w:t>5.</w:t>
      </w:r>
      <w:r>
        <w:tab/>
      </w:r>
      <w:r>
        <w:rPr>
          <w:noProof/>
        </w:rPr>
        <w:t>Η κατ’ εξουσιοδότηση πράξη που εκδίδεται δυνάμει των άρθρων 23, 25 και 31 αρχίζει να ισχύει μόνον εφόσον δεν έχει διατυπωθεί αντίρρηση είτε από το Ευρωπαϊκό Κοινοβούλιο είτε από το Συμβούλιο εντός τριών μηνών από την κοινοποίηση της πράξης στο Ευρωπαϊκό Κοινοβούλιο και στο Συμβούλιο ή εάν, πριν από την παρέλευση της προθεσμίας αυτής, το Ευρωπαϊκό Κοινοβούλιο και το Συμβούλιο ενημερώσουν αμφότερα την Επιτροπή ότι δεν θα προβάλουν αντιρρήσεις. Η προθεσμία αυτή παρατείνεται κατά τρεις μήνες κατόπιν πρωτοβουλίας του Ευρωπαϊκού</w:t>
      </w:r>
      <w:r>
        <w:rPr>
          <w:noProof/>
          <w:shd w:val="clear" w:color="auto" w:fill="FFFFFF"/>
        </w:rPr>
        <w:t xml:space="preserve"> Κοινοβουλίου ή του Συμβουλίου. </w:t>
      </w:r>
    </w:p>
    <w:p>
      <w:pPr>
        <w:pStyle w:val="Titrearticle"/>
        <w:rPr>
          <w:noProof/>
        </w:rPr>
      </w:pPr>
      <w:r>
        <w:rPr>
          <w:noProof/>
        </w:rPr>
        <w:t>Άρθρο 70</w:t>
      </w:r>
      <w:r>
        <w:rPr>
          <w:noProof/>
        </w:rPr>
        <w:br w:type="textWrapping" w:clear="all"/>
        <w:t>Επιτροπή</w:t>
      </w:r>
    </w:p>
    <w:p>
      <w:pPr>
        <w:pStyle w:val="ManualNumPar1"/>
        <w:rPr>
          <w:noProof/>
        </w:rPr>
      </w:pPr>
      <w:r>
        <w:t>1.</w:t>
      </w:r>
      <w:r>
        <w:tab/>
      </w:r>
      <w:r>
        <w:rPr>
          <w:noProof/>
        </w:rPr>
        <w:t>Η Επιτροπή επικουρείται από την επιτροπή ψηφιακών υπηρεσιών. Η εν λόγω επιτροπή αποτελεί επιτροπή κατά την έννοια του κανονισμού (</w:t>
      </w:r>
      <w:hyperlink r:id="rId17">
        <w:r>
          <w:rPr>
            <w:noProof/>
          </w:rPr>
          <w:t>ΕΕ) αριθ. 182/2011</w:t>
        </w:r>
      </w:hyperlink>
      <w:r>
        <w:rPr>
          <w:noProof/>
        </w:rPr>
        <w:t xml:space="preserve">. </w:t>
      </w:r>
    </w:p>
    <w:p>
      <w:pPr>
        <w:pStyle w:val="ManualNumPar1"/>
        <w:rPr>
          <w:noProof/>
        </w:rPr>
      </w:pPr>
      <w:r>
        <w:t>2.</w:t>
      </w:r>
      <w:r>
        <w:tab/>
      </w:r>
      <w:r>
        <w:rPr>
          <w:noProof/>
        </w:rPr>
        <w:t>Όταν γίνεται αναφορά στο παρόν άρθρο, εφαρμόζεται το άρθρο 4 του κανονισμού (</w:t>
      </w:r>
      <w:hyperlink r:id="rId18">
        <w:r>
          <w:rPr>
            <w:noProof/>
          </w:rPr>
          <w:t>ΕΕ) αριθ. 182/2011.</w:t>
        </w:r>
      </w:hyperlink>
      <w:r>
        <w:rPr>
          <w:noProof/>
        </w:rPr>
        <w:t xml:space="preserve"> </w:t>
      </w:r>
    </w:p>
    <w:p>
      <w:pPr>
        <w:pStyle w:val="ChapterTitle"/>
        <w:rPr>
          <w:noProof/>
        </w:rPr>
      </w:pPr>
      <w:r>
        <w:rPr>
          <w:noProof/>
        </w:rPr>
        <w:t>Κεφάλαιο V</w:t>
      </w:r>
      <w:r>
        <w:rPr>
          <w:noProof/>
        </w:rPr>
        <w:br w:type="textWrapping" w:clear="all"/>
        <w:t>Τελικές διατάξεις</w:t>
      </w:r>
      <w:bookmarkEnd w:id="4"/>
    </w:p>
    <w:p>
      <w:pPr>
        <w:pStyle w:val="Titrearticle"/>
        <w:rPr>
          <w:noProof/>
        </w:rPr>
      </w:pPr>
      <w:r>
        <w:rPr>
          <w:noProof/>
        </w:rPr>
        <w:t>Άρθρο 71</w:t>
      </w:r>
      <w:r>
        <w:rPr>
          <w:noProof/>
        </w:rPr>
        <w:br w:type="textWrapping" w:clear="all"/>
        <w:t>Διαγραφή ορισμένων διατάξεων της οδηγίας 2000/31/ΕΚ</w:t>
      </w:r>
    </w:p>
    <w:p>
      <w:pPr>
        <w:pStyle w:val="ManualNumPar1"/>
        <w:rPr>
          <w:noProof/>
        </w:rPr>
      </w:pPr>
      <w:r>
        <w:t>1.</w:t>
      </w:r>
      <w:r>
        <w:tab/>
      </w:r>
      <w:r>
        <w:rPr>
          <w:noProof/>
        </w:rPr>
        <w:t>Τα άρθρα 12 έως 15 της οδηγίας 2000/31/ΕΚ διαγράφονται.</w:t>
      </w:r>
    </w:p>
    <w:p>
      <w:pPr>
        <w:pStyle w:val="ManualNumPar1"/>
        <w:rPr>
          <w:noProof/>
        </w:rPr>
      </w:pPr>
      <w:r>
        <w:lastRenderedPageBreak/>
        <w:t>2.</w:t>
      </w:r>
      <w:r>
        <w:tab/>
      </w:r>
      <w:r>
        <w:rPr>
          <w:noProof/>
        </w:rPr>
        <w:t>Οι παραπομπές στα άρθρα 12 έως 15 της οδηγίας 2000/31/ΕΚ νοούνται ως παραπομπές στα άρθρα 3, 4, 5 και 7 του παρόντος κανονισμού, αντίστοιχα.</w:t>
      </w:r>
    </w:p>
    <w:p>
      <w:pPr>
        <w:pStyle w:val="Titrearticle"/>
        <w:rPr>
          <w:noProof/>
        </w:rPr>
      </w:pPr>
      <w:r>
        <w:rPr>
          <w:noProof/>
        </w:rPr>
        <w:t>Άρθρο 72</w:t>
      </w:r>
      <w:r>
        <w:rPr>
          <w:noProof/>
        </w:rPr>
        <w:br w:type="textWrapping" w:clear="all"/>
        <w:t>Τροποποιήσεις της οδηγίας 2020/XX/ΕΚ σχετικά με τις αντιπροσωπευτικές αγωγές για την προστασία των συλλογικών συμφερόντων των καταναλωτών</w:t>
      </w:r>
    </w:p>
    <w:p>
      <w:pPr>
        <w:pStyle w:val="ManualNumPar1"/>
        <w:rPr>
          <w:noProof/>
        </w:rPr>
      </w:pPr>
      <w:r>
        <w:t>3.</w:t>
      </w:r>
      <w:r>
        <w:tab/>
      </w:r>
      <w:r>
        <w:rPr>
          <w:noProof/>
        </w:rPr>
        <w:t xml:space="preserve">Στο παράρτημα I προστίθεται το εξής κείμενο: </w:t>
      </w:r>
    </w:p>
    <w:p>
      <w:pPr>
        <w:pStyle w:val="Text1"/>
        <w:rPr>
          <w:noProof/>
        </w:rPr>
      </w:pPr>
      <w:r>
        <w:rPr>
          <w:noProof/>
        </w:rPr>
        <w:t xml:space="preserve">«(X) Κανονισμός του Ευρωπαϊκού Κοινοβουλίου και του Συμβουλίου σχετικά με την ενιαία αγορά ψηφιακών υπηρεσιών (πράξη για τις ψηφιακές υπηρεσίες) και την τροποποίηση της οδηγίας 2000/31/ΕΚ» </w:t>
      </w:r>
    </w:p>
    <w:p>
      <w:pPr>
        <w:pStyle w:val="Titrearticle"/>
        <w:rPr>
          <w:noProof/>
        </w:rPr>
      </w:pPr>
      <w:r>
        <w:rPr>
          <w:noProof/>
        </w:rPr>
        <w:t>Άρθρο 73</w:t>
      </w:r>
      <w:r>
        <w:rPr>
          <w:noProof/>
        </w:rPr>
        <w:br w:type="textWrapping" w:clear="all"/>
        <w:t>Αξιολόγηση</w:t>
      </w:r>
    </w:p>
    <w:p>
      <w:pPr>
        <w:pStyle w:val="ManualNumPar1"/>
        <w:rPr>
          <w:noProof/>
        </w:rPr>
      </w:pPr>
      <w:r>
        <w:t>1.</w:t>
      </w:r>
      <w:r>
        <w:tab/>
      </w:r>
      <w:r>
        <w:rPr>
          <w:noProof/>
        </w:rPr>
        <w:t xml:space="preserve">Το αργότερο πέντε έτη μετά την έναρξη ισχύος του παρόντος κανονισμού και στη συνέχεια ανά πενταετία, η Επιτροπή αξιολογεί τον παρόντα κανονισμό και υποβάλλει έκθεση στο Ευρωπαϊκό Κοινοβούλιο, το Συμβούλιο και την Ευρωπαϊκή Οικονομική και Κοινωνική Επιτροπή. </w:t>
      </w:r>
    </w:p>
    <w:p>
      <w:pPr>
        <w:pStyle w:val="ManualNumPar1"/>
        <w:rPr>
          <w:noProof/>
        </w:rPr>
      </w:pPr>
      <w:r>
        <w:t>2.</w:t>
      </w:r>
      <w:r>
        <w:tab/>
      </w:r>
      <w:r>
        <w:rPr>
          <w:noProof/>
        </w:rPr>
        <w:t>Για τους σκοπούς της παραγράφου 1, τα κράτη μέλη και το συμβούλιο αποστέλλουν πληροφορίες κατόπιν αιτήματος της Επιτροπής.</w:t>
      </w:r>
    </w:p>
    <w:p>
      <w:pPr>
        <w:pStyle w:val="ManualNumPar1"/>
        <w:rPr>
          <w:noProof/>
        </w:rPr>
      </w:pPr>
      <w:r>
        <w:t>3.</w:t>
      </w:r>
      <w:r>
        <w:tab/>
      </w:r>
      <w:r>
        <w:rPr>
          <w:noProof/>
        </w:rPr>
        <w:t>Κατά τη διενέργεια των αξιολογήσεων που αναφέρονται στην παράγραφο 1, η Επιτροπή λαμβάνει υπόψη τις θέσεις και τα πορίσματα του Ευρωπαϊκού Κοινοβουλίου και του Συμβουλίου, καθώς και άλλων αρμόδιων φορέων ή πηγών.</w:t>
      </w:r>
    </w:p>
    <w:p>
      <w:pPr>
        <w:pStyle w:val="ManualNumPar1"/>
        <w:rPr>
          <w:noProof/>
        </w:rPr>
      </w:pPr>
      <w:r>
        <w:t>4.</w:t>
      </w:r>
      <w:r>
        <w:tab/>
      </w:r>
      <w:r>
        <w:rPr>
          <w:noProof/>
        </w:rPr>
        <w:t>Το αργότερο τρία έτη από την ημερομηνία εφαρμογής του παρόντος κανονισμού, η Επιτροπή, έπειτα από διαβούλευση με το συμβούλιο, διενεργεί αξιολόγηση της λειτουργίας του συμβουλίου και την υποβάλλει στο Ευρωπαϊκό Κοινοβούλιο, το Συμβούλιο και την Ευρωπαϊκή Οικονομική και Κοινωνική Επιτροπή, λαμβάνοντας υπόψη τα πρώτα έτη εφαρμογής του κανονισμού. Με βάση τα πορίσματα και λαμβανομένης ιδιαιτέρως υπόψη της γνώμης του συμβουλίου, η έκθεση αυτή συνοδεύεται, κατά περίπτωση, από πρόταση τροποποίησης του παρόντος κανονισμού όσον αφορά τη δομή του συμβουλίου.</w:t>
      </w:r>
    </w:p>
    <w:p>
      <w:pPr>
        <w:pStyle w:val="Titrearticle"/>
        <w:rPr>
          <w:noProof/>
        </w:rPr>
      </w:pPr>
      <w:r>
        <w:rPr>
          <w:noProof/>
        </w:rPr>
        <w:t>Άρθρο 74</w:t>
      </w:r>
      <w:r>
        <w:rPr>
          <w:noProof/>
        </w:rPr>
        <w:br w:type="textWrapping" w:clear="all"/>
        <w:t>Έναρξη ισχύος και εφαρμογή</w:t>
      </w:r>
    </w:p>
    <w:p>
      <w:pPr>
        <w:pStyle w:val="ManualNumPar1"/>
        <w:rPr>
          <w:noProof/>
        </w:rPr>
      </w:pPr>
      <w:r>
        <w:t>1.</w:t>
      </w:r>
      <w:r>
        <w:tab/>
      </w:r>
      <w:r>
        <w:rPr>
          <w:noProof/>
        </w:rPr>
        <w:t xml:space="preserve">Ο παρών κανονισμός αρχίζει να ισχύει την εικοστή ημέρα από τη δημοσίευσή του στην </w:t>
      </w:r>
      <w:r>
        <w:rPr>
          <w:i/>
          <w:noProof/>
        </w:rPr>
        <w:t>Επίσημη Εφημερίδα της Ευρωπαϊκής Ένωσης</w:t>
      </w:r>
      <w:r>
        <w:rPr>
          <w:noProof/>
        </w:rPr>
        <w:t>.</w:t>
      </w:r>
    </w:p>
    <w:p>
      <w:pPr>
        <w:pStyle w:val="ManualNumPar1"/>
        <w:rPr>
          <w:noProof/>
        </w:rPr>
      </w:pPr>
      <w:r>
        <w:t>2.</w:t>
      </w:r>
      <w:r>
        <w:tab/>
      </w:r>
      <w:r>
        <w:rPr>
          <w:noProof/>
        </w:rPr>
        <w:t xml:space="preserve">Εφαρμόζεται από τις [ημερομηνία - τρεις μήνες μετά την έναρξη ισχύος του]. </w:t>
      </w:r>
    </w:p>
    <w:p>
      <w:pPr>
        <w:pStyle w:val="Applicationdirecte"/>
        <w:rPr>
          <w:noProof/>
        </w:rPr>
      </w:pPr>
      <w:r>
        <w:rPr>
          <w:noProof/>
        </w:rPr>
        <w:t>Ο παρών κανονισμός είναι δεσμευτικός ως προς όλα τα μέρη του και ισχύει άμεσα σε κάθε κράτος μέλος.</w:t>
      </w:r>
    </w:p>
    <w:p>
      <w:pPr>
        <w:pStyle w:val="Fait"/>
        <w:rPr>
          <w:noProof/>
        </w:rPr>
      </w:pPr>
      <w:r>
        <w:t>Βρυξέλλες,</w:t>
      </w:r>
    </w:p>
    <w:p>
      <w:pPr>
        <w:pStyle w:val="Institutionquisigne"/>
        <w:rPr>
          <w:noProof/>
        </w:rPr>
      </w:pPr>
      <w:r>
        <w:rPr>
          <w:noProof/>
        </w:rPr>
        <w:t>Για το Ευρωπαϊκό Κοινοβούλιο</w:t>
      </w:r>
      <w:r>
        <w:rPr>
          <w:noProof/>
        </w:rPr>
        <w:tab/>
        <w:t>Για το Συμβούλιο</w:t>
      </w:r>
    </w:p>
    <w:p>
      <w:pPr>
        <w:pStyle w:val="Personnequisigne"/>
        <w:rPr>
          <w:noProof/>
        </w:rPr>
      </w:pPr>
      <w:r>
        <w:rPr>
          <w:noProof/>
        </w:rPr>
        <w:t>Ο Πρόεδρος</w:t>
      </w:r>
      <w:r>
        <w:rPr>
          <w:noProof/>
        </w:rPr>
        <w:tab/>
        <w:t>Ο Πρόεδρος</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ΝΟΜΟΘΕΤΙΚΟ ΔΗΜΟΣΙΟΝΟΜΙΚΟ ΔΕΛΤΙΟ</w:t>
      </w:r>
    </w:p>
    <w:p>
      <w:pPr>
        <w:pStyle w:val="ManualHeading1"/>
        <w:rPr>
          <w:noProof/>
        </w:rPr>
      </w:pPr>
      <w:r>
        <w:rPr>
          <w:noProof/>
        </w:rPr>
        <w:t>1.</w:t>
      </w:r>
      <w:r>
        <w:rPr>
          <w:noProof/>
        </w:rPr>
        <w:tab/>
        <w:t xml:space="preserve">ΠΛΑΙΣΙΟ ΤΗΣ ΠΡΟΤΑΣΗΣ/ΠΡΩΤΟΒΟΥΛΙΑΣ </w:t>
      </w:r>
    </w:p>
    <w:p>
      <w:pPr>
        <w:pStyle w:val="ManualHeading2"/>
        <w:rPr>
          <w:b w:val="0"/>
          <w:noProof/>
        </w:rPr>
      </w:pPr>
      <w:r>
        <w:rPr>
          <w:noProof/>
        </w:rPr>
        <w:tab/>
      </w:r>
      <w:r>
        <w:rPr>
          <w:b w:val="0"/>
          <w:noProof/>
        </w:rPr>
        <w:t>1.1.</w:t>
      </w:r>
      <w:r>
        <w:rPr>
          <w:noProof/>
        </w:rPr>
        <w:tab/>
      </w:r>
      <w:r>
        <w:rPr>
          <w:b w:val="0"/>
          <w:noProof/>
        </w:rPr>
        <w:t xml:space="preserve">Τίτλος της πρότασης/πρωτοβουλίας </w:t>
      </w:r>
    </w:p>
    <w:p>
      <w:pPr>
        <w:pStyle w:val="ManualHeading2"/>
        <w:rPr>
          <w:b w:val="0"/>
          <w:i/>
          <w:noProof/>
        </w:rPr>
      </w:pPr>
      <w:r>
        <w:rPr>
          <w:noProof/>
        </w:rPr>
        <w:tab/>
      </w:r>
      <w:r>
        <w:rPr>
          <w:b w:val="0"/>
          <w:noProof/>
        </w:rPr>
        <w:t>1.2.</w:t>
      </w:r>
      <w:r>
        <w:rPr>
          <w:noProof/>
        </w:rPr>
        <w:tab/>
      </w:r>
      <w:r>
        <w:rPr>
          <w:b w:val="0"/>
          <w:noProof/>
        </w:rPr>
        <w:t xml:space="preserve">Σχετικοί τομείς πολιτικής </w:t>
      </w:r>
    </w:p>
    <w:p>
      <w:pPr>
        <w:pStyle w:val="ManualHeading2"/>
        <w:rPr>
          <w:b w:val="0"/>
          <w:noProof/>
        </w:rPr>
      </w:pPr>
      <w:r>
        <w:rPr>
          <w:noProof/>
        </w:rPr>
        <w:tab/>
      </w:r>
      <w:r>
        <w:rPr>
          <w:b w:val="0"/>
          <w:noProof/>
        </w:rPr>
        <w:t>1.3.</w:t>
      </w:r>
      <w:r>
        <w:rPr>
          <w:noProof/>
        </w:rPr>
        <w:tab/>
      </w:r>
      <w:r>
        <w:rPr>
          <w:b w:val="0"/>
          <w:noProof/>
        </w:rPr>
        <w:t>Η πρόταση/πρωτοβουλία αφορά</w:t>
      </w:r>
    </w:p>
    <w:p>
      <w:pPr>
        <w:pStyle w:val="ManualHeading2"/>
        <w:rPr>
          <w:b w:val="0"/>
          <w:noProof/>
        </w:rPr>
      </w:pPr>
      <w:r>
        <w:rPr>
          <w:noProof/>
        </w:rPr>
        <w:tab/>
      </w:r>
      <w:r>
        <w:rPr>
          <w:b w:val="0"/>
          <w:noProof/>
        </w:rPr>
        <w:t>1.4.</w:t>
      </w:r>
      <w:r>
        <w:rPr>
          <w:noProof/>
        </w:rPr>
        <w:tab/>
      </w:r>
      <w:r>
        <w:rPr>
          <w:b w:val="0"/>
          <w:noProof/>
        </w:rPr>
        <w:t xml:space="preserve">Αιτιολόγηση της πρότασης/πρωτοβουλίας </w:t>
      </w:r>
    </w:p>
    <w:p>
      <w:pPr>
        <w:pStyle w:val="ManualHeading2"/>
        <w:rPr>
          <w:b w:val="0"/>
          <w:noProof/>
        </w:rPr>
      </w:pPr>
      <w:r>
        <w:rPr>
          <w:noProof/>
        </w:rPr>
        <w:tab/>
      </w:r>
      <w:r>
        <w:rPr>
          <w:b w:val="0"/>
          <w:noProof/>
        </w:rPr>
        <w:t>1.6.</w:t>
      </w:r>
      <w:r>
        <w:rPr>
          <w:noProof/>
        </w:rPr>
        <w:tab/>
      </w:r>
      <w:r>
        <w:rPr>
          <w:b w:val="0"/>
          <w:noProof/>
        </w:rPr>
        <w:t xml:space="preserve">Διάρκεια και δημοσιονομικές επιπτώσεις </w:t>
      </w:r>
    </w:p>
    <w:p>
      <w:pPr>
        <w:pStyle w:val="ManualHeading2"/>
        <w:rPr>
          <w:b w:val="0"/>
          <w:noProof/>
        </w:rPr>
      </w:pPr>
      <w:r>
        <w:rPr>
          <w:noProof/>
        </w:rPr>
        <w:tab/>
      </w:r>
      <w:r>
        <w:rPr>
          <w:b w:val="0"/>
          <w:noProof/>
        </w:rPr>
        <w:t>1.7.</w:t>
      </w:r>
      <w:r>
        <w:rPr>
          <w:noProof/>
        </w:rPr>
        <w:tab/>
      </w:r>
      <w:r>
        <w:rPr>
          <w:b w:val="0"/>
          <w:noProof/>
        </w:rPr>
        <w:t xml:space="preserve">Προβλεπόμενοι τρόποι διαχείρισης </w:t>
      </w:r>
    </w:p>
    <w:p>
      <w:pPr>
        <w:pStyle w:val="ManualHeading1"/>
        <w:rPr>
          <w:noProof/>
        </w:rPr>
      </w:pPr>
      <w:r>
        <w:rPr>
          <w:noProof/>
        </w:rPr>
        <w:t>2.</w:t>
      </w:r>
      <w:r>
        <w:rPr>
          <w:noProof/>
        </w:rPr>
        <w:tab/>
        <w:t xml:space="preserve">ΜΕΤΡΑ ΔΙΑΧΕΙΡΙΣΗΣ </w:t>
      </w:r>
    </w:p>
    <w:p>
      <w:pPr>
        <w:pStyle w:val="ManualHeading2"/>
        <w:rPr>
          <w:b w:val="0"/>
          <w:noProof/>
        </w:rPr>
      </w:pPr>
      <w:r>
        <w:rPr>
          <w:noProof/>
        </w:rPr>
        <w:tab/>
      </w:r>
      <w:r>
        <w:rPr>
          <w:b w:val="0"/>
          <w:noProof/>
        </w:rPr>
        <w:t>2.1.</w:t>
      </w:r>
      <w:r>
        <w:rPr>
          <w:noProof/>
        </w:rPr>
        <w:tab/>
      </w:r>
      <w:r>
        <w:rPr>
          <w:b w:val="0"/>
          <w:noProof/>
        </w:rPr>
        <w:t xml:space="preserve">Κανόνες παρακολούθησης και υποβολής εκθέσεων </w:t>
      </w:r>
    </w:p>
    <w:p>
      <w:pPr>
        <w:pStyle w:val="ManualHeading2"/>
        <w:rPr>
          <w:b w:val="0"/>
          <w:noProof/>
        </w:rPr>
      </w:pPr>
      <w:r>
        <w:rPr>
          <w:noProof/>
        </w:rPr>
        <w:tab/>
      </w:r>
      <w:r>
        <w:rPr>
          <w:b w:val="0"/>
          <w:noProof/>
        </w:rPr>
        <w:t>2.2.</w:t>
      </w:r>
      <w:r>
        <w:rPr>
          <w:noProof/>
        </w:rPr>
        <w:tab/>
      </w:r>
      <w:r>
        <w:rPr>
          <w:b w:val="0"/>
          <w:noProof/>
        </w:rPr>
        <w:t xml:space="preserve">Συστήματα διαχείρισης και ελέγχου </w:t>
      </w:r>
    </w:p>
    <w:p>
      <w:pPr>
        <w:pStyle w:val="ManualHeading2"/>
        <w:rPr>
          <w:b w:val="0"/>
          <w:noProof/>
        </w:rPr>
      </w:pPr>
      <w:r>
        <w:rPr>
          <w:noProof/>
        </w:rPr>
        <w:tab/>
      </w:r>
      <w:r>
        <w:rPr>
          <w:b w:val="0"/>
          <w:noProof/>
        </w:rPr>
        <w:t>2.3.</w:t>
      </w:r>
      <w:r>
        <w:rPr>
          <w:noProof/>
        </w:rPr>
        <w:tab/>
      </w:r>
      <w:r>
        <w:rPr>
          <w:b w:val="0"/>
          <w:noProof/>
        </w:rPr>
        <w:t xml:space="preserve">Μέτρα για την πρόληψη περιπτώσεων απάτης και παρατυπίας </w:t>
      </w:r>
    </w:p>
    <w:p>
      <w:pPr>
        <w:pStyle w:val="ManualHeading1"/>
        <w:rPr>
          <w:noProof/>
        </w:rPr>
      </w:pPr>
      <w:r>
        <w:rPr>
          <w:noProof/>
        </w:rPr>
        <w:t>3.</w:t>
      </w:r>
      <w:r>
        <w:rPr>
          <w:noProof/>
        </w:rPr>
        <w:tab/>
        <w:t xml:space="preserve">ΕΚΤΙΜΩΜΕΝΕΣ ΔΗΜΟΣΙΟΝΟΜΙΚΕΣ ΕΠΙΠΤΩΣΕΙΣ ΤΗΣ ΠΡΟΤΑΣΗΣ/ΠΡΩΤΟΒΟΥΛΙΑΣ </w:t>
      </w:r>
    </w:p>
    <w:p>
      <w:pPr>
        <w:pStyle w:val="ManualHeading2"/>
        <w:rPr>
          <w:b w:val="0"/>
          <w:noProof/>
        </w:rPr>
      </w:pPr>
      <w:r>
        <w:rPr>
          <w:noProof/>
        </w:rPr>
        <w:tab/>
      </w:r>
      <w:r>
        <w:rPr>
          <w:b w:val="0"/>
          <w:noProof/>
        </w:rPr>
        <w:t>3.1.</w:t>
      </w:r>
      <w:r>
        <w:rPr>
          <w:noProof/>
        </w:rPr>
        <w:tab/>
      </w:r>
      <w:r>
        <w:rPr>
          <w:b w:val="0"/>
          <w:noProof/>
        </w:rPr>
        <w:t xml:space="preserve">Τομείς του πολυετούς δημοσιονομικού πλαισίου και νέες γραμμές δαπανών του προϋπολογισμού που προτείνονται </w:t>
      </w:r>
    </w:p>
    <w:p>
      <w:pPr>
        <w:pStyle w:val="ManualHeading2"/>
        <w:rPr>
          <w:noProof/>
        </w:rPr>
      </w:pPr>
      <w:r>
        <w:rPr>
          <w:noProof/>
        </w:rPr>
        <w:tab/>
      </w:r>
      <w:r>
        <w:rPr>
          <w:b w:val="0"/>
          <w:noProof/>
        </w:rPr>
        <w:t>3.2.</w:t>
      </w:r>
      <w:r>
        <w:rPr>
          <w:noProof/>
        </w:rPr>
        <w:tab/>
      </w:r>
      <w:r>
        <w:rPr>
          <w:b w:val="0"/>
          <w:noProof/>
        </w:rPr>
        <w:t>Εκτιμώμενες επιπτώσεις στις δαπάνες</w:t>
      </w:r>
      <w:r>
        <w:rPr>
          <w:noProof/>
        </w:rPr>
        <w:t xml:space="preserve"> </w:t>
      </w:r>
    </w:p>
    <w:p>
      <w:pPr>
        <w:pStyle w:val="ManualHeading3"/>
        <w:rPr>
          <w:noProof/>
        </w:rPr>
      </w:pPr>
      <w:r>
        <w:rPr>
          <w:noProof/>
        </w:rPr>
        <w:tab/>
        <w:t>3.2.1.</w:t>
      </w:r>
      <w:r>
        <w:rPr>
          <w:noProof/>
        </w:rPr>
        <w:tab/>
        <w:t xml:space="preserve">Συνοπτική παρουσίαση των εκτιμώμενων επιπτώσεων στις δαπάνες </w:t>
      </w:r>
    </w:p>
    <w:p>
      <w:pPr>
        <w:pStyle w:val="ManualHeading3"/>
        <w:rPr>
          <w:noProof/>
        </w:rPr>
      </w:pPr>
      <w:r>
        <w:rPr>
          <w:noProof/>
        </w:rPr>
        <w:tab/>
        <w:t>3.2.2.</w:t>
      </w:r>
      <w:r>
        <w:rPr>
          <w:noProof/>
        </w:rPr>
        <w:tab/>
        <w:t>Συνοπτική παρουσίαση των εκτιμώμενων επιπτώσεων στις πιστώσεις διοικητικού χαρακτήρα</w:t>
      </w:r>
    </w:p>
    <w:p>
      <w:pPr>
        <w:pStyle w:val="ManualHeading3"/>
        <w:rPr>
          <w:noProof/>
        </w:rPr>
      </w:pPr>
      <w:r>
        <w:rPr>
          <w:noProof/>
        </w:rPr>
        <w:tab/>
        <w:t>3.2.3.</w:t>
      </w:r>
      <w:r>
        <w:rPr>
          <w:noProof/>
        </w:rPr>
        <w:tab/>
        <w:t xml:space="preserve">Συμμετοχή τρίτων στη χρηματοδότηση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Εκτιμώμενες επιπτώσεις στα έσοδα</w:t>
      </w:r>
    </w:p>
    <w:p>
      <w:pPr>
        <w:jc w:val="center"/>
        <w:rPr>
          <w:noProof/>
        </w:rPr>
      </w:pPr>
      <w:r>
        <w:rPr>
          <w:b/>
          <w:noProof/>
          <w:u w:val="single"/>
        </w:rPr>
        <w:t>ΝΟΜΟΘΕΤΙΚΟ ΔΗΜΟΣΙΟΝΟΜΙΚΟ ΔΕΛΤΙΟ</w:t>
      </w:r>
    </w:p>
    <w:p>
      <w:pPr>
        <w:pStyle w:val="ManualHeading1"/>
        <w:rPr>
          <w:noProof/>
        </w:rPr>
      </w:pPr>
      <w:r>
        <w:t>1.</w:t>
      </w:r>
      <w:r>
        <w:tab/>
      </w:r>
      <w:r>
        <w:rPr>
          <w:noProof/>
        </w:rPr>
        <w:t xml:space="preserve">ΠΛΑΙΣΙΟ ΤΗΣ ΠΡΟΤΑΣΗΣ/ΠΡΩΤΟΒΟΥΛΙΑΣ </w:t>
      </w:r>
    </w:p>
    <w:p>
      <w:pPr>
        <w:pStyle w:val="ManualHeading2"/>
        <w:rPr>
          <w:noProof/>
        </w:rPr>
      </w:pPr>
      <w:r>
        <w:t>1.1.</w:t>
      </w:r>
      <w:r>
        <w:tab/>
      </w:r>
      <w:r>
        <w:rPr>
          <w:noProof/>
        </w:rPr>
        <w:t xml:space="preserve">Τίτλος της πρότασης/πρωτοβουλίας </w:t>
      </w:r>
    </w:p>
    <w:p>
      <w:pPr>
        <w:pStyle w:val="Text1"/>
        <w:pBdr>
          <w:top w:val="single" w:sz="4" w:space="1" w:color="auto"/>
          <w:left w:val="single" w:sz="4" w:space="4" w:color="auto"/>
          <w:bottom w:val="single" w:sz="4" w:space="1" w:color="auto"/>
          <w:right w:val="single" w:sz="4" w:space="4" w:color="auto"/>
        </w:pBdr>
        <w:rPr>
          <w:noProof/>
        </w:rPr>
      </w:pPr>
      <w:r>
        <w:rPr>
          <w:noProof/>
        </w:rPr>
        <w:t>Κανονισμός του Ευρωπαϊκού Κοινοβουλίου και του Συμβουλίου σχετικά με την ενιαία αγορά ψηφιακών υπηρεσιών (πράξη για τις ψηφιακές υπηρεσίες) και την τροποποίηση της οδηγίας 2000/31/ΕΚ</w:t>
      </w:r>
    </w:p>
    <w:p>
      <w:pPr>
        <w:pStyle w:val="ManualHeading2"/>
        <w:rPr>
          <w:noProof/>
          <w:szCs w:val="24"/>
        </w:rPr>
      </w:pPr>
      <w:r>
        <w:t>1.2.</w:t>
      </w:r>
      <w:r>
        <w:tab/>
      </w:r>
      <w:r>
        <w:rPr>
          <w:noProof/>
        </w:rPr>
        <w:t>Σχετικοί τομείς πολιτικής στη δομή ΔΒΔ/ΠΒΔ</w:t>
      </w:r>
      <w:r>
        <w:rPr>
          <w:rStyle w:val="FootnoteReference"/>
          <w:noProof/>
        </w:rPr>
        <w:footnoteReference w:id="54"/>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Τομέας πολιτικής: Δίκτυα, περιεχόμενο και τεχνολογία επικοινωνιών· Εσωτερική αγορά, βιομηχανία, επιχειρηματικότητα και ΜΜΕ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Οι δημοσιονομικές επιπτώσεις αφορούν τα νέα καθήκοντα που ανατίθενται στην Επιτροπή, συμπεριλαμβανομένων των καθηκόντων άμεσης επίβλεψης και της παροχής στήριξης στο συμβούλιο. </w:t>
      </w:r>
    </w:p>
    <w:p>
      <w:pPr>
        <w:pStyle w:val="Text1"/>
        <w:pBdr>
          <w:top w:val="single" w:sz="4" w:space="1" w:color="auto"/>
          <w:left w:val="single" w:sz="4" w:space="4" w:color="auto"/>
          <w:bottom w:val="single" w:sz="4" w:space="1" w:color="auto"/>
          <w:right w:val="single" w:sz="4" w:space="4" w:color="auto"/>
        </w:pBdr>
        <w:rPr>
          <w:noProof/>
        </w:rPr>
      </w:pPr>
      <w:r>
        <w:rPr>
          <w:noProof/>
        </w:rPr>
        <w:t>Δραστηριότητα: Διαμόρφωση του ψηφιακού μέλλοντος της Ευρώπης</w:t>
      </w:r>
    </w:p>
    <w:p>
      <w:pPr>
        <w:pStyle w:val="ManualHeading2"/>
        <w:rPr>
          <w:bCs/>
          <w:noProof/>
          <w:szCs w:val="24"/>
        </w:rPr>
      </w:pPr>
      <w:r>
        <w:t>1.3.</w:t>
      </w:r>
      <w:r>
        <w:tab/>
      </w:r>
      <w:r>
        <w:rPr>
          <w:noProof/>
        </w:rPr>
        <w:t xml:space="preserve">Η πρόταση/πρωτοβουλία αφορά: </w:t>
      </w:r>
    </w:p>
    <w:p>
      <w:pPr>
        <w:pStyle w:val="Text1"/>
        <w:rPr>
          <w:b/>
          <w:noProof/>
          <w:sz w:val="22"/>
        </w:rPr>
      </w:pPr>
      <w:r>
        <w:rPr>
          <w:noProof/>
          <w:sz w:val="22"/>
        </w:rPr>
        <w:sym w:font="Wingdings" w:char="F0FE"/>
      </w:r>
      <w:r>
        <w:rPr>
          <w:b/>
          <w:i/>
          <w:noProof/>
          <w:sz w:val="22"/>
        </w:rPr>
        <w:t xml:space="preserve"> </w:t>
      </w:r>
      <w:r>
        <w:rPr>
          <w:b/>
          <w:noProof/>
        </w:rPr>
        <w:t>νέα δράση</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νέα δράση μετά από πιλοτικό έργο / προπαρασκευαστική ενέργεια</w:t>
      </w:r>
      <w:r>
        <w:rPr>
          <w:rStyle w:val="FootnoteReference"/>
          <w:b/>
          <w:noProof/>
        </w:rPr>
        <w:footnoteReference w:id="55"/>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την παράταση υφιστάμενης δράσης</w:t>
      </w:r>
      <w:r>
        <w:rPr>
          <w:noProof/>
          <w:sz w:val="22"/>
        </w:rPr>
        <w:t xml:space="preserve"> </w:t>
      </w:r>
    </w:p>
    <w:p>
      <w:pPr>
        <w:pStyle w:val="Text1"/>
        <w:rPr>
          <w:noProof/>
        </w:rPr>
      </w:pPr>
      <w:r>
        <w:rPr>
          <w:noProof/>
          <w:sz w:val="22"/>
        </w:rPr>
        <w:sym w:font="Wingdings" w:char="F0A8"/>
      </w:r>
      <w:r>
        <w:rPr>
          <w:i/>
          <w:noProof/>
          <w:sz w:val="22"/>
        </w:rPr>
        <w:t xml:space="preserve"> </w:t>
      </w:r>
      <w:r>
        <w:rPr>
          <w:b/>
          <w:noProof/>
        </w:rPr>
        <w:t>συγχώνευση ή επαναπροσανατολισμό μίας ή περισσότερων δράσεων προς άλλη/νέα δράση</w:t>
      </w:r>
      <w:r>
        <w:rPr>
          <w:noProof/>
        </w:rPr>
        <w:t xml:space="preserve"> </w:t>
      </w:r>
    </w:p>
    <w:p>
      <w:pPr>
        <w:pStyle w:val="ManualHeading2"/>
        <w:rPr>
          <w:bCs/>
          <w:noProof/>
          <w:szCs w:val="24"/>
        </w:rPr>
      </w:pPr>
      <w:bookmarkStart w:id="11" w:name="_Toc514941975"/>
      <w:bookmarkStart w:id="12" w:name="_Toc520485202"/>
      <w:r>
        <w:t>1.4.</w:t>
      </w:r>
      <w:r>
        <w:tab/>
      </w:r>
      <w:r>
        <w:rPr>
          <w:noProof/>
        </w:rPr>
        <w:t>Αιτιολόγηση της πρότασης/πρωτοβουλίας</w:t>
      </w:r>
      <w:bookmarkEnd w:id="11"/>
      <w:bookmarkEnd w:id="12"/>
      <w:r>
        <w:rPr>
          <w:noProof/>
        </w:rPr>
        <w:t xml:space="preserve"> </w:t>
      </w:r>
    </w:p>
    <w:p>
      <w:pPr>
        <w:pStyle w:val="ManualHeading3"/>
        <w:rPr>
          <w:noProof/>
        </w:rPr>
      </w:pPr>
      <w:bookmarkStart w:id="13" w:name="_Toc514941976"/>
      <w:bookmarkStart w:id="14" w:name="_Toc520485203"/>
      <w:r>
        <w:t>1.4.1.</w:t>
      </w:r>
      <w:r>
        <w:tab/>
      </w:r>
      <w:r>
        <w:rPr>
          <w:noProof/>
        </w:rPr>
        <w:t>Βραχυπρόθεσμη ή μακροπρόθεσμη κάλυψη αναγκών, συμπεριλαμβανομένου λεπτομερούς χρονοδιαγράμματος για τη σταδιακή υλοποίηση της πρωτοβουλίας</w:t>
      </w:r>
      <w:bookmarkEnd w:id="13"/>
      <w:bookmarkEnd w:id="14"/>
    </w:p>
    <w:p>
      <w:pPr>
        <w:pStyle w:val="Text1"/>
        <w:pBdr>
          <w:top w:val="single" w:sz="4" w:space="1" w:color="auto"/>
          <w:left w:val="single" w:sz="4" w:space="4" w:color="auto"/>
          <w:bottom w:val="single" w:sz="4" w:space="1" w:color="auto"/>
          <w:right w:val="single" w:sz="4" w:space="4" w:color="auto"/>
        </w:pBdr>
        <w:rPr>
          <w:noProof/>
        </w:rPr>
      </w:pPr>
      <w:r>
        <w:rPr>
          <w:noProof/>
        </w:rPr>
        <w:t>Ο κανονισμός πρέπει να εφαρμοστεί άμεσα μετά από [3 μήνες] από την έκδοσή του και, έως τότε, η διακυβέρνηση της ΕΕ πρέπει να καθιστά δυνατή την αποτελεσματική επίβλεψη των ψηφιακών υπηρεσιών σε διασυνοριακό επίπεδο. Ως εκ τούτου, μέχρι τότε, τα κράτη μέλη ορίζουν υφιστάμενες αρχές και/ή συστήνουν νέες αρχές για την εκτέλεση των καθηκόντων των συντονιστών ψηφιακών υπηρεσιών. Ταυτόχρονα, πρέπει να συσταθεί μια ad hoc ανεξάρτητη συμβουλευτική ομάδα (το συμβούλιο) και να είναι αποτελεσματική προκειμένου να είναι σε θέση να σχεδιάζει τις δράσεις της και να αρχίζει να λαμβάνει και να επεξεργάζεται πληροφορίες από συντονιστές ψηφιακών υπηρεσιών και την Επιτροπή, με σκοπό να παρέχει τις συμβουλές, τις γνώμες και τις συστάσεις της για τη διασφάλιση της συνεπούς εφαρμογής του κανονισμού. Επιπλέον, η Επιτροπή θα έχει την εξουσία να εκτελεί τελικά άμεση επίβλεψη ορισμένων πλατφορμών, σύμφωνα με τις διαδικασίες και τα κριτήρια που ορίζονται σε κατ’ εξουσιοδότηση πράξεις. Την ίδια στιγμή, πρέπει να είναι πλήρως λειτουργική η ευρωπαϊκή πλατφόρμα που στηρίζει την ανταλλαγή πληροφοριών.</w:t>
      </w:r>
    </w:p>
    <w:p>
      <w:pPr>
        <w:pStyle w:val="Text1"/>
        <w:pBdr>
          <w:top w:val="single" w:sz="4" w:space="1" w:color="auto"/>
          <w:left w:val="single" w:sz="4" w:space="4" w:color="auto"/>
          <w:bottom w:val="single" w:sz="4" w:space="1" w:color="auto"/>
          <w:right w:val="single" w:sz="4" w:space="4" w:color="auto"/>
        </w:pBdr>
        <w:rPr>
          <w:noProof/>
        </w:rPr>
      </w:pPr>
      <w:r>
        <w:rPr>
          <w:noProof/>
        </w:rPr>
        <w:t xml:space="preserve">Στην αρχική φάση εκκίνησης και έως την πρώτη βραχυπρόθεσμη αναθεώρηση του κανονισμού, οι υποστηρικτικές δραστηριότητες προς το συμβούλιο, καθώς και οι υποδομές ΤΠ και εσωτερικών εφαρμογών πρέπει να παρέχονται από την Επιτροπή με την πιθανή συμβολή/συμμετοχή επίσης του προσωπικού εθνικών συντονιστών ψηφιακών υπηρεσιών. </w:t>
      </w:r>
    </w:p>
    <w:p>
      <w:pPr>
        <w:pStyle w:val="ManualHeading3"/>
        <w:rPr>
          <w:noProof/>
        </w:rPr>
      </w:pPr>
      <w:r>
        <w:t>1.4.2.</w:t>
      </w:r>
      <w:r>
        <w:tab/>
      </w:r>
      <w:r>
        <w:rPr>
          <w:noProof/>
        </w:rPr>
        <w:t>Προστιθέμενη αξία της ενωσιακής παρέμβασης (που μπορεί να προκύπτει από διάφορους παράγοντες, π.χ. οφέλη από τον συντονισμό, ασφάλεια δικαίου, μεγαλύτερη αποτελεσματικότητα ή συμπληρωματικότητα). Για τους σκοπούς του παρόντος σημείου «προστιθέμενη αξία της ενωσιακής παρέμβασης» είναι η αξία που απορρέει από την ενωσιακή παρέμβαση και η οποία προστίθεται στην αξία που θα είχε δημιουργηθεί αν τα κράτη μέλη ενεργούσαν μεμονωμένα.</w:t>
      </w:r>
    </w:p>
    <w:p>
      <w:pPr>
        <w:pStyle w:val="Text1"/>
        <w:pBdr>
          <w:top w:val="single" w:sz="4" w:space="1" w:color="auto"/>
          <w:left w:val="single" w:sz="4" w:space="4" w:color="auto"/>
          <w:bottom w:val="single" w:sz="4" w:space="1" w:color="auto"/>
          <w:right w:val="single" w:sz="4" w:space="4" w:color="auto"/>
        </w:pBdr>
        <w:rPr>
          <w:noProof/>
        </w:rPr>
      </w:pPr>
      <w:r>
        <w:rPr>
          <w:noProof/>
        </w:rPr>
        <w:t xml:space="preserve">Λόγοι για ανάληψη δράσης σε ευρωπαϊκό επίπεδο (εκ των προτέρων): Για να διασφαλιστεί η εύρυθμη λειτουργία της ενιαίας αγοράς, η παρέμβαση προβλέπει, μεταξύ άλλων, την κατάλληλη επίβλεψη των ψηφιακών υπηρεσιών και συνεργασία μεταξύ των αρχών σε επίπεδο ΕΕ, με αποτέλεσμα να στηρίζονται η εμπιστοσύνη, η καινοτομία και η ανάπτυξη στην ενιαία αγορά. Τούτο είναι απαραίτητο για να διασφαλιστούν οι βέλτιστες συνθήκες για την ανάπτυξη καινοτόμων διασυνοριακών ψηφιακών υπηρεσιών στην ΕΕ σε όλες τις εθνικές επικράτειες και ταυτόχρονα να διατηρηθεί ένα ασφαλές επιγραμμικό περιβάλλον για όλους τους πολίτες της ΕΕ· οι στόχοι αυτοί μπορούν να εξυπηρετηθούν μόνον σε ευρωπαϊκό επίπεδο. Όσον αφορά συγκεκριμένα τις </w:t>
      </w:r>
      <w:r>
        <w:rPr>
          <w:i/>
          <w:noProof/>
        </w:rPr>
        <w:t>πολύ μεγάλες πλατφόρμες</w:t>
      </w:r>
      <w:r>
        <w:rPr>
          <w:noProof/>
        </w:rPr>
        <w:t xml:space="preserve">, απαιτείται, επιπλέον, ένα ενισχυμένο ευρωπαϊκό επίπεδο επίβλεψης, που συντονίζει και συμπληρώνει τις εθνικές ρυθμιστικές αρχές, στο πλαίσιο της πανευρωπαϊκής εμβέλειας και των αποτελεσμάτων ρύθμισης και επίβλεψης των εν λόγω παραγόντων. </w:t>
      </w:r>
    </w:p>
    <w:p>
      <w:pPr>
        <w:pStyle w:val="Text1"/>
        <w:pBdr>
          <w:top w:val="single" w:sz="4" w:space="1" w:color="auto"/>
          <w:left w:val="single" w:sz="4" w:space="4" w:color="auto"/>
          <w:bottom w:val="single" w:sz="4" w:space="1" w:color="auto"/>
          <w:right w:val="single" w:sz="4" w:space="4" w:color="auto"/>
        </w:pBdr>
        <w:rPr>
          <w:noProof/>
        </w:rPr>
      </w:pPr>
      <w:r>
        <w:rPr>
          <w:noProof/>
        </w:rPr>
        <w:t xml:space="preserve">Αναμενόμενη προστιθέμενη αξία της Ένωσης (εκ των υστέρων): Σύμφωνα με την εκτίμηση επιπτώσεων που συνοδεύει την παρούσα πρόταση, η μοναδική προστιθέμενη αξία της παρέμβασης της Ένωσης για την αντιμετώπιση του κινδύνου του νομικού κατακερματισμού που προκύπτει από τις αποκλίνουσες ρυθμιστικές και εποπτικές προσεγγίσεις (επομένως, χωρίς να συνυπολογίζεται η αυξημένη ασφάλεια και εμπιστοσύνη στις ψηφιακές υπηρεσίες) συνίσταται στην πιθανή αύξηση του διασυνοριακού ψηφιακού εμπορίου από 1 έως 1,8 %, ποσοστό που ισοδυναμεί με αύξηση του κύκλου εργασιών σε διασυνοριακό επίπεδο κατά 8,6 δισ. EUR έως και 15,5 δισ. EUR. </w:t>
      </w:r>
    </w:p>
    <w:p>
      <w:pPr>
        <w:pStyle w:val="Text1"/>
        <w:pBdr>
          <w:top w:val="single" w:sz="4" w:space="1" w:color="auto"/>
          <w:left w:val="single" w:sz="4" w:space="4" w:color="auto"/>
          <w:bottom w:val="single" w:sz="4" w:space="1" w:color="auto"/>
          <w:right w:val="single" w:sz="4" w:space="4" w:color="auto"/>
        </w:pBdr>
        <w:rPr>
          <w:noProof/>
        </w:rPr>
      </w:pPr>
      <w:r>
        <w:rPr>
          <w:noProof/>
        </w:rPr>
        <w:t>Όσον αφορά την προστιθέμενη αξία στην επιβολή των μέτρων, η πρωτοβουλία οδηγεί σε σημαντική αύξηση της αποδοτικότητας της συνεργασίας μεταξύ των κρατών μελών και σε αμοιβαιοποίηση ορισμένων πόρων για την παροχή τεχνικής βοήθειας σε επίπεδο ΕΕ, για τον σκοπό της επιθεώρησης και του ελέγχου συστημάτων ελέγχου περιεχομένου, συστημάτων συστάσεων και της επιγραμμικής διαφήμισης σε πολύ μεγάλες επιγραμμικές πλατφόρμες. Αυτό οδηγεί, με τη σειρά του, σε αυξημένη αποτελεσματικότητα των μέτρων επιβολής και επίβλεψης, ενώ το υφιστάμενο σύστημα βασίζεται σε μεγάλο βαθμό στην περιορισμένη ικανότητα επίβλεψης σε έναν μικρό αριθμό κρατών μελών.</w:t>
      </w:r>
    </w:p>
    <w:p>
      <w:pPr>
        <w:pStyle w:val="ManualHeading3"/>
        <w:rPr>
          <w:noProof/>
        </w:rPr>
      </w:pPr>
      <w:r>
        <w:rPr>
          <w:noProof/>
        </w:rPr>
        <w:br w:type="page"/>
      </w:r>
      <w:bookmarkStart w:id="15" w:name="_Toc514941978"/>
      <w:bookmarkStart w:id="16" w:name="_Toc520485205"/>
      <w:r>
        <w:t>1.4.3.</w:t>
      </w:r>
      <w:r>
        <w:tab/>
      </w:r>
      <w:r>
        <w:rPr>
          <w:noProof/>
        </w:rPr>
        <w:t>Διδάγματα από ανάλογες εμπειρίες του παρελθόντος</w:t>
      </w:r>
      <w:bookmarkEnd w:id="15"/>
      <w:bookmarkEnd w:id="16"/>
    </w:p>
    <w:p>
      <w:pPr>
        <w:pStyle w:val="Text1"/>
        <w:pBdr>
          <w:top w:val="single" w:sz="4" w:space="1" w:color="auto"/>
          <w:left w:val="single" w:sz="4" w:space="4" w:color="auto"/>
          <w:bottom w:val="single" w:sz="4" w:space="1" w:color="auto"/>
          <w:right w:val="single" w:sz="4" w:space="4" w:color="auto"/>
        </w:pBdr>
        <w:rPr>
          <w:noProof/>
        </w:rPr>
      </w:pPr>
      <w:r>
        <w:rPr>
          <w:noProof/>
        </w:rPr>
        <w:t xml:space="preserve">Η οδηγία 2000/31/ΕΚ για το ηλεκτρονικό εμπόριο παρέχει το βασικό πλαίσιο για τη λειτουργία της ενιαίας αγοράς και την επίβλεψη των ψηφιακών υπηρεσιών και θέτει τη βασική δομή για έναν γενικό μηχανισμό συνεργασίας μεταξύ των κρατών μελών, καλύπτοντας καταρχήν όλες τις απαιτήσεις που εφαρμόζονται στις ψηφιακές υπηρεσίες. Στην αξιολόγηση της οδηγίας επισημάνθηκαν ελλείψεις σε διάφορες πτυχές του εν λόγω μηχανισμού συνεργασίας, συμπεριλαμβανομένων σημαντικών διαδικαστικών πτυχών, όπως η έλλειψη σαφών χρονικών πλαισίων απόκρισης των κρατών μελών σε συνδυασμό με τη γενική έλλειψη ανταπόκρισης σε αιτήματα των ομολόγων τους. Με την πάροδο των ετών, το αποτέλεσμα αυτού ήταν η έλλειψη εμπιστοσύνης μεταξύ των κρατών μελών όσον αφορά την αντιμετώπιση ανησυχιών σχετικά με τους παρόχους που προσφέρουν ψηφιακές υπηρεσίες σε διασυνοριακό επίπεδο, ιδίως σε ό,τι αφορά τις επιγραμμικές πλατφόρμες. Αντιθέτως, τα κράτη μέλη προέβησαν σε ανεξάρτητες ρυθμίσεις, ιδίως με την επιβολή διαφορετικών κανόνων που καλύπτουν τις υποχρεώσεις των επιγραμμικών πλατφορμών και άλλους επιγραμμικούς ενδιάμεσους όσον αφορά το παράνομο περιεχόμενο, τα αγαθά ή τις υπηρεσίες που παρέχονται από τους χρήστες τους. Αυτός ο νομικός κατακερματισμός έχει σοβαρές επιπτώσεις στην ικανότητα επέκτασης των ευρωπαϊκών παρόχων υπηρεσιών στην ενιαία αγορά και στην προστασία και την ασφάλεια των πολιτών της ΕΕ στο διαδίκτυο. Η αξιολόγηση της οδηγίας και η εκτίμηση επιπτώσεων ανέδειξαν την ανάγκη καθορισμού ενός διαφοροποιημένου συνόλου κανόνων και απαιτήσεων σε ευρωπαϊκό επίπεδο, συμπεριλαμβανομένων ειδικών υποχρεώσεων για τις πολύ μεγάλες πλατφόρμες, οι οποίες απαιτούν κατάλληλα και συνεπή εποπτικά εργαλεία και μηχανισμούς σε ευρωπαϊκό επίπεδο. Προς τούτο, η εφαρμογή των ειδικών υποχρεώσεων που ορίζονται στον παρόντα κανονισμό προϋποθέτει έναν ειδικό μηχανισμό συνεργασίας σε επίπεδο ΕΕ, με δομή διακυβέρνησης που να εξασφαλίζει τον συντονισμό ειδικών αρμόδιων φορέων σε επίπεδο ΕΕ και ενισχυμένη και ευέλικτη επίβλεψη των πολύ μεγάλων επιγραμμικών πλατφορμών σε επίπεδο ΕΕ. </w:t>
      </w:r>
    </w:p>
    <w:p>
      <w:pPr>
        <w:pStyle w:val="ManualHeading3"/>
        <w:rPr>
          <w:noProof/>
        </w:rPr>
      </w:pPr>
      <w:bookmarkStart w:id="17" w:name="_Toc514941979"/>
      <w:bookmarkStart w:id="18" w:name="_Toc520485206"/>
      <w:r>
        <w:t>1.4.4.</w:t>
      </w:r>
      <w:r>
        <w:tab/>
      </w:r>
      <w:r>
        <w:rPr>
          <w:noProof/>
        </w:rPr>
        <w:t>Συμβατότητα και ενδεχόμενη συνέργεια με άλλα κατάλληλα μέσα</w:t>
      </w:r>
      <w:bookmarkEnd w:id="17"/>
      <w:bookmarkEnd w:id="18"/>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Η πράξη για τις ψηφιακές υπηρεσίες ορίζει ένα νέο κοινό πλαίσιο απαιτήσεων που εφαρμόζεται σε ορισμένες υπηρεσίες της κοινωνίας των πληροφοριών (ενδιάμεσοι), το οποίο υπερβαίνει κατά πολύ το βασικό πλαίσιο που προβλέπεται στην οδηγία για το ηλεκτρονικό εμπόριο. Για τον λόγο αυτόν, με την παρούσα πρόταση πρέπει να θεσπιστεί μια νέα εθνική και ευρωπαϊκή ρυθμιστική και εποπτική λειτουργία.  </w:t>
      </w:r>
    </w:p>
    <w:p>
      <w:pPr>
        <w:pStyle w:val="Text1"/>
        <w:pBdr>
          <w:top w:val="single" w:sz="4" w:space="1" w:color="auto"/>
          <w:left w:val="single" w:sz="4" w:space="4" w:color="auto"/>
          <w:bottom w:val="single" w:sz="4" w:space="1" w:color="auto"/>
          <w:right w:val="single" w:sz="4" w:space="4" w:color="auto"/>
        </w:pBdr>
        <w:rPr>
          <w:noProof/>
        </w:rPr>
      </w:pPr>
      <w:r>
        <w:rPr>
          <w:noProof/>
        </w:rPr>
        <w:t xml:space="preserve">Όσον αφορά τις ενδεχόμενες συνέργειες με το τρέχον μοντέλο συνεργασίας βάσει της οδηγίας για το ηλεκτρονικό εμπόριο, ο παρών κανονισμός θα μπορούσε να δημιουργήσει συνέργειες ιδίως σε εθνικό επίπεδο, όπου ο συντονιστής ψηφιακών υπηρεσιών θα μπορούσε επίσης να αναλάβει το καθήκον να χειρίζεται τις αναφορές σύμφωνα με το άρθρο 3 της οδηγίας για το ηλεκτρονικό εμπόριο, παρότι αυτό δεν επιβάλλεται από τον κανονισμό. </w:t>
      </w:r>
    </w:p>
    <w:p>
      <w:pPr>
        <w:pStyle w:val="ManualHeading2"/>
        <w:rPr>
          <w:bCs/>
          <w:noProof/>
          <w:szCs w:val="24"/>
        </w:rPr>
      </w:pPr>
      <w:r>
        <w:rPr>
          <w:noProof/>
        </w:rPr>
        <w:br w:type="page"/>
      </w:r>
      <w:r>
        <w:t>1.5.</w:t>
      </w:r>
      <w:r>
        <w:tab/>
      </w:r>
      <w:r>
        <w:rPr>
          <w:noProof/>
        </w:rPr>
        <w:t xml:space="preserve">Διάρκεια και δημοσιονομικές επιπτώσεις </w:t>
      </w:r>
    </w:p>
    <w:p>
      <w:pPr>
        <w:pStyle w:val="Text1"/>
        <w:rPr>
          <w:noProof/>
        </w:rPr>
      </w:pPr>
      <w:r>
        <w:rPr>
          <w:noProof/>
        </w:rPr>
        <w:sym w:font="Wingdings" w:char="F0A8"/>
      </w:r>
      <w:r>
        <w:rPr>
          <w:b/>
          <w:i/>
          <w:noProof/>
        </w:rPr>
        <w:t xml:space="preserve"> </w:t>
      </w:r>
      <w:r>
        <w:rPr>
          <w:b/>
          <w:noProof/>
        </w:rPr>
        <w:t xml:space="preserve">περιορισμένη διάρκεια </w:t>
      </w:r>
    </w:p>
    <w:p>
      <w:pPr>
        <w:pStyle w:val="ListDash2"/>
        <w:rPr>
          <w:noProof/>
        </w:rPr>
      </w:pPr>
      <w:r>
        <w:rPr>
          <w:noProof/>
        </w:rPr>
        <w:sym w:font="Wingdings" w:char="F0A8"/>
      </w:r>
      <w:r>
        <w:rPr>
          <w:noProof/>
        </w:rPr>
        <w:tab/>
        <w:t xml:space="preserve">με ισχύ από [ΗΗ/MM]ΕΕΕΕ έως [ΗΗ/MM]ΕΕΕΕ </w:t>
      </w:r>
    </w:p>
    <w:p>
      <w:pPr>
        <w:pStyle w:val="ListDash2"/>
        <w:rPr>
          <w:noProof/>
        </w:rPr>
      </w:pPr>
      <w:r>
        <w:rPr>
          <w:noProof/>
        </w:rPr>
        <w:sym w:font="Wingdings" w:char="F0A8"/>
      </w:r>
      <w:r>
        <w:rPr>
          <w:noProof/>
        </w:rPr>
        <w:tab/>
        <w:t xml:space="preserve">Δημοσιονομικές επιπτώσεις από το ΕΕΕΕ έως το ΕΕΕΕ για πιστώσεις ανάληψης υποχρεώσεων και από το ΕΕΕΕ έως το ΕΕΕΕ για πιστώσεις πληρωμών. </w:t>
      </w:r>
    </w:p>
    <w:p>
      <w:pPr>
        <w:pStyle w:val="Text1"/>
        <w:rPr>
          <w:noProof/>
        </w:rPr>
      </w:pPr>
      <w:r>
        <w:rPr>
          <w:noProof/>
        </w:rPr>
        <w:sym w:font="Wingdings" w:char="F0FE"/>
      </w:r>
      <w:r>
        <w:rPr>
          <w:b/>
          <w:i/>
          <w:noProof/>
        </w:rPr>
        <w:t xml:space="preserve"> </w:t>
      </w:r>
      <w:r>
        <w:rPr>
          <w:b/>
          <w:noProof/>
        </w:rPr>
        <w:t>απεριόριστη διάρκεια</w:t>
      </w:r>
    </w:p>
    <w:p>
      <w:pPr>
        <w:pStyle w:val="ListDash1"/>
        <w:rPr>
          <w:noProof/>
        </w:rPr>
      </w:pPr>
      <w:r>
        <w:rPr>
          <w:noProof/>
        </w:rPr>
        <w:t>Περίοδος σταδιακής εφαρμογής από το 2023 έως το 2026,</w:t>
      </w:r>
    </w:p>
    <w:p>
      <w:pPr>
        <w:pStyle w:val="ListDash1"/>
        <w:rPr>
          <w:noProof/>
        </w:rPr>
      </w:pPr>
      <w:r>
        <w:rPr>
          <w:noProof/>
        </w:rPr>
        <w:t>και στη συνέχεια πλήρης εφαρμογή.</w:t>
      </w:r>
    </w:p>
    <w:p>
      <w:pPr>
        <w:pStyle w:val="ManualHeading2"/>
        <w:rPr>
          <w:bCs/>
          <w:noProof/>
          <w:szCs w:val="24"/>
        </w:rPr>
      </w:pPr>
      <w:r>
        <w:t>1.6.</w:t>
      </w:r>
      <w:r>
        <w:tab/>
      </w:r>
      <w:r>
        <w:rPr>
          <w:noProof/>
        </w:rPr>
        <w:t>Προβλεπόμενοι τρόποι διαχείρισης</w:t>
      </w:r>
      <w:r>
        <w:rPr>
          <w:rStyle w:val="FootnoteReference"/>
          <w:noProof/>
        </w:rPr>
        <w:footnoteReference w:id="56"/>
      </w:r>
      <w:r>
        <w:rPr>
          <w:rStyle w:val="FootnoteReference"/>
          <w:noProof/>
        </w:rPr>
        <w:t xml:space="preserve">  </w:t>
      </w:r>
    </w:p>
    <w:p>
      <w:pPr>
        <w:pStyle w:val="Text1"/>
        <w:rPr>
          <w:noProof/>
        </w:rPr>
      </w:pPr>
      <w:r>
        <w:rPr>
          <w:noProof/>
        </w:rPr>
        <w:sym w:font="Wingdings" w:char="F0FE"/>
      </w:r>
      <w:r>
        <w:rPr>
          <w:i/>
          <w:noProof/>
        </w:rPr>
        <w:t xml:space="preserve"> </w:t>
      </w:r>
      <w:r>
        <w:rPr>
          <w:b/>
          <w:noProof/>
        </w:rPr>
        <w:t>Άμεση διαχείριση</w:t>
      </w:r>
      <w:r>
        <w:rPr>
          <w:noProof/>
        </w:rPr>
        <w:t xml:space="preserve"> από την Επιτροπή</w:t>
      </w:r>
    </w:p>
    <w:p>
      <w:pPr>
        <w:pStyle w:val="ListDash2"/>
        <w:rPr>
          <w:rFonts w:cs="EUAlbertina"/>
          <w:noProof/>
        </w:rPr>
      </w:pPr>
      <w:r>
        <w:rPr>
          <w:noProof/>
        </w:rPr>
        <w:sym w:font="Wingdings" w:char="F0FE"/>
      </w:r>
      <w:r>
        <w:rPr>
          <w:noProof/>
        </w:rPr>
        <w:t xml:space="preserve"> από τις υπηρεσίες της, συμπεριλαμβανομένου του προσωπικού της στις αντιπροσωπείες της Ένωσης </w:t>
      </w:r>
    </w:p>
    <w:p>
      <w:pPr>
        <w:pStyle w:val="ListDash2"/>
        <w:rPr>
          <w:noProof/>
        </w:rPr>
      </w:pPr>
      <w:r>
        <w:rPr>
          <w:noProof/>
        </w:rPr>
        <w:sym w:font="Wingdings" w:char="F0A8"/>
      </w:r>
      <w:r>
        <w:rPr>
          <w:noProof/>
        </w:rPr>
        <w:tab/>
        <w:t xml:space="preserve">από τους εκτελεστικούς οργανισμούς </w:t>
      </w:r>
    </w:p>
    <w:p>
      <w:pPr>
        <w:pStyle w:val="Text1"/>
        <w:rPr>
          <w:noProof/>
        </w:rPr>
      </w:pPr>
      <w:r>
        <w:rPr>
          <w:noProof/>
        </w:rPr>
        <w:sym w:font="Wingdings" w:char="F0A8"/>
      </w:r>
      <w:r>
        <w:rPr>
          <w:b/>
          <w:i/>
          <w:noProof/>
        </w:rPr>
        <w:t xml:space="preserve"> </w:t>
      </w:r>
      <w:r>
        <w:rPr>
          <w:b/>
          <w:noProof/>
        </w:rPr>
        <w:t>Επιμερισμένη διαχείριση</w:t>
      </w:r>
      <w:r>
        <w:rPr>
          <w:noProof/>
        </w:rPr>
        <w:t xml:space="preserve"> με τα κράτη μέλη </w:t>
      </w:r>
    </w:p>
    <w:p>
      <w:pPr>
        <w:pStyle w:val="Text1"/>
        <w:rPr>
          <w:noProof/>
        </w:rPr>
      </w:pPr>
      <w:r>
        <w:rPr>
          <w:noProof/>
        </w:rPr>
        <w:sym w:font="Wingdings" w:char="F0A8"/>
      </w:r>
      <w:r>
        <w:rPr>
          <w:i/>
          <w:noProof/>
        </w:rPr>
        <w:t xml:space="preserve"> </w:t>
      </w:r>
      <w:r>
        <w:rPr>
          <w:b/>
          <w:noProof/>
        </w:rPr>
        <w:t>Έμμεση διαχείριση</w:t>
      </w:r>
      <w:r>
        <w:rPr>
          <w:noProof/>
        </w:rPr>
        <w:t xml:space="preserve"> με ανάθεση καθηκόντων εκτέλεσης του προϋπολογισμού:</w:t>
      </w:r>
    </w:p>
    <w:p>
      <w:pPr>
        <w:pStyle w:val="ListDash2"/>
        <w:rPr>
          <w:noProof/>
        </w:rPr>
      </w:pPr>
      <w:r>
        <w:rPr>
          <w:noProof/>
        </w:rPr>
        <w:sym w:font="Wingdings" w:char="F0A8"/>
      </w:r>
      <w:r>
        <w:rPr>
          <w:noProof/>
        </w:rPr>
        <w:t xml:space="preserve"> σε τρίτες χώρες ή οργανισμούς που αυτές έχουν ορίσει·</w:t>
      </w:r>
    </w:p>
    <w:p>
      <w:pPr>
        <w:pStyle w:val="ListDash2"/>
        <w:rPr>
          <w:noProof/>
        </w:rPr>
      </w:pPr>
      <w:r>
        <w:rPr>
          <w:noProof/>
        </w:rPr>
        <w:sym w:font="Wingdings" w:char="F0A8"/>
      </w:r>
      <w:r>
        <w:rPr>
          <w:noProof/>
        </w:rPr>
        <w:t xml:space="preserve"> σε διεθνείς οργανισμούς και στις οργανώσεις τους (να προσδιοριστούν)·</w:t>
      </w:r>
    </w:p>
    <w:p>
      <w:pPr>
        <w:pStyle w:val="ListDash2"/>
        <w:rPr>
          <w:noProof/>
        </w:rPr>
      </w:pPr>
      <w:r>
        <w:rPr>
          <w:noProof/>
        </w:rPr>
        <w:sym w:font="Wingdings" w:char="F0A8"/>
      </w:r>
      <w:r>
        <w:rPr>
          <w:noProof/>
        </w:rPr>
        <w:t>στην ΕΤΕπ και στο Ευρωπαϊκό Ταμείο Επενδύσεων·</w:t>
      </w:r>
    </w:p>
    <w:p>
      <w:pPr>
        <w:pStyle w:val="ListDash2"/>
        <w:rPr>
          <w:noProof/>
        </w:rPr>
      </w:pPr>
      <w:r>
        <w:rPr>
          <w:noProof/>
        </w:rPr>
        <w:sym w:font="Wingdings" w:char="F0A8"/>
      </w:r>
      <w:r>
        <w:rPr>
          <w:noProof/>
        </w:rPr>
        <w:t xml:space="preserve"> στους οργανισμούς που αναφέρονται στα άρθρα 208 και 209 του δημοσιονομικού κανονισμού·</w:t>
      </w:r>
    </w:p>
    <w:p>
      <w:pPr>
        <w:pStyle w:val="ListDash2"/>
        <w:rPr>
          <w:noProof/>
        </w:rPr>
      </w:pPr>
      <w:r>
        <w:rPr>
          <w:noProof/>
        </w:rPr>
        <w:sym w:font="Wingdings" w:char="F0A8"/>
      </w:r>
      <w:r>
        <w:rPr>
          <w:noProof/>
        </w:rPr>
        <w:t xml:space="preserve"> σε οργανισμούς δημοσίου δικαίου·</w:t>
      </w:r>
    </w:p>
    <w:p>
      <w:pPr>
        <w:pStyle w:val="ListDash2"/>
        <w:rPr>
          <w:noProof/>
        </w:rPr>
      </w:pPr>
      <w:r>
        <w:rPr>
          <w:noProof/>
        </w:rPr>
        <w:sym w:font="Wingdings" w:char="F0A8"/>
      </w:r>
      <w:r>
        <w:rPr>
          <w:noProof/>
        </w:rPr>
        <w:t xml:space="preserve"> σε οργανισμούς που διέπονται από ιδιωτικό δίκαιο και έχουν αποστολή δημόσιας υπηρεσίας, στον βαθμό που παρέχουν επαρκείς οικονομικές εγγυήσεις·</w:t>
      </w:r>
    </w:p>
    <w:p>
      <w:pPr>
        <w:pStyle w:val="ListDash2"/>
        <w:rPr>
          <w:noProof/>
        </w:rPr>
      </w:pPr>
      <w:r>
        <w:rPr>
          <w:noProof/>
        </w:rPr>
        <w:sym w:font="Wingdings" w:char="F0A8"/>
      </w:r>
      <w:r>
        <w:rPr>
          <w:noProof/>
        </w:rPr>
        <w:t xml:space="preserve"> σε οργανισμούς που διέπονται από το ιδιωτικό δίκαιο κράτους μέλους, στους οποίους έχει ανατεθεί η εκτέλεση σύμπραξης δημόσιου και ιδιωτικού τομέα και οι οποίοι παρέχουν επαρκείς οικονομικές εγγυήσεις·</w:t>
      </w:r>
    </w:p>
    <w:p>
      <w:pPr>
        <w:pStyle w:val="ListDash2"/>
        <w:rPr>
          <w:noProof/>
        </w:rPr>
      </w:pPr>
      <w:r>
        <w:rPr>
          <w:noProof/>
        </w:rPr>
        <w:sym w:font="Wingdings" w:char="F0A8"/>
      </w:r>
      <w:r>
        <w:rPr>
          <w:noProof/>
        </w:rPr>
        <w:t xml:space="preserve"> σε πρόσωπα επιφορτισμένα με την υλοποίηση συγκεκριμένων δράσεων στην ΚΕΠΠΑ βάσει του τίτλου V της ΣΕΕ και τα οποία προσδιορίζονται στην αντίστοιχη βασική πράξη.</w:t>
      </w:r>
    </w:p>
    <w:p>
      <w:pPr>
        <w:pStyle w:val="ListDash2"/>
        <w:rPr>
          <w:i/>
          <w:noProof/>
          <w:sz w:val="18"/>
          <w:u w:val="single"/>
        </w:rPr>
      </w:pPr>
      <w:r>
        <w:rPr>
          <w:i/>
          <w:noProof/>
          <w:sz w:val="18"/>
        </w:rPr>
        <w:t>Αν αναφέρονται περισσότεροι του ενός τρόποι διαχείρισης, να διευκρινιστούν στο τμήμα «Παρατηρήσεις».</w:t>
      </w:r>
    </w:p>
    <w:p>
      <w:pPr>
        <w:rPr>
          <w:noProof/>
        </w:rPr>
      </w:pPr>
      <w:r>
        <w:rPr>
          <w:noProof/>
        </w:rPr>
        <w:t xml:space="preserve">Παρατηρήσεις </w:t>
      </w: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ΜΕΤΡΑ ΔΙΑΧΕΙΡΙΣΗΣ </w:t>
      </w:r>
    </w:p>
    <w:p>
      <w:pPr>
        <w:pStyle w:val="ManualHeading2"/>
        <w:rPr>
          <w:noProof/>
        </w:rPr>
      </w:pPr>
      <w:r>
        <w:t>2.1.</w:t>
      </w:r>
      <w:r>
        <w:tab/>
      </w:r>
      <w:r>
        <w:rPr>
          <w:noProof/>
        </w:rPr>
        <w:t xml:space="preserve">Κανόνες παρακολούθησης και υποβολής εκθέσεων </w:t>
      </w:r>
    </w:p>
    <w:p>
      <w:pPr>
        <w:pStyle w:val="Text1"/>
        <w:rPr>
          <w:i/>
          <w:noProof/>
          <w:sz w:val="20"/>
          <w:u w:val="single"/>
        </w:rPr>
      </w:pPr>
      <w:r>
        <w:rPr>
          <w:i/>
          <w:noProof/>
          <w:sz w:val="20"/>
        </w:rPr>
        <w:t>Να προσδιοριστούν η συχνότητα και οι όροι.</w:t>
      </w:r>
    </w:p>
    <w:p>
      <w:pPr>
        <w:pStyle w:val="Text1"/>
        <w:pBdr>
          <w:top w:val="single" w:sz="4" w:space="1" w:color="auto"/>
          <w:left w:val="single" w:sz="4" w:space="4" w:color="auto"/>
          <w:bottom w:val="single" w:sz="4" w:space="1" w:color="auto"/>
          <w:right w:val="single" w:sz="4" w:space="4" w:color="auto"/>
        </w:pBdr>
        <w:rPr>
          <w:noProof/>
        </w:rPr>
      </w:pPr>
      <w:r>
        <w:rPr>
          <w:noProof/>
        </w:rPr>
        <w:t xml:space="preserve">Ο κανονισμός θα επανεξετάζεται και θα αξιολογείται τακτικά, εντός πέντε ετών από την έναρξη ισχύος του κανονισμού, και στη συνέχεια ανά πενταετία. Επιπλέον, η Επιτροπή καλείται να αναλάβει διάφορες δράσεις παρακολούθησης, ενδεχομένως κατόπιν συμβουλών του συμβουλίου, για τη συνεχή αξιολόγηση της αποτελεσματικότητας και της αποδοτικότητας των μέτρων, στο πλαίσιο της εφαρμογής των μέτρων, συμπεριλαμβανομένης της επίβλεψης και της ανάλυσης των αναδυόμενων ζητημάτων. </w:t>
      </w:r>
    </w:p>
    <w:p>
      <w:pPr>
        <w:pStyle w:val="Text1"/>
        <w:pBdr>
          <w:top w:val="single" w:sz="4" w:space="1" w:color="auto"/>
          <w:left w:val="single" w:sz="4" w:space="4" w:color="auto"/>
          <w:bottom w:val="single" w:sz="4" w:space="1" w:color="auto"/>
          <w:right w:val="single" w:sz="4" w:space="4" w:color="auto"/>
        </w:pBdr>
        <w:rPr>
          <w:noProof/>
        </w:rPr>
      </w:pPr>
      <w:r>
        <w:rPr>
          <w:noProof/>
        </w:rPr>
        <w:t xml:space="preserve">Επίσης, η Επιτροπή καλείται ειδικότερα να διενεργήσει βραχυπρόθεσμη αξιολόγηση των επιδόσεων του συμβουλίου σε σχέση με τους στόχους, την εντολή και τα καθήκοντά του. Ειδικότερα, η αξιολόγηση θα εξετάσει την ενδεχόμενη ανάγκη σύστασης αυτόνομης υπηρεσίας και τις δημοσιονομικές επιπτώσεις μιας τέτοιας τροποποίησης. H Επιτροπή πρέπει να υποβάλει έκθεση για τα πορίσματα της αξιολόγησης στο Ευρωπαϊκό Κοινοβούλιο, το Συμβούλιο και την Ευρωπαϊκή Οικονομική και Κοινωνική Επιτροπή. </w:t>
      </w:r>
    </w:p>
    <w:p>
      <w:pPr>
        <w:pStyle w:val="ManualHeading2"/>
        <w:rPr>
          <w:bCs/>
          <w:noProof/>
          <w:szCs w:val="24"/>
        </w:rPr>
      </w:pPr>
      <w:r>
        <w:t>2.2.</w:t>
      </w:r>
      <w:r>
        <w:tab/>
      </w:r>
      <w:r>
        <w:rPr>
          <w:noProof/>
        </w:rPr>
        <w:t xml:space="preserve">Σύστημα διαχείρισης και ελέγχου </w:t>
      </w:r>
    </w:p>
    <w:p>
      <w:pPr>
        <w:pStyle w:val="ManualHeading3"/>
        <w:rPr>
          <w:noProof/>
        </w:rPr>
      </w:pPr>
      <w:bookmarkStart w:id="19" w:name="_Toc514941985"/>
      <w:bookmarkStart w:id="20" w:name="_Toc520485212"/>
      <w:r>
        <w:t>2.2.1.</w:t>
      </w:r>
      <w:r>
        <w:tab/>
      </w:r>
      <w:r>
        <w:rPr>
          <w:noProof/>
        </w:rPr>
        <w:t>Αιτιολόγηση των τρόπων διαχείρισης, των μηχανισμών εκτέλεσης της χρηματοδότησης, των όρων πληρωμής και της προτεινόμενης στρατηγικής ελέγχου</w:t>
      </w:r>
      <w:bookmarkEnd w:id="19"/>
      <w:bookmarkEnd w:id="20"/>
    </w:p>
    <w:p>
      <w:pPr>
        <w:pStyle w:val="Text1"/>
        <w:pBdr>
          <w:top w:val="single" w:sz="4" w:space="1" w:color="auto"/>
          <w:left w:val="single" w:sz="4" w:space="4" w:color="auto"/>
          <w:bottom w:val="single" w:sz="4" w:space="1" w:color="auto"/>
          <w:right w:val="single" w:sz="4" w:space="4" w:color="auto"/>
        </w:pBdr>
        <w:rPr>
          <w:noProof/>
        </w:rPr>
      </w:pPr>
      <w:r>
        <w:rPr>
          <w:noProof/>
        </w:rPr>
        <w:t>Ο κανονισμός θεσπίζει μια νέα πολιτική όσον αφορά εναρμονισμένους κανόνες για την παροχή υπηρεσιών της κοινωνίας των πληροφοριών στην εσωτερική αγορά, με παράλληλη διασφάλιση της ασφάλειας και της αξιοπιστίας των επιγραμμικών υπηρεσιών και των θεμελιωδών δικαιωμάτων στο διαδίκτυο. Οι νέοι αυτοί κανόνες προϋποθέτουν επίσης έναν μηχανισμό συνεκτικότητας για τη διασυνοριακή εφαρμογή των υποχρεώσεων που απορρέουν από τον παρόντα κανονισμό, μια νέα συμβουλευτική ομάδα για τον συντονισμό των δραστηριοτήτων των εθνικών αρχών και της Επιτροπής, καθώς και άμεσες εξουσίες επιβολής για την Επιτροπή και τη σύσταση πληροφοριακού συστήματος που διευκολύνει τη ροή πληροφοριών μεταξύ των συντονιστών ψηφιακών υπηρεσιών.</w:t>
      </w:r>
    </w:p>
    <w:p>
      <w:pPr>
        <w:pStyle w:val="Text1"/>
        <w:pBdr>
          <w:top w:val="single" w:sz="4" w:space="1" w:color="auto"/>
          <w:left w:val="single" w:sz="4" w:space="4" w:color="auto"/>
          <w:bottom w:val="single" w:sz="4" w:space="1" w:color="auto"/>
          <w:right w:val="single" w:sz="4" w:space="4" w:color="auto"/>
        </w:pBdr>
        <w:rPr>
          <w:noProof/>
        </w:rPr>
      </w:pPr>
      <w:r>
        <w:rPr>
          <w:noProof/>
        </w:rPr>
        <w:t>Για την εκτέλεση των νέων αυτών καθηκόντων, είναι απαραίτητο να παρασχεθούν κατάλληλοι πόροι στις υπηρεσίες της Επιτροπής. Η επιβολή του νέου κανονισμού εκτιμάται ότι απαιτεί 50 ΙΠΑ ανά καθεστώς (15 ΙΠΑ για τη διαχείριση των νέων καθηκόντων άμεσης επίβλεψης και των αποφάσεων και 35 ΙΠΑ για τη στήριξη των δραστηριοτήτων του συμβουλίου στις έρευνες της Επιτροπής ή σε κοινές έρευνες συντονιστών ψηφιακών υπηρεσιών).</w:t>
      </w:r>
    </w:p>
    <w:p>
      <w:pPr>
        <w:pStyle w:val="ManualHeading3"/>
        <w:rPr>
          <w:noProof/>
        </w:rPr>
      </w:pPr>
      <w:bookmarkStart w:id="21" w:name="_Toc514941986"/>
      <w:bookmarkStart w:id="22" w:name="_Toc520485213"/>
      <w:r>
        <w:t>2.2.2.</w:t>
      </w:r>
      <w:r>
        <w:tab/>
      </w:r>
      <w:r>
        <w:rPr>
          <w:noProof/>
        </w:rPr>
        <w:t>Πληροφορίες σχετικά με τους κινδύνους που έχουν εντοπιστεί και τα συστήματα εσωτερικού ελέγχου που έχουν δημιουργηθεί για τον μετριασμό τους</w:t>
      </w:r>
      <w:bookmarkEnd w:id="21"/>
      <w:bookmarkEnd w:id="22"/>
    </w:p>
    <w:p>
      <w:pPr>
        <w:pStyle w:val="Text1"/>
        <w:pBdr>
          <w:top w:val="single" w:sz="4" w:space="1" w:color="auto"/>
          <w:left w:val="single" w:sz="4" w:space="4" w:color="auto"/>
          <w:bottom w:val="single" w:sz="4" w:space="1" w:color="auto"/>
          <w:right w:val="single" w:sz="4" w:space="4" w:color="auto"/>
        </w:pBdr>
        <w:rPr>
          <w:noProof/>
        </w:rPr>
      </w:pPr>
      <w:r>
        <w:rPr>
          <w:noProof/>
        </w:rPr>
        <w:t>Για να διασφαλιστεί ότι το συμβούλιο εκπληρώνει την εντολή του όπως ορίζεται στον παρόντα κανονισμό, προβλέπεται ότι ο/η προεδρεύων/-ουσα του συμβουλίου πρέπει να παρέχεται από την Επιτροπή, η οποία θα είναι σε θέση να καταρτίζει την ημερήσια διάταξη για τη λήψη αποφάσεων των μελών σύμφωνα με τα καθήκοντα που προβλέπονται στον παρόντα κανονισμό.</w:t>
      </w:r>
    </w:p>
    <w:p>
      <w:pPr>
        <w:pStyle w:val="Text1"/>
        <w:pBdr>
          <w:top w:val="single" w:sz="4" w:space="1" w:color="auto"/>
          <w:left w:val="single" w:sz="4" w:space="4" w:color="auto"/>
          <w:bottom w:val="single" w:sz="4" w:space="1" w:color="auto"/>
          <w:right w:val="single" w:sz="4" w:space="4" w:color="auto"/>
        </w:pBdr>
        <w:rPr>
          <w:noProof/>
        </w:rPr>
      </w:pPr>
      <w:r>
        <w:rPr>
          <w:noProof/>
        </w:rPr>
        <w:t>Επιπλέον, για να διασφαλιστεί ότι τα μέλη του συμβουλίου έχουν τη δυνατότητα να λαμβάνουν τεκμηριωμένες αποφάσεις βάσει πραγματικών στοιχείων και ανάλυσης ιστορικού, προβλέπεται ότι το συμβούλιο πρέπει να λαμβάνει στήριξη από τη διοικητική δομή της Επιτροπής.</w:t>
      </w:r>
    </w:p>
    <w:p>
      <w:pPr>
        <w:pStyle w:val="ManualHeading2"/>
        <w:rPr>
          <w:bCs/>
          <w:noProof/>
          <w:szCs w:val="24"/>
        </w:rPr>
      </w:pPr>
      <w:r>
        <w:t>2.3.</w:t>
      </w:r>
      <w:r>
        <w:tab/>
      </w:r>
      <w:r>
        <w:rPr>
          <w:noProof/>
        </w:rPr>
        <w:t xml:space="preserve">Μέτρα για την πρόληψη περιπτώσεων απάτης και παρατυπίας </w:t>
      </w:r>
    </w:p>
    <w:p>
      <w:pPr>
        <w:pStyle w:val="Text1"/>
        <w:rPr>
          <w:i/>
          <w:noProof/>
          <w:sz w:val="20"/>
        </w:rPr>
      </w:pPr>
      <w:r>
        <w:rPr>
          <w:i/>
          <w:noProof/>
          <w:sz w:val="20"/>
        </w:rPr>
        <w:t>Να προσδιοριστούν τα ισχύοντα ή τα προβλεπόμενα μέτρα πρόληψης και προστασίας.</w:t>
      </w:r>
    </w:p>
    <w:p>
      <w:pPr>
        <w:pStyle w:val="Text1"/>
        <w:pBdr>
          <w:top w:val="single" w:sz="4" w:space="1" w:color="auto"/>
          <w:left w:val="single" w:sz="4" w:space="4" w:color="auto"/>
          <w:bottom w:val="single" w:sz="4" w:space="1" w:color="auto"/>
          <w:right w:val="single" w:sz="4" w:space="4" w:color="auto"/>
        </w:pBdr>
        <w:rPr>
          <w:noProof/>
        </w:rPr>
      </w:pPr>
      <w:r>
        <w:rPr>
          <w:noProof/>
        </w:rPr>
        <w:t>Τα ισχύοντα μέτρα πρόληψης περιπτώσεων απάτης που εφαρμόζονται στην Επιτροπή θα καλύπτουν τις πρόσθετες πιστώσεις που είναι αναγκαίες για τον παρόντα κανονισμό.</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ΕΚΤΙΜΩΜΕΝΕΣ ΔΗΜΟΣΙΟΝΟΜΙΚΕΣ ΕΠΙΠΤΩΣΕΙΣ ΤΗΣ ΠΡΟΤΑΣΗΣ/ΠΡΩΤΟΒΟΥΛΙΑΣ </w:t>
      </w:r>
    </w:p>
    <w:p>
      <w:pPr>
        <w:pStyle w:val="ManualHeading2"/>
        <w:rPr>
          <w:noProof/>
        </w:rPr>
      </w:pPr>
      <w:bookmarkStart w:id="23" w:name="_Toc514941990"/>
      <w:bookmarkStart w:id="24" w:name="_Toc520485217"/>
      <w:r>
        <w:t>3.1.</w:t>
      </w:r>
      <w:r>
        <w:tab/>
      </w:r>
      <w:r>
        <w:rPr>
          <w:noProof/>
        </w:rPr>
        <w:t>Τομείς του πολυετούς δημοσιονομικού πλαισίου και νέες γραμμές δαπανών του προϋπολογισμού που προτείνονται</w:t>
      </w:r>
      <w:bookmarkEnd w:id="23"/>
      <w:bookmarkEnd w:id="24"/>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rPr>
                <w:noProof/>
              </w:rPr>
            </w:pPr>
            <w:r>
              <w:rPr>
                <w:noProof/>
              </w:rPr>
              <w:t>Τομέας του πολυετούς δημοσιονομικού πλαισίου</w:t>
            </w:r>
          </w:p>
        </w:tc>
        <w:tc>
          <w:tcPr>
            <w:tcW w:w="3960" w:type="dxa"/>
            <w:vAlign w:val="center"/>
          </w:tcPr>
          <w:p>
            <w:pPr>
              <w:rPr>
                <w:noProof/>
              </w:rPr>
            </w:pPr>
            <w:r>
              <w:rPr>
                <w:noProof/>
                <w:sz w:val="20"/>
              </w:rPr>
              <w:t>Γραμμή του προϋπολογισμού</w:t>
            </w:r>
          </w:p>
        </w:tc>
        <w:tc>
          <w:tcPr>
            <w:tcW w:w="1080" w:type="dxa"/>
            <w:vAlign w:val="center"/>
          </w:tcPr>
          <w:p>
            <w:pPr>
              <w:rPr>
                <w:noProof/>
              </w:rPr>
            </w:pPr>
            <w:r>
              <w:rPr>
                <w:noProof/>
              </w:rPr>
              <w:t xml:space="preserve">Είδος  </w:t>
            </w:r>
            <w:r>
              <w:rPr>
                <w:noProof/>
              </w:rPr>
              <w:br/>
              <w:t>δαπάνης</w:t>
            </w:r>
          </w:p>
        </w:tc>
        <w:tc>
          <w:tcPr>
            <w:tcW w:w="4440" w:type="dxa"/>
            <w:gridSpan w:val="4"/>
            <w:vAlign w:val="center"/>
          </w:tcPr>
          <w:p>
            <w:pPr>
              <w:rPr>
                <w:noProof/>
              </w:rPr>
            </w:pPr>
            <w:r>
              <w:rPr>
                <w:noProof/>
                <w:sz w:val="20"/>
              </w:rPr>
              <w:t xml:space="preserve">Συμμετοχή </w:t>
            </w:r>
          </w:p>
        </w:tc>
      </w:tr>
      <w:tr>
        <w:tc>
          <w:tcPr>
            <w:tcW w:w="1080" w:type="dxa"/>
            <w:vMerge/>
            <w:vAlign w:val="center"/>
          </w:tcPr>
          <w:p>
            <w:pPr>
              <w:rPr>
                <w:noProof/>
              </w:rPr>
            </w:pPr>
          </w:p>
        </w:tc>
        <w:tc>
          <w:tcPr>
            <w:tcW w:w="3960" w:type="dxa"/>
            <w:vAlign w:val="center"/>
          </w:tcPr>
          <w:p>
            <w:pPr>
              <w:rPr>
                <w:noProof/>
              </w:rPr>
            </w:pPr>
            <w:r>
              <w:rPr>
                <w:noProof/>
                <w:sz w:val="20"/>
              </w:rPr>
              <w:t xml:space="preserve">Αριθμός </w:t>
            </w:r>
            <w:r>
              <w:rPr>
                <w:noProof/>
              </w:rPr>
              <w:t xml:space="preserve"> </w:t>
            </w:r>
            <w:r>
              <w:rPr>
                <w:noProof/>
              </w:rPr>
              <w:br/>
            </w:r>
            <w:r>
              <w:rPr>
                <w:noProof/>
                <w:sz w:val="20"/>
              </w:rPr>
              <w:t>Τομέας 1</w:t>
            </w:r>
          </w:p>
        </w:tc>
        <w:tc>
          <w:tcPr>
            <w:tcW w:w="1080" w:type="dxa"/>
            <w:vAlign w:val="center"/>
          </w:tcPr>
          <w:p>
            <w:pPr>
              <w:rPr>
                <w:noProof/>
              </w:rPr>
            </w:pPr>
            <w:r>
              <w:rPr>
                <w:noProof/>
              </w:rPr>
              <w:t>ΔΠ/ΜΔΠ</w:t>
            </w:r>
            <w:r>
              <w:rPr>
                <w:rStyle w:val="FootnoteReference"/>
                <w:noProof/>
              </w:rPr>
              <w:footnoteReference w:id="57"/>
            </w:r>
          </w:p>
        </w:tc>
        <w:tc>
          <w:tcPr>
            <w:tcW w:w="1044" w:type="dxa"/>
            <w:vAlign w:val="center"/>
          </w:tcPr>
          <w:p>
            <w:pPr>
              <w:rPr>
                <w:noProof/>
              </w:rPr>
            </w:pPr>
            <w:r>
              <w:rPr>
                <w:noProof/>
              </w:rPr>
              <w:t>χωρών ΕΖΕΣ</w:t>
            </w:r>
            <w:r>
              <w:rPr>
                <w:rStyle w:val="FootnoteReference"/>
                <w:noProof/>
              </w:rPr>
              <w:footnoteReference w:id="58"/>
            </w:r>
          </w:p>
          <w:p>
            <w:pPr>
              <w:rPr>
                <w:b/>
                <w:noProof/>
              </w:rPr>
            </w:pPr>
          </w:p>
        </w:tc>
        <w:tc>
          <w:tcPr>
            <w:tcW w:w="1134" w:type="dxa"/>
            <w:vAlign w:val="center"/>
          </w:tcPr>
          <w:p>
            <w:pPr>
              <w:rPr>
                <w:noProof/>
              </w:rPr>
            </w:pPr>
            <w:r>
              <w:rPr>
                <w:noProof/>
              </w:rPr>
              <w:t>υποψηφίων για ένταξη χωρών</w:t>
            </w:r>
            <w:r>
              <w:rPr>
                <w:rStyle w:val="FootnoteReference"/>
                <w:noProof/>
              </w:rPr>
              <w:footnoteReference w:id="59"/>
            </w:r>
          </w:p>
          <w:p>
            <w:pPr>
              <w:rPr>
                <w:noProof/>
              </w:rPr>
            </w:pPr>
          </w:p>
        </w:tc>
        <w:tc>
          <w:tcPr>
            <w:tcW w:w="814" w:type="dxa"/>
            <w:vAlign w:val="center"/>
          </w:tcPr>
          <w:p>
            <w:pPr>
              <w:rPr>
                <w:noProof/>
              </w:rPr>
            </w:pPr>
            <w:r>
              <w:rPr>
                <w:noProof/>
              </w:rPr>
              <w:t>τρίτων χωρών</w:t>
            </w:r>
          </w:p>
        </w:tc>
        <w:tc>
          <w:tcPr>
            <w:tcW w:w="1448" w:type="dxa"/>
            <w:vAlign w:val="center"/>
          </w:tcPr>
          <w:p>
            <w:pPr>
              <w:rPr>
                <w:noProof/>
              </w:rPr>
            </w:pPr>
            <w:r>
              <w:rPr>
                <w:noProof/>
                <w:sz w:val="16"/>
              </w:rPr>
              <w:t xml:space="preserve">κατά την έννοια του άρθρου [21 παράγραφος 2 στοιχείο β)] του δημοσιονομικού κανονισμού </w:t>
            </w:r>
          </w:p>
        </w:tc>
      </w:tr>
      <w:tr>
        <w:trPr>
          <w:trHeight w:val="2781"/>
        </w:trPr>
        <w:tc>
          <w:tcPr>
            <w:tcW w:w="1080" w:type="dxa"/>
            <w:vAlign w:val="center"/>
          </w:tcPr>
          <w:p>
            <w:pPr>
              <w:rPr>
                <w:noProof/>
              </w:rPr>
            </w:pPr>
            <w:r>
              <w:rPr>
                <w:noProof/>
              </w:rPr>
              <w:t>1</w:t>
            </w:r>
          </w:p>
        </w:tc>
        <w:tc>
          <w:tcPr>
            <w:tcW w:w="3960" w:type="dxa"/>
            <w:vAlign w:val="center"/>
          </w:tcPr>
          <w:p>
            <w:pPr>
              <w:rPr>
                <w:b/>
                <w:noProof/>
              </w:rPr>
            </w:pPr>
            <w:r>
              <w:rPr>
                <w:b/>
                <w:noProof/>
              </w:rPr>
              <w:t>02 04 05 01</w:t>
            </w:r>
          </w:p>
          <w:p>
            <w:pPr>
              <w:rPr>
                <w:b/>
                <w:noProof/>
              </w:rPr>
            </w:pPr>
            <w:r>
              <w:rPr>
                <w:b/>
                <w:noProof/>
              </w:rPr>
              <w:t xml:space="preserve">Πρόγραμμα «Ψηφιακή Ευρώπη» - </w:t>
            </w:r>
            <w:r>
              <w:rPr>
                <w:noProof/>
              </w:rPr>
              <w:t>Εφαρμογή, βέλτιστη χρήση ψηφιακών ικανοτήτων και διαλειτουργικότητα</w:t>
            </w:r>
          </w:p>
          <w:p>
            <w:pPr>
              <w:rPr>
                <w:noProof/>
              </w:rPr>
            </w:pPr>
          </w:p>
          <w:p>
            <w:pPr>
              <w:rPr>
                <w:b/>
                <w:noProof/>
              </w:rPr>
            </w:pPr>
            <w:r>
              <w:rPr>
                <w:b/>
                <w:noProof/>
              </w:rPr>
              <w:t>03 02 01 01</w:t>
            </w:r>
          </w:p>
          <w:p>
            <w:pPr>
              <w:rPr>
                <w:noProof/>
              </w:rPr>
            </w:pPr>
            <w:r>
              <w:rPr>
                <w:b/>
                <w:noProof/>
              </w:rPr>
              <w:t xml:space="preserve">Πρόγραμμα για την ενιαία αγορά - </w:t>
            </w:r>
            <w:r>
              <w:rPr>
                <w:noProof/>
              </w:rPr>
              <w:t>Λειτουργία και ανάπτυξη της εσωτερικής αγοράς προϊόντων και υπηρεσιών</w:t>
            </w:r>
            <w:r>
              <w:rPr>
                <w:b/>
                <w:noProof/>
              </w:rPr>
              <w:t xml:space="preserve"> </w:t>
            </w:r>
          </w:p>
        </w:tc>
        <w:tc>
          <w:tcPr>
            <w:tcW w:w="1080" w:type="dxa"/>
            <w:vAlign w:val="center"/>
          </w:tcPr>
          <w:p>
            <w:pPr>
              <w:rPr>
                <w:noProof/>
                <w:color w:val="0000FF"/>
              </w:rPr>
            </w:pPr>
            <w:r>
              <w:rPr>
                <w:noProof/>
                <w:sz w:val="22"/>
              </w:rPr>
              <w:t>ΔΠ</w:t>
            </w:r>
          </w:p>
        </w:tc>
        <w:tc>
          <w:tcPr>
            <w:tcW w:w="1044" w:type="dxa"/>
            <w:vAlign w:val="center"/>
          </w:tcPr>
          <w:p>
            <w:pPr>
              <w:rPr>
                <w:noProof/>
              </w:rPr>
            </w:pPr>
            <w:r>
              <w:rPr>
                <w:noProof/>
                <w:sz w:val="22"/>
              </w:rPr>
              <w:t>ΝΑΙ</w:t>
            </w:r>
          </w:p>
        </w:tc>
        <w:tc>
          <w:tcPr>
            <w:tcW w:w="1134" w:type="dxa"/>
            <w:vAlign w:val="center"/>
          </w:tcPr>
          <w:p>
            <w:pPr>
              <w:rPr>
                <w:noProof/>
              </w:rPr>
            </w:pPr>
            <w:r>
              <w:rPr>
                <w:noProof/>
                <w:sz w:val="22"/>
              </w:rPr>
              <w:t>ΟΧΙ</w:t>
            </w:r>
          </w:p>
        </w:tc>
        <w:tc>
          <w:tcPr>
            <w:tcW w:w="814" w:type="dxa"/>
            <w:vAlign w:val="center"/>
          </w:tcPr>
          <w:p>
            <w:pPr>
              <w:rPr>
                <w:noProof/>
              </w:rPr>
            </w:pPr>
            <w:r>
              <w:rPr>
                <w:noProof/>
                <w:sz w:val="22"/>
              </w:rPr>
              <w:t>ΟΧΙ</w:t>
            </w:r>
          </w:p>
        </w:tc>
        <w:tc>
          <w:tcPr>
            <w:tcW w:w="1448" w:type="dxa"/>
            <w:vAlign w:val="center"/>
          </w:tcPr>
          <w:p>
            <w:pPr>
              <w:rPr>
                <w:noProof/>
              </w:rPr>
            </w:pPr>
            <w:r>
              <w:rPr>
                <w:noProof/>
                <w:sz w:val="22"/>
              </w:rPr>
              <w:t>ΟΧΙ</w:t>
            </w:r>
          </w:p>
        </w:tc>
      </w:tr>
      <w:tr>
        <w:tc>
          <w:tcPr>
            <w:tcW w:w="1080" w:type="dxa"/>
            <w:vAlign w:val="center"/>
          </w:tcPr>
          <w:p>
            <w:pPr>
              <w:rPr>
                <w:noProof/>
              </w:rPr>
            </w:pPr>
            <w:r>
              <w:rPr>
                <w:noProof/>
              </w:rPr>
              <w:t>1</w:t>
            </w:r>
          </w:p>
        </w:tc>
        <w:tc>
          <w:tcPr>
            <w:tcW w:w="3960" w:type="dxa"/>
            <w:vAlign w:val="center"/>
          </w:tcPr>
          <w:p>
            <w:pPr>
              <w:rPr>
                <w:b/>
                <w:noProof/>
              </w:rPr>
            </w:pPr>
          </w:p>
          <w:p>
            <w:pPr>
              <w:rPr>
                <w:b/>
                <w:noProof/>
              </w:rPr>
            </w:pPr>
            <w:r>
              <w:rPr>
                <w:b/>
                <w:noProof/>
              </w:rPr>
              <w:t xml:space="preserve">03 01 01 01 </w:t>
            </w:r>
          </w:p>
          <w:p>
            <w:pPr>
              <w:rPr>
                <w:b/>
                <w:noProof/>
              </w:rPr>
            </w:pPr>
            <w:r>
              <w:rPr>
                <w:b/>
                <w:noProof/>
              </w:rPr>
              <w:t>Δαπάνες στήριξης για το «Πρόγραμμα για την ενιαία αγορά (συμπεριλαμβανομένων των ΜΜΕ)»</w:t>
            </w:r>
          </w:p>
        </w:tc>
        <w:tc>
          <w:tcPr>
            <w:tcW w:w="1080" w:type="dxa"/>
            <w:vAlign w:val="center"/>
          </w:tcPr>
          <w:p>
            <w:pPr>
              <w:rPr>
                <w:noProof/>
                <w:sz w:val="22"/>
              </w:rPr>
            </w:pPr>
            <w:r>
              <w:rPr>
                <w:noProof/>
                <w:sz w:val="22"/>
              </w:rPr>
              <w:t>ΜΔΠ</w:t>
            </w:r>
          </w:p>
        </w:tc>
        <w:tc>
          <w:tcPr>
            <w:tcW w:w="1044" w:type="dxa"/>
            <w:vAlign w:val="center"/>
          </w:tcPr>
          <w:p>
            <w:pPr>
              <w:rPr>
                <w:noProof/>
                <w:sz w:val="22"/>
              </w:rPr>
            </w:pPr>
            <w:r>
              <w:rPr>
                <w:noProof/>
                <w:sz w:val="22"/>
              </w:rPr>
              <w:t>ΝΑΙ</w:t>
            </w:r>
          </w:p>
        </w:tc>
        <w:tc>
          <w:tcPr>
            <w:tcW w:w="1134" w:type="dxa"/>
            <w:vAlign w:val="center"/>
          </w:tcPr>
          <w:p>
            <w:pPr>
              <w:rPr>
                <w:noProof/>
                <w:sz w:val="22"/>
              </w:rPr>
            </w:pPr>
            <w:r>
              <w:rPr>
                <w:noProof/>
                <w:sz w:val="22"/>
              </w:rPr>
              <w:t>ΟΧΙ</w:t>
            </w:r>
          </w:p>
        </w:tc>
        <w:tc>
          <w:tcPr>
            <w:tcW w:w="814" w:type="dxa"/>
            <w:vAlign w:val="center"/>
          </w:tcPr>
          <w:p>
            <w:pPr>
              <w:rPr>
                <w:noProof/>
                <w:sz w:val="22"/>
              </w:rPr>
            </w:pPr>
            <w:r>
              <w:rPr>
                <w:noProof/>
                <w:sz w:val="22"/>
              </w:rPr>
              <w:t>ΟΧΙ</w:t>
            </w:r>
          </w:p>
        </w:tc>
        <w:tc>
          <w:tcPr>
            <w:tcW w:w="1448" w:type="dxa"/>
            <w:vAlign w:val="center"/>
          </w:tcPr>
          <w:p>
            <w:pPr>
              <w:rPr>
                <w:noProof/>
                <w:sz w:val="22"/>
              </w:rPr>
            </w:pPr>
            <w:r>
              <w:rPr>
                <w:noProof/>
                <w:sz w:val="22"/>
              </w:rPr>
              <w:t>ΟΧΙ</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Εκτιμώμενες επιπτώσεις στις δαπάνες </w:t>
      </w:r>
    </w:p>
    <w:p>
      <w:pPr>
        <w:pStyle w:val="Text1"/>
        <w:rPr>
          <w:noProof/>
        </w:rPr>
      </w:pPr>
      <w:r>
        <w:rPr>
          <w:noProof/>
        </w:rPr>
        <w:t>Οι δημοσιονομικές επιπτώσεις της πρότασης θα καλυφθούν πλήρως από τις πιστώσεις που προβλέπονται στο ΠΔΠ 2021-27 στο πλαίσιο των χρηματοδοτικών κονδυλίων του προγράμματος «Ψηφιακή Ευρώπη» και του προγράμματος για την ενιαία αγορά. Δεν προβλέπονται δαπάνες στο πλαίσιο του τρέχοντος ΠΔΠ.</w:t>
      </w:r>
    </w:p>
    <w:p>
      <w:pPr>
        <w:pStyle w:val="ManualHeading3"/>
        <w:rPr>
          <w:noProof/>
        </w:rPr>
      </w:pPr>
      <w:r>
        <w:t>3.2.1.</w:t>
      </w:r>
      <w:r>
        <w:tab/>
      </w:r>
      <w:r>
        <w:rPr>
          <w:noProof/>
        </w:rPr>
        <w:t xml:space="preserve">Συνοπτική παρουσίαση των εκτιμώμενων επιπτώσεων στις δαπάνες </w:t>
      </w: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1"/>
        <w:gridCol w:w="1265"/>
        <w:gridCol w:w="163"/>
        <w:gridCol w:w="895"/>
        <w:gridCol w:w="303"/>
        <w:gridCol w:w="329"/>
        <w:gridCol w:w="705"/>
        <w:gridCol w:w="838"/>
        <w:gridCol w:w="895"/>
        <w:gridCol w:w="924"/>
        <w:gridCol w:w="1020"/>
        <w:gridCol w:w="1020"/>
        <w:gridCol w:w="1021"/>
        <w:gridCol w:w="1020"/>
        <w:gridCol w:w="897"/>
        <w:gridCol w:w="112"/>
      </w:tblGrid>
      <w:tr>
        <w:trPr>
          <w:gridAfter w:val="1"/>
          <w:wAfter w:w="112" w:type="dxa"/>
          <w:trHeight w:val="823"/>
          <w:jc w:val="center"/>
        </w:trPr>
        <w:tc>
          <w:tcPr>
            <w:tcW w:w="5249" w:type="dxa"/>
            <w:gridSpan w:val="3"/>
            <w:shd w:val="thinDiagStripe" w:color="C0C0C0" w:fill="auto"/>
            <w:vAlign w:val="center"/>
          </w:tcPr>
          <w:p>
            <w:pPr>
              <w:rPr>
                <w:noProof/>
              </w:rPr>
            </w:pPr>
            <w:r>
              <w:rPr>
                <w:noProof/>
              </w:rPr>
              <w:t>Τομέας του πολυετούς</w:t>
            </w:r>
            <w:r>
              <w:rPr>
                <w:noProof/>
              </w:rPr>
              <w:br/>
              <w:t xml:space="preserve">δημοσιονομικού πλαισίου </w:t>
            </w:r>
          </w:p>
        </w:tc>
        <w:tc>
          <w:tcPr>
            <w:tcW w:w="1198" w:type="dxa"/>
            <w:gridSpan w:val="2"/>
            <w:vAlign w:val="center"/>
          </w:tcPr>
          <w:p>
            <w:pPr>
              <w:rPr>
                <w:noProof/>
              </w:rPr>
            </w:pPr>
            <w:r>
              <w:rPr>
                <w:noProof/>
              </w:rPr>
              <w:t>1</w:t>
            </w:r>
          </w:p>
        </w:tc>
        <w:tc>
          <w:tcPr>
            <w:tcW w:w="8669" w:type="dxa"/>
            <w:gridSpan w:val="10"/>
            <w:vAlign w:val="center"/>
          </w:tcPr>
          <w:p>
            <w:pPr>
              <w:rPr>
                <w:noProof/>
              </w:rPr>
            </w:pPr>
            <w:r>
              <w:rPr>
                <w:noProof/>
              </w:rPr>
              <w:t>Τομέας 1</w:t>
            </w:r>
          </w:p>
        </w:tc>
      </w:tr>
      <w:tr>
        <w:trPr>
          <w:jc w:val="center"/>
        </w:trPr>
        <w:tc>
          <w:tcPr>
            <w:tcW w:w="6144" w:type="dxa"/>
            <w:gridSpan w:val="4"/>
            <w:tcBorders>
              <w:top w:val="nil"/>
              <w:left w:val="nil"/>
              <w:bottom w:val="nil"/>
              <w:right w:val="single" w:sz="4" w:space="0" w:color="auto"/>
            </w:tcBorders>
            <w:vAlign w:val="center"/>
          </w:tcPr>
          <w:p>
            <w:pPr>
              <w:rPr>
                <w:noProof/>
                <w:sz w:val="20"/>
              </w:rPr>
            </w:pPr>
            <w:r>
              <w:rPr>
                <w:noProof/>
                <w:sz w:val="20"/>
              </w:rPr>
              <w:t xml:space="preserve">Επιχειρησιακές πιστώσεις </w:t>
            </w:r>
          </w:p>
          <w:p>
            <w:pPr>
              <w:rPr>
                <w:noProof/>
                <w:sz w:val="20"/>
              </w:rPr>
            </w:pPr>
          </w:p>
        </w:tc>
        <w:tc>
          <w:tcPr>
            <w:tcW w:w="632" w:type="dxa"/>
            <w:gridSpan w:val="2"/>
            <w:tcBorders>
              <w:left w:val="single" w:sz="4" w:space="0" w:color="auto"/>
            </w:tcBorders>
            <w:shd w:val="clear" w:color="auto" w:fill="D9D9D9" w:themeFill="background1" w:themeFillShade="D9"/>
            <w:vAlign w:val="center"/>
          </w:tcPr>
          <w:p>
            <w:pPr>
              <w:rPr>
                <w:noProof/>
                <w:sz w:val="20"/>
              </w:rPr>
            </w:pPr>
            <w:r>
              <w:rPr>
                <w:noProof/>
                <w:sz w:val="20"/>
              </w:rPr>
              <w:t>2021</w:t>
            </w:r>
          </w:p>
        </w:tc>
        <w:tc>
          <w:tcPr>
            <w:tcW w:w="705" w:type="dxa"/>
            <w:shd w:val="clear" w:color="auto" w:fill="D9D9D9" w:themeFill="background1" w:themeFillShade="D9"/>
            <w:vAlign w:val="center"/>
          </w:tcPr>
          <w:p>
            <w:pPr>
              <w:rPr>
                <w:noProof/>
                <w:sz w:val="20"/>
              </w:rPr>
            </w:pPr>
            <w:r>
              <w:rPr>
                <w:noProof/>
                <w:sz w:val="20"/>
              </w:rPr>
              <w:t>2022</w:t>
            </w:r>
          </w:p>
        </w:tc>
        <w:tc>
          <w:tcPr>
            <w:tcW w:w="838" w:type="dxa"/>
            <w:vAlign w:val="center"/>
          </w:tcPr>
          <w:p>
            <w:pPr>
              <w:rPr>
                <w:noProof/>
                <w:sz w:val="20"/>
              </w:rPr>
            </w:pPr>
            <w:r>
              <w:rPr>
                <w:noProof/>
                <w:sz w:val="20"/>
              </w:rPr>
              <w:t>2023</w:t>
            </w:r>
          </w:p>
        </w:tc>
        <w:tc>
          <w:tcPr>
            <w:tcW w:w="895" w:type="dxa"/>
            <w:vAlign w:val="center"/>
          </w:tcPr>
          <w:p>
            <w:pPr>
              <w:rPr>
                <w:noProof/>
                <w:sz w:val="20"/>
              </w:rPr>
            </w:pPr>
            <w:r>
              <w:rPr>
                <w:noProof/>
                <w:sz w:val="20"/>
              </w:rPr>
              <w:t>2024</w:t>
            </w:r>
          </w:p>
        </w:tc>
        <w:tc>
          <w:tcPr>
            <w:tcW w:w="924" w:type="dxa"/>
            <w:vAlign w:val="center"/>
          </w:tcPr>
          <w:p>
            <w:pPr>
              <w:rPr>
                <w:noProof/>
                <w:sz w:val="18"/>
              </w:rPr>
            </w:pPr>
            <w:r>
              <w:rPr>
                <w:noProof/>
                <w:sz w:val="18"/>
              </w:rPr>
              <w:t>2025</w:t>
            </w:r>
          </w:p>
        </w:tc>
        <w:tc>
          <w:tcPr>
            <w:tcW w:w="1020" w:type="dxa"/>
            <w:vAlign w:val="center"/>
          </w:tcPr>
          <w:p>
            <w:pPr>
              <w:rPr>
                <w:noProof/>
                <w:sz w:val="18"/>
              </w:rPr>
            </w:pPr>
            <w:r>
              <w:rPr>
                <w:noProof/>
                <w:sz w:val="18"/>
              </w:rPr>
              <w:t>2026</w:t>
            </w:r>
          </w:p>
        </w:tc>
        <w:tc>
          <w:tcPr>
            <w:tcW w:w="1020" w:type="dxa"/>
            <w:vAlign w:val="center"/>
          </w:tcPr>
          <w:p>
            <w:pPr>
              <w:rPr>
                <w:noProof/>
                <w:sz w:val="18"/>
              </w:rPr>
            </w:pPr>
            <w:r>
              <w:rPr>
                <w:noProof/>
                <w:sz w:val="18"/>
              </w:rPr>
              <w:t>2027</w:t>
            </w:r>
          </w:p>
        </w:tc>
        <w:tc>
          <w:tcPr>
            <w:tcW w:w="1021" w:type="dxa"/>
          </w:tcPr>
          <w:p>
            <w:pPr>
              <w:rPr>
                <w:i/>
                <w:noProof/>
                <w:sz w:val="20"/>
              </w:rPr>
            </w:pPr>
            <w:r>
              <w:rPr>
                <w:i/>
                <w:noProof/>
                <w:sz w:val="20"/>
              </w:rPr>
              <w:t>Μετά το 2027</w:t>
            </w:r>
            <w:r>
              <w:rPr>
                <w:rStyle w:val="FootnoteReference"/>
                <w:i/>
                <w:noProof/>
                <w:sz w:val="20"/>
              </w:rPr>
              <w:footnoteReference w:id="60"/>
            </w:r>
          </w:p>
        </w:tc>
        <w:tc>
          <w:tcPr>
            <w:tcW w:w="1020" w:type="dxa"/>
            <w:vAlign w:val="center"/>
          </w:tcPr>
          <w:p>
            <w:pPr>
              <w:rPr>
                <w:noProof/>
                <w:sz w:val="20"/>
              </w:rPr>
            </w:pPr>
            <w:r>
              <w:rPr>
                <w:noProof/>
                <w:sz w:val="20"/>
              </w:rPr>
              <w:t>ΣΥΝΟΛΟ 2023-2027</w:t>
            </w:r>
          </w:p>
        </w:tc>
        <w:tc>
          <w:tcPr>
            <w:tcW w:w="1009" w:type="dxa"/>
            <w:gridSpan w:val="2"/>
          </w:tcPr>
          <w:p>
            <w:pPr>
              <w:rPr>
                <w:noProof/>
                <w:sz w:val="20"/>
              </w:rPr>
            </w:pPr>
            <w:r>
              <w:rPr>
                <w:noProof/>
                <w:sz w:val="20"/>
              </w:rPr>
              <w:t>ΓΕΝΙΚΟ ΣΥΝΟΛΟ</w:t>
            </w:r>
          </w:p>
        </w:tc>
      </w:tr>
      <w:tr>
        <w:trPr>
          <w:trHeight w:val="816"/>
          <w:jc w:val="center"/>
        </w:trPr>
        <w:tc>
          <w:tcPr>
            <w:tcW w:w="3821" w:type="dxa"/>
            <w:vMerge w:val="restart"/>
            <w:vAlign w:val="center"/>
          </w:tcPr>
          <w:p>
            <w:pPr>
              <w:rPr>
                <w:noProof/>
              </w:rPr>
            </w:pPr>
            <w:r>
              <w:rPr>
                <w:noProof/>
              </w:rPr>
              <w:t>02 04 05 01</w:t>
            </w:r>
          </w:p>
          <w:p>
            <w:pPr>
              <w:rPr>
                <w:noProof/>
              </w:rPr>
            </w:pPr>
            <w:r>
              <w:rPr>
                <w:noProof/>
              </w:rPr>
              <w:t>Πρόγραμμα «Ψηφιακή Ευρώπη» - Εφαρμογή, βέλτιστη χρήση ψηφιακών ικανοτήτων και διαλειτουργικότητα</w:t>
            </w:r>
          </w:p>
        </w:tc>
        <w:tc>
          <w:tcPr>
            <w:tcW w:w="1265" w:type="dxa"/>
            <w:vAlign w:val="center"/>
          </w:tcPr>
          <w:p>
            <w:pPr>
              <w:rPr>
                <w:noProof/>
                <w:sz w:val="18"/>
              </w:rPr>
            </w:pPr>
            <w:r>
              <w:rPr>
                <w:noProof/>
                <w:sz w:val="18"/>
              </w:rPr>
              <w:t>Αναλήψεις υποχρεώσεων</w:t>
            </w:r>
          </w:p>
        </w:tc>
        <w:tc>
          <w:tcPr>
            <w:tcW w:w="1058" w:type="dxa"/>
            <w:gridSpan w:val="2"/>
            <w:vAlign w:val="center"/>
          </w:tcPr>
          <w:p>
            <w:pPr>
              <w:rPr>
                <w:noProof/>
                <w:sz w:val="14"/>
              </w:rPr>
            </w:pPr>
            <w:r>
              <w:rPr>
                <w:noProof/>
                <w:sz w:val="14"/>
              </w:rPr>
              <w:t>(1)</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r>
              <w:rPr>
                <w:noProof/>
                <w:sz w:val="20"/>
              </w:rPr>
              <w:t>4,526</w:t>
            </w:r>
          </w:p>
        </w:tc>
        <w:tc>
          <w:tcPr>
            <w:tcW w:w="895" w:type="dxa"/>
            <w:vAlign w:val="center"/>
          </w:tcPr>
          <w:p>
            <w:pPr>
              <w:rPr>
                <w:noProof/>
                <w:sz w:val="20"/>
              </w:rPr>
            </w:pPr>
            <w:r>
              <w:rPr>
                <w:noProof/>
                <w:sz w:val="20"/>
              </w:rPr>
              <w:t>6,076</w:t>
            </w:r>
          </w:p>
        </w:tc>
        <w:tc>
          <w:tcPr>
            <w:tcW w:w="924" w:type="dxa"/>
            <w:vAlign w:val="center"/>
          </w:tcPr>
          <w:p>
            <w:pPr>
              <w:rPr>
                <w:noProof/>
                <w:sz w:val="20"/>
              </w:rPr>
            </w:pPr>
            <w:r>
              <w:rPr>
                <w:noProof/>
                <w:sz w:val="20"/>
              </w:rPr>
              <w:t>9,802</w:t>
            </w:r>
          </w:p>
        </w:tc>
        <w:tc>
          <w:tcPr>
            <w:tcW w:w="1020" w:type="dxa"/>
            <w:vAlign w:val="center"/>
          </w:tcPr>
          <w:p>
            <w:pPr>
              <w:rPr>
                <w:noProof/>
                <w:sz w:val="20"/>
              </w:rPr>
            </w:pPr>
            <w:r>
              <w:rPr>
                <w:noProof/>
                <w:sz w:val="20"/>
              </w:rPr>
              <w:t>9,802</w:t>
            </w:r>
          </w:p>
        </w:tc>
        <w:tc>
          <w:tcPr>
            <w:tcW w:w="1020" w:type="dxa"/>
            <w:vAlign w:val="center"/>
          </w:tcPr>
          <w:p>
            <w:pPr>
              <w:rPr>
                <w:noProof/>
                <w:sz w:val="20"/>
              </w:rPr>
            </w:pPr>
            <w:r>
              <w:rPr>
                <w:noProof/>
                <w:sz w:val="20"/>
              </w:rPr>
              <w:t>9,802</w:t>
            </w:r>
          </w:p>
        </w:tc>
        <w:tc>
          <w:tcPr>
            <w:tcW w:w="1021" w:type="dxa"/>
            <w:shd w:val="clear" w:color="auto" w:fill="A6A6A6"/>
            <w:vAlign w:val="center"/>
          </w:tcPr>
          <w:p>
            <w:pPr>
              <w:rPr>
                <w:i/>
                <w:noProof/>
                <w:sz w:val="20"/>
              </w:rPr>
            </w:pPr>
            <w:r>
              <w:rPr>
                <w:i/>
                <w:noProof/>
                <w:sz w:val="20"/>
              </w:rPr>
              <w:t xml:space="preserve">9,802 </w:t>
            </w:r>
          </w:p>
        </w:tc>
        <w:tc>
          <w:tcPr>
            <w:tcW w:w="1020" w:type="dxa"/>
            <w:vAlign w:val="center"/>
          </w:tcPr>
          <w:p>
            <w:pPr>
              <w:rPr>
                <w:noProof/>
                <w:sz w:val="20"/>
              </w:rPr>
            </w:pPr>
            <w:r>
              <w:rPr>
                <w:noProof/>
                <w:sz w:val="20"/>
              </w:rPr>
              <w:t>40,008</w:t>
            </w:r>
          </w:p>
        </w:tc>
        <w:tc>
          <w:tcPr>
            <w:tcW w:w="1009" w:type="dxa"/>
            <w:gridSpan w:val="2"/>
            <w:vAlign w:val="center"/>
          </w:tcPr>
          <w:p>
            <w:pPr>
              <w:rPr>
                <w:noProof/>
                <w:sz w:val="20"/>
              </w:rPr>
            </w:pPr>
            <w:r>
              <w:rPr>
                <w:noProof/>
                <w:sz w:val="20"/>
              </w:rPr>
              <w:t>49,810</w:t>
            </w:r>
          </w:p>
        </w:tc>
      </w:tr>
      <w:tr>
        <w:trPr>
          <w:trHeight w:val="405"/>
          <w:jc w:val="center"/>
        </w:trPr>
        <w:tc>
          <w:tcPr>
            <w:tcW w:w="3821" w:type="dxa"/>
            <w:vMerge/>
          </w:tcPr>
          <w:p>
            <w:pPr>
              <w:rPr>
                <w:noProof/>
                <w:sz w:val="20"/>
              </w:rPr>
            </w:pPr>
          </w:p>
        </w:tc>
        <w:tc>
          <w:tcPr>
            <w:tcW w:w="1265" w:type="dxa"/>
            <w:vAlign w:val="center"/>
          </w:tcPr>
          <w:p>
            <w:pPr>
              <w:rPr>
                <w:noProof/>
                <w:sz w:val="18"/>
              </w:rPr>
            </w:pPr>
            <w:r>
              <w:rPr>
                <w:noProof/>
                <w:sz w:val="18"/>
              </w:rPr>
              <w:t>Πληρωμές</w:t>
            </w:r>
          </w:p>
        </w:tc>
        <w:tc>
          <w:tcPr>
            <w:tcW w:w="1058" w:type="dxa"/>
            <w:gridSpan w:val="2"/>
            <w:vAlign w:val="center"/>
          </w:tcPr>
          <w:p>
            <w:pPr>
              <w:rPr>
                <w:noProof/>
                <w:sz w:val="14"/>
              </w:rPr>
            </w:pPr>
            <w:r>
              <w:rPr>
                <w:noProof/>
                <w:sz w:val="14"/>
              </w:rPr>
              <w:t>(2)</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r>
              <w:rPr>
                <w:noProof/>
                <w:sz w:val="20"/>
              </w:rPr>
              <w:t>2,525</w:t>
            </w:r>
          </w:p>
        </w:tc>
        <w:tc>
          <w:tcPr>
            <w:tcW w:w="895" w:type="dxa"/>
            <w:vAlign w:val="center"/>
          </w:tcPr>
          <w:p>
            <w:pPr>
              <w:rPr>
                <w:noProof/>
                <w:sz w:val="20"/>
              </w:rPr>
            </w:pPr>
            <w:r>
              <w:rPr>
                <w:noProof/>
                <w:sz w:val="20"/>
              </w:rPr>
              <w:t>4,526</w:t>
            </w:r>
          </w:p>
        </w:tc>
        <w:tc>
          <w:tcPr>
            <w:tcW w:w="924" w:type="dxa"/>
            <w:vAlign w:val="center"/>
          </w:tcPr>
          <w:p>
            <w:pPr>
              <w:rPr>
                <w:noProof/>
                <w:sz w:val="20"/>
              </w:rPr>
            </w:pPr>
            <w:r>
              <w:rPr>
                <w:noProof/>
                <w:sz w:val="20"/>
              </w:rPr>
              <w:t>5,075</w:t>
            </w:r>
          </w:p>
        </w:tc>
        <w:tc>
          <w:tcPr>
            <w:tcW w:w="1020" w:type="dxa"/>
            <w:vAlign w:val="center"/>
          </w:tcPr>
          <w:p>
            <w:pPr>
              <w:rPr>
                <w:noProof/>
                <w:sz w:val="20"/>
              </w:rPr>
            </w:pPr>
            <w:r>
              <w:rPr>
                <w:noProof/>
                <w:sz w:val="20"/>
              </w:rPr>
              <w:t>8,800</w:t>
            </w:r>
          </w:p>
        </w:tc>
        <w:tc>
          <w:tcPr>
            <w:tcW w:w="1020" w:type="dxa"/>
            <w:vAlign w:val="center"/>
          </w:tcPr>
          <w:p>
            <w:pPr>
              <w:rPr>
                <w:noProof/>
                <w:sz w:val="20"/>
              </w:rPr>
            </w:pPr>
            <w:r>
              <w:rPr>
                <w:noProof/>
                <w:sz w:val="20"/>
              </w:rPr>
              <w:t>9,000</w:t>
            </w:r>
          </w:p>
        </w:tc>
        <w:tc>
          <w:tcPr>
            <w:tcW w:w="1021" w:type="dxa"/>
            <w:shd w:val="clear" w:color="auto" w:fill="A6A6A6" w:themeFill="background1" w:themeFillShade="A6"/>
            <w:vAlign w:val="center"/>
          </w:tcPr>
          <w:p>
            <w:pPr>
              <w:rPr>
                <w:i/>
                <w:noProof/>
                <w:sz w:val="20"/>
              </w:rPr>
            </w:pPr>
            <w:r>
              <w:rPr>
                <w:i/>
                <w:noProof/>
                <w:sz w:val="20"/>
              </w:rPr>
              <w:t>19,584</w:t>
            </w:r>
          </w:p>
        </w:tc>
        <w:tc>
          <w:tcPr>
            <w:tcW w:w="1020" w:type="dxa"/>
            <w:vAlign w:val="center"/>
          </w:tcPr>
          <w:p>
            <w:pPr>
              <w:rPr>
                <w:noProof/>
                <w:sz w:val="20"/>
              </w:rPr>
            </w:pPr>
            <w:r>
              <w:rPr>
                <w:noProof/>
                <w:sz w:val="20"/>
              </w:rPr>
              <w:t>30,226</w:t>
            </w:r>
          </w:p>
        </w:tc>
        <w:tc>
          <w:tcPr>
            <w:tcW w:w="1009" w:type="dxa"/>
            <w:gridSpan w:val="2"/>
            <w:vAlign w:val="center"/>
          </w:tcPr>
          <w:p>
            <w:pPr>
              <w:rPr>
                <w:noProof/>
                <w:sz w:val="20"/>
              </w:rPr>
            </w:pPr>
            <w:r>
              <w:rPr>
                <w:noProof/>
                <w:sz w:val="20"/>
              </w:rPr>
              <w:t>49,810</w:t>
            </w:r>
          </w:p>
        </w:tc>
      </w:tr>
      <w:tr>
        <w:trPr>
          <w:trHeight w:val="697"/>
          <w:jc w:val="center"/>
        </w:trPr>
        <w:tc>
          <w:tcPr>
            <w:tcW w:w="3821" w:type="dxa"/>
            <w:vMerge w:val="restart"/>
          </w:tcPr>
          <w:p>
            <w:pPr>
              <w:rPr>
                <w:noProof/>
              </w:rPr>
            </w:pPr>
            <w:r>
              <w:rPr>
                <w:noProof/>
              </w:rPr>
              <w:t>03 02 01 01</w:t>
            </w:r>
          </w:p>
          <w:p>
            <w:pPr>
              <w:rPr>
                <w:noProof/>
              </w:rPr>
            </w:pPr>
            <w:r>
              <w:rPr>
                <w:noProof/>
              </w:rPr>
              <w:t xml:space="preserve">Πρόγραμμα για την ενιαία αγορά - Λειτουργία και ανάπτυξη της εσωτερικής αγοράς προϊόντων και υπηρεσιών  </w:t>
            </w:r>
          </w:p>
        </w:tc>
        <w:tc>
          <w:tcPr>
            <w:tcW w:w="1265" w:type="dxa"/>
            <w:vAlign w:val="center"/>
          </w:tcPr>
          <w:p>
            <w:pPr>
              <w:rPr>
                <w:noProof/>
                <w:sz w:val="18"/>
              </w:rPr>
            </w:pPr>
            <w:r>
              <w:rPr>
                <w:noProof/>
                <w:sz w:val="18"/>
              </w:rPr>
              <w:t>Αναλήψεις υποχρεώσεων</w:t>
            </w:r>
          </w:p>
        </w:tc>
        <w:tc>
          <w:tcPr>
            <w:tcW w:w="1058" w:type="dxa"/>
            <w:gridSpan w:val="2"/>
            <w:vAlign w:val="center"/>
          </w:tcPr>
          <w:p>
            <w:pPr>
              <w:rPr>
                <w:noProof/>
                <w:sz w:val="14"/>
              </w:rPr>
            </w:pPr>
            <w:r>
              <w:rPr>
                <w:noProof/>
                <w:sz w:val="14"/>
              </w:rPr>
              <w:t>(3)</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p>
        </w:tc>
        <w:tc>
          <w:tcPr>
            <w:tcW w:w="895" w:type="dxa"/>
            <w:vAlign w:val="center"/>
          </w:tcPr>
          <w:p>
            <w:pPr>
              <w:rPr>
                <w:noProof/>
                <w:sz w:val="20"/>
              </w:rPr>
            </w:pPr>
            <w:r>
              <w:rPr>
                <w:noProof/>
                <w:sz w:val="20"/>
              </w:rPr>
              <w:t>2,600</w:t>
            </w:r>
          </w:p>
        </w:tc>
        <w:tc>
          <w:tcPr>
            <w:tcW w:w="924" w:type="dxa"/>
            <w:vAlign w:val="center"/>
          </w:tcPr>
          <w:p>
            <w:pPr>
              <w:rPr>
                <w:noProof/>
                <w:sz w:val="20"/>
              </w:rPr>
            </w:pPr>
            <w:r>
              <w:rPr>
                <w:noProof/>
                <w:sz w:val="20"/>
              </w:rPr>
              <w:t>5,400</w:t>
            </w:r>
          </w:p>
        </w:tc>
        <w:tc>
          <w:tcPr>
            <w:tcW w:w="1020" w:type="dxa"/>
            <w:vAlign w:val="center"/>
          </w:tcPr>
          <w:p>
            <w:pPr>
              <w:rPr>
                <w:noProof/>
                <w:sz w:val="20"/>
              </w:rPr>
            </w:pPr>
            <w:r>
              <w:rPr>
                <w:noProof/>
                <w:sz w:val="20"/>
              </w:rPr>
              <w:t>5,400</w:t>
            </w:r>
          </w:p>
        </w:tc>
        <w:tc>
          <w:tcPr>
            <w:tcW w:w="1020" w:type="dxa"/>
            <w:vAlign w:val="center"/>
          </w:tcPr>
          <w:p>
            <w:pPr>
              <w:rPr>
                <w:noProof/>
                <w:sz w:val="20"/>
              </w:rPr>
            </w:pPr>
            <w:r>
              <w:rPr>
                <w:noProof/>
                <w:sz w:val="20"/>
              </w:rPr>
              <w:t>5,400</w:t>
            </w:r>
          </w:p>
        </w:tc>
        <w:tc>
          <w:tcPr>
            <w:tcW w:w="1021" w:type="dxa"/>
            <w:shd w:val="clear" w:color="auto" w:fill="A6A6A6" w:themeFill="background1" w:themeFillShade="A6"/>
            <w:vAlign w:val="center"/>
          </w:tcPr>
          <w:p>
            <w:pPr>
              <w:rPr>
                <w:i/>
                <w:noProof/>
                <w:sz w:val="20"/>
              </w:rPr>
            </w:pPr>
            <w:r>
              <w:rPr>
                <w:i/>
                <w:noProof/>
                <w:sz w:val="20"/>
              </w:rPr>
              <w:t>5,400</w:t>
            </w:r>
          </w:p>
        </w:tc>
        <w:tc>
          <w:tcPr>
            <w:tcW w:w="1020" w:type="dxa"/>
            <w:vAlign w:val="center"/>
          </w:tcPr>
          <w:p>
            <w:pPr>
              <w:rPr>
                <w:noProof/>
                <w:sz w:val="20"/>
              </w:rPr>
            </w:pPr>
            <w:r>
              <w:rPr>
                <w:noProof/>
                <w:sz w:val="20"/>
              </w:rPr>
              <w:t>18,800</w:t>
            </w:r>
          </w:p>
        </w:tc>
        <w:tc>
          <w:tcPr>
            <w:tcW w:w="1009" w:type="dxa"/>
            <w:gridSpan w:val="2"/>
            <w:vAlign w:val="center"/>
          </w:tcPr>
          <w:p>
            <w:pPr>
              <w:rPr>
                <w:noProof/>
                <w:sz w:val="20"/>
              </w:rPr>
            </w:pPr>
            <w:r>
              <w:rPr>
                <w:noProof/>
                <w:sz w:val="20"/>
              </w:rPr>
              <w:t>24,200</w:t>
            </w:r>
          </w:p>
        </w:tc>
      </w:tr>
      <w:tr>
        <w:trPr>
          <w:trHeight w:val="411"/>
          <w:jc w:val="center"/>
        </w:trPr>
        <w:tc>
          <w:tcPr>
            <w:tcW w:w="3821" w:type="dxa"/>
            <w:vMerge/>
          </w:tcPr>
          <w:p>
            <w:pPr>
              <w:rPr>
                <w:noProof/>
                <w:sz w:val="20"/>
              </w:rPr>
            </w:pPr>
          </w:p>
        </w:tc>
        <w:tc>
          <w:tcPr>
            <w:tcW w:w="1265" w:type="dxa"/>
            <w:vAlign w:val="center"/>
          </w:tcPr>
          <w:p>
            <w:pPr>
              <w:rPr>
                <w:noProof/>
                <w:sz w:val="18"/>
              </w:rPr>
            </w:pPr>
            <w:r>
              <w:rPr>
                <w:noProof/>
                <w:sz w:val="18"/>
              </w:rPr>
              <w:t>Πληρωμές</w:t>
            </w:r>
          </w:p>
        </w:tc>
        <w:tc>
          <w:tcPr>
            <w:tcW w:w="1058" w:type="dxa"/>
            <w:gridSpan w:val="2"/>
            <w:vAlign w:val="center"/>
          </w:tcPr>
          <w:p>
            <w:pPr>
              <w:rPr>
                <w:noProof/>
                <w:sz w:val="14"/>
              </w:rPr>
            </w:pPr>
            <w:r>
              <w:rPr>
                <w:noProof/>
                <w:sz w:val="14"/>
              </w:rPr>
              <w:t>(4)</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p>
        </w:tc>
        <w:tc>
          <w:tcPr>
            <w:tcW w:w="895" w:type="dxa"/>
            <w:vAlign w:val="center"/>
          </w:tcPr>
          <w:p>
            <w:pPr>
              <w:rPr>
                <w:noProof/>
                <w:sz w:val="20"/>
              </w:rPr>
            </w:pPr>
            <w:r>
              <w:rPr>
                <w:noProof/>
                <w:sz w:val="20"/>
              </w:rPr>
              <w:t>2,600</w:t>
            </w:r>
          </w:p>
        </w:tc>
        <w:tc>
          <w:tcPr>
            <w:tcW w:w="924" w:type="dxa"/>
            <w:vAlign w:val="center"/>
          </w:tcPr>
          <w:p>
            <w:pPr>
              <w:rPr>
                <w:noProof/>
                <w:sz w:val="20"/>
              </w:rPr>
            </w:pPr>
            <w:r>
              <w:rPr>
                <w:noProof/>
                <w:sz w:val="20"/>
              </w:rPr>
              <w:t>5,400</w:t>
            </w:r>
          </w:p>
        </w:tc>
        <w:tc>
          <w:tcPr>
            <w:tcW w:w="1020" w:type="dxa"/>
            <w:vAlign w:val="center"/>
          </w:tcPr>
          <w:p>
            <w:pPr>
              <w:rPr>
                <w:noProof/>
                <w:sz w:val="20"/>
              </w:rPr>
            </w:pPr>
            <w:r>
              <w:rPr>
                <w:noProof/>
                <w:sz w:val="20"/>
              </w:rPr>
              <w:t>5,400</w:t>
            </w:r>
          </w:p>
        </w:tc>
        <w:tc>
          <w:tcPr>
            <w:tcW w:w="1020" w:type="dxa"/>
            <w:vAlign w:val="center"/>
          </w:tcPr>
          <w:p>
            <w:pPr>
              <w:rPr>
                <w:noProof/>
                <w:sz w:val="20"/>
              </w:rPr>
            </w:pPr>
            <w:r>
              <w:rPr>
                <w:noProof/>
                <w:sz w:val="20"/>
              </w:rPr>
              <w:t>5,400</w:t>
            </w:r>
          </w:p>
        </w:tc>
        <w:tc>
          <w:tcPr>
            <w:tcW w:w="1021" w:type="dxa"/>
            <w:shd w:val="clear" w:color="auto" w:fill="A6A6A6" w:themeFill="background1" w:themeFillShade="A6"/>
            <w:vAlign w:val="center"/>
          </w:tcPr>
          <w:p>
            <w:pPr>
              <w:rPr>
                <w:i/>
                <w:noProof/>
                <w:sz w:val="20"/>
              </w:rPr>
            </w:pPr>
            <w:r>
              <w:rPr>
                <w:i/>
                <w:noProof/>
                <w:sz w:val="20"/>
              </w:rPr>
              <w:t>5,400</w:t>
            </w:r>
          </w:p>
        </w:tc>
        <w:tc>
          <w:tcPr>
            <w:tcW w:w="1020" w:type="dxa"/>
            <w:vAlign w:val="center"/>
          </w:tcPr>
          <w:p>
            <w:pPr>
              <w:rPr>
                <w:noProof/>
                <w:sz w:val="20"/>
              </w:rPr>
            </w:pPr>
            <w:r>
              <w:rPr>
                <w:noProof/>
                <w:sz w:val="20"/>
              </w:rPr>
              <w:t>18,800</w:t>
            </w:r>
          </w:p>
        </w:tc>
        <w:tc>
          <w:tcPr>
            <w:tcW w:w="1009" w:type="dxa"/>
            <w:gridSpan w:val="2"/>
            <w:vAlign w:val="center"/>
          </w:tcPr>
          <w:p>
            <w:pPr>
              <w:rPr>
                <w:noProof/>
                <w:sz w:val="20"/>
              </w:rPr>
            </w:pPr>
            <w:r>
              <w:rPr>
                <w:noProof/>
                <w:sz w:val="20"/>
              </w:rPr>
              <w:t>24,200</w:t>
            </w:r>
          </w:p>
        </w:tc>
      </w:tr>
      <w:tr>
        <w:trPr>
          <w:trHeight w:val="411"/>
          <w:jc w:val="center"/>
        </w:trPr>
        <w:tc>
          <w:tcPr>
            <w:tcW w:w="3821" w:type="dxa"/>
          </w:tcPr>
          <w:p>
            <w:pPr>
              <w:rPr>
                <w:noProof/>
              </w:rPr>
            </w:pPr>
            <w:r>
              <w:rPr>
                <w:noProof/>
              </w:rPr>
              <w:t xml:space="preserve">03 01 01 01 </w:t>
            </w:r>
          </w:p>
          <w:p>
            <w:pPr>
              <w:rPr>
                <w:noProof/>
                <w:sz w:val="20"/>
              </w:rPr>
            </w:pPr>
            <w:r>
              <w:rPr>
                <w:noProof/>
              </w:rPr>
              <w:t>Δαπάνες στήριξης για το πρόγραμμα για την ενιαία αγορά</w:t>
            </w:r>
          </w:p>
        </w:tc>
        <w:tc>
          <w:tcPr>
            <w:tcW w:w="1265" w:type="dxa"/>
            <w:vAlign w:val="center"/>
          </w:tcPr>
          <w:p>
            <w:pPr>
              <w:rPr>
                <w:noProof/>
                <w:sz w:val="18"/>
              </w:rPr>
            </w:pPr>
            <w:r>
              <w:rPr>
                <w:noProof/>
                <w:sz w:val="18"/>
              </w:rPr>
              <w:t>Αναλήψεις υποχρεώσεων = Πληρωμές</w:t>
            </w:r>
          </w:p>
        </w:tc>
        <w:tc>
          <w:tcPr>
            <w:tcW w:w="1058" w:type="dxa"/>
            <w:gridSpan w:val="2"/>
            <w:vAlign w:val="center"/>
          </w:tcPr>
          <w:p>
            <w:pPr>
              <w:rPr>
                <w:noProof/>
                <w:sz w:val="14"/>
              </w:rPr>
            </w:pPr>
            <w:r>
              <w:rPr>
                <w:noProof/>
                <w:sz w:val="14"/>
              </w:rPr>
              <w:t>(5)</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r>
              <w:rPr>
                <w:noProof/>
                <w:sz w:val="20"/>
              </w:rPr>
              <w:t>0,025</w:t>
            </w:r>
          </w:p>
        </w:tc>
        <w:tc>
          <w:tcPr>
            <w:tcW w:w="895" w:type="dxa"/>
            <w:vAlign w:val="center"/>
          </w:tcPr>
          <w:p>
            <w:pPr>
              <w:rPr>
                <w:noProof/>
                <w:sz w:val="20"/>
              </w:rPr>
            </w:pPr>
            <w:r>
              <w:rPr>
                <w:noProof/>
                <w:sz w:val="20"/>
              </w:rPr>
              <w:t>0,230</w:t>
            </w:r>
          </w:p>
        </w:tc>
        <w:tc>
          <w:tcPr>
            <w:tcW w:w="924" w:type="dxa"/>
            <w:vAlign w:val="center"/>
          </w:tcPr>
          <w:p>
            <w:pPr>
              <w:rPr>
                <w:noProof/>
                <w:sz w:val="20"/>
              </w:rPr>
            </w:pPr>
            <w:r>
              <w:rPr>
                <w:noProof/>
                <w:sz w:val="20"/>
              </w:rPr>
              <w:t>0,220</w:t>
            </w:r>
          </w:p>
        </w:tc>
        <w:tc>
          <w:tcPr>
            <w:tcW w:w="1020" w:type="dxa"/>
            <w:vAlign w:val="center"/>
          </w:tcPr>
          <w:p>
            <w:pPr>
              <w:rPr>
                <w:noProof/>
                <w:sz w:val="20"/>
              </w:rPr>
            </w:pPr>
            <w:r>
              <w:rPr>
                <w:noProof/>
                <w:sz w:val="20"/>
              </w:rPr>
              <w:t>0,220</w:t>
            </w:r>
          </w:p>
        </w:tc>
        <w:tc>
          <w:tcPr>
            <w:tcW w:w="1020" w:type="dxa"/>
            <w:vAlign w:val="center"/>
          </w:tcPr>
          <w:p>
            <w:pPr>
              <w:rPr>
                <w:noProof/>
                <w:sz w:val="20"/>
              </w:rPr>
            </w:pPr>
            <w:r>
              <w:rPr>
                <w:noProof/>
                <w:sz w:val="20"/>
              </w:rPr>
              <w:t>0,220</w:t>
            </w:r>
          </w:p>
        </w:tc>
        <w:tc>
          <w:tcPr>
            <w:tcW w:w="1021" w:type="dxa"/>
            <w:shd w:val="clear" w:color="auto" w:fill="A6A6A6" w:themeFill="background1" w:themeFillShade="A6"/>
            <w:vAlign w:val="center"/>
          </w:tcPr>
          <w:p>
            <w:pPr>
              <w:rPr>
                <w:noProof/>
                <w:sz w:val="20"/>
              </w:rPr>
            </w:pPr>
          </w:p>
        </w:tc>
        <w:tc>
          <w:tcPr>
            <w:tcW w:w="1020" w:type="dxa"/>
            <w:vAlign w:val="center"/>
          </w:tcPr>
          <w:p>
            <w:pPr>
              <w:rPr>
                <w:noProof/>
                <w:sz w:val="20"/>
              </w:rPr>
            </w:pPr>
            <w:r>
              <w:rPr>
                <w:noProof/>
                <w:sz w:val="20"/>
              </w:rPr>
              <w:t>0,915</w:t>
            </w:r>
          </w:p>
        </w:tc>
        <w:tc>
          <w:tcPr>
            <w:tcW w:w="1009" w:type="dxa"/>
            <w:gridSpan w:val="2"/>
            <w:vAlign w:val="center"/>
          </w:tcPr>
          <w:p>
            <w:pPr>
              <w:rPr>
                <w:noProof/>
                <w:sz w:val="20"/>
              </w:rPr>
            </w:pPr>
            <w:r>
              <w:rPr>
                <w:noProof/>
                <w:sz w:val="20"/>
              </w:rPr>
              <w:t>0,915</w:t>
            </w:r>
          </w:p>
        </w:tc>
      </w:tr>
      <w:tr>
        <w:trPr>
          <w:jc w:val="center"/>
        </w:trPr>
        <w:tc>
          <w:tcPr>
            <w:tcW w:w="3821" w:type="dxa"/>
            <w:vMerge w:val="restart"/>
            <w:vAlign w:val="center"/>
          </w:tcPr>
          <w:p>
            <w:pPr>
              <w:rPr>
                <w:noProof/>
              </w:rPr>
            </w:pPr>
            <w:r>
              <w:rPr>
                <w:noProof/>
              </w:rPr>
              <w:t>ΣΥΝΟΛΟ πιστώσεων για το χρηματοδοτικό κονδύλιο του προγράμματος</w:t>
            </w:r>
          </w:p>
        </w:tc>
        <w:tc>
          <w:tcPr>
            <w:tcW w:w="1265" w:type="dxa"/>
            <w:vAlign w:val="center"/>
          </w:tcPr>
          <w:p>
            <w:pPr>
              <w:rPr>
                <w:noProof/>
                <w:sz w:val="18"/>
              </w:rPr>
            </w:pPr>
            <w:r>
              <w:rPr>
                <w:noProof/>
                <w:sz w:val="18"/>
              </w:rPr>
              <w:t>Αναλήψεις υποχρεώσεων</w:t>
            </w:r>
          </w:p>
        </w:tc>
        <w:tc>
          <w:tcPr>
            <w:tcW w:w="1058" w:type="dxa"/>
            <w:gridSpan w:val="2"/>
            <w:vAlign w:val="center"/>
          </w:tcPr>
          <w:p>
            <w:pPr>
              <w:rPr>
                <w:noProof/>
                <w:sz w:val="14"/>
              </w:rPr>
            </w:pPr>
            <w:r>
              <w:rPr>
                <w:noProof/>
                <w:sz w:val="14"/>
              </w:rPr>
              <w:t>(1)+(3)+(5)</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r>
              <w:rPr>
                <w:noProof/>
                <w:sz w:val="20"/>
              </w:rPr>
              <w:t>4,551</w:t>
            </w:r>
          </w:p>
        </w:tc>
        <w:tc>
          <w:tcPr>
            <w:tcW w:w="895" w:type="dxa"/>
            <w:vAlign w:val="center"/>
          </w:tcPr>
          <w:p>
            <w:pPr>
              <w:rPr>
                <w:noProof/>
                <w:sz w:val="20"/>
              </w:rPr>
            </w:pPr>
            <w:r>
              <w:rPr>
                <w:noProof/>
                <w:sz w:val="20"/>
              </w:rPr>
              <w:t>8,906</w:t>
            </w:r>
          </w:p>
        </w:tc>
        <w:tc>
          <w:tcPr>
            <w:tcW w:w="924" w:type="dxa"/>
            <w:vAlign w:val="center"/>
          </w:tcPr>
          <w:p>
            <w:pPr>
              <w:rPr>
                <w:noProof/>
                <w:sz w:val="20"/>
              </w:rPr>
            </w:pPr>
            <w:r>
              <w:rPr>
                <w:noProof/>
                <w:sz w:val="20"/>
              </w:rPr>
              <w:t>15,422</w:t>
            </w:r>
          </w:p>
        </w:tc>
        <w:tc>
          <w:tcPr>
            <w:tcW w:w="1020" w:type="dxa"/>
            <w:vAlign w:val="center"/>
          </w:tcPr>
          <w:p>
            <w:pPr>
              <w:rPr>
                <w:noProof/>
                <w:sz w:val="20"/>
              </w:rPr>
            </w:pPr>
            <w:r>
              <w:rPr>
                <w:noProof/>
                <w:sz w:val="20"/>
              </w:rPr>
              <w:t>15,422</w:t>
            </w:r>
          </w:p>
        </w:tc>
        <w:tc>
          <w:tcPr>
            <w:tcW w:w="1020" w:type="dxa"/>
            <w:vAlign w:val="center"/>
          </w:tcPr>
          <w:p>
            <w:pPr>
              <w:rPr>
                <w:noProof/>
                <w:sz w:val="20"/>
              </w:rPr>
            </w:pPr>
            <w:r>
              <w:rPr>
                <w:noProof/>
                <w:sz w:val="20"/>
              </w:rPr>
              <w:t>15,422</w:t>
            </w:r>
          </w:p>
        </w:tc>
        <w:tc>
          <w:tcPr>
            <w:tcW w:w="1021" w:type="dxa"/>
            <w:shd w:val="clear" w:color="auto" w:fill="A6A6A6"/>
            <w:vAlign w:val="center"/>
          </w:tcPr>
          <w:p>
            <w:pPr>
              <w:rPr>
                <w:i/>
                <w:noProof/>
                <w:sz w:val="20"/>
              </w:rPr>
            </w:pPr>
            <w:r>
              <w:rPr>
                <w:i/>
                <w:noProof/>
                <w:sz w:val="20"/>
              </w:rPr>
              <w:t>15,202</w:t>
            </w:r>
          </w:p>
        </w:tc>
        <w:tc>
          <w:tcPr>
            <w:tcW w:w="1020" w:type="dxa"/>
            <w:vAlign w:val="center"/>
          </w:tcPr>
          <w:p>
            <w:pPr>
              <w:rPr>
                <w:noProof/>
                <w:sz w:val="20"/>
              </w:rPr>
            </w:pPr>
            <w:r>
              <w:rPr>
                <w:noProof/>
                <w:sz w:val="20"/>
              </w:rPr>
              <w:t>59,723</w:t>
            </w:r>
          </w:p>
        </w:tc>
        <w:tc>
          <w:tcPr>
            <w:tcW w:w="1009" w:type="dxa"/>
            <w:gridSpan w:val="2"/>
            <w:vAlign w:val="center"/>
          </w:tcPr>
          <w:p>
            <w:pPr>
              <w:rPr>
                <w:noProof/>
                <w:sz w:val="20"/>
              </w:rPr>
            </w:pPr>
            <w:r>
              <w:rPr>
                <w:noProof/>
                <w:sz w:val="20"/>
              </w:rPr>
              <w:t>74,925</w:t>
            </w:r>
          </w:p>
        </w:tc>
      </w:tr>
      <w:tr>
        <w:trPr>
          <w:jc w:val="center"/>
        </w:trPr>
        <w:tc>
          <w:tcPr>
            <w:tcW w:w="3821" w:type="dxa"/>
            <w:vMerge/>
          </w:tcPr>
          <w:p>
            <w:pPr>
              <w:rPr>
                <w:noProof/>
                <w:sz w:val="20"/>
              </w:rPr>
            </w:pPr>
          </w:p>
        </w:tc>
        <w:tc>
          <w:tcPr>
            <w:tcW w:w="1265" w:type="dxa"/>
            <w:vAlign w:val="center"/>
          </w:tcPr>
          <w:p>
            <w:pPr>
              <w:rPr>
                <w:noProof/>
                <w:sz w:val="18"/>
              </w:rPr>
            </w:pPr>
            <w:r>
              <w:rPr>
                <w:noProof/>
                <w:sz w:val="18"/>
              </w:rPr>
              <w:t>Πληρωμές</w:t>
            </w:r>
          </w:p>
        </w:tc>
        <w:tc>
          <w:tcPr>
            <w:tcW w:w="1058" w:type="dxa"/>
            <w:gridSpan w:val="2"/>
            <w:vAlign w:val="center"/>
          </w:tcPr>
          <w:p>
            <w:pPr>
              <w:rPr>
                <w:noProof/>
                <w:sz w:val="14"/>
              </w:rPr>
            </w:pPr>
            <w:r>
              <w:rPr>
                <w:noProof/>
                <w:sz w:val="14"/>
              </w:rPr>
              <w:t>(2)+(4)+(5)</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r>
              <w:rPr>
                <w:noProof/>
                <w:sz w:val="20"/>
              </w:rPr>
              <w:t>2,550</w:t>
            </w:r>
          </w:p>
        </w:tc>
        <w:tc>
          <w:tcPr>
            <w:tcW w:w="895" w:type="dxa"/>
            <w:vAlign w:val="center"/>
          </w:tcPr>
          <w:p>
            <w:pPr>
              <w:rPr>
                <w:noProof/>
                <w:sz w:val="20"/>
              </w:rPr>
            </w:pPr>
            <w:r>
              <w:rPr>
                <w:noProof/>
                <w:sz w:val="20"/>
              </w:rPr>
              <w:t>7,356</w:t>
            </w:r>
          </w:p>
        </w:tc>
        <w:tc>
          <w:tcPr>
            <w:tcW w:w="924" w:type="dxa"/>
            <w:vAlign w:val="center"/>
          </w:tcPr>
          <w:p>
            <w:pPr>
              <w:rPr>
                <w:noProof/>
                <w:sz w:val="20"/>
              </w:rPr>
            </w:pPr>
            <w:r>
              <w:rPr>
                <w:noProof/>
                <w:sz w:val="20"/>
              </w:rPr>
              <w:t>10,695</w:t>
            </w:r>
          </w:p>
        </w:tc>
        <w:tc>
          <w:tcPr>
            <w:tcW w:w="1020" w:type="dxa"/>
            <w:vAlign w:val="center"/>
          </w:tcPr>
          <w:p>
            <w:pPr>
              <w:rPr>
                <w:noProof/>
                <w:sz w:val="20"/>
              </w:rPr>
            </w:pPr>
            <w:r>
              <w:rPr>
                <w:noProof/>
                <w:sz w:val="20"/>
              </w:rPr>
              <w:t>14,420</w:t>
            </w:r>
          </w:p>
        </w:tc>
        <w:tc>
          <w:tcPr>
            <w:tcW w:w="1020" w:type="dxa"/>
            <w:vAlign w:val="center"/>
          </w:tcPr>
          <w:p>
            <w:pPr>
              <w:rPr>
                <w:noProof/>
                <w:sz w:val="20"/>
              </w:rPr>
            </w:pPr>
            <w:r>
              <w:rPr>
                <w:noProof/>
                <w:sz w:val="20"/>
              </w:rPr>
              <w:t>14,920</w:t>
            </w:r>
          </w:p>
        </w:tc>
        <w:tc>
          <w:tcPr>
            <w:tcW w:w="1021" w:type="dxa"/>
            <w:shd w:val="clear" w:color="auto" w:fill="A6A6A6" w:themeFill="background1" w:themeFillShade="A6"/>
            <w:vAlign w:val="center"/>
          </w:tcPr>
          <w:p>
            <w:pPr>
              <w:rPr>
                <w:i/>
                <w:noProof/>
                <w:sz w:val="20"/>
              </w:rPr>
            </w:pPr>
            <w:r>
              <w:rPr>
                <w:i/>
                <w:noProof/>
                <w:sz w:val="20"/>
              </w:rPr>
              <w:t>24,984</w:t>
            </w:r>
          </w:p>
        </w:tc>
        <w:tc>
          <w:tcPr>
            <w:tcW w:w="1020" w:type="dxa"/>
            <w:vAlign w:val="center"/>
          </w:tcPr>
          <w:p>
            <w:pPr>
              <w:rPr>
                <w:noProof/>
                <w:sz w:val="20"/>
              </w:rPr>
            </w:pPr>
            <w:r>
              <w:rPr>
                <w:noProof/>
                <w:sz w:val="20"/>
              </w:rPr>
              <w:t>49,941</w:t>
            </w:r>
          </w:p>
        </w:tc>
        <w:tc>
          <w:tcPr>
            <w:tcW w:w="1009" w:type="dxa"/>
            <w:gridSpan w:val="2"/>
            <w:vAlign w:val="center"/>
          </w:tcPr>
          <w:p>
            <w:pPr>
              <w:rPr>
                <w:noProof/>
                <w:sz w:val="20"/>
              </w:rPr>
            </w:pPr>
            <w:r>
              <w:rPr>
                <w:noProof/>
                <w:sz w:val="20"/>
              </w:rPr>
              <w:t>74,925</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rPr>
                <w:b/>
                <w:noProof/>
              </w:rPr>
            </w:pPr>
            <w:r>
              <w:rPr>
                <w:noProof/>
              </w:rPr>
              <w:br w:type="page"/>
            </w:r>
            <w:r>
              <w:rPr>
                <w:b/>
                <w:noProof/>
                <w:sz w:val="22"/>
              </w:rPr>
              <w:t>Τομέας του πολυετούς</w:t>
            </w:r>
            <w:r>
              <w:rPr>
                <w:noProof/>
              </w:rPr>
              <w:t xml:space="preserve"> </w:t>
            </w:r>
            <w:r>
              <w:rPr>
                <w:noProof/>
              </w:rPr>
              <w:br/>
            </w:r>
            <w:r>
              <w:rPr>
                <w:b/>
                <w:noProof/>
                <w:sz w:val="22"/>
              </w:rPr>
              <w:t xml:space="preserve">δημοσιονομικού πλαισίου </w:t>
            </w:r>
          </w:p>
        </w:tc>
        <w:tc>
          <w:tcPr>
            <w:tcW w:w="1080" w:type="dxa"/>
            <w:shd w:val="thinDiagStripe" w:color="C0C0C0" w:fill="auto"/>
            <w:vAlign w:val="center"/>
          </w:tcPr>
          <w:p>
            <w:pPr>
              <w:rPr>
                <w:noProof/>
              </w:rPr>
            </w:pPr>
            <w:r>
              <w:rPr>
                <w:noProof/>
              </w:rPr>
              <w:t>7</w:t>
            </w:r>
          </w:p>
        </w:tc>
        <w:tc>
          <w:tcPr>
            <w:tcW w:w="7817" w:type="dxa"/>
            <w:vAlign w:val="center"/>
          </w:tcPr>
          <w:p>
            <w:pPr>
              <w:rPr>
                <w:noProof/>
              </w:rPr>
            </w:pPr>
            <w:r>
              <w:rPr>
                <w:noProof/>
                <w:sz w:val="22"/>
              </w:rPr>
              <w:t>«Διοικητικές δαπάνες»</w:t>
            </w:r>
          </w:p>
        </w:tc>
      </w:tr>
    </w:tbl>
    <w:p>
      <w:pPr>
        <w:rPr>
          <w:noProof/>
        </w:rPr>
      </w:pPr>
    </w:p>
    <w:p>
      <w:pPr>
        <w:jc w:val="right"/>
        <w:rPr>
          <w:noProof/>
          <w:sz w:val="20"/>
        </w:rPr>
      </w:pPr>
      <w:r>
        <w:rPr>
          <w:noProof/>
          <w:sz w:val="20"/>
        </w:rPr>
        <w:t>σε εκατ. EUR (με τρία δεκαδικά ψηφία)</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rPr>
                <w:noProof/>
                <w:sz w:val="20"/>
              </w:rPr>
            </w:pPr>
          </w:p>
        </w:tc>
        <w:tc>
          <w:tcPr>
            <w:tcW w:w="868" w:type="dxa"/>
            <w:vAlign w:val="center"/>
          </w:tcPr>
          <w:p>
            <w:pPr>
              <w:rPr>
                <w:b/>
                <w:noProof/>
                <w:sz w:val="20"/>
              </w:rPr>
            </w:pPr>
            <w:r>
              <w:rPr>
                <w:b/>
                <w:noProof/>
                <w:sz w:val="20"/>
              </w:rPr>
              <w:t>2021</w:t>
            </w:r>
          </w:p>
        </w:tc>
        <w:tc>
          <w:tcPr>
            <w:tcW w:w="868" w:type="dxa"/>
            <w:vAlign w:val="center"/>
          </w:tcPr>
          <w:p>
            <w:pPr>
              <w:rPr>
                <w:b/>
                <w:noProof/>
                <w:sz w:val="20"/>
              </w:rPr>
            </w:pPr>
            <w:r>
              <w:rPr>
                <w:b/>
                <w:noProof/>
                <w:sz w:val="20"/>
              </w:rPr>
              <w:t>2022</w:t>
            </w:r>
          </w:p>
        </w:tc>
        <w:tc>
          <w:tcPr>
            <w:tcW w:w="868" w:type="dxa"/>
            <w:vAlign w:val="center"/>
          </w:tcPr>
          <w:p>
            <w:pPr>
              <w:rPr>
                <w:b/>
                <w:noProof/>
                <w:sz w:val="20"/>
              </w:rPr>
            </w:pPr>
            <w:r>
              <w:rPr>
                <w:b/>
                <w:noProof/>
                <w:sz w:val="20"/>
              </w:rPr>
              <w:t>2023</w:t>
            </w:r>
          </w:p>
        </w:tc>
        <w:tc>
          <w:tcPr>
            <w:tcW w:w="868" w:type="dxa"/>
            <w:vAlign w:val="center"/>
          </w:tcPr>
          <w:p>
            <w:pPr>
              <w:rPr>
                <w:b/>
                <w:noProof/>
                <w:sz w:val="20"/>
              </w:rPr>
            </w:pPr>
            <w:r>
              <w:rPr>
                <w:b/>
                <w:noProof/>
                <w:sz w:val="20"/>
              </w:rPr>
              <w:t>2024</w:t>
            </w:r>
          </w:p>
        </w:tc>
        <w:tc>
          <w:tcPr>
            <w:tcW w:w="868" w:type="dxa"/>
            <w:vAlign w:val="center"/>
          </w:tcPr>
          <w:p>
            <w:pPr>
              <w:rPr>
                <w:b/>
                <w:noProof/>
                <w:sz w:val="18"/>
              </w:rPr>
            </w:pPr>
            <w:r>
              <w:rPr>
                <w:b/>
                <w:noProof/>
                <w:sz w:val="18"/>
              </w:rPr>
              <w:t>2025</w:t>
            </w:r>
          </w:p>
        </w:tc>
        <w:tc>
          <w:tcPr>
            <w:tcW w:w="868" w:type="dxa"/>
            <w:vAlign w:val="center"/>
          </w:tcPr>
          <w:p>
            <w:pPr>
              <w:rPr>
                <w:b/>
                <w:noProof/>
                <w:sz w:val="18"/>
              </w:rPr>
            </w:pPr>
            <w:r>
              <w:rPr>
                <w:b/>
                <w:noProof/>
                <w:sz w:val="18"/>
              </w:rPr>
              <w:t>2026</w:t>
            </w:r>
          </w:p>
        </w:tc>
        <w:tc>
          <w:tcPr>
            <w:tcW w:w="868" w:type="dxa"/>
            <w:vAlign w:val="center"/>
          </w:tcPr>
          <w:p>
            <w:pPr>
              <w:rPr>
                <w:b/>
                <w:noProof/>
                <w:sz w:val="18"/>
              </w:rPr>
            </w:pPr>
            <w:r>
              <w:rPr>
                <w:b/>
                <w:noProof/>
                <w:sz w:val="18"/>
              </w:rPr>
              <w:t>2027</w:t>
            </w:r>
          </w:p>
        </w:tc>
        <w:tc>
          <w:tcPr>
            <w:tcW w:w="887" w:type="dxa"/>
            <w:vAlign w:val="center"/>
          </w:tcPr>
          <w:p>
            <w:pPr>
              <w:rPr>
                <w:b/>
                <w:i/>
                <w:noProof/>
                <w:sz w:val="20"/>
              </w:rPr>
            </w:pPr>
            <w:r>
              <w:rPr>
                <w:b/>
                <w:i/>
                <w:noProof/>
                <w:sz w:val="20"/>
              </w:rPr>
              <w:t>Μετά το 2027</w:t>
            </w:r>
            <w:r>
              <w:rPr>
                <w:rStyle w:val="FootnoteReference"/>
                <w:b/>
                <w:i/>
                <w:noProof/>
                <w:sz w:val="20"/>
              </w:rPr>
              <w:footnoteReference w:id="61"/>
            </w:r>
          </w:p>
        </w:tc>
        <w:tc>
          <w:tcPr>
            <w:tcW w:w="1291" w:type="dxa"/>
            <w:vAlign w:val="center"/>
          </w:tcPr>
          <w:p>
            <w:pPr>
              <w:rPr>
                <w:b/>
                <w:noProof/>
                <w:sz w:val="20"/>
              </w:rPr>
            </w:pPr>
            <w:r>
              <w:rPr>
                <w:b/>
                <w:noProof/>
                <w:sz w:val="20"/>
              </w:rPr>
              <w:t>ΣΥΝΟΛΟ (2023-2027)</w:t>
            </w:r>
          </w:p>
        </w:tc>
      </w:tr>
      <w:tr>
        <w:trPr>
          <w:trHeight w:val="313"/>
          <w:jc w:val="center"/>
        </w:trPr>
        <w:tc>
          <w:tcPr>
            <w:tcW w:w="6245" w:type="dxa"/>
            <w:gridSpan w:val="2"/>
            <w:vAlign w:val="center"/>
          </w:tcPr>
          <w:p>
            <w:pPr>
              <w:rPr>
                <w:noProof/>
              </w:rPr>
            </w:pPr>
            <w:r>
              <w:rPr>
                <w:noProof/>
                <w:sz w:val="22"/>
              </w:rPr>
              <w:t xml:space="preserve">Ανθρώπινοι πόροι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r>
              <w:rPr>
                <w:noProof/>
                <w:sz w:val="20"/>
              </w:rPr>
              <w:t>0,750</w:t>
            </w:r>
          </w:p>
        </w:tc>
        <w:tc>
          <w:tcPr>
            <w:tcW w:w="868" w:type="dxa"/>
            <w:vAlign w:val="center"/>
          </w:tcPr>
          <w:p>
            <w:pPr>
              <w:rPr>
                <w:noProof/>
                <w:sz w:val="20"/>
              </w:rPr>
            </w:pPr>
            <w:r>
              <w:rPr>
                <w:noProof/>
                <w:sz w:val="20"/>
              </w:rPr>
              <w:t>3,750</w:t>
            </w:r>
          </w:p>
        </w:tc>
        <w:tc>
          <w:tcPr>
            <w:tcW w:w="868" w:type="dxa"/>
            <w:vAlign w:val="center"/>
          </w:tcPr>
          <w:p>
            <w:pPr>
              <w:rPr>
                <w:noProof/>
                <w:sz w:val="20"/>
              </w:rPr>
            </w:pPr>
            <w:r>
              <w:rPr>
                <w:noProof/>
                <w:sz w:val="20"/>
              </w:rPr>
              <w:t>6,295</w:t>
            </w:r>
          </w:p>
        </w:tc>
        <w:tc>
          <w:tcPr>
            <w:tcW w:w="868" w:type="dxa"/>
            <w:vAlign w:val="center"/>
          </w:tcPr>
          <w:p>
            <w:pPr>
              <w:rPr>
                <w:noProof/>
                <w:sz w:val="20"/>
              </w:rPr>
            </w:pPr>
            <w:r>
              <w:rPr>
                <w:noProof/>
                <w:sz w:val="20"/>
              </w:rPr>
              <w:t>6,295</w:t>
            </w:r>
          </w:p>
        </w:tc>
        <w:tc>
          <w:tcPr>
            <w:tcW w:w="868" w:type="dxa"/>
            <w:vAlign w:val="center"/>
          </w:tcPr>
          <w:p>
            <w:pPr>
              <w:rPr>
                <w:noProof/>
                <w:sz w:val="20"/>
              </w:rPr>
            </w:pPr>
            <w:r>
              <w:rPr>
                <w:noProof/>
                <w:sz w:val="20"/>
              </w:rPr>
              <w:t>6,295</w:t>
            </w:r>
          </w:p>
        </w:tc>
        <w:tc>
          <w:tcPr>
            <w:tcW w:w="887" w:type="dxa"/>
            <w:shd w:val="clear" w:color="auto" w:fill="A6A6A6"/>
            <w:vAlign w:val="center"/>
          </w:tcPr>
          <w:p>
            <w:pPr>
              <w:rPr>
                <w:i/>
                <w:noProof/>
                <w:sz w:val="20"/>
              </w:rPr>
            </w:pPr>
            <w:r>
              <w:rPr>
                <w:i/>
                <w:noProof/>
                <w:sz w:val="20"/>
              </w:rPr>
              <w:t>6,295</w:t>
            </w:r>
          </w:p>
        </w:tc>
        <w:tc>
          <w:tcPr>
            <w:tcW w:w="1291" w:type="dxa"/>
            <w:vAlign w:val="center"/>
          </w:tcPr>
          <w:p>
            <w:pPr>
              <w:rPr>
                <w:b/>
                <w:noProof/>
                <w:sz w:val="20"/>
              </w:rPr>
            </w:pPr>
            <w:r>
              <w:rPr>
                <w:b/>
                <w:noProof/>
                <w:sz w:val="20"/>
              </w:rPr>
              <w:t>23,385</w:t>
            </w:r>
          </w:p>
        </w:tc>
      </w:tr>
      <w:tr>
        <w:trPr>
          <w:trHeight w:val="351"/>
          <w:jc w:val="center"/>
        </w:trPr>
        <w:tc>
          <w:tcPr>
            <w:tcW w:w="6245" w:type="dxa"/>
            <w:gridSpan w:val="2"/>
            <w:vAlign w:val="center"/>
          </w:tcPr>
          <w:p>
            <w:pPr>
              <w:rPr>
                <w:noProof/>
              </w:rPr>
            </w:pPr>
            <w:r>
              <w:rPr>
                <w:noProof/>
                <w:sz w:val="22"/>
              </w:rPr>
              <w:t xml:space="preserve">Άλλες διοικητικές δαπάνες </w:t>
            </w: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noProof/>
                <w:sz w:val="20"/>
              </w:rPr>
            </w:pPr>
            <w:r>
              <w:rPr>
                <w:noProof/>
                <w:sz w:val="20"/>
              </w:rPr>
              <w:t>0,140</w:t>
            </w:r>
          </w:p>
        </w:tc>
        <w:tc>
          <w:tcPr>
            <w:tcW w:w="868" w:type="dxa"/>
            <w:vAlign w:val="center"/>
          </w:tcPr>
          <w:p>
            <w:pPr>
              <w:rPr>
                <w:noProof/>
                <w:sz w:val="20"/>
              </w:rPr>
            </w:pPr>
            <w:r>
              <w:rPr>
                <w:noProof/>
                <w:sz w:val="20"/>
              </w:rPr>
              <w:t>0,250</w:t>
            </w:r>
          </w:p>
        </w:tc>
        <w:tc>
          <w:tcPr>
            <w:tcW w:w="868" w:type="dxa"/>
            <w:vAlign w:val="center"/>
          </w:tcPr>
          <w:p>
            <w:pPr>
              <w:rPr>
                <w:noProof/>
                <w:sz w:val="20"/>
              </w:rPr>
            </w:pPr>
            <w:r>
              <w:rPr>
                <w:noProof/>
                <w:sz w:val="20"/>
              </w:rPr>
              <w:t>0,275</w:t>
            </w:r>
          </w:p>
        </w:tc>
        <w:tc>
          <w:tcPr>
            <w:tcW w:w="868" w:type="dxa"/>
            <w:vAlign w:val="center"/>
          </w:tcPr>
          <w:p>
            <w:pPr>
              <w:rPr>
                <w:noProof/>
                <w:sz w:val="20"/>
              </w:rPr>
            </w:pPr>
            <w:r>
              <w:rPr>
                <w:noProof/>
                <w:sz w:val="20"/>
              </w:rPr>
              <w:t>0,300</w:t>
            </w:r>
          </w:p>
        </w:tc>
        <w:tc>
          <w:tcPr>
            <w:tcW w:w="868" w:type="dxa"/>
            <w:vAlign w:val="center"/>
          </w:tcPr>
          <w:p>
            <w:pPr>
              <w:rPr>
                <w:noProof/>
                <w:sz w:val="20"/>
              </w:rPr>
            </w:pPr>
            <w:r>
              <w:rPr>
                <w:noProof/>
                <w:sz w:val="20"/>
              </w:rPr>
              <w:t>0,325</w:t>
            </w:r>
          </w:p>
        </w:tc>
        <w:tc>
          <w:tcPr>
            <w:tcW w:w="887" w:type="dxa"/>
            <w:shd w:val="clear" w:color="auto" w:fill="A6A6A6"/>
            <w:vAlign w:val="center"/>
          </w:tcPr>
          <w:p>
            <w:pPr>
              <w:rPr>
                <w:i/>
                <w:noProof/>
                <w:sz w:val="20"/>
              </w:rPr>
            </w:pPr>
            <w:r>
              <w:rPr>
                <w:i/>
                <w:noProof/>
                <w:sz w:val="20"/>
              </w:rPr>
              <w:t>0,325</w:t>
            </w:r>
          </w:p>
        </w:tc>
        <w:tc>
          <w:tcPr>
            <w:tcW w:w="1291" w:type="dxa"/>
          </w:tcPr>
          <w:p>
            <w:pPr>
              <w:rPr>
                <w:b/>
                <w:noProof/>
                <w:sz w:val="20"/>
              </w:rPr>
            </w:pPr>
            <w:r>
              <w:rPr>
                <w:b/>
                <w:noProof/>
                <w:sz w:val="20"/>
              </w:rPr>
              <w:t>1,290</w:t>
            </w:r>
          </w:p>
        </w:tc>
      </w:tr>
      <w:tr>
        <w:trPr>
          <w:trHeight w:val="351"/>
          <w:jc w:val="center"/>
        </w:trPr>
        <w:tc>
          <w:tcPr>
            <w:tcW w:w="4199" w:type="dxa"/>
            <w:vAlign w:val="center"/>
          </w:tcPr>
          <w:p>
            <w:pPr>
              <w:rPr>
                <w:b/>
                <w:noProof/>
                <w:sz w:val="22"/>
              </w:rPr>
            </w:pPr>
            <w:r>
              <w:rPr>
                <w:b/>
                <w:noProof/>
                <w:sz w:val="22"/>
              </w:rPr>
              <w:t>ΣΥΝΟΛΟ πιστώσεων του ΤΟΜΕΑ 7 του πολυετούς δημοσιονομικού πλαισίου</w:t>
            </w:r>
          </w:p>
        </w:tc>
        <w:tc>
          <w:tcPr>
            <w:tcW w:w="2046" w:type="dxa"/>
            <w:vAlign w:val="center"/>
          </w:tcPr>
          <w:p>
            <w:pPr>
              <w:rPr>
                <w:noProof/>
                <w:sz w:val="22"/>
              </w:rPr>
            </w:pPr>
            <w:r>
              <w:rPr>
                <w:noProof/>
                <w:sz w:val="18"/>
              </w:rPr>
              <w:t>(Σύνολο αναλήψεων υποχρεώσεων = Σύνολο πληρωμών)</w:t>
            </w: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r>
              <w:rPr>
                <w:b/>
                <w:noProof/>
                <w:sz w:val="20"/>
              </w:rPr>
              <w:t>0,890</w:t>
            </w:r>
          </w:p>
        </w:tc>
        <w:tc>
          <w:tcPr>
            <w:tcW w:w="868" w:type="dxa"/>
            <w:vAlign w:val="center"/>
          </w:tcPr>
          <w:p>
            <w:pPr>
              <w:rPr>
                <w:b/>
                <w:noProof/>
                <w:sz w:val="20"/>
              </w:rPr>
            </w:pPr>
            <w:r>
              <w:rPr>
                <w:b/>
                <w:noProof/>
                <w:sz w:val="20"/>
              </w:rPr>
              <w:t>4,000</w:t>
            </w:r>
          </w:p>
        </w:tc>
        <w:tc>
          <w:tcPr>
            <w:tcW w:w="868" w:type="dxa"/>
            <w:vAlign w:val="center"/>
          </w:tcPr>
          <w:p>
            <w:pPr>
              <w:rPr>
                <w:b/>
                <w:noProof/>
                <w:sz w:val="20"/>
              </w:rPr>
            </w:pPr>
            <w:r>
              <w:rPr>
                <w:b/>
                <w:noProof/>
                <w:sz w:val="20"/>
              </w:rPr>
              <w:t>6,570</w:t>
            </w:r>
          </w:p>
        </w:tc>
        <w:tc>
          <w:tcPr>
            <w:tcW w:w="868" w:type="dxa"/>
            <w:vAlign w:val="center"/>
          </w:tcPr>
          <w:p>
            <w:pPr>
              <w:rPr>
                <w:b/>
                <w:noProof/>
                <w:sz w:val="20"/>
              </w:rPr>
            </w:pPr>
            <w:r>
              <w:rPr>
                <w:b/>
                <w:noProof/>
                <w:sz w:val="20"/>
              </w:rPr>
              <w:t>6,595</w:t>
            </w:r>
          </w:p>
        </w:tc>
        <w:tc>
          <w:tcPr>
            <w:tcW w:w="868" w:type="dxa"/>
            <w:vAlign w:val="center"/>
          </w:tcPr>
          <w:p>
            <w:pPr>
              <w:rPr>
                <w:b/>
                <w:noProof/>
                <w:sz w:val="20"/>
              </w:rPr>
            </w:pPr>
            <w:r>
              <w:rPr>
                <w:b/>
                <w:noProof/>
                <w:sz w:val="20"/>
              </w:rPr>
              <w:t>6,620</w:t>
            </w:r>
          </w:p>
        </w:tc>
        <w:tc>
          <w:tcPr>
            <w:tcW w:w="887" w:type="dxa"/>
            <w:shd w:val="clear" w:color="auto" w:fill="A6A6A6"/>
            <w:vAlign w:val="center"/>
          </w:tcPr>
          <w:p>
            <w:pPr>
              <w:rPr>
                <w:b/>
                <w:i/>
                <w:noProof/>
                <w:sz w:val="20"/>
              </w:rPr>
            </w:pPr>
            <w:r>
              <w:rPr>
                <w:b/>
                <w:i/>
                <w:noProof/>
                <w:sz w:val="20"/>
              </w:rPr>
              <w:t>6,620</w:t>
            </w:r>
          </w:p>
        </w:tc>
        <w:tc>
          <w:tcPr>
            <w:tcW w:w="1291" w:type="dxa"/>
            <w:vAlign w:val="center"/>
          </w:tcPr>
          <w:p>
            <w:pPr>
              <w:rPr>
                <w:b/>
                <w:noProof/>
                <w:sz w:val="20"/>
              </w:rPr>
            </w:pPr>
            <w:r>
              <w:rPr>
                <w:b/>
                <w:noProof/>
                <w:sz w:val="20"/>
              </w:rPr>
              <w:t>24,675</w:t>
            </w:r>
          </w:p>
        </w:tc>
      </w:tr>
    </w:tbl>
    <w:p>
      <w:pPr>
        <w:jc w:val="right"/>
        <w:rPr>
          <w:noProof/>
          <w:sz w:val="20"/>
        </w:rPr>
      </w:pPr>
      <w:r>
        <w:rPr>
          <w:noProof/>
          <w:sz w:val="20"/>
        </w:rPr>
        <w:t>σε εκατ. EUR (με τρία δεκαδικά ψηφία)</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rPr>
                <w:noProof/>
              </w:rPr>
            </w:pPr>
          </w:p>
        </w:tc>
        <w:tc>
          <w:tcPr>
            <w:tcW w:w="1560" w:type="dxa"/>
            <w:tcBorders>
              <w:top w:val="nil"/>
              <w:left w:val="nil"/>
              <w:right w:val="nil"/>
            </w:tcBorders>
          </w:tcPr>
          <w:p>
            <w:pPr>
              <w:rPr>
                <w:noProof/>
                <w:sz w:val="20"/>
              </w:rPr>
            </w:pPr>
          </w:p>
        </w:tc>
        <w:tc>
          <w:tcPr>
            <w:tcW w:w="534" w:type="dxa"/>
            <w:tcBorders>
              <w:top w:val="nil"/>
              <w:left w:val="nil"/>
            </w:tcBorders>
          </w:tcPr>
          <w:p>
            <w:pPr>
              <w:rPr>
                <w:noProof/>
                <w:sz w:val="20"/>
              </w:rPr>
            </w:pPr>
          </w:p>
        </w:tc>
        <w:tc>
          <w:tcPr>
            <w:tcW w:w="868" w:type="dxa"/>
            <w:vAlign w:val="center"/>
          </w:tcPr>
          <w:p>
            <w:pPr>
              <w:rPr>
                <w:noProof/>
                <w:sz w:val="20"/>
              </w:rPr>
            </w:pPr>
            <w:r>
              <w:rPr>
                <w:b/>
                <w:noProof/>
                <w:sz w:val="20"/>
              </w:rPr>
              <w:t>2021</w:t>
            </w:r>
          </w:p>
        </w:tc>
        <w:tc>
          <w:tcPr>
            <w:tcW w:w="868" w:type="dxa"/>
            <w:vAlign w:val="center"/>
          </w:tcPr>
          <w:p>
            <w:pPr>
              <w:rPr>
                <w:noProof/>
                <w:sz w:val="20"/>
              </w:rPr>
            </w:pPr>
            <w:r>
              <w:rPr>
                <w:b/>
                <w:noProof/>
                <w:sz w:val="20"/>
              </w:rPr>
              <w:t>2022</w:t>
            </w:r>
          </w:p>
        </w:tc>
        <w:tc>
          <w:tcPr>
            <w:tcW w:w="868" w:type="dxa"/>
            <w:vAlign w:val="center"/>
          </w:tcPr>
          <w:p>
            <w:pPr>
              <w:rPr>
                <w:noProof/>
                <w:sz w:val="20"/>
              </w:rPr>
            </w:pPr>
            <w:r>
              <w:rPr>
                <w:b/>
                <w:noProof/>
                <w:sz w:val="20"/>
              </w:rPr>
              <w:t>2023</w:t>
            </w:r>
          </w:p>
        </w:tc>
        <w:tc>
          <w:tcPr>
            <w:tcW w:w="868" w:type="dxa"/>
            <w:vAlign w:val="center"/>
          </w:tcPr>
          <w:p>
            <w:pPr>
              <w:rPr>
                <w:noProof/>
                <w:sz w:val="20"/>
              </w:rPr>
            </w:pPr>
            <w:r>
              <w:rPr>
                <w:b/>
                <w:noProof/>
                <w:sz w:val="20"/>
              </w:rPr>
              <w:t>2024</w:t>
            </w:r>
          </w:p>
        </w:tc>
        <w:tc>
          <w:tcPr>
            <w:tcW w:w="868" w:type="dxa"/>
            <w:vAlign w:val="center"/>
          </w:tcPr>
          <w:p>
            <w:pPr>
              <w:rPr>
                <w:b/>
                <w:noProof/>
                <w:sz w:val="18"/>
              </w:rPr>
            </w:pPr>
            <w:r>
              <w:rPr>
                <w:b/>
                <w:noProof/>
                <w:sz w:val="18"/>
              </w:rPr>
              <w:t>2025</w:t>
            </w:r>
          </w:p>
        </w:tc>
        <w:tc>
          <w:tcPr>
            <w:tcW w:w="868" w:type="dxa"/>
            <w:vAlign w:val="center"/>
          </w:tcPr>
          <w:p>
            <w:pPr>
              <w:rPr>
                <w:b/>
                <w:noProof/>
                <w:sz w:val="18"/>
              </w:rPr>
            </w:pPr>
            <w:r>
              <w:rPr>
                <w:b/>
                <w:noProof/>
                <w:sz w:val="18"/>
              </w:rPr>
              <w:t>2026</w:t>
            </w:r>
          </w:p>
        </w:tc>
        <w:tc>
          <w:tcPr>
            <w:tcW w:w="868" w:type="dxa"/>
            <w:vAlign w:val="center"/>
          </w:tcPr>
          <w:p>
            <w:pPr>
              <w:rPr>
                <w:b/>
                <w:noProof/>
                <w:sz w:val="18"/>
              </w:rPr>
            </w:pPr>
            <w:r>
              <w:rPr>
                <w:b/>
                <w:noProof/>
                <w:sz w:val="18"/>
              </w:rPr>
              <w:t>2027</w:t>
            </w:r>
          </w:p>
        </w:tc>
        <w:tc>
          <w:tcPr>
            <w:tcW w:w="877" w:type="dxa"/>
            <w:vAlign w:val="center"/>
          </w:tcPr>
          <w:p>
            <w:pPr>
              <w:rPr>
                <w:b/>
                <w:i/>
                <w:noProof/>
                <w:sz w:val="20"/>
              </w:rPr>
            </w:pPr>
            <w:r>
              <w:rPr>
                <w:b/>
                <w:i/>
                <w:noProof/>
                <w:sz w:val="20"/>
              </w:rPr>
              <w:t>Μετά το 2027</w:t>
            </w:r>
          </w:p>
        </w:tc>
        <w:tc>
          <w:tcPr>
            <w:tcW w:w="1292" w:type="dxa"/>
            <w:vAlign w:val="center"/>
          </w:tcPr>
          <w:p>
            <w:pPr>
              <w:rPr>
                <w:b/>
                <w:noProof/>
                <w:sz w:val="20"/>
              </w:rPr>
            </w:pPr>
            <w:r>
              <w:rPr>
                <w:b/>
                <w:noProof/>
                <w:sz w:val="20"/>
              </w:rPr>
              <w:t>ΣΥΝΟΛΟ (2023-2027)</w:t>
            </w:r>
          </w:p>
        </w:tc>
      </w:tr>
      <w:tr>
        <w:trPr>
          <w:jc w:val="center"/>
        </w:trPr>
        <w:tc>
          <w:tcPr>
            <w:tcW w:w="4173" w:type="dxa"/>
            <w:vMerge w:val="restart"/>
            <w:shd w:val="clear" w:color="auto" w:fill="C0C0C0"/>
            <w:vAlign w:val="center"/>
          </w:tcPr>
          <w:p>
            <w:pPr>
              <w:rPr>
                <w:b/>
                <w:noProof/>
              </w:rPr>
            </w:pPr>
            <w:r>
              <w:rPr>
                <w:b/>
                <w:noProof/>
                <w:sz w:val="22"/>
              </w:rPr>
              <w:t>ΣΥΝΟΛΟ πιστώσεων</w:t>
            </w:r>
            <w:r>
              <w:rPr>
                <w:noProof/>
              </w:rPr>
              <w:t xml:space="preserve"> </w:t>
            </w:r>
            <w:r>
              <w:rPr>
                <w:noProof/>
              </w:rPr>
              <w:br/>
            </w:r>
            <w:r>
              <w:rPr>
                <w:b/>
                <w:noProof/>
                <w:sz w:val="22"/>
              </w:rPr>
              <w:t>μεταξύ ΤΟΜΕΩΝ</w:t>
            </w:r>
            <w:r>
              <w:rPr>
                <w:noProof/>
              </w:rPr>
              <w:t xml:space="preserve"> </w:t>
            </w:r>
            <w:r>
              <w:rPr>
                <w:noProof/>
              </w:rPr>
              <w:br/>
            </w:r>
            <w:r>
              <w:rPr>
                <w:noProof/>
                <w:sz w:val="22"/>
              </w:rPr>
              <w:t>του πολυετούς δημοσιονομικού πλαισίου</w:t>
            </w:r>
            <w:r>
              <w:rPr>
                <w:b/>
                <w:noProof/>
                <w:sz w:val="22"/>
              </w:rPr>
              <w:t xml:space="preserve"> </w:t>
            </w:r>
          </w:p>
        </w:tc>
        <w:tc>
          <w:tcPr>
            <w:tcW w:w="2094" w:type="dxa"/>
            <w:gridSpan w:val="2"/>
            <w:vAlign w:val="center"/>
          </w:tcPr>
          <w:p>
            <w:pPr>
              <w:rPr>
                <w:noProof/>
                <w:sz w:val="14"/>
              </w:rPr>
            </w:pPr>
            <w:r>
              <w:rPr>
                <w:noProof/>
                <w:sz w:val="18"/>
              </w:rPr>
              <w:t>Αναλήψεις υποχρεώσεων</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r>
              <w:rPr>
                <w:noProof/>
                <w:sz w:val="20"/>
              </w:rPr>
              <w:t>5,441</w:t>
            </w:r>
          </w:p>
        </w:tc>
        <w:tc>
          <w:tcPr>
            <w:tcW w:w="868" w:type="dxa"/>
            <w:vAlign w:val="center"/>
          </w:tcPr>
          <w:p>
            <w:pPr>
              <w:rPr>
                <w:noProof/>
                <w:sz w:val="20"/>
              </w:rPr>
            </w:pPr>
            <w:r>
              <w:rPr>
                <w:noProof/>
                <w:sz w:val="20"/>
              </w:rPr>
              <w:t>12,906</w:t>
            </w:r>
          </w:p>
        </w:tc>
        <w:tc>
          <w:tcPr>
            <w:tcW w:w="868" w:type="dxa"/>
            <w:vAlign w:val="center"/>
          </w:tcPr>
          <w:p>
            <w:pPr>
              <w:rPr>
                <w:noProof/>
                <w:sz w:val="20"/>
              </w:rPr>
            </w:pPr>
            <w:r>
              <w:rPr>
                <w:noProof/>
                <w:sz w:val="20"/>
              </w:rPr>
              <w:t>21,992</w:t>
            </w:r>
          </w:p>
        </w:tc>
        <w:tc>
          <w:tcPr>
            <w:tcW w:w="868" w:type="dxa"/>
            <w:vAlign w:val="center"/>
          </w:tcPr>
          <w:p>
            <w:pPr>
              <w:rPr>
                <w:noProof/>
                <w:sz w:val="20"/>
              </w:rPr>
            </w:pPr>
            <w:r>
              <w:rPr>
                <w:noProof/>
                <w:sz w:val="20"/>
              </w:rPr>
              <w:t>22,017</w:t>
            </w:r>
          </w:p>
        </w:tc>
        <w:tc>
          <w:tcPr>
            <w:tcW w:w="868" w:type="dxa"/>
            <w:vAlign w:val="center"/>
          </w:tcPr>
          <w:p>
            <w:pPr>
              <w:rPr>
                <w:noProof/>
                <w:sz w:val="20"/>
              </w:rPr>
            </w:pPr>
            <w:r>
              <w:rPr>
                <w:noProof/>
                <w:sz w:val="20"/>
              </w:rPr>
              <w:t>22,042</w:t>
            </w:r>
          </w:p>
        </w:tc>
        <w:tc>
          <w:tcPr>
            <w:tcW w:w="877" w:type="dxa"/>
            <w:shd w:val="clear" w:color="auto" w:fill="A6A6A6"/>
            <w:vAlign w:val="center"/>
          </w:tcPr>
          <w:p>
            <w:pPr>
              <w:rPr>
                <w:b/>
                <w:i/>
                <w:noProof/>
                <w:sz w:val="20"/>
              </w:rPr>
            </w:pPr>
            <w:r>
              <w:rPr>
                <w:b/>
                <w:i/>
                <w:noProof/>
                <w:sz w:val="20"/>
              </w:rPr>
              <w:t>21,822</w:t>
            </w:r>
          </w:p>
        </w:tc>
        <w:tc>
          <w:tcPr>
            <w:tcW w:w="1292" w:type="dxa"/>
            <w:vAlign w:val="center"/>
          </w:tcPr>
          <w:p>
            <w:pPr>
              <w:rPr>
                <w:b/>
                <w:noProof/>
                <w:sz w:val="20"/>
              </w:rPr>
            </w:pPr>
            <w:r>
              <w:rPr>
                <w:b/>
                <w:noProof/>
                <w:sz w:val="20"/>
              </w:rPr>
              <w:t>84,398</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Πληρωμές</w:t>
            </w:r>
          </w:p>
        </w:tc>
        <w:tc>
          <w:tcPr>
            <w:tcW w:w="868" w:type="dxa"/>
            <w:vAlign w:val="center"/>
          </w:tcPr>
          <w:p>
            <w:pPr>
              <w:rPr>
                <w:noProof/>
                <w:sz w:val="20"/>
              </w:rPr>
            </w:pPr>
          </w:p>
        </w:tc>
        <w:tc>
          <w:tcPr>
            <w:tcW w:w="868" w:type="dxa"/>
            <w:vAlign w:val="center"/>
          </w:tcPr>
          <w:p>
            <w:pPr>
              <w:rPr>
                <w:noProof/>
                <w:sz w:val="20"/>
              </w:rPr>
            </w:pPr>
          </w:p>
        </w:tc>
        <w:tc>
          <w:tcPr>
            <w:tcW w:w="868" w:type="dxa"/>
            <w:vAlign w:val="bottom"/>
          </w:tcPr>
          <w:p>
            <w:pPr>
              <w:rPr>
                <w:noProof/>
                <w:sz w:val="20"/>
              </w:rPr>
            </w:pPr>
            <w:r>
              <w:rPr>
                <w:noProof/>
                <w:sz w:val="20"/>
              </w:rPr>
              <w:t>3,440</w:t>
            </w:r>
          </w:p>
        </w:tc>
        <w:tc>
          <w:tcPr>
            <w:tcW w:w="868" w:type="dxa"/>
            <w:vAlign w:val="bottom"/>
          </w:tcPr>
          <w:p>
            <w:pPr>
              <w:rPr>
                <w:noProof/>
                <w:sz w:val="20"/>
              </w:rPr>
            </w:pPr>
            <w:r>
              <w:rPr>
                <w:noProof/>
                <w:sz w:val="20"/>
              </w:rPr>
              <w:t>11,356</w:t>
            </w:r>
          </w:p>
        </w:tc>
        <w:tc>
          <w:tcPr>
            <w:tcW w:w="868" w:type="dxa"/>
            <w:vAlign w:val="bottom"/>
          </w:tcPr>
          <w:p>
            <w:pPr>
              <w:rPr>
                <w:noProof/>
                <w:sz w:val="20"/>
              </w:rPr>
            </w:pPr>
            <w:r>
              <w:rPr>
                <w:noProof/>
                <w:sz w:val="20"/>
              </w:rPr>
              <w:t>17,265</w:t>
            </w:r>
          </w:p>
        </w:tc>
        <w:tc>
          <w:tcPr>
            <w:tcW w:w="868" w:type="dxa"/>
            <w:vAlign w:val="bottom"/>
          </w:tcPr>
          <w:p>
            <w:pPr>
              <w:rPr>
                <w:noProof/>
                <w:sz w:val="20"/>
              </w:rPr>
            </w:pPr>
            <w:r>
              <w:rPr>
                <w:noProof/>
                <w:sz w:val="20"/>
              </w:rPr>
              <w:t>21,015</w:t>
            </w:r>
          </w:p>
        </w:tc>
        <w:tc>
          <w:tcPr>
            <w:tcW w:w="868" w:type="dxa"/>
            <w:vAlign w:val="bottom"/>
          </w:tcPr>
          <w:p>
            <w:pPr>
              <w:rPr>
                <w:noProof/>
                <w:sz w:val="20"/>
              </w:rPr>
            </w:pPr>
            <w:r>
              <w:rPr>
                <w:noProof/>
                <w:sz w:val="20"/>
              </w:rPr>
              <w:t>21,540</w:t>
            </w:r>
          </w:p>
        </w:tc>
        <w:tc>
          <w:tcPr>
            <w:tcW w:w="877" w:type="dxa"/>
            <w:shd w:val="clear" w:color="auto" w:fill="A6A6A6"/>
            <w:vAlign w:val="center"/>
          </w:tcPr>
          <w:p>
            <w:pPr>
              <w:rPr>
                <w:b/>
                <w:i/>
                <w:noProof/>
                <w:sz w:val="20"/>
              </w:rPr>
            </w:pPr>
            <w:r>
              <w:rPr>
                <w:b/>
                <w:i/>
                <w:noProof/>
                <w:sz w:val="20"/>
              </w:rPr>
              <w:t>31,640</w:t>
            </w:r>
          </w:p>
        </w:tc>
        <w:tc>
          <w:tcPr>
            <w:tcW w:w="1292" w:type="dxa"/>
            <w:vAlign w:val="center"/>
          </w:tcPr>
          <w:p>
            <w:pPr>
              <w:rPr>
                <w:b/>
                <w:noProof/>
                <w:sz w:val="20"/>
              </w:rPr>
            </w:pPr>
            <w:r>
              <w:rPr>
                <w:b/>
                <w:noProof/>
                <w:sz w:val="20"/>
              </w:rPr>
              <w:t>74,616</w:t>
            </w:r>
          </w:p>
        </w:tc>
      </w:tr>
    </w:tbl>
    <w:p>
      <w:pPr>
        <w:rPr>
          <w:noProof/>
        </w:rPr>
      </w:pPr>
    </w:p>
    <w:p>
      <w:pPr>
        <w:rPr>
          <w:noProof/>
        </w:rPr>
        <w:sectPr>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r>
        <w:rPr>
          <w:noProof/>
        </w:rPr>
        <w:t xml:space="preserve"> </w:t>
      </w:r>
      <w:r>
        <w:rPr>
          <w:noProof/>
        </w:rPr>
        <w:br/>
      </w:r>
    </w:p>
    <w:p>
      <w:pPr>
        <w:pStyle w:val="ManualHeading3"/>
        <w:rPr>
          <w:bCs/>
          <w:noProof/>
          <w:szCs w:val="24"/>
        </w:rPr>
      </w:pPr>
      <w:bookmarkStart w:id="25" w:name="_Toc514941993"/>
      <w:bookmarkStart w:id="26" w:name="_Toc520485220"/>
      <w:r>
        <w:t>3.2.2.</w:t>
      </w:r>
      <w:r>
        <w:tab/>
      </w:r>
      <w:r>
        <w:rPr>
          <w:noProof/>
        </w:rPr>
        <w:t>Συνοπτική παρουσίαση των εκτιμώμενων επιπτώσεων στις πιστώσεις διοικητικού χαρακτήρα</w:t>
      </w:r>
      <w:bookmarkEnd w:id="25"/>
      <w:bookmarkEnd w:id="26"/>
    </w:p>
    <w:p>
      <w:pPr>
        <w:pStyle w:val="ListDash1"/>
        <w:rPr>
          <w:noProof/>
        </w:rPr>
      </w:pPr>
      <w:r>
        <w:rPr>
          <w:noProof/>
        </w:rPr>
        <w:sym w:font="Wingdings" w:char="F0A8"/>
      </w:r>
      <w:r>
        <w:rPr>
          <w:noProof/>
        </w:rPr>
        <w:tab/>
        <w:t xml:space="preserve">Η πρόταση/πρωτοβουλία δεν συνεπάγεται τη χρησιμοποίηση πιστώσεων διοικητικού χαρακτήρα. </w:t>
      </w:r>
    </w:p>
    <w:p>
      <w:pPr>
        <w:pStyle w:val="ListDash1"/>
        <w:rPr>
          <w:noProof/>
        </w:rPr>
      </w:pPr>
      <w:r>
        <w:rPr>
          <w:noProof/>
        </w:rPr>
        <w:sym w:font="Wingdings" w:char="F0FE"/>
      </w:r>
      <w:r>
        <w:rPr>
          <w:noProof/>
        </w:rPr>
        <w:tab/>
        <w:t>Η πρόταση/πρωτοβουλία συνεπάγεται τη χρησιμοποίηση πιστώσεων διοικητικού χαρακτήρα, όπως εξηγείται κατωτέρω:</w:t>
      </w:r>
    </w:p>
    <w:p>
      <w:pPr>
        <w:rPr>
          <w:noProof/>
          <w:sz w:val="20"/>
        </w:rPr>
      </w:pPr>
      <w:r>
        <w:rPr>
          <w:noProof/>
          <w:sz w:val="20"/>
        </w:rPr>
        <w:t>σε εκατ. EUR (με τρία δεκαδικά ψηφία)</w:t>
      </w:r>
    </w:p>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Έτη</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ΣΥΝΟΛΟ</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ΤΟΜΕΑΣ 7</w:t>
            </w:r>
            <w:r>
              <w:rPr>
                <w:noProof/>
              </w:rPr>
              <w:t xml:space="preserve"> </w:t>
            </w:r>
            <w:r>
              <w:rPr>
                <w:noProof/>
              </w:rPr>
              <w:br/>
            </w:r>
            <w:r>
              <w:rPr>
                <w:b/>
                <w:noProof/>
                <w:sz w:val="16"/>
              </w:rPr>
              <w:t>του πολυετούς δημοσιονομικού πλαισίου</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Ανθρώπινοι πόροι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0,75</w:t>
            </w:r>
          </w:p>
        </w:tc>
        <w:tc>
          <w:tcPr>
            <w:tcW w:w="1080" w:type="dxa"/>
            <w:vAlign w:val="center"/>
          </w:tcPr>
          <w:p>
            <w:pPr>
              <w:spacing w:before="60" w:after="60" w:line="200" w:lineRule="exact"/>
              <w:jc w:val="right"/>
              <w:rPr>
                <w:noProof/>
                <w:sz w:val="16"/>
                <w:szCs w:val="16"/>
              </w:rPr>
            </w:pPr>
            <w:r>
              <w:rPr>
                <w:noProof/>
                <w:sz w:val="16"/>
                <w:szCs w:val="16"/>
              </w:rPr>
              <w:t>3,75</w:t>
            </w:r>
          </w:p>
        </w:tc>
        <w:tc>
          <w:tcPr>
            <w:tcW w:w="1080" w:type="dxa"/>
            <w:vAlign w:val="center"/>
          </w:tcPr>
          <w:p>
            <w:pPr>
              <w:spacing w:before="60" w:after="60" w:line="200" w:lineRule="exact"/>
              <w:jc w:val="right"/>
              <w:rPr>
                <w:noProof/>
                <w:sz w:val="16"/>
                <w:szCs w:val="16"/>
              </w:rPr>
            </w:pPr>
            <w:r>
              <w:rPr>
                <w:noProof/>
                <w:sz w:val="16"/>
                <w:szCs w:val="16"/>
              </w:rPr>
              <w:t>6,295</w:t>
            </w:r>
          </w:p>
        </w:tc>
        <w:tc>
          <w:tcPr>
            <w:tcW w:w="1080" w:type="dxa"/>
            <w:vAlign w:val="center"/>
          </w:tcPr>
          <w:p>
            <w:pPr>
              <w:spacing w:before="60" w:after="60" w:line="200" w:lineRule="exact"/>
              <w:jc w:val="right"/>
              <w:rPr>
                <w:noProof/>
                <w:sz w:val="16"/>
                <w:szCs w:val="16"/>
              </w:rPr>
            </w:pPr>
            <w:r>
              <w:rPr>
                <w:noProof/>
                <w:sz w:val="16"/>
                <w:szCs w:val="16"/>
              </w:rPr>
              <w:t>6,295</w:t>
            </w:r>
          </w:p>
        </w:tc>
        <w:tc>
          <w:tcPr>
            <w:tcW w:w="1080" w:type="dxa"/>
            <w:vAlign w:val="center"/>
          </w:tcPr>
          <w:p>
            <w:pPr>
              <w:spacing w:before="60" w:after="60" w:line="200" w:lineRule="exact"/>
              <w:jc w:val="right"/>
              <w:rPr>
                <w:noProof/>
                <w:sz w:val="16"/>
                <w:szCs w:val="16"/>
              </w:rPr>
            </w:pPr>
            <w:r>
              <w:rPr>
                <w:noProof/>
                <w:sz w:val="16"/>
                <w:szCs w:val="16"/>
              </w:rPr>
              <w:t>6,295</w:t>
            </w:r>
          </w:p>
        </w:tc>
        <w:tc>
          <w:tcPr>
            <w:tcW w:w="1080" w:type="dxa"/>
            <w:vAlign w:val="center"/>
          </w:tcPr>
          <w:p>
            <w:pPr>
              <w:spacing w:before="60" w:after="60" w:line="200" w:lineRule="exact"/>
              <w:jc w:val="right"/>
              <w:rPr>
                <w:b/>
                <w:noProof/>
                <w:sz w:val="16"/>
                <w:szCs w:val="16"/>
              </w:rPr>
            </w:pPr>
            <w:r>
              <w:rPr>
                <w:b/>
                <w:noProof/>
                <w:sz w:val="16"/>
                <w:szCs w:val="16"/>
              </w:rPr>
              <w:t>23,385</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Άλλες διοικητικές δαπάνες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0,140</w:t>
            </w:r>
          </w:p>
        </w:tc>
        <w:tc>
          <w:tcPr>
            <w:tcW w:w="1080" w:type="dxa"/>
            <w:vAlign w:val="center"/>
          </w:tcPr>
          <w:p>
            <w:pPr>
              <w:spacing w:before="60" w:after="60" w:line="200" w:lineRule="exact"/>
              <w:jc w:val="right"/>
              <w:rPr>
                <w:noProof/>
                <w:sz w:val="16"/>
                <w:szCs w:val="16"/>
              </w:rPr>
            </w:pPr>
            <w:r>
              <w:rPr>
                <w:noProof/>
                <w:sz w:val="20"/>
              </w:rPr>
              <w:t>0,250</w:t>
            </w:r>
          </w:p>
        </w:tc>
        <w:tc>
          <w:tcPr>
            <w:tcW w:w="1080" w:type="dxa"/>
            <w:vAlign w:val="center"/>
          </w:tcPr>
          <w:p>
            <w:pPr>
              <w:spacing w:before="60" w:after="60" w:line="200" w:lineRule="exact"/>
              <w:jc w:val="right"/>
              <w:rPr>
                <w:noProof/>
                <w:sz w:val="16"/>
                <w:szCs w:val="16"/>
              </w:rPr>
            </w:pPr>
            <w:r>
              <w:rPr>
                <w:noProof/>
                <w:sz w:val="20"/>
              </w:rPr>
              <w:t>0,275</w:t>
            </w:r>
          </w:p>
        </w:tc>
        <w:tc>
          <w:tcPr>
            <w:tcW w:w="1080" w:type="dxa"/>
            <w:vAlign w:val="center"/>
          </w:tcPr>
          <w:p>
            <w:pPr>
              <w:spacing w:before="60" w:after="60" w:line="200" w:lineRule="exact"/>
              <w:jc w:val="right"/>
              <w:rPr>
                <w:noProof/>
                <w:sz w:val="16"/>
                <w:szCs w:val="16"/>
              </w:rPr>
            </w:pPr>
            <w:r>
              <w:rPr>
                <w:noProof/>
                <w:sz w:val="20"/>
              </w:rPr>
              <w:t>0,300</w:t>
            </w:r>
          </w:p>
        </w:tc>
        <w:tc>
          <w:tcPr>
            <w:tcW w:w="1080" w:type="dxa"/>
            <w:vAlign w:val="center"/>
          </w:tcPr>
          <w:p>
            <w:pPr>
              <w:spacing w:before="60" w:after="60" w:line="200" w:lineRule="exact"/>
              <w:jc w:val="right"/>
              <w:rPr>
                <w:noProof/>
                <w:sz w:val="16"/>
                <w:szCs w:val="16"/>
              </w:rPr>
            </w:pPr>
            <w:r>
              <w:rPr>
                <w:noProof/>
                <w:sz w:val="20"/>
              </w:rPr>
              <w:t>0,325</w:t>
            </w:r>
          </w:p>
        </w:tc>
        <w:tc>
          <w:tcPr>
            <w:tcW w:w="1080" w:type="dxa"/>
            <w:vAlign w:val="center"/>
          </w:tcPr>
          <w:p>
            <w:pPr>
              <w:spacing w:before="60" w:after="60" w:line="200" w:lineRule="exact"/>
              <w:jc w:val="right"/>
              <w:rPr>
                <w:b/>
                <w:noProof/>
                <w:sz w:val="16"/>
                <w:szCs w:val="16"/>
              </w:rPr>
            </w:pPr>
            <w:r>
              <w:rPr>
                <w:b/>
                <w:noProof/>
                <w:sz w:val="20"/>
              </w:rPr>
              <w:t>1,290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Μερικό σύνολο του ΤΟΜΕΑ 7</w:t>
            </w:r>
            <w:r>
              <w:rPr>
                <w:noProof/>
              </w:rPr>
              <w:t xml:space="preserve"> </w:t>
            </w:r>
            <w:r>
              <w:rPr>
                <w:noProof/>
              </w:rPr>
              <w:br/>
            </w:r>
            <w:r>
              <w:rPr>
                <w:b/>
                <w:noProof/>
                <w:sz w:val="16"/>
              </w:rPr>
              <w:t xml:space="preserve">του πολυετούς δημοσιονομικού πλαισίου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0,890</w:t>
            </w:r>
          </w:p>
        </w:tc>
        <w:tc>
          <w:tcPr>
            <w:tcW w:w="1080" w:type="dxa"/>
            <w:vAlign w:val="center"/>
          </w:tcPr>
          <w:p>
            <w:pPr>
              <w:spacing w:before="60" w:after="60" w:line="200" w:lineRule="exact"/>
              <w:jc w:val="right"/>
              <w:rPr>
                <w:noProof/>
                <w:sz w:val="16"/>
                <w:szCs w:val="16"/>
              </w:rPr>
            </w:pPr>
            <w:r>
              <w:rPr>
                <w:b/>
                <w:noProof/>
                <w:sz w:val="20"/>
              </w:rPr>
              <w:t>4,000</w:t>
            </w:r>
          </w:p>
        </w:tc>
        <w:tc>
          <w:tcPr>
            <w:tcW w:w="1080" w:type="dxa"/>
            <w:vAlign w:val="center"/>
          </w:tcPr>
          <w:p>
            <w:pPr>
              <w:spacing w:before="60" w:after="60" w:line="200" w:lineRule="exact"/>
              <w:jc w:val="right"/>
              <w:rPr>
                <w:noProof/>
                <w:sz w:val="16"/>
                <w:szCs w:val="16"/>
              </w:rPr>
            </w:pPr>
            <w:r>
              <w:rPr>
                <w:b/>
                <w:noProof/>
                <w:sz w:val="20"/>
              </w:rPr>
              <w:t>6,570</w:t>
            </w:r>
          </w:p>
        </w:tc>
        <w:tc>
          <w:tcPr>
            <w:tcW w:w="1080" w:type="dxa"/>
            <w:vAlign w:val="center"/>
          </w:tcPr>
          <w:p>
            <w:pPr>
              <w:spacing w:before="60" w:after="60" w:line="200" w:lineRule="exact"/>
              <w:jc w:val="right"/>
              <w:rPr>
                <w:noProof/>
                <w:sz w:val="16"/>
                <w:szCs w:val="16"/>
              </w:rPr>
            </w:pPr>
            <w:r>
              <w:rPr>
                <w:b/>
                <w:noProof/>
                <w:sz w:val="20"/>
              </w:rPr>
              <w:t>6,595</w:t>
            </w:r>
          </w:p>
        </w:tc>
        <w:tc>
          <w:tcPr>
            <w:tcW w:w="1080" w:type="dxa"/>
            <w:vAlign w:val="center"/>
          </w:tcPr>
          <w:p>
            <w:pPr>
              <w:spacing w:before="60" w:after="60" w:line="200" w:lineRule="exact"/>
              <w:jc w:val="right"/>
              <w:rPr>
                <w:b/>
                <w:noProof/>
                <w:sz w:val="16"/>
                <w:szCs w:val="16"/>
              </w:rPr>
            </w:pPr>
            <w:r>
              <w:rPr>
                <w:b/>
                <w:noProof/>
                <w:sz w:val="20"/>
              </w:rPr>
              <w:t>6,620</w:t>
            </w:r>
          </w:p>
        </w:tc>
        <w:tc>
          <w:tcPr>
            <w:tcW w:w="1080" w:type="dxa"/>
            <w:vAlign w:val="center"/>
          </w:tcPr>
          <w:p>
            <w:pPr>
              <w:spacing w:before="60" w:after="60" w:line="200" w:lineRule="exact"/>
              <w:jc w:val="right"/>
              <w:rPr>
                <w:b/>
                <w:noProof/>
                <w:sz w:val="16"/>
                <w:szCs w:val="16"/>
              </w:rPr>
            </w:pPr>
            <w:r>
              <w:rPr>
                <w:b/>
                <w:noProof/>
                <w:sz w:val="20"/>
              </w:rPr>
              <w:t>24,675</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Εκτός του ΤΟΜΕΑ 7</w:t>
            </w:r>
            <w:r>
              <w:rPr>
                <w:rStyle w:val="FootnoteReference"/>
                <w:b/>
                <w:noProof/>
                <w:sz w:val="16"/>
              </w:rPr>
              <w:footnoteReference w:id="62"/>
            </w:r>
            <w:r>
              <w:rPr>
                <w:noProof/>
              </w:rPr>
              <w:t xml:space="preserve"> </w:t>
            </w:r>
            <w:r>
              <w:rPr>
                <w:noProof/>
              </w:rPr>
              <w:br/>
            </w:r>
            <w:r>
              <w:rPr>
                <w:b/>
                <w:noProof/>
                <w:sz w:val="16"/>
              </w:rPr>
              <w:t xml:space="preserve">του πολυετούς δημοσιονομικού πλαισίου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Ανθρώπινοι πόροι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Άλλες δαπάνες</w:t>
            </w:r>
            <w:r>
              <w:rPr>
                <w:noProof/>
              </w:rPr>
              <w:t xml:space="preserve"> </w:t>
            </w:r>
            <w:r>
              <w:rPr>
                <w:noProof/>
              </w:rPr>
              <w:br/>
            </w:r>
            <w:r>
              <w:rPr>
                <w:noProof/>
                <w:sz w:val="16"/>
              </w:rPr>
              <w:t>διοικητικού χαρακτήρα</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0,025</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0,230</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0,220</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0,220</w:t>
            </w:r>
          </w:p>
        </w:tc>
        <w:tc>
          <w:tcPr>
            <w:tcW w:w="1080" w:type="dxa"/>
            <w:vAlign w:val="center"/>
          </w:tcPr>
          <w:p>
            <w:pPr>
              <w:spacing w:before="60" w:after="60" w:line="200" w:lineRule="exact"/>
              <w:jc w:val="right"/>
              <w:rPr>
                <w:b/>
                <w:noProof/>
                <w:sz w:val="16"/>
                <w:szCs w:val="16"/>
              </w:rPr>
            </w:pPr>
            <w:r>
              <w:rPr>
                <w:rFonts w:ascii="Arial Narrow" w:hAnsi="Arial Narrow"/>
                <w:noProof/>
                <w:color w:val="000000"/>
                <w:sz w:val="20"/>
                <w:szCs w:val="20"/>
              </w:rPr>
              <w:t>0,220</w:t>
            </w:r>
          </w:p>
        </w:tc>
        <w:tc>
          <w:tcPr>
            <w:tcW w:w="1080" w:type="dxa"/>
            <w:vAlign w:val="center"/>
          </w:tcPr>
          <w:p>
            <w:pPr>
              <w:spacing w:before="60" w:after="60" w:line="200" w:lineRule="exact"/>
              <w:jc w:val="right"/>
              <w:rPr>
                <w:b/>
                <w:noProof/>
                <w:sz w:val="16"/>
                <w:szCs w:val="16"/>
              </w:rPr>
            </w:pPr>
            <w:r>
              <w:rPr>
                <w:rFonts w:ascii="Arial Narrow" w:hAnsi="Arial Narrow"/>
                <w:b/>
                <w:bCs/>
                <w:noProof/>
                <w:color w:val="000000"/>
                <w:sz w:val="20"/>
                <w:szCs w:val="20"/>
              </w:rPr>
              <w:t>0,915</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Μερικό σύνολο</w:t>
            </w:r>
            <w:r>
              <w:rPr>
                <w:noProof/>
              </w:rPr>
              <w:t xml:space="preserve"> </w:t>
            </w:r>
            <w:r>
              <w:rPr>
                <w:noProof/>
              </w:rPr>
              <w:br/>
            </w:r>
            <w:r>
              <w:rPr>
                <w:b/>
                <w:noProof/>
                <w:sz w:val="16"/>
              </w:rPr>
              <w:t>εκτός του ΤΟΜΕΑ 7</w:t>
            </w:r>
            <w:r>
              <w:rPr>
                <w:noProof/>
              </w:rPr>
              <w:t xml:space="preserve"> </w:t>
            </w:r>
            <w:r>
              <w:rPr>
                <w:noProof/>
              </w:rPr>
              <w:br/>
            </w:r>
            <w:r>
              <w:rPr>
                <w:b/>
                <w:noProof/>
                <w:sz w:val="16"/>
              </w:rPr>
              <w:t xml:space="preserve">του πολυετούς δημοσιονομικού πλαισίου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0,025</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0,230</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0,220</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0,220</w:t>
            </w:r>
          </w:p>
        </w:tc>
        <w:tc>
          <w:tcPr>
            <w:tcW w:w="1080" w:type="dxa"/>
            <w:vAlign w:val="center"/>
          </w:tcPr>
          <w:p>
            <w:pPr>
              <w:spacing w:before="60" w:after="60" w:line="200" w:lineRule="exact"/>
              <w:jc w:val="right"/>
              <w:rPr>
                <w:b/>
                <w:noProof/>
                <w:sz w:val="16"/>
                <w:szCs w:val="16"/>
              </w:rPr>
            </w:pPr>
            <w:r>
              <w:rPr>
                <w:rFonts w:ascii="Arial Narrow" w:hAnsi="Arial Narrow"/>
                <w:noProof/>
                <w:color w:val="000000"/>
                <w:sz w:val="20"/>
                <w:szCs w:val="20"/>
              </w:rPr>
              <w:t>0,220</w:t>
            </w:r>
          </w:p>
        </w:tc>
        <w:tc>
          <w:tcPr>
            <w:tcW w:w="1080" w:type="dxa"/>
            <w:vAlign w:val="center"/>
          </w:tcPr>
          <w:p>
            <w:pPr>
              <w:spacing w:before="60" w:after="60" w:line="200" w:lineRule="exact"/>
              <w:jc w:val="right"/>
              <w:rPr>
                <w:b/>
                <w:noProof/>
                <w:sz w:val="16"/>
                <w:szCs w:val="16"/>
              </w:rPr>
            </w:pPr>
            <w:r>
              <w:rPr>
                <w:rFonts w:ascii="Arial Narrow" w:hAnsi="Arial Narrow"/>
                <w:b/>
                <w:bCs/>
                <w:noProof/>
                <w:color w:val="000000"/>
                <w:sz w:val="20"/>
                <w:szCs w:val="20"/>
              </w:rPr>
              <w:t>0,915</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ΣΥΝΟΛΟ</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rPr>
              <w:t>0,915</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rPr>
              <w:t>4,230</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rPr>
              <w:t>6,790</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rPr>
              <w:t>6,815</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rPr>
              <w:t>6,840</w:t>
            </w:r>
          </w:p>
        </w:tc>
        <w:tc>
          <w:tcPr>
            <w:tcW w:w="1080" w:type="dxa"/>
            <w:tcBorders>
              <w:top w:val="single" w:sz="12" w:space="0" w:color="auto"/>
              <w:left w:val="single" w:sz="2" w:space="0" w:color="auto"/>
              <w:bottom w:val="single" w:sz="12" w:space="0" w:color="auto"/>
              <w:right w:val="single" w:sz="12" w:space="0" w:color="auto"/>
            </w:tcBorders>
          </w:tcPr>
          <w:p>
            <w:pPr>
              <w:spacing w:before="60" w:after="60" w:line="200" w:lineRule="exact"/>
              <w:jc w:val="right"/>
              <w:rPr>
                <w:b/>
                <w:noProof/>
                <w:sz w:val="16"/>
                <w:szCs w:val="16"/>
              </w:rPr>
            </w:pPr>
            <w:r>
              <w:rPr>
                <w:noProof/>
              </w:rPr>
              <w:t>25,590</w:t>
            </w:r>
          </w:p>
        </w:tc>
      </w:tr>
    </w:tbl>
    <w:p>
      <w:pPr>
        <w:rPr>
          <w:noProof/>
          <w:sz w:val="18"/>
        </w:rPr>
      </w:pPr>
      <w:r>
        <w:rPr>
          <w:noProof/>
          <w:sz w:val="18"/>
        </w:rPr>
        <w:t>Οι απαιτούμενες πιστώσεις για ανθρώπινους πόρους και άλλες δαπάνες διοικητικού χαρακτήρα θα καλυφθούν από τις πιστώσεις της ΓΔ που έχουν ήδη διατεθεί για τη διαχείριση της δράσης και/ή έχουν ανακατανεμηθεί στο εσωτερικό της ΓΔ και οι οποίες θα συμπληρωθούν, κατά περίπτωση, με πρόσθετα κονδύλια που ενδέχεται να χορηγηθούν στην αρμόδια για τη διαχείριση ΓΔ στο πλαίσιο της ετήσιας διαδικασίας κατανομής και λαμβανομένων υπόψη των υφιστάμενων δημοσιονομικών περιορισμών</w:t>
      </w:r>
      <w:r>
        <w:rPr>
          <w:rStyle w:val="FootnoteReference"/>
          <w:noProof/>
          <w:sz w:val="18"/>
        </w:rPr>
        <w:footnoteReference w:id="63"/>
      </w:r>
      <w:r>
        <w:rPr>
          <w:noProof/>
          <w:sz w:val="18"/>
        </w:rPr>
        <w:t>.</w:t>
      </w:r>
    </w:p>
    <w:p>
      <w:pPr>
        <w:rPr>
          <w:noProof/>
          <w:sz w:val="18"/>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p>
    <w:p>
      <w:pPr>
        <w:pStyle w:val="ManualHeading4"/>
        <w:rPr>
          <w:bCs/>
          <w:noProof/>
          <w:szCs w:val="24"/>
        </w:rPr>
      </w:pPr>
      <w:r>
        <w:t>3.2.2.1.</w:t>
      </w:r>
      <w:r>
        <w:tab/>
      </w:r>
      <w:r>
        <w:rPr>
          <w:noProof/>
        </w:rPr>
        <w:t>Εκτιμώμενες ανάγκες σε ανθρώπινους πόρους</w:t>
      </w:r>
    </w:p>
    <w:p>
      <w:pPr>
        <w:pStyle w:val="ListDash1"/>
        <w:rPr>
          <w:noProof/>
        </w:rPr>
      </w:pPr>
      <w:r>
        <w:rPr>
          <w:noProof/>
        </w:rPr>
        <w:sym w:font="Wingdings" w:char="F0A8"/>
      </w:r>
      <w:r>
        <w:rPr>
          <w:noProof/>
        </w:rPr>
        <w:tab/>
        <w:t xml:space="preserve">Η πρόταση/πρωτοβουλία δεν συνεπάγεται τη χρησιμοποίηση ανθρώπινων πόρων. </w:t>
      </w:r>
    </w:p>
    <w:p>
      <w:pPr>
        <w:pStyle w:val="ListDash1"/>
        <w:rPr>
          <w:noProof/>
        </w:rPr>
      </w:pPr>
      <w:r>
        <w:rPr>
          <w:noProof/>
        </w:rPr>
        <w:sym w:font="Wingdings" w:char="F0FE"/>
      </w:r>
      <w:r>
        <w:rPr>
          <w:noProof/>
        </w:rPr>
        <w:tab/>
        <w:t>Η πρόταση/πρωτοβουλία συνεπάγεται τη χρησιμοποίηση ανθρώπινων πόρων, όπως εξηγείται κατωτέρω:</w:t>
      </w:r>
    </w:p>
    <w:p>
      <w:pPr>
        <w:spacing w:after="60"/>
        <w:jc w:val="right"/>
        <w:rPr>
          <w:i/>
          <w:noProof/>
          <w:sz w:val="20"/>
        </w:rPr>
      </w:pPr>
      <w:r>
        <w:rPr>
          <w:i/>
          <w:noProof/>
          <w:sz w:val="20"/>
        </w:rPr>
        <w:t>Εκτίμηση η οποία πρέπει να εκφράζεται σε μονάδες ισοδυνάμων πλήρους απασχόλησης</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Έτη</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Θέσεις απασχόλησης του πίνακα προσωπικού (θέσεις μόνιμων και έκτακτων υπαλλήλων)</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Έδρα και αντιπροσωπείες της Επιτροπής</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r>
              <w:rPr>
                <w:noProof/>
                <w:sz w:val="16"/>
                <w:szCs w:val="16"/>
              </w:rPr>
              <w:t>6</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19</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32</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32</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32</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Αντιπροσωπείες της ΕΕ</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Έρευνα</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Εξωτερικό προσωπικό (σε μονάδα ισοδυνάμου πλήρους απασχόλησης: IΠΑ) — AC, AL, END, INT και JPD</w:t>
            </w:r>
            <w:r>
              <w:rPr>
                <w:noProof/>
                <w:sz w:val="16"/>
              </w:rPr>
              <w:t xml:space="preserve"> </w:t>
            </w:r>
            <w:r>
              <w:rPr>
                <w:rStyle w:val="FootnoteReference"/>
                <w:noProof/>
                <w:sz w:val="16"/>
              </w:rPr>
              <w:footnoteReference w:id="64"/>
            </w:r>
          </w:p>
          <w:p>
            <w:pPr>
              <w:pStyle w:val="Text1"/>
              <w:spacing w:before="0" w:after="0"/>
              <w:ind w:left="0"/>
              <w:jc w:val="left"/>
              <w:rPr>
                <w:noProof/>
                <w:sz w:val="16"/>
                <w:szCs w:val="16"/>
              </w:rPr>
            </w:pPr>
            <w:r>
              <w:rPr>
                <w:noProof/>
                <w:sz w:val="16"/>
                <w:szCs w:val="16"/>
              </w:rPr>
              <w:t>Τομέας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Χρηματοδοτούμενο από τον ΤΟΜΕΑ 7 του πολυετούς δημοσιονομικού πλαισίου</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στην έδρα</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r>
              <w:rPr>
                <w:noProof/>
                <w:sz w:val="16"/>
                <w:szCs w:val="16"/>
              </w:rPr>
              <w:t>11</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18</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18</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18</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στις αντιπροσωπείες της ΕΕ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Χρηματοδοτούμενο από το κονδύλιο του προγράμματος</w:t>
            </w:r>
            <w:r>
              <w:rPr>
                <w:b/>
                <w:noProof/>
                <w:sz w:val="16"/>
                <w:szCs w:val="16"/>
              </w:rPr>
              <w:t xml:space="preserve"> </w:t>
            </w:r>
            <w:r>
              <w:rPr>
                <w:rStyle w:val="FootnoteReference"/>
                <w:b/>
                <w:noProof/>
                <w:sz w:val="16"/>
              </w:rPr>
              <w:footnoteReference w:id="65"/>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στην έδρα</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στις αντιπροσωπείες της ΕΕ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Έρευνα</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Άλλο (να προσδιοριστεί)</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ΣΥΝΟΛΟ</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6</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30</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50</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50</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50</w:t>
            </w:r>
          </w:p>
        </w:tc>
      </w:tr>
    </w:tbl>
    <w:p>
      <w:pPr>
        <w:pStyle w:val="Text1"/>
        <w:rPr>
          <w:noProof/>
          <w:sz w:val="18"/>
          <w:szCs w:val="18"/>
        </w:rPr>
      </w:pPr>
      <w:r>
        <w:rPr>
          <w:noProof/>
          <w:sz w:val="18"/>
        </w:rPr>
        <w:t>Οι ανάγκες σε ανθρώπινους πόρους θα καλυφθούν από το προσωπικό της ΓΔ που έχει ήδη διατεθεί για τη διαχείριση της δράσης και/ή έχει ανακατανεμηθεί στο εσωτερικό της ΓΔ και το οποίο θα συμπληρωθεί, εάν χρειαστεί, από πρόσθετους πόρους που μπορεί να διατεθούν στην αρμόδια για τη διαχείριση ΓΔ στο πλαίσιο της ετήσιας διαδικασίας κατανομής και λαμβανομένων υπόψη των υφιστάμενων δημοσιονομικών περιορισμών.</w:t>
      </w:r>
    </w:p>
    <w:p>
      <w:pPr>
        <w:rPr>
          <w:noProof/>
          <w:sz w:val="20"/>
        </w:rPr>
      </w:pPr>
      <w:r>
        <w:rPr>
          <w:noProof/>
          <w:sz w:val="20"/>
        </w:rPr>
        <w:t>Περιγραφή των προς εκτέλεση καθηκόντων:</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Μόνιμοι και έκτακτοι υπάλληλοι</w:t>
            </w:r>
          </w:p>
        </w:tc>
        <w:tc>
          <w:tcPr>
            <w:tcW w:w="7200" w:type="dxa"/>
          </w:tcPr>
          <w:p>
            <w:pPr>
              <w:rPr>
                <w:noProof/>
                <w:sz w:val="20"/>
              </w:rPr>
            </w:pPr>
            <w:r>
              <w:rPr>
                <w:noProof/>
                <w:sz w:val="20"/>
              </w:rPr>
              <w:t>Επίβλεψη της ορθής εφαρμογής των υποχρεώσεων που ορίζει ο κανονισμός για ιδιωτικές εταιρείες και κράτη μέλη</w:t>
            </w:r>
          </w:p>
          <w:p>
            <w:pPr>
              <w:rPr>
                <w:noProof/>
                <w:sz w:val="20"/>
              </w:rPr>
            </w:pPr>
            <w:r>
              <w:rPr>
                <w:noProof/>
                <w:sz w:val="20"/>
              </w:rPr>
              <w:t>Προετοιμασία και κατάρτιση εκτελεστικών και κατ’ εξουσιοδότηση πράξεων, σύμφωνα με τον παρόντα κανονισμό</w:t>
            </w:r>
          </w:p>
          <w:p>
            <w:pPr>
              <w:rPr>
                <w:noProof/>
                <w:sz w:val="20"/>
              </w:rPr>
            </w:pPr>
            <w:r>
              <w:rPr>
                <w:noProof/>
                <w:sz w:val="20"/>
              </w:rPr>
              <w:t>Διεξαγωγή ερευνών, ελέγχων και άλλων αναλύσεων, συμπεριλαμβανομένης της ανάλυσης δεδομένων</w:t>
            </w:r>
          </w:p>
          <w:p>
            <w:pPr>
              <w:rPr>
                <w:noProof/>
                <w:sz w:val="20"/>
              </w:rPr>
            </w:pPr>
            <w:r>
              <w:rPr>
                <w:noProof/>
                <w:sz w:val="20"/>
              </w:rPr>
              <w:t>Διαχείριση δημόσιων και στοχευμένων διαβουλεύσεων</w:t>
            </w:r>
          </w:p>
          <w:p>
            <w:pPr>
              <w:rPr>
                <w:noProof/>
                <w:sz w:val="20"/>
              </w:rPr>
            </w:pPr>
            <w:r>
              <w:rPr>
                <w:noProof/>
                <w:sz w:val="20"/>
              </w:rPr>
              <w:t>Προμήθεια και διαχείριση εξωτερικών μελετών που αφορούν την ανάλυση αλγοριθμικών συστημάτων, συστημάτων τεχνητής νοημοσύνης και συστημάτων διαχείρισης δεδομένων</w:t>
            </w:r>
          </w:p>
          <w:p>
            <w:pPr>
              <w:rPr>
                <w:noProof/>
              </w:rPr>
            </w:pPr>
            <w:r>
              <w:rPr>
                <w:noProof/>
                <w:sz w:val="20"/>
              </w:rPr>
              <w:t>Διοικητική στήριξη στο συμβούλιο και διοργάνωση συνεδριάσεων, προετοιμασία γνωμοδοτήσεων και άλλη παροχή στήριξης στο συμβούλιο</w:t>
            </w:r>
          </w:p>
        </w:tc>
      </w:tr>
      <w:tr>
        <w:tc>
          <w:tcPr>
            <w:tcW w:w="3240" w:type="dxa"/>
          </w:tcPr>
          <w:p>
            <w:pPr>
              <w:spacing w:before="60" w:after="60"/>
              <w:rPr>
                <w:noProof/>
                <w:sz w:val="20"/>
              </w:rPr>
            </w:pPr>
            <w:r>
              <w:rPr>
                <w:noProof/>
                <w:sz w:val="20"/>
              </w:rPr>
              <w:t>Εξωτερικό προσωπικό</w:t>
            </w:r>
          </w:p>
        </w:tc>
        <w:tc>
          <w:tcPr>
            <w:tcW w:w="7200" w:type="dxa"/>
          </w:tcPr>
          <w:p>
            <w:pPr>
              <w:rPr>
                <w:noProof/>
                <w:sz w:val="20"/>
              </w:rPr>
            </w:pPr>
            <w:r>
              <w:rPr>
                <w:noProof/>
                <w:sz w:val="20"/>
              </w:rPr>
              <w:t>Διεξαγωγή ερευνών, ελέγχων και άλλων αναλύσεων</w:t>
            </w:r>
          </w:p>
          <w:p>
            <w:pPr>
              <w:rPr>
                <w:noProof/>
                <w:sz w:val="20"/>
              </w:rPr>
            </w:pPr>
            <w:r>
              <w:rPr>
                <w:noProof/>
                <w:sz w:val="20"/>
              </w:rPr>
              <w:t>Διαχείριση δημόσιων και στοχευμένων διαβουλεύσεων</w:t>
            </w:r>
          </w:p>
          <w:p>
            <w:pPr>
              <w:rPr>
                <w:noProof/>
                <w:sz w:val="20"/>
              </w:rPr>
            </w:pPr>
            <w:r>
              <w:rPr>
                <w:noProof/>
                <w:sz w:val="20"/>
              </w:rPr>
              <w:t>Διοικητική στήριξη στο συμβούλιο και διοργάνωση συνεδριάσεων, προετοιμασία γνωμοδοτήσεων και άλλη παροχή στήριξης στο συμβούλιο</w:t>
            </w: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 xml:space="preserve">Συμμετοχή τρίτων στη χρηματοδότηση </w:t>
      </w:r>
    </w:p>
    <w:p>
      <w:pPr>
        <w:pStyle w:val="ListDash1"/>
        <w:rPr>
          <w:noProof/>
        </w:rPr>
      </w:pPr>
      <w:r>
        <w:rPr>
          <w:noProof/>
        </w:rPr>
        <w:sym w:font="Wingdings" w:char="F0FE"/>
      </w:r>
      <w:r>
        <w:rPr>
          <w:noProof/>
        </w:rPr>
        <w:tab/>
        <w:t>δεν προβλέπει συγχρηματοδότηση από τρίτους</w:t>
      </w:r>
    </w:p>
    <w:p>
      <w:pPr>
        <w:pStyle w:val="ListDash1"/>
        <w:rPr>
          <w:noProof/>
        </w:rPr>
      </w:pPr>
      <w:r>
        <w:rPr>
          <w:noProof/>
        </w:rPr>
        <w:sym w:font="Wingdings" w:char="F0A8"/>
      </w:r>
      <w:r>
        <w:rPr>
          <w:noProof/>
        </w:rPr>
        <w:tab/>
        <w:t>προβλέπει τη συγχρηματοδότηση από τρίτους που εκτιμάται παρακάτω:</w:t>
      </w:r>
    </w:p>
    <w:p>
      <w:pPr>
        <w:pStyle w:val="NormalRight"/>
        <w:rPr>
          <w:noProof/>
        </w:rPr>
      </w:pPr>
      <w:r>
        <w:rPr>
          <w:noProof/>
        </w:rPr>
        <w:t>Πιστώσεις σε εκατ. EUR (με τρία δεκαδικά ψηφία)</w:t>
      </w:r>
    </w:p>
    <w:tbl>
      <w:tblPr>
        <w:tblW w:w="1082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047"/>
        <w:gridCol w:w="1047"/>
        <w:gridCol w:w="1047"/>
        <w:gridCol w:w="1047"/>
        <w:gridCol w:w="1047"/>
        <w:gridCol w:w="1047"/>
        <w:gridCol w:w="1048"/>
        <w:gridCol w:w="1158"/>
      </w:tblGrid>
      <w:tr>
        <w:trPr>
          <w:cantSplit/>
        </w:trPr>
        <w:tc>
          <w:tcPr>
            <w:tcW w:w="2340" w:type="dxa"/>
          </w:tcPr>
          <w:p>
            <w:pPr>
              <w:spacing w:before="60" w:after="60"/>
              <w:rPr>
                <w:noProof/>
                <w:sz w:val="20"/>
              </w:rPr>
            </w:pPr>
          </w:p>
        </w:tc>
        <w:tc>
          <w:tcPr>
            <w:tcW w:w="1047" w:type="dxa"/>
            <w:vAlign w:val="center"/>
          </w:tcPr>
          <w:p>
            <w:pPr>
              <w:jc w:val="center"/>
              <w:rPr>
                <w:noProof/>
                <w:sz w:val="20"/>
              </w:rPr>
            </w:pPr>
            <w:r>
              <w:rPr>
                <w:noProof/>
                <w:sz w:val="20"/>
              </w:rPr>
              <w:t>2021</w:t>
            </w:r>
          </w:p>
        </w:tc>
        <w:tc>
          <w:tcPr>
            <w:tcW w:w="1047" w:type="dxa"/>
            <w:vAlign w:val="center"/>
          </w:tcPr>
          <w:p>
            <w:pPr>
              <w:jc w:val="center"/>
              <w:rPr>
                <w:noProof/>
                <w:sz w:val="20"/>
              </w:rPr>
            </w:pPr>
            <w:r>
              <w:rPr>
                <w:noProof/>
                <w:sz w:val="20"/>
              </w:rPr>
              <w:t>2022</w:t>
            </w:r>
          </w:p>
        </w:tc>
        <w:tc>
          <w:tcPr>
            <w:tcW w:w="1047" w:type="dxa"/>
            <w:vAlign w:val="center"/>
          </w:tcPr>
          <w:p>
            <w:pPr>
              <w:jc w:val="center"/>
              <w:rPr>
                <w:noProof/>
                <w:sz w:val="20"/>
              </w:rPr>
            </w:pPr>
            <w:r>
              <w:rPr>
                <w:noProof/>
                <w:sz w:val="20"/>
              </w:rPr>
              <w:t>2023</w:t>
            </w:r>
          </w:p>
        </w:tc>
        <w:tc>
          <w:tcPr>
            <w:tcW w:w="1047" w:type="dxa"/>
            <w:vAlign w:val="center"/>
          </w:tcPr>
          <w:p>
            <w:pPr>
              <w:jc w:val="center"/>
              <w:rPr>
                <w:noProof/>
                <w:sz w:val="20"/>
              </w:rPr>
            </w:pPr>
            <w:r>
              <w:rPr>
                <w:noProof/>
                <w:sz w:val="20"/>
              </w:rPr>
              <w:t>2024</w:t>
            </w:r>
          </w:p>
        </w:tc>
        <w:tc>
          <w:tcPr>
            <w:tcW w:w="1047" w:type="dxa"/>
          </w:tcPr>
          <w:p>
            <w:pPr>
              <w:jc w:val="center"/>
              <w:rPr>
                <w:noProof/>
                <w:sz w:val="20"/>
              </w:rPr>
            </w:pPr>
            <w:r>
              <w:rPr>
                <w:noProof/>
                <w:sz w:val="20"/>
              </w:rPr>
              <w:t>2025</w:t>
            </w:r>
          </w:p>
        </w:tc>
        <w:tc>
          <w:tcPr>
            <w:tcW w:w="1047" w:type="dxa"/>
          </w:tcPr>
          <w:p>
            <w:pPr>
              <w:jc w:val="center"/>
              <w:rPr>
                <w:noProof/>
                <w:sz w:val="20"/>
              </w:rPr>
            </w:pPr>
            <w:r>
              <w:rPr>
                <w:noProof/>
                <w:sz w:val="20"/>
              </w:rPr>
              <w:t>2026</w:t>
            </w:r>
          </w:p>
        </w:tc>
        <w:tc>
          <w:tcPr>
            <w:tcW w:w="1048" w:type="dxa"/>
          </w:tcPr>
          <w:p>
            <w:pPr>
              <w:jc w:val="center"/>
              <w:rPr>
                <w:noProof/>
                <w:sz w:val="20"/>
              </w:rPr>
            </w:pPr>
            <w:r>
              <w:rPr>
                <w:noProof/>
                <w:sz w:val="20"/>
              </w:rPr>
              <w:t>2027</w:t>
            </w:r>
          </w:p>
        </w:tc>
        <w:tc>
          <w:tcPr>
            <w:tcW w:w="1158" w:type="dxa"/>
            <w:vAlign w:val="center"/>
          </w:tcPr>
          <w:p>
            <w:pPr>
              <w:spacing w:before="60" w:after="60"/>
              <w:jc w:val="center"/>
              <w:rPr>
                <w:noProof/>
                <w:sz w:val="20"/>
              </w:rPr>
            </w:pPr>
            <w:r>
              <w:rPr>
                <w:noProof/>
                <w:sz w:val="20"/>
              </w:rPr>
              <w:t>Σύνολο</w:t>
            </w:r>
          </w:p>
        </w:tc>
      </w:tr>
      <w:tr>
        <w:trPr>
          <w:cantSplit/>
        </w:trPr>
        <w:tc>
          <w:tcPr>
            <w:tcW w:w="2340" w:type="dxa"/>
          </w:tcPr>
          <w:p>
            <w:pPr>
              <w:rPr>
                <w:noProof/>
                <w:sz w:val="22"/>
              </w:rPr>
            </w:pPr>
            <w:r>
              <w:rPr>
                <w:noProof/>
                <w:sz w:val="20"/>
              </w:rPr>
              <w:t>Προσδιορισμός του φορέα συγχρηματοδότησης</w:t>
            </w:r>
            <w:r>
              <w:rPr>
                <w:i/>
                <w:noProof/>
                <w:sz w:val="20"/>
              </w:rPr>
              <w:t xml:space="preserve"> </w:t>
            </w:r>
          </w:p>
        </w:tc>
        <w:tc>
          <w:tcPr>
            <w:tcW w:w="1047" w:type="dxa"/>
            <w:vAlign w:val="center"/>
          </w:tcPr>
          <w:p>
            <w:pPr>
              <w:spacing w:before="60" w:after="60"/>
              <w:jc w:val="center"/>
              <w:rPr>
                <w:noProof/>
                <w:sz w:val="20"/>
              </w:rPr>
            </w:pPr>
          </w:p>
        </w:tc>
        <w:tc>
          <w:tcPr>
            <w:tcW w:w="1047" w:type="dxa"/>
            <w:vAlign w:val="center"/>
          </w:tcPr>
          <w:p>
            <w:pPr>
              <w:spacing w:before="60" w:after="60"/>
              <w:jc w:val="center"/>
              <w:rPr>
                <w:noProof/>
                <w:sz w:val="20"/>
              </w:rPr>
            </w:pPr>
          </w:p>
        </w:tc>
        <w:tc>
          <w:tcPr>
            <w:tcW w:w="1047" w:type="dxa"/>
            <w:vAlign w:val="center"/>
          </w:tcPr>
          <w:p>
            <w:pPr>
              <w:spacing w:before="60" w:after="60"/>
              <w:jc w:val="center"/>
              <w:rPr>
                <w:noProof/>
                <w:sz w:val="20"/>
              </w:rPr>
            </w:pPr>
          </w:p>
        </w:tc>
        <w:tc>
          <w:tcPr>
            <w:tcW w:w="1047" w:type="dxa"/>
            <w:vAlign w:val="center"/>
          </w:tcPr>
          <w:p>
            <w:pPr>
              <w:spacing w:before="60" w:after="60"/>
              <w:jc w:val="center"/>
              <w:rPr>
                <w:noProof/>
                <w:sz w:val="20"/>
              </w:rPr>
            </w:pPr>
          </w:p>
        </w:tc>
        <w:tc>
          <w:tcPr>
            <w:tcW w:w="1047" w:type="dxa"/>
          </w:tcPr>
          <w:p>
            <w:pPr>
              <w:jc w:val="center"/>
              <w:rPr>
                <w:noProof/>
                <w:sz w:val="20"/>
              </w:rPr>
            </w:pPr>
          </w:p>
        </w:tc>
        <w:tc>
          <w:tcPr>
            <w:tcW w:w="1047" w:type="dxa"/>
          </w:tcPr>
          <w:p>
            <w:pPr>
              <w:jc w:val="center"/>
              <w:rPr>
                <w:noProof/>
                <w:sz w:val="20"/>
              </w:rPr>
            </w:pPr>
          </w:p>
        </w:tc>
        <w:tc>
          <w:tcPr>
            <w:tcW w:w="1048" w:type="dxa"/>
          </w:tcPr>
          <w:p>
            <w:pPr>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ΣΥΝΟΛΟ συγχρηματοδοτούμενων πιστώσεων </w:t>
            </w:r>
          </w:p>
        </w:tc>
        <w:tc>
          <w:tcPr>
            <w:tcW w:w="1047" w:type="dxa"/>
            <w:vAlign w:val="center"/>
          </w:tcPr>
          <w:p>
            <w:pPr>
              <w:spacing w:before="60" w:after="60"/>
              <w:jc w:val="center"/>
              <w:rPr>
                <w:noProof/>
                <w:sz w:val="20"/>
              </w:rPr>
            </w:pPr>
          </w:p>
        </w:tc>
        <w:tc>
          <w:tcPr>
            <w:tcW w:w="1047" w:type="dxa"/>
            <w:vAlign w:val="center"/>
          </w:tcPr>
          <w:p>
            <w:pPr>
              <w:spacing w:before="60" w:after="60"/>
              <w:jc w:val="center"/>
              <w:rPr>
                <w:noProof/>
                <w:sz w:val="20"/>
              </w:rPr>
            </w:pPr>
          </w:p>
        </w:tc>
        <w:tc>
          <w:tcPr>
            <w:tcW w:w="1047" w:type="dxa"/>
            <w:vAlign w:val="center"/>
          </w:tcPr>
          <w:p>
            <w:pPr>
              <w:spacing w:before="60" w:after="60"/>
              <w:jc w:val="center"/>
              <w:rPr>
                <w:noProof/>
                <w:sz w:val="20"/>
              </w:rPr>
            </w:pPr>
          </w:p>
        </w:tc>
        <w:tc>
          <w:tcPr>
            <w:tcW w:w="1047" w:type="dxa"/>
            <w:vAlign w:val="center"/>
          </w:tcPr>
          <w:p>
            <w:pPr>
              <w:spacing w:before="60" w:after="60"/>
              <w:jc w:val="center"/>
              <w:rPr>
                <w:noProof/>
                <w:sz w:val="20"/>
              </w:rPr>
            </w:pPr>
          </w:p>
        </w:tc>
        <w:tc>
          <w:tcPr>
            <w:tcW w:w="1047" w:type="dxa"/>
          </w:tcPr>
          <w:p>
            <w:pPr>
              <w:jc w:val="center"/>
              <w:rPr>
                <w:noProof/>
                <w:sz w:val="20"/>
              </w:rPr>
            </w:pPr>
          </w:p>
        </w:tc>
        <w:tc>
          <w:tcPr>
            <w:tcW w:w="1047" w:type="dxa"/>
          </w:tcPr>
          <w:p>
            <w:pPr>
              <w:jc w:val="center"/>
              <w:rPr>
                <w:noProof/>
                <w:sz w:val="20"/>
              </w:rPr>
            </w:pPr>
          </w:p>
        </w:tc>
        <w:tc>
          <w:tcPr>
            <w:tcW w:w="1048" w:type="dxa"/>
          </w:tcPr>
          <w:p>
            <w:pPr>
              <w:jc w:val="center"/>
              <w:rPr>
                <w:noProof/>
                <w:sz w:val="20"/>
              </w:rPr>
            </w:pPr>
          </w:p>
        </w:tc>
        <w:tc>
          <w:tcPr>
            <w:tcW w:w="1158" w:type="dxa"/>
            <w:vAlign w:val="center"/>
          </w:tcPr>
          <w:p>
            <w:pPr>
              <w:spacing w:before="60" w:after="60"/>
              <w:jc w:val="center"/>
              <w:rPr>
                <w:noProof/>
                <w:sz w:val="20"/>
              </w:rPr>
            </w:pPr>
          </w:p>
        </w:tc>
      </w:tr>
    </w:tbl>
    <w:p>
      <w:pPr>
        <w:rPr>
          <w:noProof/>
        </w:rPr>
      </w:pPr>
      <w:r>
        <w:rPr>
          <w:noProof/>
        </w:rPr>
        <w:t xml:space="preserve"> </w:t>
      </w:r>
      <w:r>
        <w:rPr>
          <w:noProof/>
        </w:rPr>
        <w:br/>
      </w:r>
    </w:p>
    <w:p>
      <w:pPr>
        <w:pStyle w:val="ManualHeading2"/>
        <w:rPr>
          <w:bCs/>
          <w:noProof/>
          <w:szCs w:val="24"/>
        </w:rPr>
      </w:pPr>
      <w:r>
        <w:rPr>
          <w:noProof/>
        </w:rPr>
        <w:br w:type="page"/>
      </w:r>
      <w:r>
        <w:t>3.3.</w:t>
      </w:r>
      <w:r>
        <w:tab/>
      </w:r>
      <w:r>
        <w:rPr>
          <w:noProof/>
        </w:rPr>
        <w:t xml:space="preserve">Εκτιμώμενες επιπτώσεις στα έσοδα </w:t>
      </w:r>
    </w:p>
    <w:p>
      <w:pPr>
        <w:pStyle w:val="ListDash1"/>
        <w:rPr>
          <w:noProof/>
        </w:rPr>
      </w:pPr>
      <w:r>
        <w:rPr>
          <w:noProof/>
        </w:rPr>
        <w:sym w:font="Wingdings" w:char="F0FE"/>
      </w:r>
      <w:r>
        <w:rPr>
          <w:noProof/>
        </w:rPr>
        <w:tab/>
        <w:t>Η πρόταση/πρωτοβουλία δεν έχει δημοσιονομικές επιπτώσεις στα έσοδα.</w:t>
      </w:r>
    </w:p>
    <w:p>
      <w:pPr>
        <w:pStyle w:val="ListDash1"/>
        <w:rPr>
          <w:noProof/>
        </w:rPr>
      </w:pPr>
      <w:r>
        <w:rPr>
          <w:noProof/>
        </w:rPr>
        <w:sym w:font="Wingdings" w:char="F0A8"/>
      </w:r>
      <w:r>
        <w:rPr>
          <w:noProof/>
        </w:rPr>
        <w:tab/>
        <w:t>Η πρόταση/πρωτοβουλία έχει τις δημοσιονομικές επιπτώσεις που περιγράφονται κατωτέρω:</w:t>
      </w:r>
    </w:p>
    <w:p>
      <w:pPr>
        <w:pStyle w:val="Tiret3"/>
        <w:numPr>
          <w:ilvl w:val="0"/>
          <w:numId w:val="89"/>
        </w:numPr>
        <w:rPr>
          <w:noProof/>
        </w:rPr>
      </w:pPr>
      <w:r>
        <w:rPr>
          <w:noProof/>
        </w:rPr>
        <w:sym w:font="Wingdings" w:char="F0A8"/>
      </w:r>
      <w:r>
        <w:rPr>
          <w:noProof/>
        </w:rPr>
        <w:tab/>
        <w:t xml:space="preserve">στους ιδίους πόρους </w:t>
      </w:r>
    </w:p>
    <w:p>
      <w:pPr>
        <w:pStyle w:val="Tiret3"/>
        <w:rPr>
          <w:noProof/>
        </w:rPr>
      </w:pPr>
      <w:r>
        <w:rPr>
          <w:noProof/>
        </w:rPr>
        <w:sym w:font="Wingdings" w:char="F0A8"/>
      </w:r>
      <w:r>
        <w:rPr>
          <w:noProof/>
        </w:rPr>
        <w:tab/>
        <w:t xml:space="preserve">στα λοιπά έσοδα </w:t>
      </w:r>
    </w:p>
    <w:p>
      <w:pPr>
        <w:rPr>
          <w:noProof/>
        </w:rPr>
      </w:pPr>
      <w:r>
        <w:rPr>
          <w:noProof/>
        </w:rPr>
        <w:t xml:space="preserve">Να αναφερθεί αν τα έσοδα προορίζονται για γραμμές δαπανών </w:t>
      </w:r>
      <w:r>
        <w:rPr>
          <w:noProof/>
        </w:rPr>
        <w:sym w:font="Wingdings" w:char="F0A8"/>
      </w:r>
      <w:r>
        <w:rPr>
          <w:noProof/>
        </w:rPr>
        <w:tab/>
      </w:r>
    </w:p>
    <w:p>
      <w:pPr>
        <w:pStyle w:val="NormalRight"/>
        <w:rPr>
          <w:noProof/>
        </w:rPr>
      </w:pPr>
      <w:r>
        <w:rPr>
          <w:noProof/>
        </w:rPr>
        <w:t>σε εκατ. EUR (με τρία δεκαδικά ψηφία)</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Γραμμή εσόδων του προϋπολογισμού:</w:t>
            </w:r>
          </w:p>
        </w:tc>
        <w:tc>
          <w:tcPr>
            <w:tcW w:w="7200" w:type="dxa"/>
            <w:gridSpan w:val="7"/>
            <w:vAlign w:val="center"/>
          </w:tcPr>
          <w:p>
            <w:pPr>
              <w:jc w:val="center"/>
              <w:rPr>
                <w:noProof/>
                <w:sz w:val="18"/>
              </w:rPr>
            </w:pPr>
            <w:r>
              <w:rPr>
                <w:noProof/>
                <w:sz w:val="18"/>
              </w:rPr>
              <w:t>Επιπτώσεις της πρότασης/πρωτοβουλίας</w:t>
            </w:r>
            <w:r>
              <w:rPr>
                <w:rStyle w:val="FootnoteReference"/>
                <w:noProof/>
                <w:sz w:val="18"/>
              </w:rPr>
              <w:footnoteReference w:id="66"/>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Άρθρο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Annexetitrefichefinancire"/>
        <w:rPr>
          <w:noProof/>
        </w:rPr>
      </w:pPr>
    </w:p>
    <w:p>
      <w:pPr>
        <w:jc w:val="center"/>
        <w:rPr>
          <w:b/>
          <w:bCs/>
          <w:noProof/>
          <w:sz w:val="36"/>
          <w:szCs w:val="36"/>
          <w:u w:val="single"/>
        </w:rPr>
      </w:pPr>
      <w:r>
        <w:rPr>
          <w:b/>
          <w:noProof/>
          <w:sz w:val="36"/>
          <w:u w:val="single"/>
        </w:rPr>
        <w:t>ΠΑΡΑΡΤΗΜΑ</w:t>
      </w:r>
      <w:r>
        <w:rPr>
          <w:noProof/>
        </w:rPr>
        <w:t xml:space="preserve"> </w:t>
      </w:r>
      <w:r>
        <w:rPr>
          <w:noProof/>
        </w:rPr>
        <w:br/>
      </w:r>
      <w:r>
        <w:rPr>
          <w:b/>
          <w:noProof/>
          <w:sz w:val="36"/>
          <w:u w:val="single"/>
        </w:rPr>
        <w:t>του ΝΟΜΟΘΕΤΙΚΟΥ ΔΗΜΟΣΙΟΝΟΜΙΚΟΥ ΔΕΛΤΙΟΥ</w:t>
      </w:r>
    </w:p>
    <w:p>
      <w:pPr>
        <w:jc w:val="center"/>
        <w:rPr>
          <w:noProof/>
        </w:rPr>
      </w:pPr>
    </w:p>
    <w:p>
      <w:pPr>
        <w:outlineLvl w:val="0"/>
        <w:rPr>
          <w:b/>
          <w:bCs/>
          <w:noProof/>
        </w:rPr>
      </w:pPr>
    </w:p>
    <w:p>
      <w:pPr>
        <w:outlineLvl w:val="0"/>
        <w:rPr>
          <w:b/>
          <w:bCs/>
          <w:noProof/>
        </w:rPr>
      </w:pPr>
    </w:p>
    <w:p>
      <w:pPr>
        <w:outlineLvl w:val="0"/>
        <w:rPr>
          <w:b/>
          <w:bCs/>
          <w:noProof/>
        </w:rPr>
      </w:pPr>
    </w:p>
    <w:p>
      <w:pPr>
        <w:spacing w:before="240"/>
        <w:ind w:left="360"/>
        <w:jc w:val="center"/>
        <w:rPr>
          <w:noProof/>
        </w:rPr>
      </w:pPr>
      <w:r>
        <w:rPr>
          <w:noProof/>
        </w:rPr>
        <w:t>Τίτλος της πρότασης/πρωτοβουλίας:</w:t>
      </w:r>
    </w:p>
    <w:p>
      <w:pPr>
        <w:pStyle w:val="Text1"/>
        <w:pBdr>
          <w:top w:val="single" w:sz="4" w:space="1" w:color="auto"/>
          <w:left w:val="single" w:sz="4" w:space="4" w:color="auto"/>
          <w:bottom w:val="single" w:sz="4" w:space="1" w:color="auto"/>
          <w:right w:val="single" w:sz="4" w:space="4" w:color="auto"/>
        </w:pBdr>
        <w:rPr>
          <w:noProof/>
          <w:color w:val="0000FF"/>
        </w:rPr>
      </w:pPr>
      <w:r>
        <w:rPr>
          <w:noProof/>
        </w:rPr>
        <w:t>Κανονισμός του Ευρωπαϊκού Κοινοβουλίου και του Συμβουλίου σχετικά με την ενιαία αγορά ψηφιακών υπηρεσιών</w:t>
      </w:r>
    </w:p>
    <w:p>
      <w:pPr>
        <w:outlineLvl w:val="0"/>
        <w:rPr>
          <w:b/>
          <w:bCs/>
          <w:noProof/>
        </w:rPr>
      </w:pPr>
    </w:p>
    <w:p>
      <w:pPr>
        <w:outlineLvl w:val="0"/>
        <w:rPr>
          <w:b/>
          <w:bCs/>
          <w:noProof/>
        </w:rPr>
      </w:pPr>
    </w:p>
    <w:p>
      <w:pPr>
        <w:outlineLvl w:val="0"/>
        <w:rPr>
          <w:b/>
          <w:bCs/>
          <w:noProof/>
        </w:rPr>
      </w:pPr>
    </w:p>
    <w:p>
      <w:pPr>
        <w:pStyle w:val="Point0"/>
        <w:rPr>
          <w:bCs/>
          <w:noProof/>
          <w:szCs w:val="32"/>
        </w:rPr>
      </w:pPr>
      <w:r>
        <w:t>(1)</w:t>
      </w:r>
      <w:r>
        <w:tab/>
      </w:r>
      <w:r>
        <w:rPr>
          <w:noProof/>
        </w:rPr>
        <w:t>ΑΡΙΘΜΟΣ και ΚΟΣΤΟΣ των ΑΝΘΡΩΠΙΝΩΝ ΠΟΡΩΝ ΠΟΥ ΚΡΙΝΟΝΤΑΙ ΑΠΑΡΑΙΤΗΤΟΙ</w:t>
      </w:r>
    </w:p>
    <w:p>
      <w:pPr>
        <w:pStyle w:val="Point0"/>
        <w:rPr>
          <w:bCs/>
          <w:noProof/>
          <w:szCs w:val="32"/>
        </w:rPr>
      </w:pPr>
      <w:r>
        <w:t>(2)</w:t>
      </w:r>
      <w:r>
        <w:tab/>
      </w:r>
      <w:r>
        <w:rPr>
          <w:noProof/>
        </w:rPr>
        <w:t>ΚΟΣΤΟΣ ΑΛΛΩΝ ΔΙΟΙΚΗΤΙΚΩΝ ΔΑΠΑΝΩΝ</w:t>
      </w:r>
    </w:p>
    <w:p>
      <w:pPr>
        <w:pStyle w:val="Point0"/>
        <w:rPr>
          <w:bCs/>
          <w:noProof/>
          <w:szCs w:val="32"/>
        </w:rPr>
      </w:pPr>
      <w:r>
        <w:t>(3)</w:t>
      </w:r>
      <w:r>
        <w:tab/>
      </w:r>
      <w:r>
        <w:rPr>
          <w:noProof/>
        </w:rPr>
        <w:t>ΧΡΗΣΙΜΟΠΟΙΟΥΜΕΝΕΣ ΜΕΘΟΔΟΙ ΥΠΟΛΟΓΙΣΜΟΥ ΓΙΑ ΤΗΝ ΕΚΤΙΜΗΣΗ ΤΟΥ ΚΟΣΤΟΥΣ</w:t>
      </w:r>
    </w:p>
    <w:p>
      <w:pPr>
        <w:pStyle w:val="Point0"/>
        <w:rPr>
          <w:bCs/>
          <w:noProof/>
          <w:szCs w:val="32"/>
        </w:rPr>
      </w:pPr>
      <w:r>
        <w:t>(a)</w:t>
      </w:r>
      <w:r>
        <w:tab/>
      </w:r>
      <w:r>
        <w:rPr>
          <w:noProof/>
        </w:rPr>
        <w:t>Ανθρώπινοι πόροι</w:t>
      </w:r>
    </w:p>
    <w:p>
      <w:pPr>
        <w:pStyle w:val="Point0"/>
        <w:rPr>
          <w:bCs/>
          <w:noProof/>
          <w:szCs w:val="32"/>
        </w:rPr>
      </w:pPr>
      <w:r>
        <w:t>(b)</w:t>
      </w:r>
      <w:r>
        <w:tab/>
      </w:r>
      <w:r>
        <w:rPr>
          <w:noProof/>
        </w:rPr>
        <w:t>Άλλες διοικητικές δαπάνες</w:t>
      </w:r>
    </w:p>
    <w:p>
      <w:pPr>
        <w:rPr>
          <w:noProof/>
        </w:rPr>
        <w:sectPr>
          <w:headerReference w:type="default" r:id="rId27"/>
          <w:footerReference w:type="default" r:id="rId28"/>
          <w:headerReference w:type="first" r:id="rId29"/>
          <w:footerReference w:type="first" r:id="rId30"/>
          <w:pgSz w:w="12240" w:h="15840" w:code="1"/>
          <w:pgMar w:top="902" w:right="1134" w:bottom="1247" w:left="902" w:header="709" w:footer="709" w:gutter="0"/>
          <w:pgNumType w:start="1"/>
          <w:cols w:space="720"/>
          <w:docGrid w:linePitch="360"/>
        </w:sectPr>
      </w:pPr>
    </w:p>
    <w:p>
      <w:pPr>
        <w:rPr>
          <w:noProof/>
          <w:sz w:val="16"/>
          <w:szCs w:val="16"/>
        </w:rPr>
      </w:pPr>
    </w:p>
    <w:p>
      <w:pPr>
        <w:pStyle w:val="Point0"/>
        <w:rPr>
          <w:noProof/>
          <w:sz w:val="16"/>
          <w:szCs w:val="28"/>
        </w:rPr>
      </w:pPr>
      <w:r>
        <w:t>(1)</w:t>
      </w:r>
      <w:r>
        <w:tab/>
      </w:r>
      <w:r>
        <w:rPr>
          <w:noProof/>
        </w:rPr>
        <w:t>Κόστος των ανθρώπινων πόρων που θεωρούνται απαραίτητοι</w:t>
      </w:r>
      <w:r>
        <w:rPr>
          <w:noProof/>
        </w:rPr>
        <w:tab/>
      </w:r>
    </w:p>
    <w:p>
      <w:pPr>
        <w:pStyle w:val="Point1"/>
        <w:spacing w:after="0"/>
        <w:ind w:left="2263" w:hanging="284"/>
        <w:rPr>
          <w:noProof/>
        </w:rPr>
      </w:pPr>
      <w:r>
        <w:rPr>
          <w:noProof/>
        </w:rPr>
        <w:sym w:font="Wingdings" w:char="F0A8"/>
      </w:r>
      <w:r>
        <w:rPr>
          <w:noProof/>
        </w:rPr>
        <w:tab/>
      </w:r>
      <w:r>
        <w:rPr>
          <w:noProof/>
          <w:sz w:val="22"/>
        </w:rPr>
        <w:t>Η πρόταση/πρωτοβουλία δεν συνεπάγεται τη χρησιμοποίηση ανθρώπινων πόρων.</w:t>
      </w:r>
    </w:p>
    <w:p>
      <w:pPr>
        <w:pStyle w:val="Text1"/>
        <w:spacing w:before="60" w:after="0"/>
        <w:ind w:left="2263" w:hanging="284"/>
        <w:rPr>
          <w:noProof/>
        </w:rPr>
      </w:pPr>
      <w:r>
        <w:rPr>
          <w:noProof/>
        </w:rPr>
        <w:sym w:font="Wingdings" w:char="F0FE"/>
      </w:r>
      <w:r>
        <w:rPr>
          <w:noProof/>
        </w:rPr>
        <w:tab/>
      </w:r>
      <w:r>
        <w:rPr>
          <w:noProof/>
          <w:sz w:val="22"/>
        </w:rPr>
        <w:t>Η πρόταση/πρωτοβουλία συνεπάγεται τη χρησιμοποίηση ανθρώπινων πόρων, όπως εξηγείται κατωτέρω:</w:t>
      </w:r>
    </w:p>
    <w:p>
      <w:pPr>
        <w:jc w:val="right"/>
        <w:rPr>
          <w:iCs/>
          <w:noProof/>
          <w:sz w:val="20"/>
          <w:szCs w:val="20"/>
        </w:rPr>
      </w:pPr>
      <w:r>
        <w:rPr>
          <w:noProof/>
          <w:sz w:val="20"/>
          <w:szCs w:val="20"/>
        </w:rPr>
        <w:t>σε εκατ. EUR (με τρία δεκαδικά ψηφία)</w:t>
      </w:r>
    </w:p>
    <w:tbl>
      <w:tblPr>
        <w:tblW w:w="5000" w:type="pct"/>
        <w:tblLook w:val="04A0" w:firstRow="1" w:lastRow="0" w:firstColumn="1" w:lastColumn="0" w:noHBand="0" w:noVBand="1"/>
      </w:tblPr>
      <w:tblGrid>
        <w:gridCol w:w="1520"/>
        <w:gridCol w:w="528"/>
        <w:gridCol w:w="435"/>
        <w:gridCol w:w="828"/>
        <w:gridCol w:w="435"/>
        <w:gridCol w:w="828"/>
        <w:gridCol w:w="435"/>
        <w:gridCol w:w="828"/>
        <w:gridCol w:w="830"/>
        <w:gridCol w:w="828"/>
        <w:gridCol w:w="883"/>
        <w:gridCol w:w="828"/>
        <w:gridCol w:w="883"/>
        <w:gridCol w:w="828"/>
        <w:gridCol w:w="955"/>
        <w:gridCol w:w="828"/>
        <w:gridCol w:w="435"/>
        <w:gridCol w:w="828"/>
      </w:tblGrid>
      <w:tr>
        <w:trPr>
          <w:trHeight w:val="330"/>
        </w:trPr>
        <w:tc>
          <w:tcPr>
            <w:tcW w:w="541" w:type="pct"/>
            <w:gridSpan w:val="2"/>
            <w:tcBorders>
              <w:top w:val="single" w:sz="4" w:space="0" w:color="auto"/>
              <w:left w:val="single" w:sz="4" w:space="0" w:color="auto"/>
              <w:right w:val="single" w:sz="4" w:space="0" w:color="auto"/>
            </w:tcBorders>
            <w:shd w:val="pct50" w:color="C0C0C0" w:fill="E2E2E2"/>
            <w:vAlign w:val="center"/>
            <w:hideMark/>
          </w:tcPr>
          <w:p>
            <w:pPr>
              <w:jc w:val="center"/>
              <w:rPr>
                <w:rFonts w:ascii="Arial Narrow" w:hAnsi="Arial Narrow"/>
                <w:b/>
                <w:bCs/>
                <w:noProof/>
                <w:color w:val="000000"/>
                <w:sz w:val="22"/>
              </w:rPr>
            </w:pPr>
            <w:r>
              <w:rPr>
                <w:rFonts w:ascii="Arial Narrow" w:hAnsi="Arial Narrow"/>
                <w:b/>
                <w:bCs/>
                <w:noProof/>
                <w:color w:val="000000"/>
                <w:sz w:val="22"/>
              </w:rPr>
              <w:t>ΤΟΜΕΑΣ 7</w:t>
            </w:r>
          </w:p>
          <w:p>
            <w:pPr>
              <w:jc w:val="center"/>
              <w:rPr>
                <w:rFonts w:ascii="Arial Narrow" w:hAnsi="Arial Narrow"/>
                <w:b/>
                <w:bCs/>
                <w:noProof/>
                <w:color w:val="000000"/>
                <w:sz w:val="22"/>
              </w:rPr>
            </w:pPr>
            <w:r>
              <w:rPr>
                <w:rFonts w:ascii="Arial Narrow" w:hAnsi="Arial Narrow"/>
                <w:noProof/>
                <w:color w:val="000000"/>
                <w:sz w:val="22"/>
              </w:rPr>
              <w:t>του πολυετούς δημοσιονομικού πλαισίου</w:t>
            </w:r>
          </w:p>
        </w:tc>
        <w:tc>
          <w:tcPr>
            <w:tcW w:w="445"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2021</w:t>
            </w:r>
          </w:p>
        </w:tc>
        <w:tc>
          <w:tcPr>
            <w:tcW w:w="445"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2022</w:t>
            </w:r>
          </w:p>
        </w:tc>
        <w:tc>
          <w:tcPr>
            <w:tcW w:w="445"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2023</w:t>
            </w:r>
          </w:p>
        </w:tc>
        <w:tc>
          <w:tcPr>
            <w:tcW w:w="663"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2024</w:t>
            </w:r>
          </w:p>
        </w:tc>
        <w:tc>
          <w:tcPr>
            <w:tcW w:w="663"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2025</w:t>
            </w:r>
          </w:p>
        </w:tc>
        <w:tc>
          <w:tcPr>
            <w:tcW w:w="663"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2026</w:t>
            </w:r>
          </w:p>
        </w:tc>
        <w:tc>
          <w:tcPr>
            <w:tcW w:w="689"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2027</w:t>
            </w:r>
          </w:p>
        </w:tc>
        <w:tc>
          <w:tcPr>
            <w:tcW w:w="445"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ΣΥΝΟΛΟ</w:t>
            </w:r>
          </w:p>
        </w:tc>
      </w:tr>
      <w:tr>
        <w:trPr>
          <w:trHeight w:val="660"/>
        </w:trPr>
        <w:tc>
          <w:tcPr>
            <w:tcW w:w="541" w:type="pct"/>
            <w:gridSpan w:val="2"/>
            <w:tcBorders>
              <w:left w:val="single" w:sz="4" w:space="0" w:color="auto"/>
              <w:bottom w:val="single" w:sz="4" w:space="0" w:color="auto"/>
              <w:right w:val="single" w:sz="4" w:space="0" w:color="auto"/>
            </w:tcBorders>
            <w:shd w:val="pct50" w:color="C0C0C0" w:fill="E2E2E2"/>
            <w:vAlign w:val="center"/>
            <w:hideMark/>
          </w:tcPr>
          <w:p>
            <w:pPr>
              <w:jc w:val="center"/>
              <w:rPr>
                <w:rFonts w:ascii="Arial Narrow" w:hAnsi="Arial Narrow"/>
                <w:noProof/>
                <w:color w:val="000000"/>
                <w:sz w:val="22"/>
              </w:rPr>
            </w:pP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ΙΠΑ</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Πιστώσεις</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ΙΠΑ</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Πιστώσεις</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ΙΠΑ</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Πιστώσεις</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ΙΠΑ</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Πιστώσεις</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ΙΠΑ</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Πιστώσεις</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ΙΠΑ</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Πιστώσεις</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ΙΠΑ</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Πιστώσεις</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ΙΠΑ</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Πιστώσεις</w:t>
            </w:r>
          </w:p>
        </w:tc>
      </w:tr>
      <w:tr>
        <w:trPr>
          <w:trHeight w:val="330"/>
        </w:trPr>
        <w:tc>
          <w:tcPr>
            <w:tcW w:w="5000" w:type="pct"/>
            <w:gridSpan w:val="18"/>
            <w:tcBorders>
              <w:top w:val="single" w:sz="4" w:space="0" w:color="auto"/>
              <w:left w:val="single" w:sz="4" w:space="0" w:color="auto"/>
              <w:bottom w:val="single" w:sz="4" w:space="0" w:color="auto"/>
              <w:right w:val="single" w:sz="4" w:space="0" w:color="auto"/>
            </w:tcBorders>
            <w:shd w:val="pct12" w:color="CCFFFF" w:fill="CCFFD0"/>
            <w:vAlign w:val="center"/>
            <w:hideMark/>
          </w:tcPr>
          <w:p>
            <w:pPr>
              <w:rPr>
                <w:rFonts w:ascii="Arial Narrow" w:hAnsi="Arial Narrow"/>
                <w:noProof/>
                <w:color w:val="000000"/>
                <w:sz w:val="20"/>
                <w:szCs w:val="20"/>
              </w:rPr>
            </w:pPr>
            <w:r>
              <w:rPr>
                <w:rFonts w:ascii="Arial Narrow" w:hAnsi="Arial Narrow"/>
                <w:b/>
                <w:noProof/>
                <w:color w:val="008000"/>
                <w:sz w:val="20"/>
              </w:rPr>
              <w:sym w:font="Wingdings" w:char="F09F"/>
            </w:r>
            <w:r>
              <w:rPr>
                <w:rFonts w:ascii="Arial Narrow" w:hAnsi="Arial Narrow"/>
                <w:b/>
                <w:noProof/>
                <w:color w:val="008000"/>
                <w:sz w:val="20"/>
              </w:rPr>
              <w:t xml:space="preserve"> </w:t>
            </w:r>
            <w:r>
              <w:rPr>
                <w:rFonts w:ascii="Arial Narrow" w:hAnsi="Arial Narrow"/>
                <w:b/>
                <w:noProof/>
                <w:color w:val="008000"/>
                <w:sz w:val="22"/>
              </w:rPr>
              <w:t>Θέσεις απασχόλησης του πίνακα προσωπικού (θέσεις μόνιμων και έκτακτων υπαλλήλων)</w:t>
            </w:r>
          </w:p>
        </w:tc>
      </w:tr>
      <w:tr>
        <w:trPr>
          <w:trHeight w:val="300"/>
        </w:trPr>
        <w:tc>
          <w:tcPr>
            <w:tcW w:w="388" w:type="pct"/>
            <w:vMerge w:val="restart"/>
            <w:tcBorders>
              <w:top w:val="nil"/>
              <w:left w:val="single" w:sz="4" w:space="0" w:color="auto"/>
              <w:bottom w:val="single" w:sz="4" w:space="0" w:color="auto"/>
              <w:right w:val="single" w:sz="4" w:space="0" w:color="auto"/>
            </w:tcBorders>
            <w:shd w:val="pct12" w:color="CCFFFF"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Έδρα και αντιπροσωπείες της Επιτροπής</w:t>
            </w: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AD</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5</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0,60 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16</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2,4</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27</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4,05</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27</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4,05</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27  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4,05</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trPr>
        <w:tc>
          <w:tcPr>
            <w:tcW w:w="388" w:type="pct"/>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AST</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1</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0,15</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3</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0,45</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5</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0,75</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5</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0,75</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5</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0,75</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trPr>
        <w:tc>
          <w:tcPr>
            <w:tcW w:w="388" w:type="pct"/>
            <w:vMerge w:val="restart"/>
            <w:tcBorders>
              <w:top w:val="nil"/>
              <w:left w:val="single" w:sz="4" w:space="0" w:color="auto"/>
              <w:bottom w:val="single" w:sz="4" w:space="0" w:color="auto"/>
              <w:right w:val="single" w:sz="4" w:space="0" w:color="auto"/>
            </w:tcBorders>
            <w:shd w:val="pct12" w:color="CCFFFF"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σε αντιπροσωπείες της Ένωσης</w:t>
            </w: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AD</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trPr>
        <w:tc>
          <w:tcPr>
            <w:tcW w:w="388" w:type="pct"/>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AST</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trPr>
        <w:tc>
          <w:tcPr>
            <w:tcW w:w="5000" w:type="pct"/>
            <w:gridSpan w:val="18"/>
            <w:tcBorders>
              <w:top w:val="single" w:sz="4" w:space="0" w:color="auto"/>
              <w:left w:val="single" w:sz="4" w:space="0" w:color="auto"/>
              <w:bottom w:val="single" w:sz="4" w:space="0" w:color="auto"/>
              <w:right w:val="single" w:sz="4" w:space="0" w:color="auto"/>
            </w:tcBorders>
            <w:shd w:val="pct12" w:color="CCFFFF" w:fill="FCFFA1"/>
            <w:vAlign w:val="center"/>
            <w:hideMark/>
          </w:tcPr>
          <w:p>
            <w:pPr>
              <w:rPr>
                <w:rFonts w:ascii="Arial Narrow" w:hAnsi="Arial Narrow"/>
                <w:noProof/>
                <w:color w:val="000000"/>
                <w:sz w:val="20"/>
                <w:szCs w:val="20"/>
              </w:rPr>
            </w:pPr>
            <w:r>
              <w:rPr>
                <w:rFonts w:ascii="Arial Narrow" w:hAnsi="Arial Narrow"/>
                <w:b/>
                <w:noProof/>
                <w:color w:val="FF6600"/>
                <w:sz w:val="20"/>
              </w:rPr>
              <w:sym w:font="Wingdings" w:char="F09F"/>
            </w:r>
            <w:r>
              <w:rPr>
                <w:rFonts w:ascii="Arial Narrow" w:hAnsi="Arial Narrow"/>
                <w:b/>
                <w:noProof/>
                <w:color w:val="FF6600"/>
                <w:sz w:val="20"/>
              </w:rPr>
              <w:t xml:space="preserve"> </w:t>
            </w:r>
            <w:r>
              <w:rPr>
                <w:rFonts w:ascii="Arial Narrow" w:hAnsi="Arial Narrow"/>
                <w:b/>
                <w:noProof/>
                <w:color w:val="FF6600"/>
                <w:sz w:val="22"/>
              </w:rPr>
              <w:t xml:space="preserve">Εξωτερικό προσωπικό </w:t>
            </w:r>
            <w:r>
              <w:rPr>
                <w:rStyle w:val="FootnoteReference"/>
                <w:rFonts w:ascii="Arial Narrow" w:hAnsi="Arial Narrow"/>
                <w:b/>
                <w:noProof/>
                <w:color w:val="FF0000"/>
                <w:sz w:val="22"/>
              </w:rPr>
              <w:footnoteReference w:id="67"/>
            </w:r>
          </w:p>
        </w:tc>
      </w:tr>
      <w:tr>
        <w:trPr>
          <w:trHeight w:val="300"/>
        </w:trPr>
        <w:tc>
          <w:tcPr>
            <w:tcW w:w="388" w:type="pct"/>
            <w:vMerge w:val="restart"/>
            <w:tcBorders>
              <w:top w:val="nil"/>
              <w:left w:val="single" w:sz="4" w:space="0" w:color="auto"/>
              <w:bottom w:val="single" w:sz="4" w:space="0" w:color="auto"/>
              <w:right w:val="single" w:sz="4" w:space="0" w:color="auto"/>
            </w:tcBorders>
            <w:shd w:val="pct12" w:color="CCFFFF"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Συνολικό κονδύλιο</w:t>
            </w: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AC</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7</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0,56</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7</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0,56</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7</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0,56</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7</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0,56</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trPr>
        <w:tc>
          <w:tcPr>
            <w:tcW w:w="388" w:type="pct"/>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END</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4</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0,34</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11</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0,935</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11</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0,935</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11</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0,935</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trPr>
        <w:tc>
          <w:tcPr>
            <w:tcW w:w="388" w:type="pct"/>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INT</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trPr>
        <w:tc>
          <w:tcPr>
            <w:tcW w:w="388" w:type="pct"/>
            <w:tcBorders>
              <w:top w:val="nil"/>
              <w:left w:val="single" w:sz="4" w:space="0" w:color="auto"/>
              <w:bottom w:val="single" w:sz="4" w:space="0" w:color="auto"/>
              <w:right w:val="single" w:sz="4" w:space="0" w:color="auto"/>
            </w:tcBorders>
            <w:shd w:val="pct12" w:color="CCFFFF"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Άλλες γραμμές του προϋπολογισμού (</w:t>
            </w:r>
            <w:r>
              <w:rPr>
                <w:rFonts w:ascii="Arial Narrow" w:hAnsi="Arial Narrow"/>
                <w:i/>
                <w:iCs/>
                <w:noProof/>
                <w:color w:val="000000"/>
                <w:sz w:val="20"/>
                <w:szCs w:val="20"/>
              </w:rPr>
              <w:t>να προσδιοριστούν</w:t>
            </w:r>
            <w:r>
              <w:rPr>
                <w:rFonts w:ascii="Arial Narrow" w:hAnsi="Arial Narrow"/>
                <w:noProof/>
                <w:color w:val="000000"/>
                <w:sz w:val="20"/>
                <w:szCs w:val="20"/>
              </w:rPr>
              <w:t>)</w:t>
            </w: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1165"/>
        </w:trPr>
        <w:tc>
          <w:tcPr>
            <w:tcW w:w="388"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b/>
                <w:bCs/>
                <w:noProof/>
                <w:color w:val="000000"/>
                <w:sz w:val="22"/>
              </w:rPr>
            </w:pPr>
            <w:r>
              <w:rPr>
                <w:rFonts w:ascii="Arial Narrow" w:hAnsi="Arial Narrow"/>
                <w:b/>
                <w:bCs/>
                <w:noProof/>
                <w:color w:val="000000"/>
                <w:sz w:val="22"/>
              </w:rPr>
              <w:t>Μερικό σύνολο του ΤΟΜΕΑ 7</w:t>
            </w:r>
          </w:p>
          <w:p>
            <w:pPr>
              <w:jc w:val="center"/>
              <w:rPr>
                <w:rFonts w:ascii="Arial Narrow" w:hAnsi="Arial Narrow"/>
                <w:b/>
                <w:bCs/>
                <w:noProof/>
                <w:color w:val="000000"/>
                <w:sz w:val="22"/>
              </w:rPr>
            </w:pPr>
            <w:r>
              <w:rPr>
                <w:rFonts w:ascii="Arial Narrow" w:hAnsi="Arial Narrow"/>
                <w:noProof/>
                <w:color w:val="000000"/>
                <w:sz w:val="22"/>
              </w:rPr>
              <w:t>του πολυετούς δημοσιονομικού πλαισίου</w:t>
            </w:r>
          </w:p>
        </w:tc>
        <w:tc>
          <w:tcPr>
            <w:tcW w:w="154"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 xml:space="preserve"> </w:t>
            </w:r>
          </w:p>
        </w:tc>
        <w:tc>
          <w:tcPr>
            <w:tcW w:w="135"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6 </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0,75 </w:t>
            </w:r>
          </w:p>
        </w:tc>
        <w:tc>
          <w:tcPr>
            <w:tcW w:w="353"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30</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3,75</w:t>
            </w:r>
          </w:p>
        </w:tc>
        <w:tc>
          <w:tcPr>
            <w:tcW w:w="353"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50</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6,295</w:t>
            </w:r>
          </w:p>
        </w:tc>
        <w:tc>
          <w:tcPr>
            <w:tcW w:w="353"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50</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6,295</w:t>
            </w:r>
          </w:p>
        </w:tc>
        <w:tc>
          <w:tcPr>
            <w:tcW w:w="379"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50</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6,295</w:t>
            </w:r>
          </w:p>
        </w:tc>
        <w:tc>
          <w:tcPr>
            <w:tcW w:w="135"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bl>
    <w:p>
      <w:pPr>
        <w:pStyle w:val="Text1"/>
        <w:spacing w:before="0" w:after="0"/>
        <w:ind w:left="-540" w:right="-694"/>
        <w:rPr>
          <w:rFonts w:ascii="Arial Narrow" w:hAnsi="Arial Narrow"/>
          <w:iCs/>
          <w:noProof/>
          <w:sz w:val="6"/>
          <w:szCs w:val="6"/>
        </w:rPr>
      </w:pPr>
      <w:r>
        <w:rPr>
          <w:noProof/>
        </w:rPr>
        <w:br w:type="page"/>
      </w:r>
    </w:p>
    <w:p>
      <w:pPr>
        <w:keepNext/>
        <w:spacing w:after="60"/>
        <w:ind w:left="540"/>
        <w:rPr>
          <w:noProof/>
        </w:rPr>
        <w:sectPr>
          <w:headerReference w:type="default" r:id="rId31"/>
          <w:footerReference w:type="default" r:id="rId32"/>
          <w:headerReference w:type="first" r:id="rId33"/>
          <w:footerReference w:type="first" r:id="rId34"/>
          <w:pgSz w:w="15840" w:h="12240" w:orient="landscape" w:code="1"/>
          <w:pgMar w:top="624" w:right="902" w:bottom="624" w:left="1191" w:header="709" w:footer="567" w:gutter="0"/>
          <w:cols w:space="708"/>
          <w:docGrid w:linePitch="360"/>
        </w:sectPr>
      </w:pPr>
    </w:p>
    <w:p>
      <w:pPr>
        <w:pStyle w:val="Point0"/>
        <w:rPr>
          <w:noProof/>
          <w:szCs w:val="28"/>
        </w:rPr>
      </w:pPr>
      <w:r>
        <w:t>(2)</w:t>
      </w:r>
      <w:r>
        <w:tab/>
      </w:r>
      <w:r>
        <w:rPr>
          <w:noProof/>
        </w:rPr>
        <w:t>Κόστος άλλων διοικητικών δαπανών</w:t>
      </w:r>
    </w:p>
    <w:p>
      <w:pPr>
        <w:pStyle w:val="Point1"/>
        <w:spacing w:after="0"/>
        <w:ind w:left="2263" w:hanging="284"/>
        <w:rPr>
          <w:noProof/>
        </w:rPr>
      </w:pPr>
      <w:r>
        <w:rPr>
          <w:noProof/>
        </w:rPr>
        <w:sym w:font="Wingdings" w:char="F0A8"/>
      </w:r>
      <w:r>
        <w:rPr>
          <w:noProof/>
        </w:rPr>
        <w:tab/>
        <w:t>Η πρόταση/πρωτοβουλία δεν συνεπάγεται τη χρησιμοποίηση διοικητικών πιστώσεων</w:t>
      </w:r>
    </w:p>
    <w:p>
      <w:pPr>
        <w:pStyle w:val="Text1"/>
        <w:spacing w:before="0" w:after="0"/>
        <w:ind w:left="2263" w:hanging="284"/>
        <w:rPr>
          <w:noProof/>
        </w:rPr>
      </w:pPr>
      <w:r>
        <w:rPr>
          <w:noProof/>
        </w:rPr>
        <w:sym w:font="Wingdings" w:char="F0FE"/>
      </w:r>
      <w:r>
        <w:rPr>
          <w:noProof/>
        </w:rPr>
        <w:tab/>
        <w:t>Η πρόταση/πρωτοβουλία συνεπάγεται τη χρησιμοποίηση διοικητικών πιστώσεων, όπως εξηγείται κατωτέρω:</w:t>
      </w:r>
    </w:p>
    <w:p>
      <w:pPr>
        <w:tabs>
          <w:tab w:val="left" w:pos="870"/>
        </w:tabs>
        <w:rPr>
          <w:noProof/>
          <w:sz w:val="16"/>
          <w:szCs w:val="16"/>
        </w:rPr>
      </w:pPr>
    </w:p>
    <w:p>
      <w:pPr>
        <w:jc w:val="right"/>
        <w:rPr>
          <w:i/>
          <w:noProof/>
          <w:sz w:val="20"/>
          <w:szCs w:val="20"/>
        </w:rPr>
      </w:pPr>
      <w:r>
        <w:rPr>
          <w:i/>
          <w:noProof/>
          <w:sz w:val="20"/>
          <w:szCs w:val="20"/>
        </w:rPr>
        <w:t>σε εκατ. EUR (με τρία δεκαδικά ψηφία)</w:t>
      </w:r>
    </w:p>
    <w:tbl>
      <w:tblPr>
        <w:tblW w:w="14757" w:type="dxa"/>
        <w:jc w:val="center"/>
        <w:tblLook w:val="04A0" w:firstRow="1" w:lastRow="0" w:firstColumn="1" w:lastColumn="0" w:noHBand="0" w:noVBand="1"/>
      </w:tblPr>
      <w:tblGrid>
        <w:gridCol w:w="4358"/>
        <w:gridCol w:w="1263"/>
        <w:gridCol w:w="1264"/>
        <w:gridCol w:w="1276"/>
        <w:gridCol w:w="1415"/>
        <w:gridCol w:w="1347"/>
        <w:gridCol w:w="1302"/>
        <w:gridCol w:w="1266"/>
        <w:gridCol w:w="1266"/>
      </w:tblGrid>
      <w:tr>
        <w:trPr>
          <w:trHeight w:val="970"/>
          <w:jc w:val="center"/>
        </w:trPr>
        <w:tc>
          <w:tcPr>
            <w:tcW w:w="4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jc w:val="center"/>
              <w:rPr>
                <w:rFonts w:ascii="Arial Narrow" w:hAnsi="Arial Narrow"/>
                <w:b/>
                <w:bCs/>
                <w:noProof/>
                <w:color w:val="000000"/>
                <w:sz w:val="22"/>
              </w:rPr>
            </w:pPr>
            <w:r>
              <w:rPr>
                <w:rFonts w:ascii="Arial Narrow" w:hAnsi="Arial Narrow"/>
                <w:b/>
                <w:bCs/>
                <w:noProof/>
                <w:color w:val="000000"/>
                <w:sz w:val="22"/>
              </w:rPr>
              <w:t>ΤΟΜΕΑΣ 7</w:t>
            </w:r>
          </w:p>
          <w:p>
            <w:pPr>
              <w:jc w:val="center"/>
              <w:rPr>
                <w:rFonts w:ascii="Arial Narrow" w:hAnsi="Arial Narrow"/>
                <w:i/>
                <w:iCs/>
                <w:noProof/>
                <w:color w:val="000000"/>
                <w:sz w:val="20"/>
                <w:szCs w:val="20"/>
              </w:rPr>
            </w:pPr>
            <w:r>
              <w:rPr>
                <w:rFonts w:ascii="Arial Narrow" w:hAnsi="Arial Narrow"/>
                <w:noProof/>
                <w:color w:val="000000"/>
                <w:sz w:val="22"/>
              </w:rPr>
              <w:t>του πολυετούς δημοσιονομικού πλαισίου</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2021</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2023</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2024</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2025</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2026</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2027</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Σύνολο</w:t>
            </w:r>
          </w:p>
        </w:tc>
      </w:tr>
      <w:tr>
        <w:trPr>
          <w:trHeight w:val="300"/>
          <w:jc w:val="center"/>
        </w:trPr>
        <w:tc>
          <w:tcPr>
            <w:tcW w:w="4358" w:type="dxa"/>
            <w:tcBorders>
              <w:top w:val="single" w:sz="4" w:space="0" w:color="auto"/>
              <w:left w:val="single" w:sz="4" w:space="0" w:color="auto"/>
              <w:bottom w:val="single" w:sz="4" w:space="0" w:color="auto"/>
              <w:right w:val="single" w:sz="4" w:space="0" w:color="auto"/>
            </w:tcBorders>
            <w:shd w:val="pct25" w:color="CCFFCC" w:fill="EDFFED"/>
            <w:vAlign w:val="center"/>
            <w:hideMark/>
          </w:tcPr>
          <w:p>
            <w:pPr>
              <w:rPr>
                <w:rFonts w:ascii="Arial Narrow" w:hAnsi="Arial Narrow"/>
                <w:b/>
                <w:bCs/>
                <w:noProof/>
                <w:color w:val="008000"/>
                <w:sz w:val="20"/>
                <w:szCs w:val="20"/>
                <w:u w:val="single"/>
              </w:rPr>
            </w:pPr>
            <w:r>
              <w:rPr>
                <w:rFonts w:ascii="Arial Narrow" w:hAnsi="Arial Narrow"/>
                <w:b/>
                <w:bCs/>
                <w:noProof/>
                <w:color w:val="008000"/>
                <w:sz w:val="20"/>
                <w:szCs w:val="20"/>
                <w:u w:val="single"/>
              </w:rPr>
              <w:t>Στην έδρα</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Έξοδα αποστολών και παράστασης</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0,05 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0,075</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0,125 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0,35 </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Έξοδα διασκέψεων και συνεδριάσεων</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0,14 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0,14</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0,14</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0,14</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0,66</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Calibri" w:hAnsi="Calibri"/>
                <w:noProof/>
                <w:color w:val="0000FF"/>
                <w:sz w:val="22"/>
                <w:u w:val="single"/>
              </w:rPr>
            </w:pPr>
            <w:r>
              <w:rPr>
                <w:rFonts w:ascii="Arial Narrow" w:hAnsi="Arial Narrow"/>
                <w:noProof/>
                <w:sz w:val="20"/>
                <w:szCs w:val="20"/>
              </w:rPr>
              <w:t>Λειτουργικές δαπάνες που αφορούν αποτελέσματα (βλέπε μεθόδους υπολογισμού)</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0,04</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0,06</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0,06</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0,06</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0,06</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0,28</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Άλλες γραμμές του προϋπολογισμού (</w:t>
            </w:r>
            <w:r>
              <w:rPr>
                <w:rFonts w:ascii="Arial Narrow" w:hAnsi="Arial Narrow"/>
                <w:i/>
                <w:iCs/>
                <w:noProof/>
                <w:color w:val="000000"/>
                <w:sz w:val="20"/>
                <w:szCs w:val="20"/>
              </w:rPr>
              <w:t>να προσδιοριστούν κατά περίπτωση</w:t>
            </w:r>
            <w:r>
              <w:rPr>
                <w:rFonts w:ascii="Arial Narrow" w:hAnsi="Arial Narrow"/>
                <w:noProof/>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58" w:type="dxa"/>
            <w:tcBorders>
              <w:top w:val="nil"/>
              <w:left w:val="single" w:sz="4" w:space="0" w:color="auto"/>
              <w:bottom w:val="single" w:sz="4" w:space="0" w:color="auto"/>
              <w:right w:val="single" w:sz="4" w:space="0" w:color="auto"/>
            </w:tcBorders>
            <w:shd w:val="pct25" w:color="CCFFCC" w:fill="EDFFED"/>
            <w:vAlign w:val="center"/>
            <w:hideMark/>
          </w:tcPr>
          <w:p>
            <w:pPr>
              <w:rPr>
                <w:rFonts w:ascii="Arial Narrow" w:hAnsi="Arial Narrow"/>
                <w:b/>
                <w:bCs/>
                <w:noProof/>
                <w:color w:val="008000"/>
                <w:sz w:val="20"/>
                <w:szCs w:val="20"/>
                <w:u w:val="single"/>
              </w:rPr>
            </w:pPr>
            <w:r>
              <w:rPr>
                <w:rFonts w:ascii="Arial Narrow" w:hAnsi="Arial Narrow"/>
                <w:b/>
                <w:bCs/>
                <w:noProof/>
                <w:color w:val="008000"/>
                <w:sz w:val="20"/>
                <w:szCs w:val="20"/>
                <w:u w:val="single"/>
              </w:rPr>
              <w:t>Σε αντιπροσωπείες της Ένωσης</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Έξοδα αποστολών, διασκέψεων και παράστασης</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Περαιτέρω επαγγελματική επιμόρφωση προσωπικού</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Απόκτηση, μίσθωση και συναφείς δαπάνες</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Εξοπλισμός, έπιπλα, προμήθειες και υπηρεσίες</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660"/>
          <w:jc w:val="center"/>
        </w:trPr>
        <w:tc>
          <w:tcPr>
            <w:tcW w:w="4358"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2"/>
              </w:rPr>
            </w:pPr>
            <w:r>
              <w:rPr>
                <w:rFonts w:ascii="Arial Narrow" w:hAnsi="Arial Narrow"/>
                <w:b/>
                <w:bCs/>
                <w:noProof/>
                <w:color w:val="000000"/>
                <w:sz w:val="22"/>
              </w:rPr>
              <w:t>Μερικό σύνολο του ΤΟΜΕΑ 7</w:t>
            </w:r>
          </w:p>
          <w:p>
            <w:pPr>
              <w:jc w:val="center"/>
              <w:rPr>
                <w:rFonts w:ascii="Arial Narrow" w:hAnsi="Arial Narrow"/>
                <w:b/>
                <w:bCs/>
                <w:noProof/>
                <w:color w:val="000000"/>
                <w:sz w:val="22"/>
              </w:rPr>
            </w:pPr>
            <w:r>
              <w:rPr>
                <w:rFonts w:ascii="Arial Narrow" w:hAnsi="Arial Narrow"/>
                <w:noProof/>
                <w:color w:val="000000"/>
                <w:sz w:val="22"/>
              </w:rPr>
              <w:t>του πολυετούς δημοσιονομικού πλαισίου</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0,140</w:t>
            </w:r>
          </w:p>
        </w:tc>
        <w:tc>
          <w:tcPr>
            <w:tcW w:w="14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0,250</w:t>
            </w:r>
          </w:p>
        </w:tc>
        <w:tc>
          <w:tcPr>
            <w:tcW w:w="1347"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0,275</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0,300</w:t>
            </w:r>
          </w:p>
        </w:tc>
        <w:tc>
          <w:tcPr>
            <w:tcW w:w="126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0,325</w:t>
            </w:r>
          </w:p>
        </w:tc>
        <w:tc>
          <w:tcPr>
            <w:tcW w:w="126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1,290</w:t>
            </w:r>
          </w:p>
        </w:tc>
      </w:tr>
    </w:tbl>
    <w:p>
      <w:pPr>
        <w:jc w:val="right"/>
        <w:rPr>
          <w:rFonts w:ascii="Arial Narrow" w:hAnsi="Arial Narrow"/>
          <w:i/>
          <w:noProof/>
          <w:sz w:val="20"/>
          <w:szCs w:val="20"/>
        </w:rPr>
      </w:pPr>
    </w:p>
    <w:p>
      <w:pPr>
        <w:ind w:right="-496"/>
        <w:rPr>
          <w:rFonts w:ascii="Arial Narrow" w:hAnsi="Arial Narrow"/>
          <w:b/>
          <w:noProof/>
          <w:color w:val="0000FF"/>
          <w:sz w:val="20"/>
          <w:szCs w:val="20"/>
        </w:rPr>
      </w:pPr>
    </w:p>
    <w:p>
      <w:pPr>
        <w:rPr>
          <w:b/>
          <w:noProof/>
          <w:color w:val="0000FF"/>
          <w:sz w:val="20"/>
          <w:szCs w:val="20"/>
        </w:rPr>
      </w:pPr>
      <w:r>
        <w:rPr>
          <w:noProof/>
        </w:rPr>
        <w:br w:type="page"/>
      </w:r>
    </w:p>
    <w:p>
      <w:pPr>
        <w:ind w:right="-496"/>
        <w:jc w:val="right"/>
        <w:rPr>
          <w:i/>
          <w:iCs/>
          <w:noProof/>
          <w:sz w:val="20"/>
          <w:szCs w:val="20"/>
        </w:rPr>
      </w:pPr>
      <w:r>
        <w:rPr>
          <w:i/>
          <w:noProof/>
          <w:sz w:val="20"/>
          <w:szCs w:val="20"/>
        </w:rPr>
        <w:t>σε εκατ. EUR (με τρία δεκαδικά ψηφία)</w:t>
      </w:r>
    </w:p>
    <w:tbl>
      <w:tblPr>
        <w:tblW w:w="14670" w:type="dxa"/>
        <w:jc w:val="center"/>
        <w:tblLook w:val="04A0" w:firstRow="1" w:lastRow="0" w:firstColumn="1" w:lastColumn="0" w:noHBand="0" w:noVBand="1"/>
      </w:tblPr>
      <w:tblGrid>
        <w:gridCol w:w="4361"/>
        <w:gridCol w:w="1276"/>
        <w:gridCol w:w="1250"/>
        <w:gridCol w:w="1263"/>
        <w:gridCol w:w="1314"/>
        <w:gridCol w:w="1305"/>
        <w:gridCol w:w="1306"/>
        <w:gridCol w:w="1358"/>
        <w:gridCol w:w="1237"/>
      </w:tblGrid>
      <w:tr>
        <w:trPr>
          <w:trHeight w:val="660"/>
          <w:jc w:val="center"/>
        </w:trPr>
        <w:tc>
          <w:tcPr>
            <w:tcW w:w="436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jc w:val="center"/>
              <w:rPr>
                <w:rFonts w:ascii="Arial Narrow" w:hAnsi="Arial Narrow"/>
                <w:noProof/>
                <w:color w:val="000000"/>
                <w:sz w:val="22"/>
              </w:rPr>
            </w:pPr>
            <w:r>
              <w:rPr>
                <w:rFonts w:ascii="Arial Narrow" w:hAnsi="Arial Narrow"/>
                <w:b/>
                <w:bCs/>
                <w:noProof/>
                <w:color w:val="000000"/>
                <w:sz w:val="22"/>
              </w:rPr>
              <w:t>Εκτός του ΤΟΜΕΑ 7</w:t>
            </w:r>
            <w:r>
              <w:rPr>
                <w:rFonts w:ascii="Arial Narrow" w:hAnsi="Arial Narrow"/>
                <w:noProof/>
                <w:color w:val="000000"/>
                <w:sz w:val="22"/>
              </w:rPr>
              <w:t xml:space="preserve"> </w:t>
            </w:r>
          </w:p>
          <w:p>
            <w:pPr>
              <w:jc w:val="center"/>
              <w:rPr>
                <w:rFonts w:ascii="Arial Narrow" w:hAnsi="Arial Narrow"/>
                <w:b/>
                <w:bCs/>
                <w:noProof/>
                <w:color w:val="000000"/>
                <w:sz w:val="22"/>
              </w:rPr>
            </w:pPr>
            <w:r>
              <w:rPr>
                <w:rFonts w:ascii="Arial Narrow" w:hAnsi="Arial Narrow"/>
                <w:noProof/>
                <w:color w:val="000000"/>
                <w:sz w:val="22"/>
              </w:rPr>
              <w:t>του πολυετούς δημοσιονομικού πλαισίου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2021</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2022</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2023</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2024</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2025</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2026</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2027</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Σύνολο</w:t>
            </w:r>
          </w:p>
        </w:tc>
      </w:tr>
      <w:tr>
        <w:trPr>
          <w:trHeight w:val="765"/>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Δαπάνες τεχνικής και διοικητικής βοήθειας (</w:t>
            </w:r>
            <w:r>
              <w:rPr>
                <w:rFonts w:ascii="Arial Narrow" w:hAnsi="Arial Narrow"/>
                <w:noProof/>
                <w:color w:val="000000"/>
                <w:sz w:val="20"/>
                <w:szCs w:val="20"/>
                <w:u w:val="single"/>
              </w:rPr>
              <w:t>μη συμπεριλαμβανομένου</w:t>
            </w:r>
            <w:r>
              <w:rPr>
                <w:rFonts w:ascii="Arial Narrow" w:hAnsi="Arial Narrow"/>
                <w:noProof/>
                <w:color w:val="000000"/>
                <w:sz w:val="20"/>
                <w:szCs w:val="20"/>
              </w:rPr>
              <w:t xml:space="preserve"> του εξωτερικού προσωπικού) βάσει επιχειρησιακών πιστώσεων (πρώην γραμμές «BA»)</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ind w:firstLineChars="100" w:firstLine="200"/>
              <w:rPr>
                <w:rFonts w:ascii="Arial Narrow" w:hAnsi="Arial Narrow"/>
                <w:noProof/>
                <w:color w:val="000000"/>
                <w:sz w:val="20"/>
                <w:szCs w:val="20"/>
              </w:rPr>
            </w:pPr>
            <w:r>
              <w:rPr>
                <w:rFonts w:ascii="Arial Narrow" w:hAnsi="Arial Narrow"/>
                <w:noProof/>
                <w:color w:val="000000"/>
                <w:sz w:val="20"/>
                <w:szCs w:val="20"/>
              </w:rPr>
              <w:t>— στην έδρα</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ind w:firstLineChars="100" w:firstLine="200"/>
              <w:rPr>
                <w:rFonts w:ascii="Arial Narrow" w:hAnsi="Arial Narrow"/>
                <w:noProof/>
                <w:color w:val="000000"/>
                <w:sz w:val="20"/>
                <w:szCs w:val="20"/>
              </w:rPr>
            </w:pPr>
            <w:r>
              <w:rPr>
                <w:rFonts w:ascii="Arial Narrow" w:hAnsi="Arial Narrow"/>
                <w:noProof/>
                <w:color w:val="000000"/>
                <w:sz w:val="20"/>
                <w:szCs w:val="20"/>
              </w:rPr>
              <w:t>— σε αντιπροσωπείες της Ένωσης</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Άλλες διαχειριστικές δαπάνες για έρευνα</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Άλλες γραμμές του προϋπολογισμού (</w:t>
            </w:r>
            <w:r>
              <w:rPr>
                <w:rFonts w:ascii="Arial Narrow" w:hAnsi="Arial Narrow"/>
                <w:i/>
                <w:iCs/>
                <w:noProof/>
                <w:color w:val="000000"/>
                <w:sz w:val="20"/>
                <w:szCs w:val="20"/>
              </w:rPr>
              <w:t>να προσδιοριστούν κατά περίπτωση</w:t>
            </w:r>
            <w:r>
              <w:rPr>
                <w:rFonts w:ascii="Arial Narrow" w:hAnsi="Arial Narrow"/>
                <w:noProof/>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Δραστηριότητες επικοινωνίας/διαβούλευσης</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0,025</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0,230</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0,220</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0,220</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0,220</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0,915</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tcPr>
          <w:p>
            <w:pPr>
              <w:rPr>
                <w:rFonts w:ascii="Arial Narrow" w:hAnsi="Arial Narrow"/>
                <w:noProof/>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250"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263"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314"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305"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306"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358"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237"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b/>
                <w:bCs/>
                <w:noProof/>
                <w:color w:val="000000"/>
                <w:sz w:val="20"/>
                <w:szCs w:val="20"/>
              </w:rPr>
            </w:pPr>
          </w:p>
        </w:tc>
      </w:tr>
      <w:tr>
        <w:trPr>
          <w:trHeight w:val="660"/>
          <w:jc w:val="center"/>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2"/>
              </w:rPr>
            </w:pPr>
            <w:r>
              <w:rPr>
                <w:rFonts w:ascii="Arial Narrow" w:hAnsi="Arial Narrow"/>
                <w:b/>
                <w:bCs/>
                <w:noProof/>
                <w:color w:val="000000"/>
                <w:sz w:val="22"/>
              </w:rPr>
              <w:t>Μερικό σύνολο — Εκτός του ΤΟΜΕΑ 7</w:t>
            </w:r>
          </w:p>
          <w:p>
            <w:pPr>
              <w:jc w:val="center"/>
              <w:rPr>
                <w:rFonts w:ascii="Arial Narrow" w:hAnsi="Arial Narrow"/>
                <w:b/>
                <w:bCs/>
                <w:noProof/>
                <w:color w:val="000000"/>
                <w:sz w:val="22"/>
              </w:rPr>
            </w:pPr>
            <w:r>
              <w:rPr>
                <w:rFonts w:ascii="Arial Narrow" w:hAnsi="Arial Narrow"/>
                <w:noProof/>
                <w:color w:val="000000"/>
                <w:sz w:val="22"/>
              </w:rPr>
              <w:t>του πολυετούς δημοσιονομικού πλαισίου</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p>
        </w:tc>
        <w:tc>
          <w:tcPr>
            <w:tcW w:w="1314"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p>
        </w:tc>
        <w:tc>
          <w:tcPr>
            <w:tcW w:w="130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p>
        </w:tc>
        <w:tc>
          <w:tcPr>
            <w:tcW w:w="130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p>
        </w:tc>
        <w:tc>
          <w:tcPr>
            <w:tcW w:w="1358"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p>
        </w:tc>
        <w:tc>
          <w:tcPr>
            <w:tcW w:w="1237"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p>
        </w:tc>
      </w:tr>
    </w:tbl>
    <w:p>
      <w:pPr>
        <w:ind w:right="-496"/>
        <w:rPr>
          <w:rFonts w:ascii="Arial Narrow" w:hAnsi="Arial Narrow"/>
          <w:b/>
          <w:noProof/>
          <w:color w:val="0000FF"/>
          <w:sz w:val="20"/>
          <w:szCs w:val="20"/>
        </w:rPr>
      </w:pPr>
    </w:p>
    <w:tbl>
      <w:tblPr>
        <w:tblW w:w="14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361"/>
        <w:gridCol w:w="1276"/>
        <w:gridCol w:w="1275"/>
        <w:gridCol w:w="1276"/>
        <w:gridCol w:w="1276"/>
        <w:gridCol w:w="1276"/>
        <w:gridCol w:w="1275"/>
        <w:gridCol w:w="1418"/>
        <w:gridCol w:w="1276"/>
      </w:tblGrid>
      <w:tr>
        <w:trPr>
          <w:trHeight w:val="289"/>
          <w:jc w:val="center"/>
        </w:trPr>
        <w:tc>
          <w:tcPr>
            <w:tcW w:w="4361" w:type="dxa"/>
            <w:tcBorders>
              <w:top w:val="single" w:sz="12" w:space="0" w:color="auto"/>
            </w:tcBorders>
            <w:vAlign w:val="center"/>
          </w:tcPr>
          <w:p>
            <w:pPr>
              <w:pStyle w:val="Text1"/>
              <w:spacing w:after="0"/>
              <w:ind w:left="0"/>
              <w:jc w:val="center"/>
              <w:rPr>
                <w:rFonts w:ascii="Arial Narrow" w:hAnsi="Arial Narrow"/>
                <w:b/>
                <w:noProof/>
                <w:sz w:val="22"/>
              </w:rPr>
            </w:pPr>
            <w:r>
              <w:rPr>
                <w:rFonts w:ascii="Arial Narrow" w:hAnsi="Arial Narrow"/>
                <w:b/>
                <w:noProof/>
                <w:sz w:val="22"/>
              </w:rPr>
              <w:t>ΣΥΝΟΛΟ</w:t>
            </w:r>
          </w:p>
          <w:p>
            <w:pPr>
              <w:pStyle w:val="Text1"/>
              <w:spacing w:before="0"/>
              <w:ind w:left="0"/>
              <w:jc w:val="center"/>
              <w:rPr>
                <w:rFonts w:ascii="Arial Narrow" w:hAnsi="Arial Narrow"/>
                <w:b/>
                <w:noProof/>
                <w:sz w:val="22"/>
              </w:rPr>
            </w:pPr>
            <w:r>
              <w:rPr>
                <w:rFonts w:ascii="Arial Narrow" w:hAnsi="Arial Narrow"/>
                <w:b/>
                <w:noProof/>
                <w:sz w:val="22"/>
              </w:rPr>
              <w:t>ΤΟΜΕΑΣ 7 και Εκτός ΤΟΜΕΑ 7</w:t>
            </w:r>
            <w:r>
              <w:rPr>
                <w:noProof/>
              </w:rPr>
              <w:t xml:space="preserve"> </w:t>
            </w:r>
            <w:r>
              <w:rPr>
                <w:noProof/>
              </w:rPr>
              <w:br/>
            </w:r>
            <w:r>
              <w:rPr>
                <w:rFonts w:ascii="Arial Narrow" w:hAnsi="Arial Narrow"/>
                <w:noProof/>
                <w:sz w:val="22"/>
              </w:rPr>
              <w:t>του πολυετούς δημοσιονομικού πλαισίου</w:t>
            </w:r>
          </w:p>
        </w:tc>
        <w:tc>
          <w:tcPr>
            <w:tcW w:w="1276" w:type="dxa"/>
            <w:tcBorders>
              <w:top w:val="single" w:sz="12" w:space="0" w:color="auto"/>
            </w:tcBorders>
            <w:vAlign w:val="center"/>
          </w:tcPr>
          <w:p>
            <w:pPr>
              <w:jc w:val="center"/>
              <w:rPr>
                <w:rFonts w:ascii="Arial Narrow" w:hAnsi="Arial Narrow"/>
                <w:noProof/>
                <w:sz w:val="20"/>
                <w:szCs w:val="20"/>
              </w:rPr>
            </w:pPr>
          </w:p>
        </w:tc>
        <w:tc>
          <w:tcPr>
            <w:tcW w:w="1275" w:type="dxa"/>
            <w:tcBorders>
              <w:top w:val="single" w:sz="12" w:space="0" w:color="auto"/>
            </w:tcBorders>
            <w:vAlign w:val="center"/>
          </w:tcPr>
          <w:p>
            <w:pPr>
              <w:jc w:val="center"/>
              <w:rPr>
                <w:rFonts w:ascii="Arial Narrow" w:hAnsi="Arial Narrow"/>
                <w:noProof/>
                <w:sz w:val="20"/>
                <w:szCs w:val="20"/>
              </w:rPr>
            </w:pPr>
          </w:p>
        </w:tc>
        <w:tc>
          <w:tcPr>
            <w:tcW w:w="1276"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0,165</w:t>
            </w:r>
          </w:p>
        </w:tc>
        <w:tc>
          <w:tcPr>
            <w:tcW w:w="1276"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0,480</w:t>
            </w:r>
          </w:p>
        </w:tc>
        <w:tc>
          <w:tcPr>
            <w:tcW w:w="1276"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0,495</w:t>
            </w:r>
          </w:p>
        </w:tc>
        <w:tc>
          <w:tcPr>
            <w:tcW w:w="1275"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0,520</w:t>
            </w:r>
          </w:p>
        </w:tc>
        <w:tc>
          <w:tcPr>
            <w:tcW w:w="1418"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0,545</w:t>
            </w:r>
          </w:p>
        </w:tc>
        <w:tc>
          <w:tcPr>
            <w:tcW w:w="1276" w:type="dxa"/>
            <w:tcBorders>
              <w:top w:val="single" w:sz="12" w:space="0" w:color="auto"/>
            </w:tcBorders>
            <w:vAlign w:val="center"/>
          </w:tcPr>
          <w:p>
            <w:pPr>
              <w:jc w:val="center"/>
              <w:rPr>
                <w:rFonts w:ascii="Arial Narrow" w:hAnsi="Arial Narrow"/>
                <w:b/>
                <w:noProof/>
                <w:sz w:val="20"/>
                <w:szCs w:val="20"/>
              </w:rPr>
            </w:pPr>
            <w:r>
              <w:rPr>
                <w:rFonts w:ascii="Arial Narrow" w:hAnsi="Arial Narrow"/>
                <w:b/>
                <w:noProof/>
                <w:sz w:val="20"/>
                <w:szCs w:val="20"/>
              </w:rPr>
              <w:t>2,205</w:t>
            </w:r>
          </w:p>
        </w:tc>
      </w:tr>
    </w:tbl>
    <w:p>
      <w:pPr>
        <w:ind w:right="-496"/>
        <w:jc w:val="right"/>
        <w:rPr>
          <w:rFonts w:ascii="Arial Narrow" w:hAnsi="Arial Narrow"/>
          <w:i/>
          <w:iCs/>
          <w:noProof/>
          <w:sz w:val="20"/>
          <w:szCs w:val="20"/>
        </w:rPr>
      </w:pPr>
    </w:p>
    <w:p>
      <w:pPr>
        <w:rPr>
          <w:noProof/>
          <w:sz w:val="18"/>
        </w:rPr>
      </w:pPr>
      <w:r>
        <w:rPr>
          <w:noProof/>
          <w:sz w:val="18"/>
        </w:rPr>
        <w:t>Οι απαιτούμενες πιστώσεις για ανθρώπινους πόρους και άλλες δαπάνες διοικητικού χαρακτήρα θα καλυφθούν από τις πιστώσεις της ΓΔ που έχουν ήδη διατεθεί για τη διαχείριση της δράσης και/ή έχουν ανακατανεμηθεί στο εσωτερικό της ΓΔ και οι οποίες θα συμπληρωθούν, κατά περίπτωση, με πρόσθετα κονδύλια που ενδέχεται να χορηγηθούν στην αρμόδια για τη διαχείριση ΓΔ στο πλαίσιο της ετήσιας διαδικασίας κατανομής και λαμβανομένων υπόψη των υφιστάμενων δημοσιονομικών περιορισμών.</w:t>
      </w:r>
    </w:p>
    <w:p>
      <w:pPr>
        <w:spacing w:before="60"/>
        <w:ind w:left="-360" w:firstLine="900"/>
        <w:rPr>
          <w:noProof/>
          <w:sz w:val="20"/>
          <w:szCs w:val="20"/>
        </w:rPr>
      </w:pPr>
    </w:p>
    <w:p>
      <w:pPr>
        <w:keepNext/>
        <w:spacing w:before="240" w:after="0"/>
        <w:rPr>
          <w:noProof/>
        </w:rPr>
        <w:sectPr>
          <w:pgSz w:w="15840" w:h="12240" w:orient="landscape" w:code="1"/>
          <w:pgMar w:top="1418" w:right="1247" w:bottom="1418" w:left="1247" w:header="709" w:footer="709" w:gutter="0"/>
          <w:cols w:space="708"/>
          <w:docGrid w:linePitch="360"/>
        </w:sectPr>
      </w:pPr>
    </w:p>
    <w:p>
      <w:pPr>
        <w:pStyle w:val="Point0"/>
        <w:rPr>
          <w:noProof/>
          <w:szCs w:val="28"/>
        </w:rPr>
      </w:pPr>
      <w:r>
        <w:t>(3)</w:t>
      </w:r>
      <w:r>
        <w:tab/>
      </w:r>
      <w:r>
        <w:rPr>
          <w:noProof/>
        </w:rPr>
        <w:t>Χρησιμοποιούμενες μέθοδοι υπολογισμού για την εκτίμηση του κόστους</w:t>
      </w:r>
    </w:p>
    <w:p>
      <w:pPr>
        <w:pStyle w:val="Point0"/>
        <w:rPr>
          <w:noProof/>
          <w:sz w:val="16"/>
          <w:szCs w:val="28"/>
        </w:rPr>
      </w:pPr>
      <w:r>
        <w:t>(a)</w:t>
      </w:r>
      <w:r>
        <w:tab/>
      </w:r>
      <w:r>
        <w:rPr>
          <w:noProof/>
        </w:rPr>
        <w:t xml:space="preserve"> Ανθρώπινοι πόροι</w:t>
      </w:r>
    </w:p>
    <w:p>
      <w:pPr>
        <w:ind w:left="-357" w:firstLine="902"/>
        <w:rPr>
          <w:noProof/>
          <w:sz w:val="20"/>
          <w:szCs w:val="20"/>
        </w:rPr>
      </w:pPr>
    </w:p>
    <w:p>
      <w:pPr>
        <w:spacing w:after="60"/>
        <w:jc w:val="center"/>
        <w:rPr>
          <w:i/>
          <w:noProof/>
          <w:sz w:val="20"/>
          <w:szCs w:val="20"/>
        </w:rPr>
      </w:pPr>
    </w:p>
    <w:p>
      <w:pPr>
        <w:spacing w:after="60"/>
        <w:jc w:val="center"/>
        <w:rPr>
          <w:i/>
          <w:noProof/>
          <w:sz w:val="20"/>
          <w:szCs w:val="20"/>
        </w:rPr>
      </w:pPr>
      <w:r>
        <w:rPr>
          <w:i/>
          <w:noProof/>
          <w:sz w:val="20"/>
        </w:rPr>
        <w:t>Στο παρόν τμήμα καθορίζεται η χρησιμοποιούμενη μέθοδος υπολογισμού για την εκτίμηση των ανθρώπινων πόρων που θεωρούνται απαραίτητοι [παραδοχές φόρτου εργασίας, συμπεριλαμβανομένων των ειδικών θέσεων εργασίας (προφίλ εργασιών του συστήματος διαχείρισης προσωπικού SYSPER 2), των κατηγοριών προσωπικού και του αντίστοιχου μέσου κόστους]</w:t>
      </w:r>
    </w:p>
    <w:p>
      <w:pPr>
        <w:spacing w:after="60"/>
        <w:ind w:left="540"/>
        <w:jc w:val="center"/>
        <w:rPr>
          <w:i/>
          <w:noProof/>
          <w:sz w:val="20"/>
          <w:szCs w:val="20"/>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8"/>
      </w:tblGrid>
      <w:tr>
        <w:trPr>
          <w:jc w:val="center"/>
        </w:trPr>
        <w:tc>
          <w:tcPr>
            <w:tcW w:w="12474" w:type="dxa"/>
            <w:tcBorders>
              <w:top w:val="single" w:sz="4" w:space="0" w:color="auto"/>
            </w:tcBorders>
          </w:tcPr>
          <w:p>
            <w:pPr>
              <w:pStyle w:val="Text2"/>
              <w:spacing w:before="60" w:after="60"/>
              <w:ind w:left="0"/>
              <w:jc w:val="left"/>
              <w:rPr>
                <w:rFonts w:ascii="Arial Narrow" w:hAnsi="Arial Narrow"/>
                <w:b/>
                <w:noProof/>
                <w:sz w:val="22"/>
              </w:rPr>
            </w:pPr>
            <w:r>
              <w:rPr>
                <w:rFonts w:ascii="Arial Narrow" w:hAnsi="Arial Narrow"/>
                <w:b/>
                <w:noProof/>
                <w:sz w:val="22"/>
              </w:rPr>
              <w:t>ΤΟΜΕΑΣ 7</w:t>
            </w:r>
            <w:r>
              <w:rPr>
                <w:rFonts w:ascii="Arial Narrow" w:hAnsi="Arial Narrow"/>
                <w:noProof/>
                <w:sz w:val="22"/>
              </w:rPr>
              <w:t xml:space="preserve"> του πολυετούς δημοσιονομικού πλαισίου</w:t>
            </w:r>
          </w:p>
        </w:tc>
      </w:tr>
      <w:tr>
        <w:trPr>
          <w:jc w:val="center"/>
        </w:trPr>
        <w:tc>
          <w:tcPr>
            <w:tcW w:w="12474" w:type="dxa"/>
          </w:tcPr>
          <w:p>
            <w:pPr>
              <w:pStyle w:val="Text2"/>
              <w:spacing w:before="20" w:after="20"/>
              <w:ind w:left="0"/>
              <w:jc w:val="center"/>
              <w:rPr>
                <w:rFonts w:ascii="Arial Narrow" w:hAnsi="Arial Narrow"/>
                <w:noProof/>
                <w:sz w:val="18"/>
                <w:szCs w:val="18"/>
              </w:rPr>
            </w:pPr>
            <w:r>
              <w:rPr>
                <w:rFonts w:ascii="Arial Narrow" w:hAnsi="Arial Narrow"/>
                <w:noProof/>
                <w:sz w:val="18"/>
                <w:u w:val="single"/>
              </w:rPr>
              <w:t>ΣΗΜ.:</w:t>
            </w:r>
            <w:r>
              <w:rPr>
                <w:rFonts w:ascii="Arial Narrow" w:hAnsi="Arial Narrow"/>
                <w:noProof/>
                <w:sz w:val="18"/>
              </w:rPr>
              <w:t xml:space="preserve"> Το μέσο κόστος για κάθε κατηγορία προσωπικού στην έδρα είναι διαθέσιμο στον ιστότοπο BudgWeb:</w:t>
            </w:r>
          </w:p>
          <w:p>
            <w:pPr>
              <w:pStyle w:val="Text2"/>
              <w:spacing w:before="0" w:after="20"/>
              <w:ind w:left="0"/>
              <w:jc w:val="center"/>
              <w:rPr>
                <w:rFonts w:ascii="Arial Narrow" w:hAnsi="Arial Narrow"/>
                <w:noProof/>
                <w:sz w:val="18"/>
                <w:szCs w:val="18"/>
              </w:rPr>
            </w:pPr>
            <w:hyperlink r:id="rId35" w:history="1">
              <w:r>
                <w:rPr>
                  <w:rStyle w:val="Hyperlink"/>
                  <w:rFonts w:ascii="Arial Narrow" w:hAnsi="Arial Narrow"/>
                  <w:noProof/>
                  <w:sz w:val="18"/>
                  <w:szCs w:val="18"/>
                </w:rPr>
                <w:t>https://myintracomm.ec.europa.eu/budgweb/EL/pre/legalbasis/Pages/pre-040-020_preparation.aspx</w:t>
              </w:r>
            </w:hyperlink>
          </w:p>
        </w:tc>
      </w:tr>
      <w:tr>
        <w:trPr>
          <w:jc w:val="center"/>
        </w:trPr>
        <w:tc>
          <w:tcPr>
            <w:tcW w:w="12474" w:type="dxa"/>
          </w:tcPr>
          <w:p>
            <w:pPr>
              <w:pStyle w:val="Text2"/>
              <w:spacing w:before="40" w:after="0"/>
              <w:ind w:left="0"/>
              <w:jc w:val="left"/>
              <w:rPr>
                <w:rFonts w:ascii="Arial Narrow" w:hAnsi="Arial Narrow"/>
                <w:noProof/>
                <w:sz w:val="22"/>
              </w:rPr>
            </w:pPr>
            <w:r>
              <w:rPr>
                <w:rFonts w:ascii="Arial Narrow" w:hAnsi="Arial Narrow"/>
                <w:b/>
                <w:noProof/>
              </w:rPr>
              <w:sym w:font="Wingdings" w:char="F09F"/>
            </w:r>
            <w:r>
              <w:rPr>
                <w:rFonts w:ascii="Arial Narrow" w:hAnsi="Arial Narrow"/>
                <w:b/>
                <w:noProof/>
              </w:rPr>
              <w:t xml:space="preserve"> </w:t>
            </w:r>
            <w:r>
              <w:rPr>
                <w:rFonts w:ascii="Arial Narrow" w:hAnsi="Arial Narrow"/>
                <w:noProof/>
                <w:sz w:val="22"/>
              </w:rPr>
              <w:t>Μόνιμοι και έκτακτοι υπάλληλοι</w:t>
            </w: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 xml:space="preserve">Εάν υποτεθεί ότι ο κανονισμός θα εγκριθεί και θα εφαρμοστεί κατά τη διάρκεια του 2023, η Επιτροπή θα πρέπει σταδιακά να ανακατανείμει εσωτερικά τους πόρους που απαιτούνται για να διασφαλίσει την εκπλήρωση των νέων καθηκόντων της έως την ημερομηνία εφαρμογής του κανονισμού, συμπεριλαμβανομένης της έκδοσης των εκτελεστικών και κατ’ εξουσιοδότηση πράξεων που επιβάλλεται από τον κανονισμό. Η Επιτροπή θα πρέπει επίσης να συγκροτήσει ειδική ομάδα επιφορτισμένη με την επίβλεψη της εφαρμογής του κανονισμού για τις πολύ μεγάλες πλατφόρμες και τη στήριξη των δραστηριοτήτων του συμβουλίου. </w:t>
            </w: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Στο οργανόγραμμα θα πρέπει να προβλεφθούν 15 ΙΠΑ (13 AD + 2 AST) για την εκτέλεση των πρόσθετων καθηκόντων της Επιτροπής που αφορούν την πράξη για τις ψηφιακές υπηρεσίες (επίλυση διαφορών, άμεση επίβλεψη, εκτελεστικές πράξεις).</w:t>
            </w: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Επιπλέον, θα πρέπει να ανακατανεμηθεί συνολικό εργατικό δυναμικό 35 ΙΠΑ (14 AD/TA, 3 AST, 7 CA και 11 END) εσωτερικά στην Επιτροπή για να παρέχει στήριξη στο συμβούλιο, λαμβανομένου υπόψη ότι απαιτείται ενεργή παρακολούθηση περίπου 20/25 πολύ μεγάλων πλατφορμών (συμπεριλαμβανομένου του ελέγχου όλων των κανονιστικών εγγράφων) και συμμετοχή στον μηχανισμό συνεκτικότητας/διμερή μηχανισμό (ενδεικτικά αναφέρεται ότι στο ΙΜΙ κατατίθενται περίπου 10 αναφορές ανά έτος σύμφωνα με το άρθρο 3 της οδηγίας για το ηλεκτρονικό εμπόριο και δεν αποκλείεται οι νέες υποχρεώσεις της πράξης για τις ψηφιακές υπηρεσίες να εμπεριέχουν παρόμοιο, αν όχι μεγαλύτερο, όγκο αναφορών όσον αφορά όλες τις υπηρεσίες της κοινωνίας των πληροφοριών που λειτουργούν στην ΕΕ).</w:t>
            </w:r>
          </w:p>
          <w:p>
            <w:pPr>
              <w:pStyle w:val="Text2"/>
              <w:spacing w:before="40" w:after="0"/>
              <w:ind w:left="0"/>
              <w:jc w:val="left"/>
              <w:rPr>
                <w:rFonts w:ascii="Arial Narrow" w:hAnsi="Arial Narrow"/>
                <w:bCs/>
                <w:iCs/>
                <w:noProof/>
                <w:sz w:val="20"/>
                <w:szCs w:val="20"/>
              </w:rPr>
            </w:pP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Δεδομένου ότι η πρωτοβουλία είναι οριζόντια και συνδυάζει διάφορους τομείς αρμοδιότητας της Επιτροπής, όπως εκείνοι που σχετίζονται με την εσωτερική αγορά, τις ψηφιακές υπηρεσίες, την προστασία των καταναλωτών, την προστασία των θεμελιωδών ελευθεριών στο διαδίκτυο, το σχέδιο είναι να συγκεντρωθούν πόροι από όλες τις ΓΔ της Επιτροπής, με την επιφύλαξη της συμφωνίας της ΓΔ HR και των οικείων ΓΔ, προς συζήτηση.</w:t>
            </w: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r>
        <w:trPr>
          <w:jc w:val="center"/>
        </w:trPr>
        <w:tc>
          <w:tcPr>
            <w:tcW w:w="12474" w:type="dxa"/>
            <w:tcBorders>
              <w:bottom w:val="single" w:sz="4" w:space="0" w:color="auto"/>
            </w:tcBorders>
          </w:tcPr>
          <w:p>
            <w:pPr>
              <w:pStyle w:val="Text2"/>
              <w:spacing w:before="40" w:after="0"/>
              <w:ind w:left="0"/>
              <w:jc w:val="left"/>
              <w:rPr>
                <w:rFonts w:ascii="Arial Narrow" w:hAnsi="Arial Narrow"/>
                <w:noProof/>
                <w:sz w:val="20"/>
                <w:szCs w:val="20"/>
              </w:rPr>
            </w:pPr>
            <w:r>
              <w:rPr>
                <w:rFonts w:ascii="Arial Narrow" w:hAnsi="Arial Narrow"/>
                <w:b/>
                <w:noProof/>
              </w:rPr>
              <w:sym w:font="Wingdings" w:char="F09F"/>
            </w:r>
            <w:r>
              <w:rPr>
                <w:rFonts w:ascii="Arial Narrow" w:hAnsi="Arial Narrow"/>
                <w:b/>
                <w:noProof/>
              </w:rPr>
              <w:t xml:space="preserve"> </w:t>
            </w:r>
            <w:r>
              <w:rPr>
                <w:rFonts w:ascii="Arial Narrow" w:hAnsi="Arial Narrow"/>
                <w:noProof/>
                <w:sz w:val="22"/>
              </w:rPr>
              <w:t>Εξωτερικό προσωπικό</w:t>
            </w: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bl>
    <w:p>
      <w:pPr>
        <w:rPr>
          <w:rFonts w:ascii="Arial Narrow" w:hAnsi="Arial Narrow"/>
          <w:noProof/>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8"/>
      </w:tblGrid>
      <w:tr>
        <w:trPr>
          <w:jc w:val="center"/>
        </w:trPr>
        <w:tc>
          <w:tcPr>
            <w:tcW w:w="12474" w:type="dxa"/>
            <w:tcBorders>
              <w:top w:val="single" w:sz="4" w:space="0" w:color="auto"/>
            </w:tcBorders>
          </w:tcPr>
          <w:p>
            <w:pPr>
              <w:pStyle w:val="Text2"/>
              <w:spacing w:before="60" w:after="60"/>
              <w:ind w:left="0"/>
              <w:jc w:val="left"/>
              <w:rPr>
                <w:rFonts w:ascii="Arial Narrow" w:hAnsi="Arial Narrow"/>
                <w:b/>
                <w:noProof/>
                <w:sz w:val="22"/>
              </w:rPr>
            </w:pPr>
            <w:r>
              <w:rPr>
                <w:rFonts w:ascii="Arial Narrow" w:hAnsi="Arial Narrow"/>
                <w:b/>
                <w:noProof/>
                <w:sz w:val="22"/>
              </w:rPr>
              <w:t>Εκτός του ΤΟΜΕΑ 7</w:t>
            </w:r>
            <w:r>
              <w:rPr>
                <w:rFonts w:ascii="Arial Narrow" w:hAnsi="Arial Narrow"/>
                <w:noProof/>
                <w:sz w:val="22"/>
              </w:rPr>
              <w:t xml:space="preserve"> του πολυετούς δημοσιονομικού πλαισίου</w:t>
            </w:r>
          </w:p>
        </w:tc>
      </w:tr>
      <w:tr>
        <w:trPr>
          <w:jc w:val="center"/>
        </w:trPr>
        <w:tc>
          <w:tcPr>
            <w:tcW w:w="12474" w:type="dxa"/>
          </w:tcPr>
          <w:p>
            <w:pPr>
              <w:pStyle w:val="Text2"/>
              <w:spacing w:before="40" w:after="0"/>
              <w:ind w:left="0"/>
              <w:jc w:val="left"/>
              <w:rPr>
                <w:rFonts w:ascii="Arial Narrow" w:hAnsi="Arial Narrow"/>
                <w:bCs/>
                <w:iCs/>
                <w:noProof/>
                <w:sz w:val="20"/>
                <w:szCs w:val="20"/>
              </w:rPr>
            </w:pPr>
            <w:r>
              <w:rPr>
                <w:rFonts w:ascii="Arial Narrow" w:hAnsi="Arial Narrow"/>
                <w:b/>
                <w:noProof/>
              </w:rPr>
              <w:sym w:font="Wingdings" w:char="F09F"/>
            </w:r>
            <w:r>
              <w:rPr>
                <w:rFonts w:ascii="Arial Narrow" w:hAnsi="Arial Narrow"/>
                <w:noProof/>
              </w:rPr>
              <w:t>Μόνον οι θέσεις που χρηματοδοτούνται από τον προϋπολογισμό για την έρευνα</w:t>
            </w:r>
            <w:r>
              <w:rPr>
                <w:rFonts w:ascii="Arial Narrow" w:hAnsi="Arial Narrow"/>
                <w:noProof/>
                <w:sz w:val="22"/>
              </w:rPr>
              <w:t xml:space="preserve"> </w:t>
            </w: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r>
        <w:trPr>
          <w:jc w:val="center"/>
        </w:trPr>
        <w:tc>
          <w:tcPr>
            <w:tcW w:w="12474" w:type="dxa"/>
            <w:tcBorders>
              <w:bottom w:val="single" w:sz="4" w:space="0" w:color="auto"/>
            </w:tcBorders>
          </w:tcPr>
          <w:p>
            <w:pPr>
              <w:pStyle w:val="Text2"/>
              <w:spacing w:before="40" w:after="0"/>
              <w:ind w:left="0"/>
              <w:jc w:val="left"/>
              <w:rPr>
                <w:rFonts w:ascii="Arial Narrow" w:hAnsi="Arial Narrow"/>
                <w:noProof/>
                <w:sz w:val="20"/>
                <w:szCs w:val="20"/>
              </w:rPr>
            </w:pPr>
            <w:r>
              <w:rPr>
                <w:rFonts w:ascii="Arial Narrow" w:hAnsi="Arial Narrow"/>
                <w:b/>
                <w:noProof/>
              </w:rPr>
              <w:sym w:font="Wingdings" w:char="F09F"/>
            </w:r>
            <w:r>
              <w:rPr>
                <w:rFonts w:ascii="Arial Narrow" w:hAnsi="Arial Narrow"/>
                <w:b/>
                <w:noProof/>
              </w:rPr>
              <w:t xml:space="preserve"> </w:t>
            </w:r>
            <w:r>
              <w:rPr>
                <w:rFonts w:ascii="Arial Narrow" w:hAnsi="Arial Narrow"/>
                <w:noProof/>
                <w:sz w:val="22"/>
              </w:rPr>
              <w:t>Εξωτερικό προσωπικό</w:t>
            </w: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bl>
    <w:p>
      <w:pPr>
        <w:spacing w:before="60"/>
        <w:ind w:left="-360" w:firstLine="900"/>
        <w:rPr>
          <w:noProof/>
          <w:sz w:val="20"/>
          <w:szCs w:val="20"/>
        </w:rPr>
      </w:pPr>
    </w:p>
    <w:p>
      <w:pPr>
        <w:pStyle w:val="Point0"/>
        <w:rPr>
          <w:noProof/>
          <w:szCs w:val="28"/>
        </w:rPr>
      </w:pPr>
      <w:r>
        <w:t>(b)</w:t>
      </w:r>
      <w:r>
        <w:tab/>
      </w:r>
      <w:r>
        <w:rPr>
          <w:noProof/>
        </w:rPr>
        <w:t>Άλλες διοικητικές δαπάνες</w:t>
      </w:r>
    </w:p>
    <w:p>
      <w:pPr>
        <w:ind w:left="-357" w:firstLine="902"/>
        <w:rPr>
          <w:noProof/>
          <w:sz w:val="20"/>
          <w:szCs w:val="20"/>
        </w:rPr>
      </w:pPr>
    </w:p>
    <w:p>
      <w:pPr>
        <w:spacing w:before="60"/>
        <w:ind w:left="539"/>
        <w:jc w:val="center"/>
        <w:rPr>
          <w:i/>
          <w:noProof/>
          <w:sz w:val="20"/>
          <w:szCs w:val="20"/>
        </w:rPr>
      </w:pPr>
      <w:r>
        <w:rPr>
          <w:i/>
          <w:noProof/>
          <w:sz w:val="20"/>
        </w:rPr>
        <w:t xml:space="preserve">Να αναφερθεί λεπτομερώς η χρησιμοποιούμενη μέθοδος υπολογισμού για κάθε γραμμή του προϋπολογισμού </w:t>
      </w:r>
    </w:p>
    <w:p>
      <w:pPr>
        <w:spacing w:after="60"/>
        <w:ind w:left="539"/>
        <w:jc w:val="center"/>
        <w:rPr>
          <w:i/>
          <w:noProof/>
          <w:sz w:val="20"/>
          <w:szCs w:val="20"/>
        </w:rPr>
      </w:pPr>
      <w:r>
        <w:rPr>
          <w:i/>
          <w:noProof/>
          <w:sz w:val="20"/>
        </w:rPr>
        <w:t>και να προσδιοριστούν ειδικότερα οι υποκείμενες παραδοχές (π.χ. αριθμός συνεδριάσεων ετησίως, μέσο κόστος κ.λπ.)</w:t>
      </w: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8"/>
      </w:tblGrid>
      <w:tr>
        <w:trPr>
          <w:jc w:val="center"/>
        </w:trPr>
        <w:tc>
          <w:tcPr>
            <w:tcW w:w="9537" w:type="dxa"/>
            <w:tcBorders>
              <w:top w:val="single" w:sz="4" w:space="0" w:color="auto"/>
            </w:tcBorders>
          </w:tcPr>
          <w:p>
            <w:pPr>
              <w:pStyle w:val="Text2"/>
              <w:spacing w:before="60" w:after="60"/>
              <w:ind w:left="0"/>
              <w:jc w:val="left"/>
              <w:rPr>
                <w:rFonts w:ascii="Arial Narrow" w:hAnsi="Arial Narrow"/>
                <w:b/>
                <w:noProof/>
                <w:sz w:val="22"/>
              </w:rPr>
            </w:pPr>
            <w:r>
              <w:rPr>
                <w:rFonts w:ascii="Arial Narrow" w:hAnsi="Arial Narrow"/>
                <w:b/>
                <w:noProof/>
                <w:sz w:val="22"/>
              </w:rPr>
              <w:t>ΤΟΜΕΑΣ 7</w:t>
            </w:r>
            <w:r>
              <w:rPr>
                <w:rFonts w:ascii="Arial Narrow" w:hAnsi="Arial Narrow"/>
                <w:noProof/>
                <w:sz w:val="22"/>
              </w:rPr>
              <w:t xml:space="preserve"> του πολυετούς δημοσιονομικού πλαισίου</w:t>
            </w:r>
          </w:p>
        </w:tc>
      </w:tr>
      <w:tr>
        <w:trPr>
          <w:jc w:val="center"/>
        </w:trPr>
        <w:tc>
          <w:tcPr>
            <w:tcW w:w="9537" w:type="dxa"/>
          </w:tcPr>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Έξοδα αποστολών και παράστασης</w:t>
            </w:r>
          </w:p>
          <w:p>
            <w:pPr>
              <w:pStyle w:val="Text2"/>
              <w:numPr>
                <w:ilvl w:val="0"/>
                <w:numId w:val="90"/>
              </w:numPr>
              <w:spacing w:before="40" w:after="0"/>
              <w:jc w:val="left"/>
              <w:rPr>
                <w:rFonts w:ascii="Arial Narrow" w:hAnsi="Arial Narrow"/>
                <w:bCs/>
                <w:iCs/>
                <w:noProof/>
                <w:sz w:val="20"/>
                <w:szCs w:val="20"/>
              </w:rPr>
            </w:pPr>
            <w:r>
              <w:rPr>
                <w:rFonts w:ascii="Arial Narrow" w:hAnsi="Arial Narrow"/>
                <w:bCs/>
                <w:iCs/>
                <w:noProof/>
                <w:sz w:val="20"/>
                <w:szCs w:val="20"/>
              </w:rPr>
              <w:t>Για επιτόπιες επιθεωρήσεις σε πολύ μεγάλες επιγραμμικές πλατφόρμες: για το πρώτο έτος (2023) εκτιμάται ότι δεν θα πραγματοποιηθούν τέτοιες επιθεωρήσεις, αλλά οι εκτιμήσεις για τέτοιες αποστολές θα είναι ολοένα και πιο απαραίτητες μετά την έναρξη ισχύος: κατ’ εκτίμηση 15 το 2025, 20 το 2026 και 25 το 2027, καθώς εντείνονται οι δραστηριότητες επιβολής. Το μέσο κόστος ανά επιθεώρηση εκτιμάται σε 0,005 εκατ. EUR, υπολογίζοντας συμμετοχή έως 2 υπαλλήλων επί τόπου και διάρκεια επιθεώρησης 5 ημερών</w:t>
            </w: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Έξοδα διασκέψεων και συνεδριάσεων</w:t>
            </w:r>
          </w:p>
          <w:p>
            <w:pPr>
              <w:pStyle w:val="Text2"/>
              <w:numPr>
                <w:ilvl w:val="0"/>
                <w:numId w:val="90"/>
              </w:numPr>
              <w:spacing w:before="40" w:after="0"/>
              <w:jc w:val="left"/>
              <w:rPr>
                <w:rFonts w:ascii="Arial Narrow" w:hAnsi="Arial Narrow"/>
                <w:bCs/>
                <w:iCs/>
                <w:noProof/>
                <w:sz w:val="20"/>
                <w:szCs w:val="20"/>
              </w:rPr>
            </w:pPr>
            <w:r>
              <w:rPr>
                <w:rFonts w:ascii="Arial Narrow" w:hAnsi="Arial Narrow"/>
                <w:bCs/>
                <w:iCs/>
                <w:noProof/>
                <w:sz w:val="20"/>
                <w:szCs w:val="20"/>
              </w:rPr>
              <w:t>Μηνιαίες συνεδριάσεις του συμβουλίου με τη στήριξη της Επιτροπής, κατ’ εκτίμηση 0,01 εκατ. EUR ανά συνεδρίαση. Το 2023 εκτιμάται ότι θα πραγματοποιηθούν μόνο 8 συνεδριάσεις</w:t>
            </w:r>
          </w:p>
          <w:p>
            <w:pPr>
              <w:pStyle w:val="Text2"/>
              <w:numPr>
                <w:ilvl w:val="0"/>
                <w:numId w:val="90"/>
              </w:numPr>
              <w:spacing w:before="40" w:after="0"/>
              <w:jc w:val="left"/>
              <w:rPr>
                <w:rFonts w:ascii="Arial Narrow" w:hAnsi="Arial Narrow"/>
                <w:bCs/>
                <w:iCs/>
                <w:noProof/>
                <w:sz w:val="20"/>
                <w:szCs w:val="20"/>
              </w:rPr>
            </w:pPr>
            <w:r>
              <w:rPr>
                <w:rFonts w:ascii="Arial Narrow" w:hAnsi="Arial Narrow"/>
                <w:bCs/>
                <w:iCs/>
                <w:noProof/>
                <w:sz w:val="20"/>
                <w:szCs w:val="20"/>
              </w:rPr>
              <w:t>Άλλες συνεδριάσεις εμπειρογνωμόνων: σύμφωνα με συντηρητικές εκτιμήσεις θα διοργανώνονται έως και 4 συνεδριάσεις εμπειρογνωμόνων ετησίως για τη συλλογή στοιχείων και την παροχή συμβουλών σχετικά με τεχνικούς, νομικούς και κοινωνικούς προβληματισμούς από κορυφαίους εμπειρογνώμονες</w:t>
            </w: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Λειτουργικές δαπάνες σε σχέση με τα αποτελέσματα</w:t>
            </w:r>
          </w:p>
          <w:p>
            <w:pPr>
              <w:pStyle w:val="Text2"/>
              <w:numPr>
                <w:ilvl w:val="0"/>
                <w:numId w:val="90"/>
              </w:numPr>
              <w:spacing w:before="40" w:after="0"/>
              <w:jc w:val="left"/>
              <w:rPr>
                <w:rFonts w:ascii="Arial Narrow" w:hAnsi="Arial Narrow"/>
                <w:bCs/>
                <w:iCs/>
                <w:noProof/>
                <w:sz w:val="20"/>
                <w:szCs w:val="20"/>
              </w:rPr>
            </w:pPr>
            <w:r>
              <w:rPr>
                <w:rFonts w:ascii="Arial Narrow" w:hAnsi="Arial Narrow"/>
                <w:bCs/>
                <w:iCs/>
                <w:noProof/>
                <w:sz w:val="20"/>
                <w:szCs w:val="20"/>
              </w:rPr>
              <w:t>Κατάρτιση και υποβολή γνωμοδοτήσεων του συμβουλίου: εκτιμάται ότι θα είναι απαραίτητη και εφικτή μία τέτοια γνωμοδότηση ανά συνεδρίαση του συμβουλίου. Εκτιμάται ότι μία στις δύο γνωμοδοτήσεις θα συνεπάγεται την παροχή ad hoc στήριξης τεχνικής μελέτης 0,1 εκατ. EUR.</w:t>
            </w:r>
          </w:p>
          <w:p>
            <w:pPr>
              <w:pStyle w:val="Text2"/>
              <w:spacing w:before="0" w:after="0"/>
              <w:ind w:left="0"/>
              <w:rPr>
                <w:rFonts w:ascii="Arial Narrow" w:hAnsi="Arial Narrow"/>
                <w:noProof/>
                <w:sz w:val="22"/>
                <w:u w:val="single"/>
              </w:rPr>
            </w:pPr>
          </w:p>
          <w:p>
            <w:pPr>
              <w:pStyle w:val="Text2"/>
              <w:spacing w:before="60" w:after="0"/>
              <w:ind w:left="0"/>
              <w:rPr>
                <w:rFonts w:ascii="Arial Narrow" w:hAnsi="Arial Narrow"/>
                <w:noProof/>
                <w:sz w:val="22"/>
                <w:u w:val="single"/>
              </w:rPr>
            </w:pPr>
          </w:p>
        </w:tc>
      </w:tr>
      <w:tr>
        <w:trPr>
          <w:jc w:val="center"/>
        </w:trPr>
        <w:tc>
          <w:tcPr>
            <w:tcW w:w="9537" w:type="dxa"/>
            <w:tcBorders>
              <w:bottom w:val="single" w:sz="4" w:space="0" w:color="auto"/>
            </w:tcBorders>
          </w:tcPr>
          <w:p>
            <w:pPr>
              <w:pStyle w:val="Text2"/>
              <w:spacing w:before="40" w:after="0"/>
              <w:ind w:left="0"/>
              <w:jc w:val="left"/>
              <w:rPr>
                <w:rFonts w:ascii="Arial Narrow" w:hAnsi="Arial Narrow"/>
                <w:bCs/>
                <w:iCs/>
                <w:noProof/>
                <w:color w:val="FF0000"/>
                <w:sz w:val="20"/>
                <w:szCs w:val="20"/>
              </w:rPr>
            </w:pPr>
          </w:p>
        </w:tc>
      </w:tr>
    </w:tbl>
    <w:p>
      <w:pPr>
        <w:rPr>
          <w:rFonts w:ascii="Arial Narrow" w:hAnsi="Arial Narrow"/>
          <w:noProof/>
          <w:sz w:val="22"/>
        </w:rPr>
      </w:pPr>
    </w:p>
    <w:tbl>
      <w:tblPr>
        <w:tblW w:w="9295"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95"/>
      </w:tblGrid>
      <w:tr>
        <w:trPr>
          <w:jc w:val="center"/>
        </w:trPr>
        <w:tc>
          <w:tcPr>
            <w:tcW w:w="9295" w:type="dxa"/>
            <w:tcBorders>
              <w:top w:val="single" w:sz="4" w:space="0" w:color="auto"/>
            </w:tcBorders>
          </w:tcPr>
          <w:p>
            <w:pPr>
              <w:pStyle w:val="Text2"/>
              <w:spacing w:before="60" w:after="60"/>
              <w:ind w:left="0"/>
              <w:jc w:val="left"/>
              <w:rPr>
                <w:rFonts w:ascii="Arial Narrow" w:hAnsi="Arial Narrow"/>
                <w:b/>
                <w:noProof/>
                <w:sz w:val="22"/>
              </w:rPr>
            </w:pPr>
            <w:r>
              <w:rPr>
                <w:rFonts w:ascii="Arial Narrow" w:hAnsi="Arial Narrow"/>
                <w:b/>
                <w:noProof/>
                <w:sz w:val="22"/>
              </w:rPr>
              <w:t>Εκτός του ΤΟΜΕΑ 7</w:t>
            </w:r>
            <w:r>
              <w:rPr>
                <w:rFonts w:ascii="Arial Narrow" w:hAnsi="Arial Narrow"/>
                <w:noProof/>
                <w:sz w:val="22"/>
              </w:rPr>
              <w:t xml:space="preserve"> του πολυετούς δημοσιονομικού πλαισίου (δαπάνες στήριξης και λειτουργίας)</w:t>
            </w:r>
          </w:p>
        </w:tc>
      </w:tr>
      <w:tr>
        <w:trPr>
          <w:jc w:val="center"/>
        </w:trPr>
        <w:tc>
          <w:tcPr>
            <w:tcW w:w="9295" w:type="dxa"/>
          </w:tcPr>
          <w:p>
            <w:pPr>
              <w:pStyle w:val="Text2"/>
              <w:spacing w:before="40" w:after="0"/>
              <w:ind w:left="0"/>
              <w:jc w:val="left"/>
              <w:rPr>
                <w:rFonts w:ascii="Arial Narrow" w:hAnsi="Arial Narrow"/>
                <w:b/>
                <w:bCs/>
                <w:iCs/>
                <w:noProof/>
                <w:sz w:val="20"/>
                <w:szCs w:val="20"/>
              </w:rPr>
            </w:pPr>
            <w:r>
              <w:rPr>
                <w:rFonts w:ascii="Arial Narrow" w:hAnsi="Arial Narrow"/>
                <w:b/>
                <w:bCs/>
                <w:iCs/>
                <w:noProof/>
                <w:sz w:val="20"/>
                <w:szCs w:val="20"/>
              </w:rPr>
              <w:t>Δαπάνες στήριξης</w:t>
            </w:r>
          </w:p>
          <w:p>
            <w:pPr>
              <w:pStyle w:val="Text2"/>
              <w:numPr>
                <w:ilvl w:val="0"/>
                <w:numId w:val="90"/>
              </w:numPr>
              <w:spacing w:before="40" w:after="0"/>
              <w:jc w:val="left"/>
              <w:rPr>
                <w:rFonts w:ascii="Arial Narrow" w:hAnsi="Arial Narrow"/>
                <w:bCs/>
                <w:iCs/>
                <w:noProof/>
                <w:sz w:val="20"/>
                <w:szCs w:val="20"/>
              </w:rPr>
            </w:pPr>
            <w:r>
              <w:rPr>
                <w:rFonts w:ascii="Arial Narrow" w:hAnsi="Arial Narrow"/>
                <w:bCs/>
                <w:iCs/>
                <w:noProof/>
                <w:sz w:val="20"/>
                <w:szCs w:val="20"/>
              </w:rPr>
              <w:t>Η Επιτροπή και το συμβούλιο θα πρέπει να διαβουλεύονται ευρέως για τα περισσότερα από τα βασικά παραδοτέα που εκδίδονται. Το μέσο κόστος ανά διαβούλευση εκτιμάται σε 0,005 εκατ. EUR και αντιστοιχεί σε στοχευμένες διαβουλεύσεις και συνεδριάσεις με φυσική παρουσία, αναμένοντας ότι οι περισσότερες διαβουλεύσεις θα διεξάγονται στο διαδίκτυο. Οι διαβουλεύσεις εστιάζουν σε: πλαίσια εκτίμησης κινδύνων (2 το 2024 και το 2025 αντίστοιχα, και ένα το 2026), σχέδια κατευθυντήριων γραμμών (2 ανά έτος, από το 2023 έως το 2025, και αναμένεται να αυξηθούν σε 3 ετησίως στη συνέχεια), διαβουλεύσεις πριν από την έκδοση εκτελεστικών και κατ’ εξουσιοδότηση πράξεων (3 το 2023 και 2 το 2024).</w:t>
            </w:r>
          </w:p>
          <w:p>
            <w:pPr>
              <w:pStyle w:val="Text2"/>
              <w:numPr>
                <w:ilvl w:val="0"/>
                <w:numId w:val="90"/>
              </w:numPr>
              <w:spacing w:before="40" w:after="0"/>
              <w:jc w:val="left"/>
              <w:rPr>
                <w:rFonts w:ascii="Arial Narrow" w:hAnsi="Arial Narrow"/>
                <w:bCs/>
                <w:iCs/>
                <w:noProof/>
                <w:sz w:val="20"/>
                <w:szCs w:val="20"/>
              </w:rPr>
            </w:pPr>
            <w:r>
              <w:rPr>
                <w:rFonts w:ascii="Arial Narrow" w:hAnsi="Arial Narrow"/>
                <w:bCs/>
                <w:iCs/>
                <w:noProof/>
                <w:sz w:val="20"/>
                <w:szCs w:val="20"/>
              </w:rPr>
              <w:t>Προβλέπεται προϋπολογισμός για τη στήριξη της συνεχούς επικοινωνίας, με σκοπό να στηριχθεί η συμμετοχή των ενδιαφερόμενων μερών σε όλα τα στάδια διαβούλευσης, κατ’ εκτίμηση στα 0,2 εκατ. EUR ανά έτος, από το 2024.</w:t>
            </w:r>
          </w:p>
          <w:p>
            <w:pPr>
              <w:pStyle w:val="Text2"/>
              <w:spacing w:before="40" w:after="0"/>
              <w:ind w:left="0"/>
              <w:jc w:val="left"/>
              <w:rPr>
                <w:rFonts w:ascii="Arial Narrow" w:hAnsi="Arial Narrow"/>
                <w:b/>
                <w:bCs/>
                <w:iCs/>
                <w:noProof/>
                <w:sz w:val="20"/>
                <w:szCs w:val="20"/>
              </w:rPr>
            </w:pPr>
          </w:p>
          <w:p>
            <w:pPr>
              <w:pStyle w:val="Text2"/>
              <w:spacing w:before="40" w:after="0"/>
              <w:ind w:left="0"/>
              <w:jc w:val="left"/>
              <w:rPr>
                <w:rFonts w:ascii="Arial Narrow" w:hAnsi="Arial Narrow"/>
                <w:b/>
                <w:bCs/>
                <w:iCs/>
                <w:noProof/>
                <w:sz w:val="20"/>
                <w:szCs w:val="20"/>
              </w:rPr>
            </w:pPr>
            <w:r>
              <w:rPr>
                <w:rFonts w:ascii="Arial Narrow" w:hAnsi="Arial Narrow"/>
                <w:b/>
                <w:bCs/>
                <w:iCs/>
                <w:noProof/>
                <w:sz w:val="20"/>
                <w:szCs w:val="20"/>
              </w:rPr>
              <w:t>Δαπάνες λειτουργίας</w:t>
            </w: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Μελέτες και διαβουλεύσεις</w:t>
            </w: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Η Επιτροπή, στο πλαίσιο των δραστηριοτήτων παροχής στήριξης στο συμβούλιο και για τα δικά της καθήκοντα άμεσης εκτέλεσης, θα πρέπει να είναι σε θέση να διεξάγει εμπεριστατωμένη ανάλυση αλγοριθμικών συστημάτων, συστημάτων διαχείρισης δεδομένων και συστημάτων τεχνητής νοημοσύνης που υποστηρίζουν τις υπηρεσίες πολύ μεγάλων πλατφορμών (περίπου 20/25 σε ολόκληρη την ΕΕ). Κατά συνέπεια, απαιτείται προσφυγή σε πολύ εξειδικευμένη τεχνογνωσία μέσω ad hoc μελετών και/ή συμβούλων για τη στήριξη της ανάλυσης, και ειδικότερα:</w:t>
            </w:r>
          </w:p>
          <w:p>
            <w:pPr>
              <w:pStyle w:val="Text2"/>
              <w:numPr>
                <w:ilvl w:val="0"/>
                <w:numId w:val="90"/>
              </w:numPr>
              <w:spacing w:before="40" w:after="0"/>
              <w:jc w:val="left"/>
              <w:rPr>
                <w:rFonts w:ascii="Arial Narrow" w:hAnsi="Arial Narrow"/>
                <w:bCs/>
                <w:iCs/>
                <w:noProof/>
                <w:sz w:val="20"/>
                <w:szCs w:val="20"/>
              </w:rPr>
            </w:pPr>
            <w:r>
              <w:rPr>
                <w:rFonts w:ascii="Arial Narrow" w:hAnsi="Arial Narrow"/>
                <w:bCs/>
                <w:iCs/>
                <w:noProof/>
                <w:sz w:val="20"/>
                <w:szCs w:val="20"/>
              </w:rPr>
              <w:t>Αιτήματα πρόσβασης σε δεδομένα για αξιολόγηση κινδύνων: δαπάνες που σχετίζονται με την επεξεργασία δεδομένων και την εξωτερική τεχνική στήριξη, με μέση εκτίμηση 0,025 εκατ. EUR ανά αίτημα. Ο όγκος των αιτημάτων αναμένεται να αυξηθεί και να σταθεροποιηθεί σε περίπου 2 αιτήματα ανά έτος για κάθε πολύ μεγάλο εποπτευόμενο πάροχο υπηρεσιών (με αναμενόμενο αριθμό παρόχων υπηρεσιών στους 20) - δηλαδή 40 τέτοια αιτήματα ετησίως από το 2026, με 5 το 2023 και 20 το 2025</w:t>
            </w:r>
          </w:p>
          <w:p>
            <w:pPr>
              <w:pStyle w:val="Text2"/>
              <w:numPr>
                <w:ilvl w:val="0"/>
                <w:numId w:val="90"/>
              </w:numPr>
              <w:spacing w:before="40" w:after="0"/>
              <w:jc w:val="left"/>
              <w:rPr>
                <w:rFonts w:ascii="Arial Narrow" w:hAnsi="Arial Narrow"/>
                <w:bCs/>
                <w:iCs/>
                <w:noProof/>
                <w:sz w:val="20"/>
                <w:szCs w:val="20"/>
              </w:rPr>
            </w:pPr>
            <w:r>
              <w:rPr>
                <w:rFonts w:ascii="Arial Narrow" w:hAnsi="Arial Narrow"/>
                <w:bCs/>
                <w:iCs/>
                <w:noProof/>
                <w:sz w:val="20"/>
                <w:szCs w:val="20"/>
              </w:rPr>
              <w:t>Οι δαπάνες για μελέτες και αναλυτές δεδομένων θα είναι αναγκαίες προκειμένου να διαμορφωθεί το πλαίσιο μεθοδολογίας και η βάση γνώσεων που απαιτούνται για τον εντοπισμό κινδύνων και την ενίσχυση των ικανοτήτων του δημόσιου φορέα επιβολής για την προστασία των Ευρωπαίων πολιτών και επιχειρήσεων από τη μη συμμόρφωση με τον κανονισμό, καθώς και για την ανάπτυξη προτύπων και μεθοδολογιών για την αποκατάσταση της συμμόρφωσης.  Θεωρείται ότι οι μελέτες θα πρέπει να διασφαλίζουν τακτικά αξιόπιστες μεθοδολογίες και πλαίσια για τον έλεγχο μιας σειράς εξελισσόμενων αλγοριθμικών συστημάτων, για εκτιμήσεις κινδύνων, καθώς και για την ανάλυση των σημαντικότερων κινδύνων, όπως προκύπτουν από την επισκόπηση του τομέα (χωρίς να αφορούν αυστηρά μεμονωμένες πλατφόρμες/δράσεις επιβολής, αλλά περιλαμβάνοντας επίσης συστήματα με δυνατότητα διαμόρφωσης ειδικών αγορών και/ή διάδοσης πληροφοριών μεταξύ των χρηστών στην Ένωση). Εκτιμάται ότι ένα καθεστώς θα πραγματοποιεί έως και 22 εκτιμήσεις κινδύνων, τεχνικές μελέτες και μελέτες σκοπιμότητας με πολυπλοκότητα που κυμαίνεται από χαμηλού επιπέδου (50 χιλ.) έως επιπέδου πλαισίου (1 εκατ. EUR). Οι αναλήψεις υποχρεώσεων για τις εν λόγω μελέτες υποτίθεται ότι θα καταβάλλονται με την ολοκλήρωση των μελετών, επομένως κατά μέσο όρο το οικονομικό έτος που έπεται της υπογραφής της σύμβασης</w:t>
            </w:r>
          </w:p>
          <w:p>
            <w:pPr>
              <w:pStyle w:val="Text2"/>
              <w:numPr>
                <w:ilvl w:val="0"/>
                <w:numId w:val="90"/>
              </w:numPr>
              <w:spacing w:before="40" w:after="0"/>
              <w:jc w:val="left"/>
              <w:rPr>
                <w:rFonts w:ascii="Arial Narrow" w:hAnsi="Arial Narrow"/>
                <w:bCs/>
                <w:iCs/>
                <w:noProof/>
                <w:sz w:val="20"/>
                <w:szCs w:val="20"/>
              </w:rPr>
            </w:pPr>
            <w:r>
              <w:rPr>
                <w:rFonts w:ascii="Arial Narrow" w:hAnsi="Arial Narrow"/>
                <w:bCs/>
                <w:iCs/>
                <w:noProof/>
                <w:sz w:val="20"/>
                <w:szCs w:val="20"/>
              </w:rPr>
              <w:t xml:space="preserve">Όσον αφορά τις μεμονωμένες τεχνικές επιθεωρήσεις και τους ρυθμιστικούς ελέγχους σε αλγοριθμικά συστήματα και συστήματα τεχνητής νοημοσύνης πολύ μεγάλων παρόχων: αναμένεται υψηλή πολυπλοκότητα (επιθεώρηση περίπου 8 αλγοριθμικών συστημάτων) ή μέτρια πολυπλοκότητα (επιθεώρηση περίπου 5 αλγοριθμικών συστημάτων). Οι εκτιμήσεις κόστους ανέρχονται σε 0,5 εκατ. EUR για έλεγχο υψηλής πολυπλοκότητας και 0,3 εκατ. EUR για έλεγχο χαμηλής πολυπλοκότητας, με μέσο κόστος 0,075 εκατ. EUR για την επιθεώρηση ενός τεχνικού συστήματος (όπως εκτιμάται για εξωτερικούς τεχνικούς ελέγχους στο SMART 2018/0037) και απαιτούνται πρόσθετοι πόροι για τη συνολική ανάλυση. Το κόστος καλύπτει τη χρήση εξωτερικών αναδόχων επιστημόνων δεδομένων και την προμήθεια εξωτερικής στήριξης. Αναμένεται ότι δεν θα διενεργηθεί τέτοια επιθεώρηση το 2023, αλλά ότι θα κλιμακωθεί η ικανότητα και η ανάγκη σε 16 επιθεωρήσεις (3 υψηλής πολυπλοκότητας και 13 μέτριας πολυπλοκότητας) το 2025. Οι επιθεωρήσεις υποτίθεται ότι θα ολοκληρωθούν σε μικρότερο διάστημα από τις μελέτες και οι σχετικές δαπάνες θα καταβληθούν κατά μέσο όρο κατά το ίδιο έτος ανάληψης υποχρεώσεων. </w:t>
            </w: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 xml:space="preserve">Συστήματα πληροφοριών και διαχείρισης (ΤΠ) </w:t>
            </w:r>
          </w:p>
          <w:p>
            <w:pPr>
              <w:pStyle w:val="Text2"/>
              <w:numPr>
                <w:ilvl w:val="0"/>
                <w:numId w:val="90"/>
              </w:numPr>
              <w:spacing w:before="40" w:after="0"/>
              <w:jc w:val="left"/>
              <w:rPr>
                <w:rFonts w:ascii="Arial Narrow" w:hAnsi="Arial Narrow"/>
                <w:bCs/>
                <w:iCs/>
                <w:noProof/>
                <w:sz w:val="20"/>
                <w:szCs w:val="20"/>
              </w:rPr>
            </w:pPr>
            <w:r>
              <w:rPr>
                <w:rFonts w:ascii="Arial Narrow" w:hAnsi="Arial Narrow"/>
                <w:bCs/>
                <w:iCs/>
                <w:noProof/>
                <w:sz w:val="20"/>
                <w:szCs w:val="20"/>
              </w:rPr>
              <w:t>Βασικό στοιχείο που στηρίζει την εφαρμογή του κανονισμού είναι μια ψηφιακή πλατφόρμα που διευκολύνει την ανταλλαγή πληροφοριών μεταξύ των κρατών μελών, του συμβουλίου και της Επιτροπής, καθώς και τη διασφάλιση λειτουργικών δυνατοτήτων και διαλειτουργικότητας με άλλες λειτουργίες που προβλέπονται στον κανονισμό. Το κόστος ανάπτυξης εκτιμάται σε 4,5 εκατ. EUR για διάστημα 4 ετών (2 εκατ. το 2023 για τη δημιουργία του, 1 εκατ. το 2024 και 2025 για την πλήρη ανάπτυξη και διαλειτουργικότητά του και 0,03 στο εξής για την επικαιροποίηση και τη διατήρηση της διαλειτουργικότητάς του). Το κόστος συντήρησης και υποστήριξης των χρηστών εκτιμάται επίσης σε 0,001 εκατ. EUR τα δύο πρώτα έτη και στη συνέχεια σε σταθερότερο προϋπολογισμό 0,002 εκατ. EUR ετησίως. Οι πληρωμές για περαιτέρω επικαιροποιήσεις και ανάπτυξη εκτιμάται ότι θα καταβάλλονται το οικονομικό έτος που έπεται της υλοποίησης/παράδοσης της πλατφόρμας.</w:t>
            </w:r>
          </w:p>
          <w:p>
            <w:pPr>
              <w:pStyle w:val="Text2"/>
              <w:spacing w:before="40" w:after="0"/>
              <w:ind w:left="0"/>
              <w:jc w:val="left"/>
              <w:rPr>
                <w:rFonts w:ascii="Arial Narrow" w:hAnsi="Arial Narrow"/>
                <w:bCs/>
                <w:iCs/>
                <w:noProof/>
                <w:sz w:val="20"/>
                <w:szCs w:val="20"/>
              </w:rPr>
            </w:pP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Σε αυτό το πλαίσιο, οι δαπάνες λειτουργίας εκτός του τομέα 7 θα έχουν σχέση με τα ακόλουθα προγράμματα της Επιτροπής</w:t>
            </w:r>
          </w:p>
          <w:p>
            <w:pPr>
              <w:pStyle w:val="Text2"/>
              <w:spacing w:before="40" w:after="0"/>
              <w:ind w:left="0"/>
              <w:jc w:val="left"/>
              <w:rPr>
                <w:rFonts w:ascii="Arial Narrow" w:hAnsi="Arial Narrow"/>
                <w:bCs/>
                <w:iCs/>
                <w:noProof/>
                <w:sz w:val="20"/>
                <w:szCs w:val="20"/>
              </w:rPr>
            </w:pPr>
          </w:p>
          <w:p>
            <w:pPr>
              <w:pStyle w:val="Text2"/>
              <w:spacing w:before="40" w:after="0"/>
              <w:ind w:left="0"/>
              <w:jc w:val="left"/>
              <w:rPr>
                <w:rFonts w:ascii="Arial Narrow" w:hAnsi="Arial Narrow"/>
                <w:bCs/>
                <w:iCs/>
                <w:noProof/>
                <w:sz w:val="20"/>
                <w:szCs w:val="20"/>
              </w:rPr>
            </w:pPr>
            <w:r>
              <w:rPr>
                <w:rFonts w:ascii="Arial Narrow" w:hAnsi="Arial Narrow"/>
                <w:b/>
                <w:bCs/>
                <w:iCs/>
                <w:noProof/>
                <w:sz w:val="20"/>
                <w:szCs w:val="20"/>
              </w:rPr>
              <w:t>Πρόγραμμα «Ψηφιακή Ευρώπη»</w:t>
            </w:r>
            <w:r>
              <w:rPr>
                <w:rFonts w:ascii="Arial Narrow" w:hAnsi="Arial Narrow"/>
                <w:bCs/>
                <w:iCs/>
                <w:noProof/>
                <w:sz w:val="20"/>
                <w:szCs w:val="20"/>
              </w:rPr>
              <w:t>: όσον αφορά τις δραστηριότητες που αφορούν τις γενικές μελέτες και την ανάλυση δεδομένων με στόχο την αύξηση της ικανότητας των δημόσιων φορέων επιβολής να αναλύουν, να εντοπίζουν και να αντιμετωπίζουν κινδύνους που σχετίζονται με συστημικές αδυναμίες πολύ μεγάλων πλατφορμών σε ένα κοινό πλαίσιο σε ολόκληρη την Ένωση, καθώς και την εκτέλεση αιτημάτων πρόσβασης σε δεδομένα και διαχείρισης και την ανάπτυξη και σύσταση της απαραίτητης πλατφόρμας ανταλλαγής πληροφοριών ΤΠ που θα επιτρέπει την ανταλλαγή πληροφοριών μεταξύ των αρμόδιων αρχών και της Επιτροπής και τη διαλειτουργικότητα των βάσεων δεδομένων και των λειτουργιών που προβλέπονται στον κανονισμό, με τις ακόλουθες προβλεπόμενες δαπάνες (σε εκατ. EUR)</w:t>
            </w:r>
          </w:p>
          <w:p>
            <w:pPr>
              <w:pStyle w:val="Text2"/>
              <w:spacing w:before="40"/>
              <w:ind w:left="0"/>
              <w:rPr>
                <w:rFonts w:ascii="Arial Narrow" w:hAnsi="Arial Narrow"/>
                <w:bCs/>
                <w:iCs/>
                <w:noProof/>
                <w:sz w:val="20"/>
                <w:szCs w:val="20"/>
              </w:rPr>
            </w:pPr>
          </w:p>
          <w:p>
            <w:pPr>
              <w:pStyle w:val="Text2"/>
              <w:pBdr>
                <w:top w:val="single" w:sz="4" w:space="1" w:color="auto"/>
                <w:left w:val="single" w:sz="4" w:space="4" w:color="auto"/>
                <w:bottom w:val="single" w:sz="4" w:space="1" w:color="auto"/>
                <w:right w:val="single" w:sz="4" w:space="4" w:color="auto"/>
                <w:between w:val="single" w:sz="4" w:space="1" w:color="auto"/>
                <w:bar w:val="single" w:sz="4" w:color="auto"/>
              </w:pBdr>
              <w:spacing w:before="40"/>
              <w:ind w:left="0"/>
              <w:rPr>
                <w:rFonts w:ascii="Arial Narrow" w:hAnsi="Arial Narrow"/>
                <w:bCs/>
                <w:iCs/>
                <w:noProof/>
                <w:sz w:val="20"/>
                <w:szCs w:val="20"/>
              </w:rPr>
            </w:pPr>
            <w:r>
              <w:rPr>
                <w:rFonts w:ascii="Arial Narrow" w:hAnsi="Arial Narrow"/>
                <w:bCs/>
                <w:iCs/>
                <w:noProof/>
                <w:sz w:val="20"/>
                <w:szCs w:val="20"/>
              </w:rPr>
              <w:t>2023</w:t>
            </w:r>
            <w:r>
              <w:rPr>
                <w:noProof/>
              </w:rPr>
              <w:tab/>
            </w:r>
            <w:r>
              <w:rPr>
                <w:noProof/>
              </w:rPr>
              <w:tab/>
            </w:r>
            <w:r>
              <w:rPr>
                <w:noProof/>
              </w:rPr>
              <w:tab/>
            </w:r>
            <w:r>
              <w:rPr>
                <w:rFonts w:ascii="Arial Narrow" w:hAnsi="Arial Narrow"/>
                <w:bCs/>
                <w:iCs/>
                <w:noProof/>
                <w:sz w:val="20"/>
                <w:szCs w:val="20"/>
              </w:rPr>
              <w:t>2024</w:t>
            </w:r>
            <w:r>
              <w:rPr>
                <w:noProof/>
              </w:rPr>
              <w:tab/>
            </w:r>
            <w:r>
              <w:rPr>
                <w:noProof/>
              </w:rPr>
              <w:tab/>
            </w:r>
            <w:r>
              <w:rPr>
                <w:noProof/>
              </w:rPr>
              <w:tab/>
            </w:r>
            <w:r>
              <w:rPr>
                <w:rFonts w:ascii="Arial Narrow" w:hAnsi="Arial Narrow"/>
                <w:bCs/>
                <w:iCs/>
                <w:noProof/>
                <w:sz w:val="20"/>
                <w:szCs w:val="20"/>
              </w:rPr>
              <w:t>2025</w:t>
            </w:r>
            <w:r>
              <w:rPr>
                <w:noProof/>
              </w:rPr>
              <w:tab/>
            </w:r>
            <w:r>
              <w:rPr>
                <w:noProof/>
              </w:rPr>
              <w:tab/>
            </w:r>
            <w:r>
              <w:rPr>
                <w:noProof/>
              </w:rPr>
              <w:tab/>
            </w:r>
            <w:r>
              <w:rPr>
                <w:rFonts w:ascii="Arial Narrow" w:hAnsi="Arial Narrow"/>
                <w:bCs/>
                <w:iCs/>
                <w:noProof/>
                <w:sz w:val="20"/>
                <w:szCs w:val="20"/>
              </w:rPr>
              <w:t>2026</w:t>
            </w:r>
            <w:r>
              <w:rPr>
                <w:noProof/>
              </w:rPr>
              <w:tab/>
            </w:r>
            <w:r>
              <w:rPr>
                <w:noProof/>
              </w:rPr>
              <w:tab/>
            </w:r>
            <w:r>
              <w:rPr>
                <w:noProof/>
              </w:rPr>
              <w:tab/>
            </w:r>
            <w:r>
              <w:rPr>
                <w:rFonts w:ascii="Arial Narrow" w:hAnsi="Arial Narrow"/>
                <w:bCs/>
                <w:iCs/>
                <w:noProof/>
                <w:sz w:val="20"/>
                <w:szCs w:val="20"/>
              </w:rPr>
              <w:t>2027</w:t>
            </w:r>
            <w:r>
              <w:rPr>
                <w:noProof/>
              </w:rPr>
              <w:tab/>
            </w:r>
            <w:r>
              <w:rPr>
                <w:noProof/>
              </w:rPr>
              <w:tab/>
            </w:r>
            <w:r>
              <w:rPr>
                <w:noProof/>
              </w:rPr>
              <w:tab/>
            </w:r>
            <w:r>
              <w:rPr>
                <w:noProof/>
              </w:rPr>
              <w:tab/>
            </w:r>
            <w:r>
              <w:rPr>
                <w:noProof/>
              </w:rPr>
              <w:tab/>
            </w:r>
            <w:r>
              <w:rPr>
                <w:noProof/>
              </w:rPr>
              <w:tab/>
            </w:r>
            <w:r>
              <w:rPr>
                <w:noProof/>
              </w:rPr>
              <w:tab/>
            </w:r>
            <w:r>
              <w:rPr>
                <w:noProof/>
              </w:rPr>
              <w:tab/>
            </w:r>
          </w:p>
          <w:p>
            <w:pPr>
              <w:pStyle w:val="Text2"/>
              <w:pBdr>
                <w:top w:val="single" w:sz="4" w:space="1" w:color="auto"/>
                <w:left w:val="single" w:sz="4" w:space="4" w:color="auto"/>
                <w:bottom w:val="single" w:sz="4" w:space="1" w:color="auto"/>
                <w:right w:val="single" w:sz="4" w:space="4" w:color="auto"/>
                <w:between w:val="single" w:sz="4" w:space="1" w:color="auto"/>
                <w:bar w:val="single" w:sz="4" w:color="auto"/>
              </w:pBdr>
              <w:spacing w:before="40" w:after="0"/>
              <w:ind w:left="0"/>
              <w:jc w:val="left"/>
              <w:rPr>
                <w:rFonts w:ascii="Arial Narrow" w:hAnsi="Arial Narrow"/>
                <w:bCs/>
                <w:iCs/>
                <w:noProof/>
                <w:sz w:val="20"/>
                <w:szCs w:val="20"/>
              </w:rPr>
            </w:pPr>
            <w:r>
              <w:rPr>
                <w:rFonts w:ascii="Arial Narrow" w:hAnsi="Arial Narrow"/>
                <w:bCs/>
                <w:iCs/>
                <w:noProof/>
                <w:sz w:val="20"/>
                <w:szCs w:val="20"/>
              </w:rPr>
              <w:t>4,526</w:t>
            </w:r>
            <w:r>
              <w:rPr>
                <w:noProof/>
              </w:rPr>
              <w:tab/>
            </w:r>
            <w:r>
              <w:rPr>
                <w:noProof/>
              </w:rPr>
              <w:tab/>
            </w:r>
            <w:r>
              <w:rPr>
                <w:noProof/>
              </w:rPr>
              <w:tab/>
            </w:r>
            <w:r>
              <w:rPr>
                <w:rFonts w:ascii="Arial Narrow" w:hAnsi="Arial Narrow"/>
                <w:bCs/>
                <w:iCs/>
                <w:noProof/>
                <w:sz w:val="20"/>
                <w:szCs w:val="20"/>
              </w:rPr>
              <w:t>6,076</w:t>
            </w:r>
            <w:r>
              <w:rPr>
                <w:noProof/>
              </w:rPr>
              <w:tab/>
            </w:r>
            <w:r>
              <w:rPr>
                <w:noProof/>
              </w:rPr>
              <w:tab/>
            </w:r>
            <w:r>
              <w:rPr>
                <w:noProof/>
              </w:rPr>
              <w:tab/>
            </w:r>
            <w:r>
              <w:rPr>
                <w:rFonts w:ascii="Arial Narrow" w:hAnsi="Arial Narrow"/>
                <w:bCs/>
                <w:iCs/>
                <w:noProof/>
                <w:sz w:val="20"/>
                <w:szCs w:val="20"/>
              </w:rPr>
              <w:t>9,802</w:t>
            </w:r>
            <w:r>
              <w:rPr>
                <w:noProof/>
              </w:rPr>
              <w:tab/>
            </w:r>
            <w:r>
              <w:rPr>
                <w:noProof/>
              </w:rPr>
              <w:tab/>
            </w:r>
            <w:r>
              <w:rPr>
                <w:noProof/>
              </w:rPr>
              <w:tab/>
            </w:r>
            <w:r>
              <w:rPr>
                <w:rFonts w:ascii="Arial Narrow" w:hAnsi="Arial Narrow"/>
                <w:bCs/>
                <w:iCs/>
                <w:noProof/>
                <w:sz w:val="20"/>
                <w:szCs w:val="20"/>
              </w:rPr>
              <w:t>9,802</w:t>
            </w:r>
            <w:r>
              <w:rPr>
                <w:noProof/>
              </w:rPr>
              <w:tab/>
            </w:r>
            <w:r>
              <w:rPr>
                <w:noProof/>
              </w:rPr>
              <w:tab/>
            </w:r>
            <w:r>
              <w:rPr>
                <w:noProof/>
              </w:rPr>
              <w:tab/>
            </w:r>
            <w:r>
              <w:rPr>
                <w:rFonts w:ascii="Arial Narrow" w:hAnsi="Arial Narrow"/>
                <w:bCs/>
                <w:iCs/>
                <w:noProof/>
                <w:sz w:val="20"/>
                <w:szCs w:val="20"/>
              </w:rPr>
              <w:t>9,802</w:t>
            </w:r>
          </w:p>
          <w:p>
            <w:pPr>
              <w:pStyle w:val="Text2"/>
              <w:spacing w:before="40" w:after="0"/>
              <w:ind w:left="0"/>
              <w:jc w:val="left"/>
              <w:rPr>
                <w:rFonts w:ascii="Arial Narrow" w:hAnsi="Arial Narrow"/>
                <w:bCs/>
                <w:iCs/>
                <w:noProof/>
                <w:sz w:val="20"/>
                <w:szCs w:val="20"/>
              </w:rPr>
            </w:pPr>
          </w:p>
          <w:p>
            <w:pPr>
              <w:pStyle w:val="Text2"/>
              <w:spacing w:before="40" w:after="0"/>
              <w:ind w:left="0"/>
              <w:jc w:val="left"/>
              <w:rPr>
                <w:rFonts w:ascii="Arial Narrow" w:hAnsi="Arial Narrow"/>
                <w:bCs/>
                <w:iCs/>
                <w:noProof/>
                <w:sz w:val="20"/>
                <w:szCs w:val="20"/>
              </w:rPr>
            </w:pPr>
            <w:r>
              <w:rPr>
                <w:rFonts w:ascii="Arial Narrow" w:hAnsi="Arial Narrow"/>
                <w:b/>
                <w:bCs/>
                <w:iCs/>
                <w:noProof/>
                <w:sz w:val="20"/>
                <w:szCs w:val="20"/>
              </w:rPr>
              <w:t>Πρόγραμμα για την ενιαία αγορά</w:t>
            </w:r>
            <w:r>
              <w:rPr>
                <w:rFonts w:ascii="Arial Narrow" w:hAnsi="Arial Narrow"/>
                <w:bCs/>
                <w:iCs/>
                <w:noProof/>
                <w:sz w:val="20"/>
                <w:szCs w:val="20"/>
              </w:rPr>
              <w:t>: όσον αφορά τις ειδικές δραστηριότητες επιβολής που πρέπει να πραγματοποιηθούν σε σχέση με τις πολύ μεγάλες πλατφόρμες, όπως επιμέρους τεχνικές επιθεωρήσεις και έλεγχοι, καθώς και συναφείς δημόσιες διαβουλεύσεις</w:t>
            </w:r>
          </w:p>
          <w:p>
            <w:pPr>
              <w:pStyle w:val="Text2"/>
              <w:spacing w:before="40" w:after="0"/>
              <w:ind w:left="0"/>
              <w:jc w:val="left"/>
              <w:rPr>
                <w:rFonts w:ascii="Arial Narrow" w:hAnsi="Arial Narrow"/>
                <w:bCs/>
                <w:iCs/>
                <w:noProof/>
                <w:sz w:val="20"/>
                <w:szCs w:val="20"/>
              </w:rPr>
            </w:pPr>
          </w:p>
          <w:p>
            <w:pPr>
              <w:pStyle w:val="Text2"/>
              <w:pBdr>
                <w:top w:val="single" w:sz="4" w:space="1" w:color="auto"/>
                <w:left w:val="single" w:sz="4" w:space="4" w:color="auto"/>
                <w:bottom w:val="single" w:sz="4" w:space="1" w:color="auto"/>
                <w:right w:val="single" w:sz="4" w:space="4" w:color="auto"/>
                <w:between w:val="single" w:sz="4" w:space="1" w:color="auto"/>
                <w:bar w:val="single" w:sz="4" w:color="auto"/>
              </w:pBdr>
              <w:spacing w:before="40"/>
              <w:ind w:left="0"/>
              <w:rPr>
                <w:rFonts w:ascii="Arial Narrow" w:hAnsi="Arial Narrow"/>
                <w:bCs/>
                <w:iCs/>
                <w:noProof/>
                <w:sz w:val="20"/>
                <w:szCs w:val="20"/>
              </w:rPr>
            </w:pPr>
            <w:r>
              <w:rPr>
                <w:rFonts w:ascii="Arial Narrow" w:hAnsi="Arial Narrow"/>
                <w:bCs/>
                <w:iCs/>
                <w:noProof/>
                <w:sz w:val="20"/>
                <w:szCs w:val="20"/>
              </w:rPr>
              <w:t>2023</w:t>
            </w:r>
            <w:r>
              <w:rPr>
                <w:noProof/>
              </w:rPr>
              <w:tab/>
            </w:r>
            <w:r>
              <w:rPr>
                <w:noProof/>
              </w:rPr>
              <w:tab/>
            </w:r>
            <w:r>
              <w:rPr>
                <w:noProof/>
              </w:rPr>
              <w:tab/>
            </w:r>
            <w:r>
              <w:rPr>
                <w:rFonts w:ascii="Arial Narrow" w:hAnsi="Arial Narrow"/>
                <w:bCs/>
                <w:iCs/>
                <w:noProof/>
                <w:sz w:val="20"/>
                <w:szCs w:val="20"/>
              </w:rPr>
              <w:t>2024</w:t>
            </w:r>
            <w:r>
              <w:rPr>
                <w:noProof/>
              </w:rPr>
              <w:tab/>
            </w:r>
            <w:r>
              <w:rPr>
                <w:noProof/>
              </w:rPr>
              <w:tab/>
            </w:r>
            <w:r>
              <w:rPr>
                <w:noProof/>
              </w:rPr>
              <w:tab/>
            </w:r>
            <w:r>
              <w:rPr>
                <w:rFonts w:ascii="Arial Narrow" w:hAnsi="Arial Narrow"/>
                <w:bCs/>
                <w:iCs/>
                <w:noProof/>
                <w:sz w:val="20"/>
                <w:szCs w:val="20"/>
              </w:rPr>
              <w:t>2025</w:t>
            </w:r>
            <w:r>
              <w:rPr>
                <w:noProof/>
              </w:rPr>
              <w:tab/>
            </w:r>
            <w:r>
              <w:rPr>
                <w:noProof/>
              </w:rPr>
              <w:tab/>
            </w:r>
            <w:r>
              <w:rPr>
                <w:noProof/>
              </w:rPr>
              <w:tab/>
            </w:r>
            <w:r>
              <w:rPr>
                <w:rFonts w:ascii="Arial Narrow" w:hAnsi="Arial Narrow"/>
                <w:bCs/>
                <w:iCs/>
                <w:noProof/>
                <w:sz w:val="20"/>
                <w:szCs w:val="20"/>
              </w:rPr>
              <w:t>2026</w:t>
            </w:r>
            <w:r>
              <w:rPr>
                <w:noProof/>
              </w:rPr>
              <w:tab/>
            </w:r>
            <w:r>
              <w:rPr>
                <w:noProof/>
              </w:rPr>
              <w:tab/>
            </w:r>
            <w:r>
              <w:rPr>
                <w:noProof/>
              </w:rPr>
              <w:tab/>
            </w:r>
            <w:r>
              <w:rPr>
                <w:rFonts w:ascii="Arial Narrow" w:hAnsi="Arial Narrow"/>
                <w:bCs/>
                <w:iCs/>
                <w:noProof/>
                <w:sz w:val="20"/>
                <w:szCs w:val="20"/>
              </w:rPr>
              <w:t>2027</w:t>
            </w:r>
          </w:p>
          <w:p>
            <w:pPr>
              <w:pStyle w:val="Text2"/>
              <w:pBdr>
                <w:top w:val="single" w:sz="4" w:space="1" w:color="auto"/>
                <w:left w:val="single" w:sz="4" w:space="4" w:color="auto"/>
                <w:bottom w:val="single" w:sz="4" w:space="1" w:color="auto"/>
                <w:right w:val="single" w:sz="4" w:space="4" w:color="auto"/>
                <w:between w:val="single" w:sz="4" w:space="1" w:color="auto"/>
                <w:bar w:val="single" w:sz="4" w:color="auto"/>
              </w:pBdr>
              <w:spacing w:before="40" w:after="0"/>
              <w:ind w:left="0"/>
              <w:jc w:val="left"/>
              <w:rPr>
                <w:rFonts w:ascii="Arial Narrow" w:hAnsi="Arial Narrow"/>
                <w:bCs/>
                <w:iCs/>
                <w:noProof/>
                <w:sz w:val="20"/>
                <w:szCs w:val="20"/>
              </w:rPr>
            </w:pPr>
            <w:r>
              <w:rPr>
                <w:rFonts w:ascii="Arial Narrow" w:hAnsi="Arial Narrow"/>
                <w:bCs/>
                <w:iCs/>
                <w:noProof/>
                <w:sz w:val="20"/>
                <w:szCs w:val="20"/>
              </w:rPr>
              <w:t>0,025</w:t>
            </w:r>
            <w:r>
              <w:rPr>
                <w:noProof/>
              </w:rPr>
              <w:tab/>
            </w:r>
            <w:r>
              <w:rPr>
                <w:noProof/>
              </w:rPr>
              <w:tab/>
            </w:r>
            <w:r>
              <w:rPr>
                <w:noProof/>
              </w:rPr>
              <w:tab/>
            </w:r>
            <w:r>
              <w:rPr>
                <w:rFonts w:ascii="Arial Narrow" w:hAnsi="Arial Narrow"/>
                <w:bCs/>
                <w:iCs/>
                <w:noProof/>
                <w:sz w:val="20"/>
                <w:szCs w:val="20"/>
              </w:rPr>
              <w:t>2,830</w:t>
            </w:r>
            <w:r>
              <w:rPr>
                <w:noProof/>
              </w:rPr>
              <w:tab/>
            </w:r>
            <w:r>
              <w:rPr>
                <w:noProof/>
              </w:rPr>
              <w:tab/>
            </w:r>
            <w:r>
              <w:rPr>
                <w:noProof/>
              </w:rPr>
              <w:tab/>
            </w:r>
            <w:r>
              <w:rPr>
                <w:rFonts w:ascii="Arial Narrow" w:hAnsi="Arial Narrow"/>
                <w:bCs/>
                <w:iCs/>
                <w:noProof/>
                <w:sz w:val="20"/>
                <w:szCs w:val="20"/>
              </w:rPr>
              <w:t>5,620</w:t>
            </w:r>
            <w:r>
              <w:rPr>
                <w:noProof/>
              </w:rPr>
              <w:tab/>
            </w:r>
            <w:r>
              <w:rPr>
                <w:noProof/>
              </w:rPr>
              <w:tab/>
            </w:r>
            <w:r>
              <w:rPr>
                <w:noProof/>
              </w:rPr>
              <w:tab/>
            </w:r>
            <w:r>
              <w:rPr>
                <w:rFonts w:ascii="Arial Narrow" w:hAnsi="Arial Narrow"/>
                <w:bCs/>
                <w:iCs/>
                <w:noProof/>
                <w:sz w:val="20"/>
                <w:szCs w:val="20"/>
              </w:rPr>
              <w:t>5,620</w:t>
            </w:r>
            <w:r>
              <w:rPr>
                <w:noProof/>
              </w:rPr>
              <w:tab/>
            </w:r>
            <w:r>
              <w:rPr>
                <w:noProof/>
              </w:rPr>
              <w:tab/>
            </w:r>
            <w:r>
              <w:rPr>
                <w:rFonts w:ascii="Arial Narrow" w:hAnsi="Arial Narrow"/>
                <w:bCs/>
                <w:iCs/>
                <w:noProof/>
                <w:sz w:val="20"/>
                <w:szCs w:val="20"/>
              </w:rPr>
              <w:t xml:space="preserve">               5,620 </w:t>
            </w: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r>
              <w:rPr>
                <w:rFonts w:ascii="Arial Narrow" w:hAnsi="Arial Narrow"/>
                <w:noProof/>
                <w:sz w:val="20"/>
                <w:szCs w:val="20"/>
                <w:u w:val="single"/>
              </w:rPr>
              <w:t>Προσάρτημα: αναλυτική επισκόπηση των λειτουργικών και διοικητικών δαπανών</w:t>
            </w: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r>
        <w:trPr>
          <w:jc w:val="center"/>
        </w:trPr>
        <w:tc>
          <w:tcPr>
            <w:tcW w:w="9295" w:type="dxa"/>
            <w:tcBorders>
              <w:bottom w:val="single" w:sz="4" w:space="0" w:color="auto"/>
            </w:tcBorders>
          </w:tcPr>
          <w:p>
            <w:pPr>
              <w:pStyle w:val="Text2"/>
              <w:spacing w:before="40" w:after="0"/>
              <w:ind w:left="0"/>
              <w:jc w:val="left"/>
              <w:rPr>
                <w:rFonts w:ascii="Arial Narrow" w:hAnsi="Arial Narrow"/>
                <w:bCs/>
                <w:iCs/>
                <w:noProof/>
                <w:color w:val="FF0000"/>
                <w:sz w:val="20"/>
                <w:szCs w:val="20"/>
              </w:rPr>
            </w:pPr>
          </w:p>
        </w:tc>
      </w:tr>
    </w:tbl>
    <w:p>
      <w:pPr>
        <w:rPr>
          <w:noProof/>
        </w:rPr>
      </w:pPr>
    </w:p>
    <w:p>
      <w:pPr>
        <w:rPr>
          <w:noProof/>
        </w:rPr>
      </w:pPr>
    </w:p>
    <w:p>
      <w:pPr>
        <w:spacing w:after="200" w:line="276" w:lineRule="auto"/>
        <w:rPr>
          <w:noProof/>
        </w:rPr>
      </w:pPr>
      <w:r>
        <w:rPr>
          <w:noProof/>
        </w:rPr>
        <w:br w:type="page"/>
      </w:r>
    </w:p>
    <w:p>
      <w:pPr>
        <w:rPr>
          <w:noProof/>
        </w:rPr>
        <w:sectPr>
          <w:headerReference w:type="default" r:id="rId36"/>
          <w:footerReference w:type="default" r:id="rId37"/>
          <w:headerReference w:type="first" r:id="rId38"/>
          <w:footerReference w:type="first" r:id="rId39"/>
          <w:pgSz w:w="11906" w:h="16838"/>
          <w:pgMar w:top="1417" w:right="1417" w:bottom="1417" w:left="1417" w:header="708" w:footer="708" w:gutter="0"/>
          <w:cols w:space="708"/>
          <w:docGrid w:linePitch="360"/>
        </w:sectPr>
      </w:pPr>
    </w:p>
    <w:p>
      <w:pPr>
        <w:rPr>
          <w:noProof/>
        </w:rPr>
      </w:pPr>
      <w:r>
        <w:rPr>
          <w:noProof/>
        </w:rPr>
        <w:t>Προσάρτημα: αναλυτική επισκόπηση των δαπανών λειτουργίας και προσωπικού</w:t>
      </w:r>
    </w:p>
    <w:tbl>
      <w:tblPr>
        <w:tblStyle w:val="TableGrid"/>
        <w:tblW w:w="0" w:type="auto"/>
        <w:tblLook w:val="04A0" w:firstRow="1" w:lastRow="0" w:firstColumn="1" w:lastColumn="0" w:noHBand="0" w:noVBand="1"/>
      </w:tblPr>
      <w:tblGrid>
        <w:gridCol w:w="1289"/>
        <w:gridCol w:w="1757"/>
        <w:gridCol w:w="823"/>
        <w:gridCol w:w="684"/>
        <w:gridCol w:w="678"/>
        <w:gridCol w:w="823"/>
        <w:gridCol w:w="684"/>
        <w:gridCol w:w="678"/>
        <w:gridCol w:w="823"/>
        <w:gridCol w:w="684"/>
        <w:gridCol w:w="678"/>
        <w:gridCol w:w="823"/>
        <w:gridCol w:w="684"/>
        <w:gridCol w:w="678"/>
        <w:gridCol w:w="823"/>
        <w:gridCol w:w="684"/>
        <w:gridCol w:w="678"/>
        <w:gridCol w:w="817"/>
      </w:tblGrid>
      <w:tr>
        <w:trPr>
          <w:trHeight w:val="330"/>
        </w:trPr>
        <w:tc>
          <w:tcPr>
            <w:tcW w:w="1425" w:type="dxa"/>
            <w:noWrap/>
            <w:hideMark/>
          </w:tcPr>
          <w:p>
            <w:pPr>
              <w:rPr>
                <w:noProof/>
                <w:sz w:val="18"/>
              </w:rPr>
            </w:pPr>
          </w:p>
        </w:tc>
        <w:tc>
          <w:tcPr>
            <w:tcW w:w="1998" w:type="dxa"/>
            <w:hideMark/>
          </w:tcPr>
          <w:p>
            <w:pPr>
              <w:rPr>
                <w:b/>
                <w:bCs/>
                <w:noProof/>
                <w:sz w:val="18"/>
              </w:rPr>
            </w:pPr>
          </w:p>
        </w:tc>
        <w:tc>
          <w:tcPr>
            <w:tcW w:w="750" w:type="dxa"/>
            <w:hideMark/>
          </w:tcPr>
          <w:p>
            <w:pPr>
              <w:rPr>
                <w:b/>
                <w:bCs/>
                <w:noProof/>
                <w:sz w:val="18"/>
              </w:rPr>
            </w:pPr>
          </w:p>
        </w:tc>
        <w:tc>
          <w:tcPr>
            <w:tcW w:w="671" w:type="dxa"/>
            <w:noWrap/>
            <w:hideMark/>
          </w:tcPr>
          <w:p>
            <w:pPr>
              <w:rPr>
                <w:noProof/>
                <w:sz w:val="18"/>
              </w:rPr>
            </w:pPr>
          </w:p>
        </w:tc>
        <w:tc>
          <w:tcPr>
            <w:tcW w:w="668" w:type="dxa"/>
            <w:vMerge w:val="restart"/>
            <w:hideMark/>
          </w:tcPr>
          <w:p>
            <w:pPr>
              <w:rPr>
                <w:b/>
                <w:bCs/>
                <w:noProof/>
                <w:sz w:val="18"/>
              </w:rPr>
            </w:pPr>
            <w:r>
              <w:rPr>
                <w:b/>
                <w:bCs/>
                <w:noProof/>
                <w:sz w:val="18"/>
              </w:rPr>
              <w:t>2023</w:t>
            </w:r>
          </w:p>
        </w:tc>
        <w:tc>
          <w:tcPr>
            <w:tcW w:w="750" w:type="dxa"/>
            <w:hideMark/>
          </w:tcPr>
          <w:p>
            <w:pPr>
              <w:rPr>
                <w:b/>
                <w:bCs/>
                <w:noProof/>
                <w:sz w:val="18"/>
              </w:rPr>
            </w:pPr>
          </w:p>
        </w:tc>
        <w:tc>
          <w:tcPr>
            <w:tcW w:w="671" w:type="dxa"/>
            <w:noWrap/>
            <w:hideMark/>
          </w:tcPr>
          <w:p>
            <w:pPr>
              <w:rPr>
                <w:noProof/>
                <w:sz w:val="18"/>
              </w:rPr>
            </w:pPr>
          </w:p>
        </w:tc>
        <w:tc>
          <w:tcPr>
            <w:tcW w:w="670" w:type="dxa"/>
            <w:vMerge w:val="restart"/>
            <w:hideMark/>
          </w:tcPr>
          <w:p>
            <w:pPr>
              <w:rPr>
                <w:b/>
                <w:bCs/>
                <w:noProof/>
                <w:sz w:val="18"/>
              </w:rPr>
            </w:pPr>
            <w:r>
              <w:rPr>
                <w:b/>
                <w:bCs/>
                <w:noProof/>
                <w:sz w:val="18"/>
              </w:rPr>
              <w:t>2024</w:t>
            </w:r>
          </w:p>
        </w:tc>
        <w:tc>
          <w:tcPr>
            <w:tcW w:w="750" w:type="dxa"/>
            <w:hideMark/>
          </w:tcPr>
          <w:p>
            <w:pPr>
              <w:rPr>
                <w:b/>
                <w:bCs/>
                <w:noProof/>
                <w:sz w:val="18"/>
              </w:rPr>
            </w:pPr>
          </w:p>
        </w:tc>
        <w:tc>
          <w:tcPr>
            <w:tcW w:w="671" w:type="dxa"/>
            <w:noWrap/>
            <w:hideMark/>
          </w:tcPr>
          <w:p>
            <w:pPr>
              <w:rPr>
                <w:noProof/>
                <w:sz w:val="18"/>
              </w:rPr>
            </w:pPr>
          </w:p>
        </w:tc>
        <w:tc>
          <w:tcPr>
            <w:tcW w:w="670" w:type="dxa"/>
            <w:vMerge w:val="restart"/>
            <w:hideMark/>
          </w:tcPr>
          <w:p>
            <w:pPr>
              <w:rPr>
                <w:b/>
                <w:bCs/>
                <w:noProof/>
                <w:sz w:val="18"/>
              </w:rPr>
            </w:pPr>
            <w:r>
              <w:rPr>
                <w:b/>
                <w:bCs/>
                <w:noProof/>
                <w:sz w:val="18"/>
              </w:rPr>
              <w:t>2025</w:t>
            </w:r>
          </w:p>
        </w:tc>
        <w:tc>
          <w:tcPr>
            <w:tcW w:w="750" w:type="dxa"/>
            <w:hideMark/>
          </w:tcPr>
          <w:p>
            <w:pPr>
              <w:rPr>
                <w:b/>
                <w:bCs/>
                <w:noProof/>
                <w:sz w:val="18"/>
              </w:rPr>
            </w:pPr>
          </w:p>
        </w:tc>
        <w:tc>
          <w:tcPr>
            <w:tcW w:w="671" w:type="dxa"/>
            <w:noWrap/>
            <w:hideMark/>
          </w:tcPr>
          <w:p>
            <w:pPr>
              <w:rPr>
                <w:noProof/>
                <w:sz w:val="18"/>
              </w:rPr>
            </w:pPr>
          </w:p>
        </w:tc>
        <w:tc>
          <w:tcPr>
            <w:tcW w:w="670" w:type="dxa"/>
            <w:vMerge w:val="restart"/>
            <w:hideMark/>
          </w:tcPr>
          <w:p>
            <w:pPr>
              <w:rPr>
                <w:b/>
                <w:bCs/>
                <w:noProof/>
                <w:sz w:val="18"/>
              </w:rPr>
            </w:pPr>
            <w:r>
              <w:rPr>
                <w:b/>
                <w:bCs/>
                <w:noProof/>
                <w:sz w:val="18"/>
              </w:rPr>
              <w:t>2026</w:t>
            </w:r>
          </w:p>
        </w:tc>
        <w:tc>
          <w:tcPr>
            <w:tcW w:w="750" w:type="dxa"/>
            <w:hideMark/>
          </w:tcPr>
          <w:p>
            <w:pPr>
              <w:rPr>
                <w:b/>
                <w:bCs/>
                <w:noProof/>
                <w:sz w:val="18"/>
              </w:rPr>
            </w:pPr>
          </w:p>
        </w:tc>
        <w:tc>
          <w:tcPr>
            <w:tcW w:w="671" w:type="dxa"/>
            <w:noWrap/>
            <w:hideMark/>
          </w:tcPr>
          <w:p>
            <w:pPr>
              <w:rPr>
                <w:noProof/>
                <w:sz w:val="18"/>
              </w:rPr>
            </w:pPr>
          </w:p>
        </w:tc>
        <w:tc>
          <w:tcPr>
            <w:tcW w:w="670" w:type="dxa"/>
            <w:vMerge w:val="restart"/>
            <w:hideMark/>
          </w:tcPr>
          <w:p>
            <w:pPr>
              <w:rPr>
                <w:b/>
                <w:bCs/>
                <w:noProof/>
                <w:sz w:val="18"/>
              </w:rPr>
            </w:pPr>
            <w:r>
              <w:rPr>
                <w:b/>
                <w:bCs/>
                <w:noProof/>
                <w:sz w:val="18"/>
              </w:rPr>
              <w:t>2027</w:t>
            </w:r>
          </w:p>
        </w:tc>
        <w:tc>
          <w:tcPr>
            <w:tcW w:w="912" w:type="dxa"/>
            <w:vMerge w:val="restart"/>
            <w:hideMark/>
          </w:tcPr>
          <w:p>
            <w:pPr>
              <w:rPr>
                <w:b/>
                <w:bCs/>
                <w:noProof/>
                <w:sz w:val="18"/>
              </w:rPr>
            </w:pPr>
            <w:r>
              <w:rPr>
                <w:b/>
                <w:bCs/>
                <w:noProof/>
                <w:sz w:val="18"/>
              </w:rPr>
              <w:t>Σύνολο</w:t>
            </w:r>
          </w:p>
        </w:tc>
      </w:tr>
      <w:tr>
        <w:trPr>
          <w:trHeight w:val="660"/>
        </w:trPr>
        <w:tc>
          <w:tcPr>
            <w:tcW w:w="1425" w:type="dxa"/>
            <w:noWrap/>
            <w:hideMark/>
          </w:tcPr>
          <w:p>
            <w:pPr>
              <w:rPr>
                <w:b/>
                <w:bCs/>
                <w:noProof/>
                <w:sz w:val="18"/>
              </w:rPr>
            </w:pPr>
          </w:p>
        </w:tc>
        <w:tc>
          <w:tcPr>
            <w:tcW w:w="1998" w:type="dxa"/>
            <w:hideMark/>
          </w:tcPr>
          <w:p>
            <w:pPr>
              <w:rPr>
                <w:noProof/>
                <w:sz w:val="18"/>
              </w:rPr>
            </w:pPr>
          </w:p>
        </w:tc>
        <w:tc>
          <w:tcPr>
            <w:tcW w:w="750" w:type="dxa"/>
            <w:hideMark/>
          </w:tcPr>
          <w:p>
            <w:pPr>
              <w:rPr>
                <w:noProof/>
                <w:sz w:val="18"/>
              </w:rPr>
            </w:pPr>
          </w:p>
        </w:tc>
        <w:tc>
          <w:tcPr>
            <w:tcW w:w="671" w:type="dxa"/>
            <w:noWrap/>
            <w:hideMark/>
          </w:tcPr>
          <w:p>
            <w:pPr>
              <w:rPr>
                <w:noProof/>
                <w:sz w:val="18"/>
              </w:rPr>
            </w:pPr>
          </w:p>
        </w:tc>
        <w:tc>
          <w:tcPr>
            <w:tcW w:w="668" w:type="dxa"/>
            <w:vMerge/>
            <w:hideMark/>
          </w:tcPr>
          <w:p>
            <w:pPr>
              <w:rPr>
                <w:b/>
                <w:bCs/>
                <w:noProof/>
                <w:sz w:val="18"/>
              </w:rPr>
            </w:pPr>
          </w:p>
        </w:tc>
        <w:tc>
          <w:tcPr>
            <w:tcW w:w="750" w:type="dxa"/>
            <w:hideMark/>
          </w:tcPr>
          <w:p>
            <w:pPr>
              <w:rPr>
                <w:noProof/>
                <w:sz w:val="18"/>
              </w:rPr>
            </w:pPr>
          </w:p>
        </w:tc>
        <w:tc>
          <w:tcPr>
            <w:tcW w:w="671" w:type="dxa"/>
            <w:noWrap/>
            <w:hideMark/>
          </w:tcPr>
          <w:p>
            <w:pPr>
              <w:rPr>
                <w:noProof/>
                <w:sz w:val="18"/>
              </w:rPr>
            </w:pPr>
          </w:p>
        </w:tc>
        <w:tc>
          <w:tcPr>
            <w:tcW w:w="670" w:type="dxa"/>
            <w:vMerge/>
            <w:hideMark/>
          </w:tcPr>
          <w:p>
            <w:pPr>
              <w:rPr>
                <w:b/>
                <w:bCs/>
                <w:noProof/>
                <w:sz w:val="18"/>
              </w:rPr>
            </w:pPr>
          </w:p>
        </w:tc>
        <w:tc>
          <w:tcPr>
            <w:tcW w:w="750" w:type="dxa"/>
            <w:hideMark/>
          </w:tcPr>
          <w:p>
            <w:pPr>
              <w:rPr>
                <w:noProof/>
                <w:sz w:val="18"/>
              </w:rPr>
            </w:pPr>
          </w:p>
        </w:tc>
        <w:tc>
          <w:tcPr>
            <w:tcW w:w="671" w:type="dxa"/>
            <w:noWrap/>
            <w:hideMark/>
          </w:tcPr>
          <w:p>
            <w:pPr>
              <w:rPr>
                <w:noProof/>
                <w:sz w:val="18"/>
              </w:rPr>
            </w:pPr>
          </w:p>
        </w:tc>
        <w:tc>
          <w:tcPr>
            <w:tcW w:w="670" w:type="dxa"/>
            <w:vMerge/>
            <w:hideMark/>
          </w:tcPr>
          <w:p>
            <w:pPr>
              <w:rPr>
                <w:b/>
                <w:bCs/>
                <w:noProof/>
                <w:sz w:val="18"/>
              </w:rPr>
            </w:pPr>
          </w:p>
        </w:tc>
        <w:tc>
          <w:tcPr>
            <w:tcW w:w="750" w:type="dxa"/>
            <w:hideMark/>
          </w:tcPr>
          <w:p>
            <w:pPr>
              <w:rPr>
                <w:noProof/>
                <w:sz w:val="18"/>
              </w:rPr>
            </w:pPr>
          </w:p>
        </w:tc>
        <w:tc>
          <w:tcPr>
            <w:tcW w:w="671" w:type="dxa"/>
            <w:noWrap/>
            <w:hideMark/>
          </w:tcPr>
          <w:p>
            <w:pPr>
              <w:rPr>
                <w:noProof/>
                <w:sz w:val="18"/>
              </w:rPr>
            </w:pPr>
          </w:p>
        </w:tc>
        <w:tc>
          <w:tcPr>
            <w:tcW w:w="670" w:type="dxa"/>
            <w:vMerge/>
            <w:hideMark/>
          </w:tcPr>
          <w:p>
            <w:pPr>
              <w:rPr>
                <w:b/>
                <w:bCs/>
                <w:noProof/>
                <w:sz w:val="18"/>
              </w:rPr>
            </w:pPr>
          </w:p>
        </w:tc>
        <w:tc>
          <w:tcPr>
            <w:tcW w:w="750" w:type="dxa"/>
            <w:hideMark/>
          </w:tcPr>
          <w:p>
            <w:pPr>
              <w:rPr>
                <w:noProof/>
                <w:sz w:val="18"/>
              </w:rPr>
            </w:pPr>
          </w:p>
        </w:tc>
        <w:tc>
          <w:tcPr>
            <w:tcW w:w="671" w:type="dxa"/>
            <w:noWrap/>
            <w:hideMark/>
          </w:tcPr>
          <w:p>
            <w:pPr>
              <w:rPr>
                <w:noProof/>
                <w:sz w:val="18"/>
              </w:rPr>
            </w:pPr>
          </w:p>
        </w:tc>
        <w:tc>
          <w:tcPr>
            <w:tcW w:w="670" w:type="dxa"/>
            <w:vMerge/>
            <w:hideMark/>
          </w:tcPr>
          <w:p>
            <w:pPr>
              <w:rPr>
                <w:b/>
                <w:bCs/>
                <w:noProof/>
                <w:sz w:val="18"/>
              </w:rPr>
            </w:pPr>
          </w:p>
        </w:tc>
        <w:tc>
          <w:tcPr>
            <w:tcW w:w="912" w:type="dxa"/>
            <w:vMerge/>
            <w:hideMark/>
          </w:tcPr>
          <w:p>
            <w:pPr>
              <w:rPr>
                <w:b/>
                <w:bCs/>
                <w:noProof/>
                <w:sz w:val="18"/>
              </w:rPr>
            </w:pPr>
          </w:p>
        </w:tc>
      </w:tr>
      <w:tr>
        <w:trPr>
          <w:trHeight w:val="330"/>
        </w:trPr>
        <w:tc>
          <w:tcPr>
            <w:tcW w:w="1425" w:type="dxa"/>
            <w:noWrap/>
            <w:hideMark/>
          </w:tcPr>
          <w:p>
            <w:pPr>
              <w:rPr>
                <w:noProof/>
                <w:sz w:val="18"/>
              </w:rPr>
            </w:pPr>
          </w:p>
        </w:tc>
        <w:tc>
          <w:tcPr>
            <w:tcW w:w="1998" w:type="dxa"/>
            <w:hideMark/>
          </w:tcPr>
          <w:p>
            <w:pPr>
              <w:rPr>
                <w:noProof/>
                <w:sz w:val="18"/>
              </w:rPr>
            </w:pPr>
            <w:r>
              <w:rPr>
                <w:noProof/>
                <w:sz w:val="18"/>
              </w:rPr>
              <w:t xml:space="preserve"> </w:t>
            </w:r>
          </w:p>
        </w:tc>
        <w:tc>
          <w:tcPr>
            <w:tcW w:w="750" w:type="dxa"/>
            <w:hideMark/>
          </w:tcPr>
          <w:p>
            <w:pPr>
              <w:rPr>
                <w:noProof/>
                <w:sz w:val="18"/>
              </w:rPr>
            </w:pPr>
            <w:r>
              <w:rPr>
                <w:noProof/>
                <w:sz w:val="18"/>
              </w:rPr>
              <w:t>ποσότητα</w:t>
            </w:r>
          </w:p>
        </w:tc>
        <w:tc>
          <w:tcPr>
            <w:tcW w:w="671" w:type="dxa"/>
            <w:hideMark/>
          </w:tcPr>
          <w:p>
            <w:pPr>
              <w:rPr>
                <w:noProof/>
                <w:sz w:val="18"/>
              </w:rPr>
            </w:pPr>
            <w:r>
              <w:rPr>
                <w:noProof/>
                <w:sz w:val="18"/>
              </w:rPr>
              <w:t>κόστος ανά μονάδα</w:t>
            </w:r>
          </w:p>
        </w:tc>
        <w:tc>
          <w:tcPr>
            <w:tcW w:w="668" w:type="dxa"/>
            <w:hideMark/>
          </w:tcPr>
          <w:p>
            <w:pPr>
              <w:rPr>
                <w:noProof/>
                <w:sz w:val="18"/>
              </w:rPr>
            </w:pPr>
            <w:r>
              <w:rPr>
                <w:noProof/>
                <w:sz w:val="18"/>
              </w:rPr>
              <w:t>σύνολο</w:t>
            </w:r>
          </w:p>
        </w:tc>
        <w:tc>
          <w:tcPr>
            <w:tcW w:w="750" w:type="dxa"/>
            <w:hideMark/>
          </w:tcPr>
          <w:p>
            <w:pPr>
              <w:rPr>
                <w:noProof/>
                <w:sz w:val="18"/>
              </w:rPr>
            </w:pPr>
            <w:r>
              <w:rPr>
                <w:noProof/>
                <w:sz w:val="18"/>
              </w:rPr>
              <w:t>ποσότητα</w:t>
            </w:r>
          </w:p>
        </w:tc>
        <w:tc>
          <w:tcPr>
            <w:tcW w:w="671" w:type="dxa"/>
            <w:hideMark/>
          </w:tcPr>
          <w:p>
            <w:pPr>
              <w:rPr>
                <w:noProof/>
                <w:sz w:val="18"/>
              </w:rPr>
            </w:pPr>
            <w:r>
              <w:rPr>
                <w:noProof/>
                <w:sz w:val="18"/>
              </w:rPr>
              <w:t>κόστος ανά μονάδα</w:t>
            </w:r>
          </w:p>
        </w:tc>
        <w:tc>
          <w:tcPr>
            <w:tcW w:w="670" w:type="dxa"/>
            <w:hideMark/>
          </w:tcPr>
          <w:p>
            <w:pPr>
              <w:rPr>
                <w:noProof/>
                <w:sz w:val="18"/>
              </w:rPr>
            </w:pPr>
            <w:r>
              <w:rPr>
                <w:noProof/>
                <w:sz w:val="18"/>
              </w:rPr>
              <w:t>σύνολο</w:t>
            </w:r>
          </w:p>
        </w:tc>
        <w:tc>
          <w:tcPr>
            <w:tcW w:w="750" w:type="dxa"/>
            <w:hideMark/>
          </w:tcPr>
          <w:p>
            <w:pPr>
              <w:rPr>
                <w:noProof/>
                <w:sz w:val="18"/>
              </w:rPr>
            </w:pPr>
            <w:r>
              <w:rPr>
                <w:noProof/>
                <w:sz w:val="18"/>
              </w:rPr>
              <w:t>ποσότητα</w:t>
            </w:r>
          </w:p>
        </w:tc>
        <w:tc>
          <w:tcPr>
            <w:tcW w:w="671" w:type="dxa"/>
            <w:hideMark/>
          </w:tcPr>
          <w:p>
            <w:pPr>
              <w:rPr>
                <w:noProof/>
                <w:sz w:val="18"/>
              </w:rPr>
            </w:pPr>
            <w:r>
              <w:rPr>
                <w:noProof/>
                <w:sz w:val="18"/>
              </w:rPr>
              <w:t>κόστος ανά μονάδα</w:t>
            </w:r>
          </w:p>
        </w:tc>
        <w:tc>
          <w:tcPr>
            <w:tcW w:w="670" w:type="dxa"/>
            <w:hideMark/>
          </w:tcPr>
          <w:p>
            <w:pPr>
              <w:rPr>
                <w:noProof/>
                <w:sz w:val="18"/>
              </w:rPr>
            </w:pPr>
            <w:r>
              <w:rPr>
                <w:noProof/>
                <w:sz w:val="18"/>
              </w:rPr>
              <w:t>σύνολο</w:t>
            </w:r>
          </w:p>
        </w:tc>
        <w:tc>
          <w:tcPr>
            <w:tcW w:w="750" w:type="dxa"/>
            <w:hideMark/>
          </w:tcPr>
          <w:p>
            <w:pPr>
              <w:rPr>
                <w:noProof/>
                <w:sz w:val="18"/>
              </w:rPr>
            </w:pPr>
            <w:r>
              <w:rPr>
                <w:noProof/>
                <w:sz w:val="18"/>
              </w:rPr>
              <w:t>ποσότητα</w:t>
            </w:r>
          </w:p>
        </w:tc>
        <w:tc>
          <w:tcPr>
            <w:tcW w:w="671" w:type="dxa"/>
            <w:hideMark/>
          </w:tcPr>
          <w:p>
            <w:pPr>
              <w:rPr>
                <w:noProof/>
                <w:sz w:val="18"/>
              </w:rPr>
            </w:pPr>
            <w:r>
              <w:rPr>
                <w:noProof/>
                <w:sz w:val="18"/>
              </w:rPr>
              <w:t>κόστος ανά μονάδα</w:t>
            </w:r>
          </w:p>
        </w:tc>
        <w:tc>
          <w:tcPr>
            <w:tcW w:w="670" w:type="dxa"/>
            <w:hideMark/>
          </w:tcPr>
          <w:p>
            <w:pPr>
              <w:rPr>
                <w:noProof/>
                <w:sz w:val="18"/>
              </w:rPr>
            </w:pPr>
            <w:r>
              <w:rPr>
                <w:noProof/>
                <w:sz w:val="18"/>
              </w:rPr>
              <w:t>σύνολο</w:t>
            </w:r>
          </w:p>
        </w:tc>
        <w:tc>
          <w:tcPr>
            <w:tcW w:w="750" w:type="dxa"/>
            <w:hideMark/>
          </w:tcPr>
          <w:p>
            <w:pPr>
              <w:rPr>
                <w:noProof/>
                <w:sz w:val="18"/>
              </w:rPr>
            </w:pPr>
            <w:r>
              <w:rPr>
                <w:noProof/>
                <w:sz w:val="18"/>
              </w:rPr>
              <w:t>ποσότητα</w:t>
            </w:r>
          </w:p>
        </w:tc>
        <w:tc>
          <w:tcPr>
            <w:tcW w:w="671" w:type="dxa"/>
            <w:hideMark/>
          </w:tcPr>
          <w:p>
            <w:pPr>
              <w:rPr>
                <w:noProof/>
                <w:sz w:val="18"/>
              </w:rPr>
            </w:pPr>
            <w:r>
              <w:rPr>
                <w:noProof/>
                <w:sz w:val="18"/>
              </w:rPr>
              <w:t>κόστος ανά μονάδα</w:t>
            </w:r>
          </w:p>
        </w:tc>
        <w:tc>
          <w:tcPr>
            <w:tcW w:w="670" w:type="dxa"/>
            <w:hideMark/>
          </w:tcPr>
          <w:p>
            <w:pPr>
              <w:rPr>
                <w:noProof/>
                <w:sz w:val="18"/>
              </w:rPr>
            </w:pPr>
            <w:r>
              <w:rPr>
                <w:noProof/>
                <w:sz w:val="18"/>
              </w:rPr>
              <w:t>σύνολο</w:t>
            </w:r>
          </w:p>
        </w:tc>
        <w:tc>
          <w:tcPr>
            <w:tcW w:w="912" w:type="dxa"/>
            <w:hideMark/>
          </w:tcPr>
          <w:p>
            <w:pPr>
              <w:rPr>
                <w:b/>
                <w:bCs/>
                <w:noProof/>
                <w:sz w:val="18"/>
              </w:rPr>
            </w:pPr>
            <w:r>
              <w:rPr>
                <w:b/>
                <w:bCs/>
                <w:noProof/>
                <w:sz w:val="18"/>
              </w:rPr>
              <w:t xml:space="preserve"> </w:t>
            </w:r>
          </w:p>
        </w:tc>
      </w:tr>
      <w:tr>
        <w:trPr>
          <w:trHeight w:val="900"/>
        </w:trPr>
        <w:tc>
          <w:tcPr>
            <w:tcW w:w="1425" w:type="dxa"/>
            <w:hideMark/>
          </w:tcPr>
          <w:p>
            <w:pPr>
              <w:rPr>
                <w:noProof/>
                <w:sz w:val="18"/>
              </w:rPr>
            </w:pPr>
            <w:r>
              <w:rPr>
                <w:noProof/>
                <w:sz w:val="18"/>
              </w:rPr>
              <w:t>Έξοδα αποστολών και παράστασης</w:t>
            </w:r>
          </w:p>
        </w:tc>
        <w:tc>
          <w:tcPr>
            <w:tcW w:w="1998" w:type="dxa"/>
            <w:hideMark/>
          </w:tcPr>
          <w:p>
            <w:pPr>
              <w:rPr>
                <w:noProof/>
                <w:sz w:val="18"/>
              </w:rPr>
            </w:pPr>
            <w:r>
              <w:rPr>
                <w:noProof/>
                <w:sz w:val="18"/>
              </w:rPr>
              <w:t>Έξοδα αποστολών και παράστασης (για επιθεωρήσεις)</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 xml:space="preserve"> </w:t>
            </w:r>
          </w:p>
        </w:tc>
        <w:tc>
          <w:tcPr>
            <w:tcW w:w="668" w:type="dxa"/>
            <w:hideMark/>
          </w:tcPr>
          <w:p>
            <w:pPr>
              <w:rPr>
                <w:noProof/>
                <w:sz w:val="18"/>
              </w:rPr>
            </w:pPr>
            <w:r>
              <w:rPr>
                <w:noProof/>
                <w:sz w:val="18"/>
              </w:rPr>
              <w:t>0</w:t>
            </w:r>
          </w:p>
        </w:tc>
        <w:tc>
          <w:tcPr>
            <w:tcW w:w="750" w:type="dxa"/>
            <w:hideMark/>
          </w:tcPr>
          <w:p>
            <w:pPr>
              <w:rPr>
                <w:noProof/>
                <w:sz w:val="18"/>
              </w:rPr>
            </w:pPr>
            <w:r>
              <w:rPr>
                <w:noProof/>
                <w:sz w:val="18"/>
              </w:rPr>
              <w:t>10</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0,05</w:t>
            </w:r>
          </w:p>
        </w:tc>
        <w:tc>
          <w:tcPr>
            <w:tcW w:w="750" w:type="dxa"/>
            <w:hideMark/>
          </w:tcPr>
          <w:p>
            <w:pPr>
              <w:rPr>
                <w:noProof/>
                <w:sz w:val="18"/>
              </w:rPr>
            </w:pPr>
            <w:r>
              <w:rPr>
                <w:noProof/>
                <w:sz w:val="18"/>
              </w:rPr>
              <w:t>15</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0,075</w:t>
            </w:r>
          </w:p>
        </w:tc>
        <w:tc>
          <w:tcPr>
            <w:tcW w:w="750" w:type="dxa"/>
            <w:hideMark/>
          </w:tcPr>
          <w:p>
            <w:pPr>
              <w:rPr>
                <w:noProof/>
                <w:sz w:val="18"/>
              </w:rPr>
            </w:pPr>
            <w:r>
              <w:rPr>
                <w:noProof/>
                <w:sz w:val="18"/>
              </w:rPr>
              <w:t>20</w:t>
            </w:r>
          </w:p>
        </w:tc>
        <w:tc>
          <w:tcPr>
            <w:tcW w:w="671" w:type="dxa"/>
            <w:hideMark/>
          </w:tcPr>
          <w:p>
            <w:pPr>
              <w:rPr>
                <w:noProof/>
                <w:sz w:val="18"/>
              </w:rPr>
            </w:pPr>
            <w:r>
              <w:rPr>
                <w:noProof/>
                <w:sz w:val="18"/>
              </w:rPr>
              <w:t>0,005</w:t>
            </w:r>
          </w:p>
        </w:tc>
        <w:tc>
          <w:tcPr>
            <w:tcW w:w="670" w:type="dxa"/>
            <w:hideMark/>
          </w:tcPr>
          <w:p>
            <w:pPr>
              <w:rPr>
                <w:noProof/>
                <w:sz w:val="18"/>
              </w:rPr>
            </w:pPr>
            <w:r>
              <w:rPr>
                <w:noProof/>
                <w:sz w:val="18"/>
              </w:rPr>
              <w:t>0,1</w:t>
            </w:r>
          </w:p>
        </w:tc>
        <w:tc>
          <w:tcPr>
            <w:tcW w:w="750" w:type="dxa"/>
            <w:hideMark/>
          </w:tcPr>
          <w:p>
            <w:pPr>
              <w:rPr>
                <w:noProof/>
                <w:sz w:val="18"/>
              </w:rPr>
            </w:pPr>
            <w:r>
              <w:rPr>
                <w:noProof/>
                <w:sz w:val="18"/>
              </w:rPr>
              <w:t>25</w:t>
            </w:r>
          </w:p>
        </w:tc>
        <w:tc>
          <w:tcPr>
            <w:tcW w:w="671" w:type="dxa"/>
            <w:hideMark/>
          </w:tcPr>
          <w:p>
            <w:pPr>
              <w:rPr>
                <w:noProof/>
                <w:sz w:val="18"/>
              </w:rPr>
            </w:pPr>
            <w:r>
              <w:rPr>
                <w:noProof/>
                <w:sz w:val="18"/>
              </w:rPr>
              <w:t>0,005</w:t>
            </w:r>
          </w:p>
        </w:tc>
        <w:tc>
          <w:tcPr>
            <w:tcW w:w="670" w:type="dxa"/>
            <w:hideMark/>
          </w:tcPr>
          <w:p>
            <w:pPr>
              <w:rPr>
                <w:noProof/>
                <w:sz w:val="18"/>
              </w:rPr>
            </w:pPr>
            <w:r>
              <w:rPr>
                <w:noProof/>
                <w:sz w:val="18"/>
              </w:rPr>
              <w:t>0,125</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noProof/>
                <w:sz w:val="18"/>
              </w:rPr>
            </w:pPr>
            <w:r>
              <w:rPr>
                <w:noProof/>
                <w:sz w:val="18"/>
              </w:rPr>
              <w:t xml:space="preserve"> </w:t>
            </w:r>
          </w:p>
        </w:tc>
        <w:tc>
          <w:tcPr>
            <w:tcW w:w="1998" w:type="dxa"/>
            <w:hideMark/>
          </w:tcPr>
          <w:p>
            <w:pPr>
              <w:rPr>
                <w:b/>
                <w:noProof/>
                <w:sz w:val="18"/>
              </w:rPr>
            </w:pPr>
            <w:r>
              <w:rPr>
                <w:b/>
                <w:noProof/>
                <w:sz w:val="18"/>
              </w:rPr>
              <w:t>ΜΕΡΙΚΟ ΣΥΝΟΛΟ</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 xml:space="preserve"> </w:t>
            </w:r>
          </w:p>
        </w:tc>
        <w:tc>
          <w:tcPr>
            <w:tcW w:w="668" w:type="dxa"/>
            <w:hideMark/>
          </w:tcPr>
          <w:p>
            <w:pPr>
              <w:rPr>
                <w:b/>
                <w:bCs/>
                <w:noProof/>
                <w:sz w:val="18"/>
              </w:rPr>
            </w:pPr>
            <w:r>
              <w:rPr>
                <w:b/>
                <w:bCs/>
                <w:noProof/>
                <w:sz w:val="18"/>
              </w:rPr>
              <w:t>0</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0,05</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0,075</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0,1</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0,125</w:t>
            </w:r>
          </w:p>
        </w:tc>
        <w:tc>
          <w:tcPr>
            <w:tcW w:w="912" w:type="dxa"/>
            <w:hideMark/>
          </w:tcPr>
          <w:p>
            <w:pPr>
              <w:rPr>
                <w:b/>
                <w:bCs/>
                <w:noProof/>
                <w:sz w:val="18"/>
              </w:rPr>
            </w:pPr>
            <w:r>
              <w:rPr>
                <w:b/>
                <w:bCs/>
                <w:noProof/>
                <w:sz w:val="18"/>
              </w:rPr>
              <w:t>0,35</w:t>
            </w:r>
          </w:p>
        </w:tc>
      </w:tr>
      <w:tr>
        <w:trPr>
          <w:trHeight w:val="600"/>
        </w:trPr>
        <w:tc>
          <w:tcPr>
            <w:tcW w:w="1425" w:type="dxa"/>
            <w:hideMark/>
          </w:tcPr>
          <w:p>
            <w:pPr>
              <w:rPr>
                <w:noProof/>
                <w:sz w:val="18"/>
              </w:rPr>
            </w:pPr>
            <w:r>
              <w:rPr>
                <w:noProof/>
                <w:sz w:val="18"/>
              </w:rPr>
              <w:t>Έξοδα διασκέψεων και συνεδριάσεων</w:t>
            </w:r>
          </w:p>
        </w:tc>
        <w:tc>
          <w:tcPr>
            <w:tcW w:w="1998" w:type="dxa"/>
            <w:hideMark/>
          </w:tcPr>
          <w:p>
            <w:pPr>
              <w:rPr>
                <w:noProof/>
                <w:sz w:val="18"/>
              </w:rPr>
            </w:pPr>
            <w:r>
              <w:rPr>
                <w:noProof/>
                <w:sz w:val="18"/>
              </w:rPr>
              <w:t>Συνεδριάσεις του συμβουλίου</w:t>
            </w:r>
          </w:p>
        </w:tc>
        <w:tc>
          <w:tcPr>
            <w:tcW w:w="750" w:type="dxa"/>
            <w:hideMark/>
          </w:tcPr>
          <w:p>
            <w:pPr>
              <w:rPr>
                <w:noProof/>
                <w:sz w:val="18"/>
              </w:rPr>
            </w:pPr>
            <w:r>
              <w:rPr>
                <w:noProof/>
                <w:sz w:val="18"/>
              </w:rPr>
              <w:t>8</w:t>
            </w:r>
          </w:p>
        </w:tc>
        <w:tc>
          <w:tcPr>
            <w:tcW w:w="671" w:type="dxa"/>
            <w:hideMark/>
          </w:tcPr>
          <w:p>
            <w:pPr>
              <w:rPr>
                <w:noProof/>
                <w:sz w:val="18"/>
              </w:rPr>
            </w:pPr>
            <w:r>
              <w:rPr>
                <w:noProof/>
                <w:sz w:val="18"/>
              </w:rPr>
              <w:t>0,01</w:t>
            </w:r>
          </w:p>
        </w:tc>
        <w:tc>
          <w:tcPr>
            <w:tcW w:w="668" w:type="dxa"/>
            <w:hideMark/>
          </w:tcPr>
          <w:p>
            <w:pPr>
              <w:rPr>
                <w:noProof/>
                <w:sz w:val="18"/>
              </w:rPr>
            </w:pPr>
            <w:r>
              <w:rPr>
                <w:noProof/>
                <w:sz w:val="18"/>
              </w:rPr>
              <w:t>0,08</w:t>
            </w:r>
          </w:p>
        </w:tc>
        <w:tc>
          <w:tcPr>
            <w:tcW w:w="750" w:type="dxa"/>
            <w:hideMark/>
          </w:tcPr>
          <w:p>
            <w:pPr>
              <w:rPr>
                <w:noProof/>
                <w:sz w:val="18"/>
              </w:rPr>
            </w:pPr>
            <w:r>
              <w:rPr>
                <w:noProof/>
                <w:sz w:val="18"/>
              </w:rPr>
              <w:t>12</w:t>
            </w:r>
          </w:p>
        </w:tc>
        <w:tc>
          <w:tcPr>
            <w:tcW w:w="671" w:type="dxa"/>
            <w:hideMark/>
          </w:tcPr>
          <w:p>
            <w:pPr>
              <w:rPr>
                <w:noProof/>
                <w:sz w:val="18"/>
              </w:rPr>
            </w:pPr>
            <w:r>
              <w:rPr>
                <w:noProof/>
                <w:sz w:val="18"/>
              </w:rPr>
              <w:t>0,01</w:t>
            </w:r>
          </w:p>
        </w:tc>
        <w:tc>
          <w:tcPr>
            <w:tcW w:w="670" w:type="dxa"/>
            <w:hideMark/>
          </w:tcPr>
          <w:p>
            <w:pPr>
              <w:rPr>
                <w:noProof/>
                <w:sz w:val="18"/>
              </w:rPr>
            </w:pPr>
            <w:r>
              <w:rPr>
                <w:noProof/>
                <w:sz w:val="18"/>
              </w:rPr>
              <w:t>0,12</w:t>
            </w:r>
          </w:p>
        </w:tc>
        <w:tc>
          <w:tcPr>
            <w:tcW w:w="750" w:type="dxa"/>
            <w:hideMark/>
          </w:tcPr>
          <w:p>
            <w:pPr>
              <w:rPr>
                <w:noProof/>
                <w:sz w:val="18"/>
              </w:rPr>
            </w:pPr>
            <w:r>
              <w:rPr>
                <w:noProof/>
                <w:sz w:val="18"/>
              </w:rPr>
              <w:t>12</w:t>
            </w:r>
          </w:p>
        </w:tc>
        <w:tc>
          <w:tcPr>
            <w:tcW w:w="671" w:type="dxa"/>
            <w:hideMark/>
          </w:tcPr>
          <w:p>
            <w:pPr>
              <w:rPr>
                <w:noProof/>
                <w:sz w:val="18"/>
              </w:rPr>
            </w:pPr>
            <w:r>
              <w:rPr>
                <w:noProof/>
                <w:sz w:val="18"/>
              </w:rPr>
              <w:t>0,01</w:t>
            </w:r>
          </w:p>
        </w:tc>
        <w:tc>
          <w:tcPr>
            <w:tcW w:w="670" w:type="dxa"/>
            <w:hideMark/>
          </w:tcPr>
          <w:p>
            <w:pPr>
              <w:rPr>
                <w:noProof/>
                <w:sz w:val="18"/>
              </w:rPr>
            </w:pPr>
            <w:r>
              <w:rPr>
                <w:noProof/>
                <w:sz w:val="18"/>
              </w:rPr>
              <w:t>0,12</w:t>
            </w:r>
          </w:p>
        </w:tc>
        <w:tc>
          <w:tcPr>
            <w:tcW w:w="750" w:type="dxa"/>
            <w:hideMark/>
          </w:tcPr>
          <w:p>
            <w:pPr>
              <w:rPr>
                <w:noProof/>
                <w:sz w:val="18"/>
              </w:rPr>
            </w:pPr>
            <w:r>
              <w:rPr>
                <w:noProof/>
                <w:sz w:val="18"/>
              </w:rPr>
              <w:t>12</w:t>
            </w:r>
          </w:p>
        </w:tc>
        <w:tc>
          <w:tcPr>
            <w:tcW w:w="671" w:type="dxa"/>
            <w:hideMark/>
          </w:tcPr>
          <w:p>
            <w:pPr>
              <w:rPr>
                <w:noProof/>
                <w:sz w:val="18"/>
              </w:rPr>
            </w:pPr>
            <w:r>
              <w:rPr>
                <w:noProof/>
                <w:sz w:val="18"/>
              </w:rPr>
              <w:t>0,01</w:t>
            </w:r>
          </w:p>
        </w:tc>
        <w:tc>
          <w:tcPr>
            <w:tcW w:w="670" w:type="dxa"/>
            <w:hideMark/>
          </w:tcPr>
          <w:p>
            <w:pPr>
              <w:rPr>
                <w:noProof/>
                <w:sz w:val="18"/>
              </w:rPr>
            </w:pPr>
            <w:r>
              <w:rPr>
                <w:noProof/>
                <w:sz w:val="18"/>
              </w:rPr>
              <w:t>0,12</w:t>
            </w:r>
          </w:p>
        </w:tc>
        <w:tc>
          <w:tcPr>
            <w:tcW w:w="750" w:type="dxa"/>
            <w:hideMark/>
          </w:tcPr>
          <w:p>
            <w:pPr>
              <w:rPr>
                <w:noProof/>
                <w:sz w:val="18"/>
              </w:rPr>
            </w:pPr>
            <w:r>
              <w:rPr>
                <w:noProof/>
                <w:sz w:val="18"/>
              </w:rPr>
              <w:t>12</w:t>
            </w:r>
          </w:p>
        </w:tc>
        <w:tc>
          <w:tcPr>
            <w:tcW w:w="671" w:type="dxa"/>
            <w:hideMark/>
          </w:tcPr>
          <w:p>
            <w:pPr>
              <w:rPr>
                <w:noProof/>
                <w:sz w:val="18"/>
              </w:rPr>
            </w:pPr>
            <w:r>
              <w:rPr>
                <w:noProof/>
                <w:sz w:val="18"/>
              </w:rPr>
              <w:t>0,01</w:t>
            </w:r>
          </w:p>
        </w:tc>
        <w:tc>
          <w:tcPr>
            <w:tcW w:w="670" w:type="dxa"/>
            <w:hideMark/>
          </w:tcPr>
          <w:p>
            <w:pPr>
              <w:rPr>
                <w:noProof/>
                <w:sz w:val="18"/>
              </w:rPr>
            </w:pPr>
            <w:r>
              <w:rPr>
                <w:noProof/>
                <w:sz w:val="18"/>
              </w:rPr>
              <w:t>0,12</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Άλλες συνεδριάσεις εμπειρογνωμόνων</w:t>
            </w:r>
          </w:p>
        </w:tc>
        <w:tc>
          <w:tcPr>
            <w:tcW w:w="750" w:type="dxa"/>
            <w:hideMark/>
          </w:tcPr>
          <w:p>
            <w:pPr>
              <w:rPr>
                <w:noProof/>
                <w:sz w:val="18"/>
              </w:rPr>
            </w:pPr>
            <w:r>
              <w:rPr>
                <w:noProof/>
                <w:sz w:val="18"/>
              </w:rPr>
              <w:t>4</w:t>
            </w:r>
          </w:p>
        </w:tc>
        <w:tc>
          <w:tcPr>
            <w:tcW w:w="671" w:type="dxa"/>
            <w:hideMark/>
          </w:tcPr>
          <w:p>
            <w:pPr>
              <w:rPr>
                <w:noProof/>
                <w:sz w:val="18"/>
              </w:rPr>
            </w:pPr>
            <w:r>
              <w:rPr>
                <w:noProof/>
                <w:sz w:val="18"/>
              </w:rPr>
              <w:t>0,005</w:t>
            </w:r>
          </w:p>
        </w:tc>
        <w:tc>
          <w:tcPr>
            <w:tcW w:w="668" w:type="dxa"/>
            <w:hideMark/>
          </w:tcPr>
          <w:p>
            <w:pPr>
              <w:rPr>
                <w:noProof/>
                <w:sz w:val="18"/>
              </w:rPr>
            </w:pPr>
            <w:r>
              <w:rPr>
                <w:noProof/>
                <w:sz w:val="18"/>
              </w:rPr>
              <w:t>0,02</w:t>
            </w:r>
          </w:p>
        </w:tc>
        <w:tc>
          <w:tcPr>
            <w:tcW w:w="750" w:type="dxa"/>
            <w:hideMark/>
          </w:tcPr>
          <w:p>
            <w:pPr>
              <w:rPr>
                <w:noProof/>
                <w:sz w:val="18"/>
              </w:rPr>
            </w:pPr>
            <w:r>
              <w:rPr>
                <w:noProof/>
                <w:sz w:val="18"/>
              </w:rPr>
              <w:t>4</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0,02</w:t>
            </w:r>
          </w:p>
        </w:tc>
        <w:tc>
          <w:tcPr>
            <w:tcW w:w="750" w:type="dxa"/>
            <w:hideMark/>
          </w:tcPr>
          <w:p>
            <w:pPr>
              <w:rPr>
                <w:noProof/>
                <w:sz w:val="18"/>
              </w:rPr>
            </w:pPr>
            <w:r>
              <w:rPr>
                <w:noProof/>
                <w:sz w:val="18"/>
              </w:rPr>
              <w:t>4</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0,02</w:t>
            </w:r>
          </w:p>
        </w:tc>
        <w:tc>
          <w:tcPr>
            <w:tcW w:w="750" w:type="dxa"/>
            <w:hideMark/>
          </w:tcPr>
          <w:p>
            <w:pPr>
              <w:rPr>
                <w:noProof/>
                <w:sz w:val="18"/>
              </w:rPr>
            </w:pPr>
            <w:r>
              <w:rPr>
                <w:noProof/>
                <w:sz w:val="18"/>
              </w:rPr>
              <w:t>4</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0,02</w:t>
            </w:r>
          </w:p>
        </w:tc>
        <w:tc>
          <w:tcPr>
            <w:tcW w:w="750" w:type="dxa"/>
            <w:hideMark/>
          </w:tcPr>
          <w:p>
            <w:pPr>
              <w:rPr>
                <w:noProof/>
                <w:sz w:val="18"/>
              </w:rPr>
            </w:pPr>
            <w:r>
              <w:rPr>
                <w:noProof/>
                <w:sz w:val="18"/>
              </w:rPr>
              <w:t>4</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0,02</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noProof/>
                <w:sz w:val="18"/>
              </w:rPr>
            </w:pPr>
            <w:r>
              <w:rPr>
                <w:noProof/>
                <w:sz w:val="18"/>
              </w:rPr>
              <w:t xml:space="preserve"> </w:t>
            </w:r>
          </w:p>
        </w:tc>
        <w:tc>
          <w:tcPr>
            <w:tcW w:w="1998" w:type="dxa"/>
            <w:hideMark/>
          </w:tcPr>
          <w:p>
            <w:pPr>
              <w:rPr>
                <w:b/>
                <w:noProof/>
                <w:sz w:val="18"/>
              </w:rPr>
            </w:pPr>
            <w:r>
              <w:rPr>
                <w:b/>
                <w:noProof/>
                <w:sz w:val="18"/>
              </w:rPr>
              <w:t>ΜΕΡΙΚΟ ΣΥΝΟΛΟ</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 xml:space="preserve"> </w:t>
            </w:r>
          </w:p>
        </w:tc>
        <w:tc>
          <w:tcPr>
            <w:tcW w:w="668" w:type="dxa"/>
            <w:hideMark/>
          </w:tcPr>
          <w:p>
            <w:pPr>
              <w:rPr>
                <w:b/>
                <w:bCs/>
                <w:noProof/>
                <w:sz w:val="18"/>
              </w:rPr>
            </w:pPr>
            <w:r>
              <w:rPr>
                <w:b/>
                <w:bCs/>
                <w:noProof/>
                <w:sz w:val="18"/>
              </w:rPr>
              <w:t>0,1</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0,14</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0,14</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0,14</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0,14</w:t>
            </w:r>
          </w:p>
        </w:tc>
        <w:tc>
          <w:tcPr>
            <w:tcW w:w="912" w:type="dxa"/>
            <w:hideMark/>
          </w:tcPr>
          <w:p>
            <w:pPr>
              <w:rPr>
                <w:b/>
                <w:bCs/>
                <w:noProof/>
                <w:sz w:val="18"/>
              </w:rPr>
            </w:pPr>
            <w:r>
              <w:rPr>
                <w:b/>
                <w:bCs/>
                <w:noProof/>
                <w:sz w:val="18"/>
              </w:rPr>
              <w:t>0,66</w:t>
            </w:r>
          </w:p>
        </w:tc>
      </w:tr>
      <w:tr>
        <w:trPr>
          <w:trHeight w:val="600"/>
        </w:trPr>
        <w:tc>
          <w:tcPr>
            <w:tcW w:w="1425" w:type="dxa"/>
            <w:hideMark/>
          </w:tcPr>
          <w:p>
            <w:pPr>
              <w:rPr>
                <w:noProof/>
                <w:sz w:val="18"/>
              </w:rPr>
            </w:pPr>
            <w:r>
              <w:rPr>
                <w:noProof/>
                <w:sz w:val="18"/>
              </w:rPr>
              <w:t>Λειτουργικές δαπάνες σε σχέση με τα αποτελέσματα</w:t>
            </w:r>
          </w:p>
        </w:tc>
        <w:tc>
          <w:tcPr>
            <w:tcW w:w="1998" w:type="dxa"/>
            <w:hideMark/>
          </w:tcPr>
          <w:p>
            <w:pPr>
              <w:rPr>
                <w:noProof/>
                <w:sz w:val="18"/>
              </w:rPr>
            </w:pPr>
            <w:r>
              <w:rPr>
                <w:noProof/>
                <w:sz w:val="18"/>
              </w:rPr>
              <w:t>Γνωμοδοτήσεις</w:t>
            </w:r>
          </w:p>
        </w:tc>
        <w:tc>
          <w:tcPr>
            <w:tcW w:w="750" w:type="dxa"/>
            <w:hideMark/>
          </w:tcPr>
          <w:p>
            <w:pPr>
              <w:rPr>
                <w:noProof/>
                <w:sz w:val="18"/>
              </w:rPr>
            </w:pPr>
            <w:r>
              <w:rPr>
                <w:noProof/>
                <w:sz w:val="18"/>
              </w:rPr>
              <w:t>8</w:t>
            </w:r>
          </w:p>
        </w:tc>
        <w:tc>
          <w:tcPr>
            <w:tcW w:w="671" w:type="dxa"/>
            <w:hideMark/>
          </w:tcPr>
          <w:p>
            <w:pPr>
              <w:rPr>
                <w:noProof/>
                <w:sz w:val="18"/>
              </w:rPr>
            </w:pPr>
            <w:r>
              <w:rPr>
                <w:noProof/>
                <w:sz w:val="18"/>
              </w:rPr>
              <w:t>0,005</w:t>
            </w:r>
          </w:p>
        </w:tc>
        <w:tc>
          <w:tcPr>
            <w:tcW w:w="668" w:type="dxa"/>
            <w:hideMark/>
          </w:tcPr>
          <w:p>
            <w:pPr>
              <w:rPr>
                <w:noProof/>
                <w:sz w:val="18"/>
              </w:rPr>
            </w:pPr>
            <w:r>
              <w:rPr>
                <w:noProof/>
                <w:sz w:val="18"/>
              </w:rPr>
              <w:t>0,04</w:t>
            </w:r>
          </w:p>
        </w:tc>
        <w:tc>
          <w:tcPr>
            <w:tcW w:w="750" w:type="dxa"/>
            <w:hideMark/>
          </w:tcPr>
          <w:p>
            <w:pPr>
              <w:rPr>
                <w:noProof/>
                <w:sz w:val="18"/>
              </w:rPr>
            </w:pPr>
            <w:r>
              <w:rPr>
                <w:noProof/>
                <w:sz w:val="18"/>
              </w:rPr>
              <w:t>12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0,06</w:t>
            </w:r>
          </w:p>
        </w:tc>
        <w:tc>
          <w:tcPr>
            <w:tcW w:w="750" w:type="dxa"/>
            <w:hideMark/>
          </w:tcPr>
          <w:p>
            <w:pPr>
              <w:rPr>
                <w:noProof/>
                <w:sz w:val="18"/>
              </w:rPr>
            </w:pPr>
            <w:r>
              <w:rPr>
                <w:noProof/>
                <w:sz w:val="18"/>
              </w:rPr>
              <w:t>12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0,06</w:t>
            </w:r>
          </w:p>
        </w:tc>
        <w:tc>
          <w:tcPr>
            <w:tcW w:w="750" w:type="dxa"/>
            <w:hideMark/>
          </w:tcPr>
          <w:p>
            <w:pPr>
              <w:rPr>
                <w:noProof/>
                <w:sz w:val="18"/>
              </w:rPr>
            </w:pPr>
            <w:r>
              <w:rPr>
                <w:noProof/>
                <w:sz w:val="18"/>
              </w:rPr>
              <w:t>12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0,06</w:t>
            </w:r>
          </w:p>
        </w:tc>
        <w:tc>
          <w:tcPr>
            <w:tcW w:w="750" w:type="dxa"/>
            <w:hideMark/>
          </w:tcPr>
          <w:p>
            <w:pPr>
              <w:rPr>
                <w:noProof/>
                <w:sz w:val="18"/>
              </w:rPr>
            </w:pPr>
            <w:r>
              <w:rPr>
                <w:noProof/>
                <w:sz w:val="18"/>
              </w:rPr>
              <w:t>12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0,06</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noProof/>
                <w:sz w:val="18"/>
              </w:rPr>
            </w:pPr>
            <w:r>
              <w:rPr>
                <w:noProof/>
                <w:sz w:val="18"/>
              </w:rPr>
              <w:t xml:space="preserve"> </w:t>
            </w:r>
          </w:p>
        </w:tc>
        <w:tc>
          <w:tcPr>
            <w:tcW w:w="1998" w:type="dxa"/>
            <w:hideMark/>
          </w:tcPr>
          <w:p>
            <w:pPr>
              <w:rPr>
                <w:b/>
                <w:bCs/>
                <w:noProof/>
                <w:sz w:val="18"/>
              </w:rPr>
            </w:pPr>
            <w:r>
              <w:rPr>
                <w:b/>
                <w:bCs/>
                <w:noProof/>
                <w:sz w:val="18"/>
              </w:rPr>
              <w:t>ΜΕΡΙΚΟ ΣΥΝΟΛΟ</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 xml:space="preserve"> </w:t>
            </w:r>
          </w:p>
        </w:tc>
        <w:tc>
          <w:tcPr>
            <w:tcW w:w="668" w:type="dxa"/>
            <w:hideMark/>
          </w:tcPr>
          <w:p>
            <w:pPr>
              <w:rPr>
                <w:b/>
                <w:bCs/>
                <w:noProof/>
                <w:sz w:val="18"/>
              </w:rPr>
            </w:pPr>
            <w:r>
              <w:rPr>
                <w:b/>
                <w:bCs/>
                <w:noProof/>
                <w:sz w:val="18"/>
              </w:rPr>
              <w:t>0,04</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0,06</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0,06</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0,06</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0,06</w:t>
            </w:r>
          </w:p>
        </w:tc>
        <w:tc>
          <w:tcPr>
            <w:tcW w:w="912" w:type="dxa"/>
            <w:hideMark/>
          </w:tcPr>
          <w:p>
            <w:pPr>
              <w:rPr>
                <w:b/>
                <w:bCs/>
                <w:noProof/>
                <w:sz w:val="18"/>
              </w:rPr>
            </w:pPr>
            <w:r>
              <w:rPr>
                <w:b/>
                <w:bCs/>
                <w:noProof/>
                <w:sz w:val="18"/>
              </w:rPr>
              <w:t>0,28</w:t>
            </w:r>
          </w:p>
        </w:tc>
      </w:tr>
      <w:tr>
        <w:trPr>
          <w:trHeight w:val="600"/>
        </w:trPr>
        <w:tc>
          <w:tcPr>
            <w:tcW w:w="1425" w:type="dxa"/>
            <w:hideMark/>
          </w:tcPr>
          <w:p>
            <w:pPr>
              <w:rPr>
                <w:noProof/>
                <w:sz w:val="18"/>
              </w:rPr>
            </w:pPr>
            <w:r>
              <w:rPr>
                <w:noProof/>
                <w:sz w:val="18"/>
              </w:rPr>
              <w:t>Μελέτες και διαβουλεύσεις</w:t>
            </w:r>
          </w:p>
        </w:tc>
        <w:tc>
          <w:tcPr>
            <w:tcW w:w="1998" w:type="dxa"/>
            <w:hideMark/>
          </w:tcPr>
          <w:p>
            <w:pPr>
              <w:rPr>
                <w:noProof/>
                <w:sz w:val="18"/>
              </w:rPr>
            </w:pPr>
            <w:r>
              <w:rPr>
                <w:noProof/>
                <w:sz w:val="18"/>
              </w:rPr>
              <w:t>Μελέτες πλαισίου εκτίμησης κινδύνων</w:t>
            </w:r>
          </w:p>
        </w:tc>
        <w:tc>
          <w:tcPr>
            <w:tcW w:w="750" w:type="dxa"/>
            <w:hideMark/>
          </w:tcPr>
          <w:p>
            <w:pPr>
              <w:rPr>
                <w:noProof/>
                <w:sz w:val="18"/>
              </w:rPr>
            </w:pPr>
            <w:r>
              <w:rPr>
                <w:noProof/>
                <w:sz w:val="18"/>
              </w:rPr>
              <w:t>1</w:t>
            </w:r>
          </w:p>
        </w:tc>
        <w:tc>
          <w:tcPr>
            <w:tcW w:w="671" w:type="dxa"/>
            <w:hideMark/>
          </w:tcPr>
          <w:p>
            <w:pPr>
              <w:rPr>
                <w:noProof/>
                <w:sz w:val="18"/>
              </w:rPr>
            </w:pPr>
            <w:r>
              <w:rPr>
                <w:noProof/>
                <w:sz w:val="18"/>
              </w:rPr>
              <w:t>1</w:t>
            </w:r>
          </w:p>
        </w:tc>
        <w:tc>
          <w:tcPr>
            <w:tcW w:w="668" w:type="dxa"/>
            <w:hideMark/>
          </w:tcPr>
          <w:p>
            <w:pPr>
              <w:rPr>
                <w:noProof/>
                <w:sz w:val="18"/>
              </w:rPr>
            </w:pPr>
            <w:r>
              <w:rPr>
                <w:noProof/>
                <w:sz w:val="18"/>
              </w:rPr>
              <w:t>1</w:t>
            </w:r>
          </w:p>
        </w:tc>
        <w:tc>
          <w:tcPr>
            <w:tcW w:w="750" w:type="dxa"/>
            <w:hideMark/>
          </w:tcPr>
          <w:p>
            <w:pPr>
              <w:rPr>
                <w:noProof/>
                <w:sz w:val="18"/>
              </w:rPr>
            </w:pPr>
            <w:r>
              <w:rPr>
                <w:noProof/>
                <w:sz w:val="18"/>
              </w:rPr>
              <w:t>2</w:t>
            </w:r>
          </w:p>
        </w:tc>
        <w:tc>
          <w:tcPr>
            <w:tcW w:w="671" w:type="dxa"/>
            <w:hideMark/>
          </w:tcPr>
          <w:p>
            <w:pPr>
              <w:rPr>
                <w:noProof/>
                <w:sz w:val="18"/>
              </w:rPr>
            </w:pPr>
            <w:r>
              <w:rPr>
                <w:noProof/>
                <w:sz w:val="18"/>
              </w:rPr>
              <w:t>1</w:t>
            </w:r>
          </w:p>
        </w:tc>
        <w:tc>
          <w:tcPr>
            <w:tcW w:w="670" w:type="dxa"/>
            <w:hideMark/>
          </w:tcPr>
          <w:p>
            <w:pPr>
              <w:rPr>
                <w:noProof/>
                <w:sz w:val="18"/>
              </w:rPr>
            </w:pPr>
            <w:r>
              <w:rPr>
                <w:noProof/>
                <w:sz w:val="18"/>
              </w:rPr>
              <w:t>2</w:t>
            </w:r>
          </w:p>
        </w:tc>
        <w:tc>
          <w:tcPr>
            <w:tcW w:w="750" w:type="dxa"/>
            <w:hideMark/>
          </w:tcPr>
          <w:p>
            <w:pPr>
              <w:rPr>
                <w:noProof/>
                <w:sz w:val="18"/>
              </w:rPr>
            </w:pPr>
            <w:r>
              <w:rPr>
                <w:noProof/>
                <w:sz w:val="18"/>
              </w:rPr>
              <w:t>3</w:t>
            </w:r>
          </w:p>
        </w:tc>
        <w:tc>
          <w:tcPr>
            <w:tcW w:w="671" w:type="dxa"/>
            <w:hideMark/>
          </w:tcPr>
          <w:p>
            <w:pPr>
              <w:rPr>
                <w:noProof/>
                <w:sz w:val="18"/>
              </w:rPr>
            </w:pPr>
            <w:r>
              <w:rPr>
                <w:noProof/>
                <w:sz w:val="18"/>
              </w:rPr>
              <w:t>1</w:t>
            </w:r>
          </w:p>
        </w:tc>
        <w:tc>
          <w:tcPr>
            <w:tcW w:w="670" w:type="dxa"/>
            <w:hideMark/>
          </w:tcPr>
          <w:p>
            <w:pPr>
              <w:rPr>
                <w:noProof/>
                <w:sz w:val="18"/>
              </w:rPr>
            </w:pPr>
            <w:r>
              <w:rPr>
                <w:noProof/>
                <w:sz w:val="18"/>
              </w:rPr>
              <w:t>3</w:t>
            </w:r>
          </w:p>
        </w:tc>
        <w:tc>
          <w:tcPr>
            <w:tcW w:w="750" w:type="dxa"/>
            <w:hideMark/>
          </w:tcPr>
          <w:p>
            <w:pPr>
              <w:rPr>
                <w:noProof/>
                <w:sz w:val="18"/>
              </w:rPr>
            </w:pPr>
            <w:r>
              <w:rPr>
                <w:noProof/>
                <w:sz w:val="18"/>
              </w:rPr>
              <w:t>3</w:t>
            </w:r>
          </w:p>
        </w:tc>
        <w:tc>
          <w:tcPr>
            <w:tcW w:w="671" w:type="dxa"/>
            <w:hideMark/>
          </w:tcPr>
          <w:p>
            <w:pPr>
              <w:rPr>
                <w:noProof/>
                <w:sz w:val="18"/>
              </w:rPr>
            </w:pPr>
            <w:r>
              <w:rPr>
                <w:noProof/>
                <w:sz w:val="18"/>
              </w:rPr>
              <w:t>1</w:t>
            </w:r>
          </w:p>
        </w:tc>
        <w:tc>
          <w:tcPr>
            <w:tcW w:w="670" w:type="dxa"/>
            <w:hideMark/>
          </w:tcPr>
          <w:p>
            <w:pPr>
              <w:rPr>
                <w:noProof/>
                <w:sz w:val="18"/>
              </w:rPr>
            </w:pPr>
            <w:r>
              <w:rPr>
                <w:noProof/>
                <w:sz w:val="18"/>
              </w:rPr>
              <w:t>3</w:t>
            </w:r>
          </w:p>
        </w:tc>
        <w:tc>
          <w:tcPr>
            <w:tcW w:w="750" w:type="dxa"/>
            <w:hideMark/>
          </w:tcPr>
          <w:p>
            <w:pPr>
              <w:rPr>
                <w:noProof/>
                <w:sz w:val="18"/>
              </w:rPr>
            </w:pPr>
            <w:r>
              <w:rPr>
                <w:noProof/>
                <w:sz w:val="18"/>
              </w:rPr>
              <w:t>3</w:t>
            </w:r>
          </w:p>
        </w:tc>
        <w:tc>
          <w:tcPr>
            <w:tcW w:w="671" w:type="dxa"/>
            <w:hideMark/>
          </w:tcPr>
          <w:p>
            <w:pPr>
              <w:rPr>
                <w:noProof/>
                <w:sz w:val="18"/>
              </w:rPr>
            </w:pPr>
            <w:r>
              <w:rPr>
                <w:noProof/>
                <w:sz w:val="18"/>
              </w:rPr>
              <w:t>1</w:t>
            </w:r>
          </w:p>
        </w:tc>
        <w:tc>
          <w:tcPr>
            <w:tcW w:w="670" w:type="dxa"/>
            <w:hideMark/>
          </w:tcPr>
          <w:p>
            <w:pPr>
              <w:rPr>
                <w:noProof/>
                <w:sz w:val="18"/>
              </w:rPr>
            </w:pPr>
            <w:r>
              <w:rPr>
                <w:noProof/>
                <w:sz w:val="18"/>
              </w:rPr>
              <w:t>3</w:t>
            </w:r>
          </w:p>
        </w:tc>
        <w:tc>
          <w:tcPr>
            <w:tcW w:w="912" w:type="dxa"/>
            <w:hideMark/>
          </w:tcPr>
          <w:p>
            <w:pPr>
              <w:rPr>
                <w:b/>
                <w:bCs/>
                <w:noProof/>
                <w:sz w:val="18"/>
              </w:rPr>
            </w:pPr>
            <w:r>
              <w:rPr>
                <w:b/>
                <w:bCs/>
                <w:noProof/>
                <w:sz w:val="18"/>
              </w:rPr>
              <w:t xml:space="preserve"> </w:t>
            </w:r>
          </w:p>
        </w:tc>
      </w:tr>
      <w:tr>
        <w:trPr>
          <w:trHeight w:val="51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Τεχνικές μελέτες και αλγοριθμικά πλαίσια ελέγχου</w:t>
            </w:r>
          </w:p>
        </w:tc>
        <w:tc>
          <w:tcPr>
            <w:tcW w:w="750" w:type="dxa"/>
            <w:hideMark/>
          </w:tcPr>
          <w:p>
            <w:pPr>
              <w:rPr>
                <w:noProof/>
                <w:sz w:val="18"/>
              </w:rPr>
            </w:pPr>
            <w:r>
              <w:rPr>
                <w:noProof/>
                <w:sz w:val="18"/>
              </w:rPr>
              <w:t>3</w:t>
            </w:r>
          </w:p>
        </w:tc>
        <w:tc>
          <w:tcPr>
            <w:tcW w:w="671" w:type="dxa"/>
            <w:hideMark/>
          </w:tcPr>
          <w:p>
            <w:pPr>
              <w:rPr>
                <w:noProof/>
                <w:sz w:val="18"/>
              </w:rPr>
            </w:pPr>
            <w:r>
              <w:rPr>
                <w:noProof/>
                <w:sz w:val="18"/>
              </w:rPr>
              <w:t>0,3</w:t>
            </w:r>
          </w:p>
        </w:tc>
        <w:tc>
          <w:tcPr>
            <w:tcW w:w="668" w:type="dxa"/>
            <w:hideMark/>
          </w:tcPr>
          <w:p>
            <w:pPr>
              <w:rPr>
                <w:noProof/>
                <w:sz w:val="18"/>
              </w:rPr>
            </w:pPr>
            <w:r>
              <w:rPr>
                <w:noProof/>
                <w:sz w:val="18"/>
              </w:rPr>
              <w:t>0,9</w:t>
            </w:r>
          </w:p>
        </w:tc>
        <w:tc>
          <w:tcPr>
            <w:tcW w:w="750" w:type="dxa"/>
            <w:hideMark/>
          </w:tcPr>
          <w:p>
            <w:pPr>
              <w:rPr>
                <w:noProof/>
                <w:sz w:val="18"/>
              </w:rPr>
            </w:pPr>
            <w:r>
              <w:rPr>
                <w:noProof/>
                <w:sz w:val="18"/>
              </w:rPr>
              <w:t>6</w:t>
            </w:r>
          </w:p>
        </w:tc>
        <w:tc>
          <w:tcPr>
            <w:tcW w:w="671" w:type="dxa"/>
            <w:hideMark/>
          </w:tcPr>
          <w:p>
            <w:pPr>
              <w:rPr>
                <w:noProof/>
                <w:sz w:val="18"/>
              </w:rPr>
            </w:pPr>
            <w:r>
              <w:rPr>
                <w:noProof/>
                <w:sz w:val="18"/>
              </w:rPr>
              <w:t>0,3</w:t>
            </w:r>
          </w:p>
        </w:tc>
        <w:tc>
          <w:tcPr>
            <w:tcW w:w="670" w:type="dxa"/>
            <w:hideMark/>
          </w:tcPr>
          <w:p>
            <w:pPr>
              <w:rPr>
                <w:noProof/>
                <w:sz w:val="18"/>
              </w:rPr>
            </w:pPr>
            <w:r>
              <w:rPr>
                <w:noProof/>
                <w:sz w:val="18"/>
              </w:rPr>
              <w:t>1,8</w:t>
            </w:r>
          </w:p>
        </w:tc>
        <w:tc>
          <w:tcPr>
            <w:tcW w:w="750" w:type="dxa"/>
            <w:hideMark/>
          </w:tcPr>
          <w:p>
            <w:pPr>
              <w:rPr>
                <w:noProof/>
                <w:sz w:val="18"/>
              </w:rPr>
            </w:pPr>
            <w:r>
              <w:rPr>
                <w:noProof/>
                <w:sz w:val="18"/>
              </w:rPr>
              <w:t>12</w:t>
            </w:r>
          </w:p>
        </w:tc>
        <w:tc>
          <w:tcPr>
            <w:tcW w:w="671" w:type="dxa"/>
            <w:hideMark/>
          </w:tcPr>
          <w:p>
            <w:pPr>
              <w:rPr>
                <w:noProof/>
                <w:sz w:val="18"/>
              </w:rPr>
            </w:pPr>
            <w:r>
              <w:rPr>
                <w:noProof/>
                <w:sz w:val="18"/>
              </w:rPr>
              <w:t>0,3</w:t>
            </w:r>
          </w:p>
        </w:tc>
        <w:tc>
          <w:tcPr>
            <w:tcW w:w="670" w:type="dxa"/>
            <w:hideMark/>
          </w:tcPr>
          <w:p>
            <w:pPr>
              <w:rPr>
                <w:noProof/>
                <w:sz w:val="18"/>
              </w:rPr>
            </w:pPr>
            <w:r>
              <w:rPr>
                <w:noProof/>
                <w:sz w:val="18"/>
              </w:rPr>
              <w:t>3,6</w:t>
            </w:r>
          </w:p>
        </w:tc>
        <w:tc>
          <w:tcPr>
            <w:tcW w:w="750" w:type="dxa"/>
            <w:hideMark/>
          </w:tcPr>
          <w:p>
            <w:pPr>
              <w:rPr>
                <w:noProof/>
                <w:sz w:val="18"/>
              </w:rPr>
            </w:pPr>
            <w:r>
              <w:rPr>
                <w:noProof/>
                <w:sz w:val="18"/>
              </w:rPr>
              <w:t>12</w:t>
            </w:r>
          </w:p>
        </w:tc>
        <w:tc>
          <w:tcPr>
            <w:tcW w:w="671" w:type="dxa"/>
            <w:hideMark/>
          </w:tcPr>
          <w:p>
            <w:pPr>
              <w:rPr>
                <w:noProof/>
                <w:sz w:val="18"/>
              </w:rPr>
            </w:pPr>
            <w:r>
              <w:rPr>
                <w:noProof/>
                <w:sz w:val="18"/>
              </w:rPr>
              <w:t>0,3</w:t>
            </w:r>
          </w:p>
        </w:tc>
        <w:tc>
          <w:tcPr>
            <w:tcW w:w="670" w:type="dxa"/>
            <w:hideMark/>
          </w:tcPr>
          <w:p>
            <w:pPr>
              <w:rPr>
                <w:noProof/>
                <w:sz w:val="18"/>
              </w:rPr>
            </w:pPr>
            <w:r>
              <w:rPr>
                <w:noProof/>
                <w:sz w:val="18"/>
              </w:rPr>
              <w:t>3,6</w:t>
            </w:r>
          </w:p>
        </w:tc>
        <w:tc>
          <w:tcPr>
            <w:tcW w:w="750" w:type="dxa"/>
            <w:hideMark/>
          </w:tcPr>
          <w:p>
            <w:pPr>
              <w:rPr>
                <w:noProof/>
                <w:sz w:val="18"/>
              </w:rPr>
            </w:pPr>
            <w:r>
              <w:rPr>
                <w:noProof/>
                <w:sz w:val="18"/>
              </w:rPr>
              <w:t>12</w:t>
            </w:r>
          </w:p>
        </w:tc>
        <w:tc>
          <w:tcPr>
            <w:tcW w:w="671" w:type="dxa"/>
            <w:hideMark/>
          </w:tcPr>
          <w:p>
            <w:pPr>
              <w:rPr>
                <w:noProof/>
                <w:sz w:val="18"/>
              </w:rPr>
            </w:pPr>
            <w:r>
              <w:rPr>
                <w:noProof/>
                <w:sz w:val="18"/>
              </w:rPr>
              <w:t>0,3</w:t>
            </w:r>
          </w:p>
        </w:tc>
        <w:tc>
          <w:tcPr>
            <w:tcW w:w="670" w:type="dxa"/>
            <w:hideMark/>
          </w:tcPr>
          <w:p>
            <w:pPr>
              <w:rPr>
                <w:noProof/>
                <w:sz w:val="18"/>
              </w:rPr>
            </w:pPr>
            <w:r>
              <w:rPr>
                <w:noProof/>
                <w:sz w:val="18"/>
              </w:rPr>
              <w:t>3,6</w:t>
            </w:r>
          </w:p>
        </w:tc>
        <w:tc>
          <w:tcPr>
            <w:tcW w:w="912" w:type="dxa"/>
            <w:hideMark/>
          </w:tcPr>
          <w:p>
            <w:pPr>
              <w:rPr>
                <w:b/>
                <w:bCs/>
                <w:noProof/>
                <w:sz w:val="18"/>
              </w:rPr>
            </w:pPr>
            <w:r>
              <w:rPr>
                <w:b/>
                <w:bCs/>
                <w:noProof/>
                <w:sz w:val="18"/>
              </w:rPr>
              <w:t xml:space="preserve"> </w:t>
            </w:r>
          </w:p>
        </w:tc>
      </w:tr>
      <w:tr>
        <w:trPr>
          <w:trHeight w:val="51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Μελέτες σκοπιμότητας για τεχνικά πρότυπα</w:t>
            </w:r>
          </w:p>
        </w:tc>
        <w:tc>
          <w:tcPr>
            <w:tcW w:w="750" w:type="dxa"/>
            <w:hideMark/>
          </w:tcPr>
          <w:p>
            <w:pPr>
              <w:rPr>
                <w:noProof/>
                <w:sz w:val="18"/>
              </w:rPr>
            </w:pPr>
            <w:r>
              <w:rPr>
                <w:noProof/>
                <w:sz w:val="18"/>
              </w:rPr>
              <w:t>2</w:t>
            </w:r>
          </w:p>
        </w:tc>
        <w:tc>
          <w:tcPr>
            <w:tcW w:w="671" w:type="dxa"/>
            <w:hideMark/>
          </w:tcPr>
          <w:p>
            <w:pPr>
              <w:rPr>
                <w:noProof/>
                <w:sz w:val="18"/>
              </w:rPr>
            </w:pPr>
            <w:r>
              <w:rPr>
                <w:noProof/>
                <w:sz w:val="18"/>
              </w:rPr>
              <w:t>0,05</w:t>
            </w:r>
          </w:p>
        </w:tc>
        <w:tc>
          <w:tcPr>
            <w:tcW w:w="668" w:type="dxa"/>
            <w:hideMark/>
          </w:tcPr>
          <w:p>
            <w:pPr>
              <w:rPr>
                <w:noProof/>
                <w:sz w:val="18"/>
              </w:rPr>
            </w:pPr>
            <w:r>
              <w:rPr>
                <w:noProof/>
                <w:sz w:val="18"/>
              </w:rPr>
              <w:t>0,1</w:t>
            </w:r>
          </w:p>
        </w:tc>
        <w:tc>
          <w:tcPr>
            <w:tcW w:w="750" w:type="dxa"/>
            <w:hideMark/>
          </w:tcPr>
          <w:p>
            <w:pPr>
              <w:rPr>
                <w:noProof/>
                <w:sz w:val="18"/>
              </w:rPr>
            </w:pPr>
            <w:r>
              <w:rPr>
                <w:noProof/>
                <w:sz w:val="18"/>
              </w:rPr>
              <w:t>2</w:t>
            </w:r>
          </w:p>
        </w:tc>
        <w:tc>
          <w:tcPr>
            <w:tcW w:w="671" w:type="dxa"/>
            <w:hideMark/>
          </w:tcPr>
          <w:p>
            <w:pPr>
              <w:rPr>
                <w:noProof/>
                <w:sz w:val="18"/>
              </w:rPr>
            </w:pPr>
            <w:r>
              <w:rPr>
                <w:noProof/>
                <w:sz w:val="18"/>
              </w:rPr>
              <w:t>0,05</w:t>
            </w:r>
          </w:p>
        </w:tc>
        <w:tc>
          <w:tcPr>
            <w:tcW w:w="670" w:type="dxa"/>
            <w:hideMark/>
          </w:tcPr>
          <w:p>
            <w:pPr>
              <w:rPr>
                <w:noProof/>
                <w:sz w:val="18"/>
              </w:rPr>
            </w:pPr>
            <w:r>
              <w:rPr>
                <w:noProof/>
                <w:sz w:val="18"/>
              </w:rPr>
              <w:t>0,1</w:t>
            </w:r>
          </w:p>
        </w:tc>
        <w:tc>
          <w:tcPr>
            <w:tcW w:w="750" w:type="dxa"/>
            <w:hideMark/>
          </w:tcPr>
          <w:p>
            <w:pPr>
              <w:rPr>
                <w:noProof/>
                <w:sz w:val="18"/>
              </w:rPr>
            </w:pPr>
            <w:r>
              <w:rPr>
                <w:noProof/>
                <w:sz w:val="18"/>
              </w:rPr>
              <w:t>2</w:t>
            </w:r>
          </w:p>
        </w:tc>
        <w:tc>
          <w:tcPr>
            <w:tcW w:w="671" w:type="dxa"/>
            <w:hideMark/>
          </w:tcPr>
          <w:p>
            <w:pPr>
              <w:rPr>
                <w:noProof/>
                <w:sz w:val="18"/>
              </w:rPr>
            </w:pPr>
            <w:r>
              <w:rPr>
                <w:noProof/>
                <w:sz w:val="18"/>
              </w:rPr>
              <w:t>0,05</w:t>
            </w:r>
          </w:p>
        </w:tc>
        <w:tc>
          <w:tcPr>
            <w:tcW w:w="670" w:type="dxa"/>
            <w:hideMark/>
          </w:tcPr>
          <w:p>
            <w:pPr>
              <w:rPr>
                <w:noProof/>
                <w:sz w:val="18"/>
              </w:rPr>
            </w:pPr>
            <w:r>
              <w:rPr>
                <w:noProof/>
                <w:sz w:val="18"/>
              </w:rPr>
              <w:t>0,1</w:t>
            </w:r>
          </w:p>
        </w:tc>
        <w:tc>
          <w:tcPr>
            <w:tcW w:w="750" w:type="dxa"/>
            <w:hideMark/>
          </w:tcPr>
          <w:p>
            <w:pPr>
              <w:rPr>
                <w:noProof/>
                <w:sz w:val="18"/>
              </w:rPr>
            </w:pPr>
            <w:r>
              <w:rPr>
                <w:noProof/>
                <w:sz w:val="18"/>
              </w:rPr>
              <w:t>2</w:t>
            </w:r>
          </w:p>
        </w:tc>
        <w:tc>
          <w:tcPr>
            <w:tcW w:w="671" w:type="dxa"/>
            <w:hideMark/>
          </w:tcPr>
          <w:p>
            <w:pPr>
              <w:rPr>
                <w:noProof/>
                <w:sz w:val="18"/>
              </w:rPr>
            </w:pPr>
            <w:r>
              <w:rPr>
                <w:noProof/>
                <w:sz w:val="18"/>
              </w:rPr>
              <w:t>0,05</w:t>
            </w:r>
          </w:p>
        </w:tc>
        <w:tc>
          <w:tcPr>
            <w:tcW w:w="670" w:type="dxa"/>
            <w:hideMark/>
          </w:tcPr>
          <w:p>
            <w:pPr>
              <w:rPr>
                <w:noProof/>
                <w:sz w:val="18"/>
              </w:rPr>
            </w:pPr>
            <w:r>
              <w:rPr>
                <w:noProof/>
                <w:sz w:val="18"/>
              </w:rPr>
              <w:t>0,1</w:t>
            </w:r>
          </w:p>
        </w:tc>
        <w:tc>
          <w:tcPr>
            <w:tcW w:w="750" w:type="dxa"/>
            <w:hideMark/>
          </w:tcPr>
          <w:p>
            <w:pPr>
              <w:rPr>
                <w:noProof/>
                <w:sz w:val="18"/>
              </w:rPr>
            </w:pPr>
            <w:r>
              <w:rPr>
                <w:noProof/>
                <w:sz w:val="18"/>
              </w:rPr>
              <w:t>2</w:t>
            </w:r>
          </w:p>
        </w:tc>
        <w:tc>
          <w:tcPr>
            <w:tcW w:w="671" w:type="dxa"/>
            <w:hideMark/>
          </w:tcPr>
          <w:p>
            <w:pPr>
              <w:rPr>
                <w:noProof/>
                <w:sz w:val="18"/>
              </w:rPr>
            </w:pPr>
            <w:r>
              <w:rPr>
                <w:noProof/>
                <w:sz w:val="18"/>
              </w:rPr>
              <w:t>0,05</w:t>
            </w:r>
          </w:p>
        </w:tc>
        <w:tc>
          <w:tcPr>
            <w:tcW w:w="670" w:type="dxa"/>
            <w:hideMark/>
          </w:tcPr>
          <w:p>
            <w:pPr>
              <w:rPr>
                <w:noProof/>
                <w:sz w:val="18"/>
              </w:rPr>
            </w:pPr>
            <w:r>
              <w:rPr>
                <w:noProof/>
                <w:sz w:val="18"/>
              </w:rPr>
              <w:t>0,1</w:t>
            </w:r>
          </w:p>
        </w:tc>
        <w:tc>
          <w:tcPr>
            <w:tcW w:w="912" w:type="dxa"/>
            <w:hideMark/>
          </w:tcPr>
          <w:p>
            <w:pPr>
              <w:rPr>
                <w:b/>
                <w:bCs/>
                <w:noProof/>
                <w:sz w:val="18"/>
              </w:rPr>
            </w:pPr>
            <w:r>
              <w:rPr>
                <w:b/>
                <w:bCs/>
                <w:noProof/>
                <w:sz w:val="18"/>
              </w:rPr>
              <w:t xml:space="preserve"> </w:t>
            </w:r>
          </w:p>
        </w:tc>
      </w:tr>
      <w:tr>
        <w:trPr>
          <w:trHeight w:val="51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Αιτήματα πρόσβασης σε δεδομένα και επεξεργασία δεδομένων για εκτιμήσεις κινδύνων</w:t>
            </w:r>
          </w:p>
        </w:tc>
        <w:tc>
          <w:tcPr>
            <w:tcW w:w="750" w:type="dxa"/>
            <w:hideMark/>
          </w:tcPr>
          <w:p>
            <w:pPr>
              <w:rPr>
                <w:noProof/>
                <w:sz w:val="18"/>
              </w:rPr>
            </w:pPr>
            <w:r>
              <w:rPr>
                <w:noProof/>
                <w:sz w:val="18"/>
              </w:rPr>
              <w:t>5</w:t>
            </w:r>
          </w:p>
        </w:tc>
        <w:tc>
          <w:tcPr>
            <w:tcW w:w="671" w:type="dxa"/>
            <w:hideMark/>
          </w:tcPr>
          <w:p>
            <w:pPr>
              <w:rPr>
                <w:noProof/>
                <w:sz w:val="18"/>
              </w:rPr>
            </w:pPr>
            <w:r>
              <w:rPr>
                <w:noProof/>
                <w:sz w:val="18"/>
              </w:rPr>
              <w:t>0,025</w:t>
            </w:r>
          </w:p>
        </w:tc>
        <w:tc>
          <w:tcPr>
            <w:tcW w:w="668" w:type="dxa"/>
            <w:hideMark/>
          </w:tcPr>
          <w:p>
            <w:pPr>
              <w:rPr>
                <w:noProof/>
                <w:sz w:val="18"/>
              </w:rPr>
            </w:pPr>
            <w:r>
              <w:rPr>
                <w:noProof/>
                <w:sz w:val="18"/>
              </w:rPr>
              <w:t>0,125</w:t>
            </w:r>
          </w:p>
        </w:tc>
        <w:tc>
          <w:tcPr>
            <w:tcW w:w="750" w:type="dxa"/>
            <w:hideMark/>
          </w:tcPr>
          <w:p>
            <w:pPr>
              <w:rPr>
                <w:noProof/>
                <w:sz w:val="18"/>
              </w:rPr>
            </w:pPr>
            <w:r>
              <w:rPr>
                <w:noProof/>
                <w:sz w:val="18"/>
              </w:rPr>
              <w:t>15</w:t>
            </w:r>
          </w:p>
        </w:tc>
        <w:tc>
          <w:tcPr>
            <w:tcW w:w="671" w:type="dxa"/>
            <w:hideMark/>
          </w:tcPr>
          <w:p>
            <w:pPr>
              <w:rPr>
                <w:noProof/>
                <w:sz w:val="18"/>
              </w:rPr>
            </w:pPr>
            <w:r>
              <w:rPr>
                <w:noProof/>
                <w:sz w:val="18"/>
              </w:rPr>
              <w:t>0,025</w:t>
            </w:r>
          </w:p>
        </w:tc>
        <w:tc>
          <w:tcPr>
            <w:tcW w:w="670" w:type="dxa"/>
            <w:hideMark/>
          </w:tcPr>
          <w:p>
            <w:pPr>
              <w:rPr>
                <w:noProof/>
                <w:sz w:val="18"/>
              </w:rPr>
            </w:pPr>
            <w:r>
              <w:rPr>
                <w:noProof/>
                <w:sz w:val="18"/>
              </w:rPr>
              <w:t>0,375</w:t>
            </w:r>
          </w:p>
        </w:tc>
        <w:tc>
          <w:tcPr>
            <w:tcW w:w="750" w:type="dxa"/>
            <w:hideMark/>
          </w:tcPr>
          <w:p>
            <w:pPr>
              <w:rPr>
                <w:noProof/>
                <w:sz w:val="18"/>
              </w:rPr>
            </w:pPr>
            <w:r>
              <w:rPr>
                <w:noProof/>
                <w:sz w:val="18"/>
              </w:rPr>
              <w:t>20</w:t>
            </w:r>
          </w:p>
        </w:tc>
        <w:tc>
          <w:tcPr>
            <w:tcW w:w="671" w:type="dxa"/>
            <w:hideMark/>
          </w:tcPr>
          <w:p>
            <w:pPr>
              <w:rPr>
                <w:noProof/>
                <w:sz w:val="18"/>
              </w:rPr>
            </w:pPr>
            <w:r>
              <w:rPr>
                <w:noProof/>
                <w:sz w:val="18"/>
              </w:rPr>
              <w:t>0,025</w:t>
            </w:r>
          </w:p>
        </w:tc>
        <w:tc>
          <w:tcPr>
            <w:tcW w:w="670" w:type="dxa"/>
            <w:hideMark/>
          </w:tcPr>
          <w:p>
            <w:pPr>
              <w:rPr>
                <w:noProof/>
                <w:sz w:val="18"/>
              </w:rPr>
            </w:pPr>
            <w:r>
              <w:rPr>
                <w:noProof/>
                <w:sz w:val="18"/>
              </w:rPr>
              <w:t>0,5</w:t>
            </w:r>
          </w:p>
        </w:tc>
        <w:tc>
          <w:tcPr>
            <w:tcW w:w="750" w:type="dxa"/>
            <w:hideMark/>
          </w:tcPr>
          <w:p>
            <w:pPr>
              <w:rPr>
                <w:noProof/>
                <w:sz w:val="18"/>
              </w:rPr>
            </w:pPr>
            <w:r>
              <w:rPr>
                <w:noProof/>
                <w:sz w:val="18"/>
              </w:rPr>
              <w:t>40</w:t>
            </w:r>
          </w:p>
        </w:tc>
        <w:tc>
          <w:tcPr>
            <w:tcW w:w="671" w:type="dxa"/>
            <w:hideMark/>
          </w:tcPr>
          <w:p>
            <w:pPr>
              <w:rPr>
                <w:noProof/>
                <w:sz w:val="18"/>
              </w:rPr>
            </w:pPr>
            <w:r>
              <w:rPr>
                <w:noProof/>
                <w:sz w:val="18"/>
              </w:rPr>
              <w:t>0,025</w:t>
            </w:r>
          </w:p>
        </w:tc>
        <w:tc>
          <w:tcPr>
            <w:tcW w:w="670" w:type="dxa"/>
            <w:hideMark/>
          </w:tcPr>
          <w:p>
            <w:pPr>
              <w:rPr>
                <w:noProof/>
                <w:sz w:val="18"/>
              </w:rPr>
            </w:pPr>
            <w:r>
              <w:rPr>
                <w:noProof/>
                <w:sz w:val="18"/>
              </w:rPr>
              <w:t>1</w:t>
            </w:r>
          </w:p>
        </w:tc>
        <w:tc>
          <w:tcPr>
            <w:tcW w:w="750" w:type="dxa"/>
            <w:hideMark/>
          </w:tcPr>
          <w:p>
            <w:pPr>
              <w:rPr>
                <w:noProof/>
                <w:sz w:val="18"/>
              </w:rPr>
            </w:pPr>
            <w:r>
              <w:rPr>
                <w:noProof/>
                <w:sz w:val="18"/>
              </w:rPr>
              <w:t>40</w:t>
            </w:r>
          </w:p>
        </w:tc>
        <w:tc>
          <w:tcPr>
            <w:tcW w:w="671" w:type="dxa"/>
            <w:hideMark/>
          </w:tcPr>
          <w:p>
            <w:pPr>
              <w:rPr>
                <w:noProof/>
                <w:sz w:val="18"/>
              </w:rPr>
            </w:pPr>
            <w:r>
              <w:rPr>
                <w:noProof/>
                <w:sz w:val="18"/>
              </w:rPr>
              <w:t>0,025</w:t>
            </w:r>
          </w:p>
        </w:tc>
        <w:tc>
          <w:tcPr>
            <w:tcW w:w="670" w:type="dxa"/>
            <w:hideMark/>
          </w:tcPr>
          <w:p>
            <w:pPr>
              <w:rPr>
                <w:noProof/>
                <w:sz w:val="18"/>
              </w:rPr>
            </w:pPr>
            <w:r>
              <w:rPr>
                <w:noProof/>
                <w:sz w:val="18"/>
              </w:rPr>
              <w:t>1</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Ετήσια μελέτη σημαντικών κινδύνων</w:t>
            </w:r>
          </w:p>
        </w:tc>
        <w:tc>
          <w:tcPr>
            <w:tcW w:w="750" w:type="dxa"/>
            <w:hideMark/>
          </w:tcPr>
          <w:p>
            <w:pPr>
              <w:rPr>
                <w:noProof/>
                <w:sz w:val="18"/>
              </w:rPr>
            </w:pPr>
            <w:r>
              <w:rPr>
                <w:noProof/>
                <w:sz w:val="18"/>
              </w:rPr>
              <w:t>1</w:t>
            </w:r>
          </w:p>
        </w:tc>
        <w:tc>
          <w:tcPr>
            <w:tcW w:w="671" w:type="dxa"/>
            <w:hideMark/>
          </w:tcPr>
          <w:p>
            <w:pPr>
              <w:rPr>
                <w:noProof/>
                <w:sz w:val="18"/>
              </w:rPr>
            </w:pPr>
            <w:r>
              <w:rPr>
                <w:noProof/>
                <w:sz w:val="18"/>
              </w:rPr>
              <w:t>0,4</w:t>
            </w:r>
          </w:p>
        </w:tc>
        <w:tc>
          <w:tcPr>
            <w:tcW w:w="668" w:type="dxa"/>
            <w:hideMark/>
          </w:tcPr>
          <w:p>
            <w:pPr>
              <w:rPr>
                <w:noProof/>
                <w:sz w:val="18"/>
              </w:rPr>
            </w:pPr>
            <w:r>
              <w:rPr>
                <w:noProof/>
                <w:sz w:val="18"/>
              </w:rPr>
              <w:t>0,4</w:t>
            </w:r>
          </w:p>
        </w:tc>
        <w:tc>
          <w:tcPr>
            <w:tcW w:w="750" w:type="dxa"/>
            <w:hideMark/>
          </w:tcPr>
          <w:p>
            <w:pPr>
              <w:rPr>
                <w:noProof/>
                <w:sz w:val="18"/>
              </w:rPr>
            </w:pPr>
            <w:r>
              <w:rPr>
                <w:noProof/>
                <w:sz w:val="18"/>
              </w:rPr>
              <w:t>2</w:t>
            </w:r>
          </w:p>
        </w:tc>
        <w:tc>
          <w:tcPr>
            <w:tcW w:w="671" w:type="dxa"/>
            <w:hideMark/>
          </w:tcPr>
          <w:p>
            <w:pPr>
              <w:rPr>
                <w:noProof/>
                <w:sz w:val="18"/>
              </w:rPr>
            </w:pPr>
            <w:r>
              <w:rPr>
                <w:noProof/>
                <w:sz w:val="18"/>
              </w:rPr>
              <w:t>0,4</w:t>
            </w:r>
          </w:p>
        </w:tc>
        <w:tc>
          <w:tcPr>
            <w:tcW w:w="670" w:type="dxa"/>
            <w:hideMark/>
          </w:tcPr>
          <w:p>
            <w:pPr>
              <w:rPr>
                <w:noProof/>
                <w:sz w:val="18"/>
              </w:rPr>
            </w:pPr>
            <w:r>
              <w:rPr>
                <w:noProof/>
                <w:sz w:val="18"/>
              </w:rPr>
              <w:t>0,8</w:t>
            </w:r>
          </w:p>
        </w:tc>
        <w:tc>
          <w:tcPr>
            <w:tcW w:w="750" w:type="dxa"/>
            <w:hideMark/>
          </w:tcPr>
          <w:p>
            <w:pPr>
              <w:rPr>
                <w:noProof/>
                <w:sz w:val="18"/>
              </w:rPr>
            </w:pPr>
            <w:r>
              <w:rPr>
                <w:noProof/>
                <w:sz w:val="18"/>
              </w:rPr>
              <w:t>4</w:t>
            </w:r>
          </w:p>
        </w:tc>
        <w:tc>
          <w:tcPr>
            <w:tcW w:w="671" w:type="dxa"/>
            <w:hideMark/>
          </w:tcPr>
          <w:p>
            <w:pPr>
              <w:rPr>
                <w:noProof/>
                <w:sz w:val="18"/>
              </w:rPr>
            </w:pPr>
            <w:r>
              <w:rPr>
                <w:noProof/>
                <w:sz w:val="18"/>
              </w:rPr>
              <w:t>0,4</w:t>
            </w:r>
          </w:p>
        </w:tc>
        <w:tc>
          <w:tcPr>
            <w:tcW w:w="670" w:type="dxa"/>
            <w:hideMark/>
          </w:tcPr>
          <w:p>
            <w:pPr>
              <w:rPr>
                <w:noProof/>
                <w:sz w:val="18"/>
              </w:rPr>
            </w:pPr>
            <w:r>
              <w:rPr>
                <w:noProof/>
                <w:sz w:val="18"/>
              </w:rPr>
              <w:t>1,6</w:t>
            </w:r>
          </w:p>
        </w:tc>
        <w:tc>
          <w:tcPr>
            <w:tcW w:w="750" w:type="dxa"/>
            <w:hideMark/>
          </w:tcPr>
          <w:p>
            <w:pPr>
              <w:rPr>
                <w:noProof/>
                <w:sz w:val="18"/>
              </w:rPr>
            </w:pPr>
            <w:r>
              <w:rPr>
                <w:noProof/>
                <w:sz w:val="18"/>
              </w:rPr>
              <w:t>4</w:t>
            </w:r>
          </w:p>
        </w:tc>
        <w:tc>
          <w:tcPr>
            <w:tcW w:w="671" w:type="dxa"/>
            <w:hideMark/>
          </w:tcPr>
          <w:p>
            <w:pPr>
              <w:rPr>
                <w:noProof/>
                <w:sz w:val="18"/>
              </w:rPr>
            </w:pPr>
            <w:r>
              <w:rPr>
                <w:noProof/>
                <w:sz w:val="18"/>
              </w:rPr>
              <w:t>0,4</w:t>
            </w:r>
          </w:p>
        </w:tc>
        <w:tc>
          <w:tcPr>
            <w:tcW w:w="670" w:type="dxa"/>
            <w:hideMark/>
          </w:tcPr>
          <w:p>
            <w:pPr>
              <w:rPr>
                <w:noProof/>
                <w:sz w:val="18"/>
              </w:rPr>
            </w:pPr>
            <w:r>
              <w:rPr>
                <w:noProof/>
                <w:sz w:val="18"/>
              </w:rPr>
              <w:t>1,6</w:t>
            </w:r>
          </w:p>
        </w:tc>
        <w:tc>
          <w:tcPr>
            <w:tcW w:w="750" w:type="dxa"/>
            <w:hideMark/>
          </w:tcPr>
          <w:p>
            <w:pPr>
              <w:rPr>
                <w:noProof/>
                <w:sz w:val="18"/>
              </w:rPr>
            </w:pPr>
            <w:r>
              <w:rPr>
                <w:noProof/>
                <w:sz w:val="18"/>
              </w:rPr>
              <w:t>4</w:t>
            </w:r>
          </w:p>
        </w:tc>
        <w:tc>
          <w:tcPr>
            <w:tcW w:w="671" w:type="dxa"/>
            <w:hideMark/>
          </w:tcPr>
          <w:p>
            <w:pPr>
              <w:rPr>
                <w:noProof/>
                <w:sz w:val="18"/>
              </w:rPr>
            </w:pPr>
            <w:r>
              <w:rPr>
                <w:noProof/>
                <w:sz w:val="18"/>
              </w:rPr>
              <w:t>0,4</w:t>
            </w:r>
          </w:p>
        </w:tc>
        <w:tc>
          <w:tcPr>
            <w:tcW w:w="670" w:type="dxa"/>
            <w:hideMark/>
          </w:tcPr>
          <w:p>
            <w:pPr>
              <w:rPr>
                <w:noProof/>
                <w:sz w:val="18"/>
              </w:rPr>
            </w:pPr>
            <w:r>
              <w:rPr>
                <w:noProof/>
                <w:sz w:val="18"/>
              </w:rPr>
              <w:t>1,6</w:t>
            </w:r>
          </w:p>
        </w:tc>
        <w:tc>
          <w:tcPr>
            <w:tcW w:w="912" w:type="dxa"/>
            <w:hideMark/>
          </w:tcPr>
          <w:p>
            <w:pPr>
              <w:rPr>
                <w:b/>
                <w:bCs/>
                <w:noProof/>
                <w:sz w:val="18"/>
              </w:rPr>
            </w:pPr>
            <w:r>
              <w:rPr>
                <w:b/>
                <w:bCs/>
                <w:noProof/>
                <w:sz w:val="18"/>
              </w:rPr>
              <w:t xml:space="preserve"> </w:t>
            </w:r>
          </w:p>
        </w:tc>
      </w:tr>
      <w:tr>
        <w:trPr>
          <w:trHeight w:val="51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Τεχνικές επιθεωρήσεις και έλεγχοι (υψηλή πολυπλοκότητα)</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0,5</w:t>
            </w:r>
          </w:p>
        </w:tc>
        <w:tc>
          <w:tcPr>
            <w:tcW w:w="668" w:type="dxa"/>
            <w:hideMark/>
          </w:tcPr>
          <w:p>
            <w:pPr>
              <w:rPr>
                <w:noProof/>
                <w:sz w:val="18"/>
              </w:rPr>
            </w:pPr>
            <w:r>
              <w:rPr>
                <w:noProof/>
                <w:sz w:val="18"/>
              </w:rPr>
              <w:t>0</w:t>
            </w:r>
          </w:p>
        </w:tc>
        <w:tc>
          <w:tcPr>
            <w:tcW w:w="750" w:type="dxa"/>
            <w:hideMark/>
          </w:tcPr>
          <w:p>
            <w:pPr>
              <w:rPr>
                <w:noProof/>
                <w:sz w:val="18"/>
              </w:rPr>
            </w:pPr>
            <w:r>
              <w:rPr>
                <w:noProof/>
                <w:sz w:val="18"/>
              </w:rPr>
              <w:t>1</w:t>
            </w:r>
          </w:p>
        </w:tc>
        <w:tc>
          <w:tcPr>
            <w:tcW w:w="671" w:type="dxa"/>
            <w:hideMark/>
          </w:tcPr>
          <w:p>
            <w:pPr>
              <w:rPr>
                <w:noProof/>
                <w:sz w:val="18"/>
              </w:rPr>
            </w:pPr>
            <w:r>
              <w:rPr>
                <w:noProof/>
                <w:sz w:val="18"/>
              </w:rPr>
              <w:t>0,5</w:t>
            </w:r>
          </w:p>
        </w:tc>
        <w:tc>
          <w:tcPr>
            <w:tcW w:w="670" w:type="dxa"/>
            <w:hideMark/>
          </w:tcPr>
          <w:p>
            <w:pPr>
              <w:rPr>
                <w:noProof/>
                <w:sz w:val="18"/>
              </w:rPr>
            </w:pPr>
            <w:r>
              <w:rPr>
                <w:noProof/>
                <w:sz w:val="18"/>
              </w:rPr>
              <w:t>0,5</w:t>
            </w:r>
          </w:p>
        </w:tc>
        <w:tc>
          <w:tcPr>
            <w:tcW w:w="750" w:type="dxa"/>
            <w:hideMark/>
          </w:tcPr>
          <w:p>
            <w:pPr>
              <w:rPr>
                <w:noProof/>
                <w:sz w:val="18"/>
              </w:rPr>
            </w:pPr>
            <w:r>
              <w:rPr>
                <w:noProof/>
                <w:sz w:val="18"/>
              </w:rPr>
              <w:t>3</w:t>
            </w:r>
          </w:p>
        </w:tc>
        <w:tc>
          <w:tcPr>
            <w:tcW w:w="671" w:type="dxa"/>
            <w:hideMark/>
          </w:tcPr>
          <w:p>
            <w:pPr>
              <w:rPr>
                <w:noProof/>
                <w:sz w:val="18"/>
              </w:rPr>
            </w:pPr>
            <w:r>
              <w:rPr>
                <w:noProof/>
                <w:sz w:val="18"/>
              </w:rPr>
              <w:t>0,5</w:t>
            </w:r>
          </w:p>
        </w:tc>
        <w:tc>
          <w:tcPr>
            <w:tcW w:w="670" w:type="dxa"/>
            <w:hideMark/>
          </w:tcPr>
          <w:p>
            <w:pPr>
              <w:rPr>
                <w:noProof/>
                <w:sz w:val="18"/>
              </w:rPr>
            </w:pPr>
            <w:r>
              <w:rPr>
                <w:noProof/>
                <w:sz w:val="18"/>
              </w:rPr>
              <w:t>1,5</w:t>
            </w:r>
          </w:p>
        </w:tc>
        <w:tc>
          <w:tcPr>
            <w:tcW w:w="750" w:type="dxa"/>
            <w:hideMark/>
          </w:tcPr>
          <w:p>
            <w:pPr>
              <w:rPr>
                <w:noProof/>
                <w:sz w:val="18"/>
              </w:rPr>
            </w:pPr>
            <w:r>
              <w:rPr>
                <w:noProof/>
                <w:sz w:val="18"/>
              </w:rPr>
              <w:t>3</w:t>
            </w:r>
          </w:p>
        </w:tc>
        <w:tc>
          <w:tcPr>
            <w:tcW w:w="671" w:type="dxa"/>
            <w:hideMark/>
          </w:tcPr>
          <w:p>
            <w:pPr>
              <w:rPr>
                <w:noProof/>
                <w:sz w:val="18"/>
              </w:rPr>
            </w:pPr>
            <w:r>
              <w:rPr>
                <w:noProof/>
                <w:sz w:val="18"/>
              </w:rPr>
              <w:t>0,5</w:t>
            </w:r>
          </w:p>
        </w:tc>
        <w:tc>
          <w:tcPr>
            <w:tcW w:w="670" w:type="dxa"/>
            <w:hideMark/>
          </w:tcPr>
          <w:p>
            <w:pPr>
              <w:rPr>
                <w:noProof/>
                <w:sz w:val="18"/>
              </w:rPr>
            </w:pPr>
            <w:r>
              <w:rPr>
                <w:noProof/>
                <w:sz w:val="18"/>
              </w:rPr>
              <w:t>1,5</w:t>
            </w:r>
          </w:p>
        </w:tc>
        <w:tc>
          <w:tcPr>
            <w:tcW w:w="750" w:type="dxa"/>
            <w:hideMark/>
          </w:tcPr>
          <w:p>
            <w:pPr>
              <w:rPr>
                <w:noProof/>
                <w:sz w:val="18"/>
              </w:rPr>
            </w:pPr>
            <w:r>
              <w:rPr>
                <w:noProof/>
                <w:sz w:val="18"/>
              </w:rPr>
              <w:t>3</w:t>
            </w:r>
          </w:p>
        </w:tc>
        <w:tc>
          <w:tcPr>
            <w:tcW w:w="671" w:type="dxa"/>
            <w:hideMark/>
          </w:tcPr>
          <w:p>
            <w:pPr>
              <w:rPr>
                <w:noProof/>
                <w:sz w:val="18"/>
              </w:rPr>
            </w:pPr>
            <w:r>
              <w:rPr>
                <w:noProof/>
                <w:sz w:val="18"/>
              </w:rPr>
              <w:t>0,5</w:t>
            </w:r>
          </w:p>
        </w:tc>
        <w:tc>
          <w:tcPr>
            <w:tcW w:w="670" w:type="dxa"/>
            <w:hideMark/>
          </w:tcPr>
          <w:p>
            <w:pPr>
              <w:rPr>
                <w:noProof/>
                <w:sz w:val="18"/>
              </w:rPr>
            </w:pPr>
            <w:r>
              <w:rPr>
                <w:noProof/>
                <w:sz w:val="18"/>
              </w:rPr>
              <w:t>1,5</w:t>
            </w:r>
          </w:p>
        </w:tc>
        <w:tc>
          <w:tcPr>
            <w:tcW w:w="912" w:type="dxa"/>
            <w:hideMark/>
          </w:tcPr>
          <w:p>
            <w:pPr>
              <w:rPr>
                <w:b/>
                <w:bCs/>
                <w:noProof/>
                <w:sz w:val="18"/>
              </w:rPr>
            </w:pPr>
            <w:r>
              <w:rPr>
                <w:b/>
                <w:bCs/>
                <w:noProof/>
                <w:sz w:val="18"/>
              </w:rPr>
              <w:t xml:space="preserve"> </w:t>
            </w:r>
          </w:p>
        </w:tc>
      </w:tr>
      <w:tr>
        <w:trPr>
          <w:trHeight w:val="51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Τεχνικές επιθεωρήσεις και έλεγχοι (μέτρια πολυπλοκότητα)</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0,3</w:t>
            </w:r>
          </w:p>
        </w:tc>
        <w:tc>
          <w:tcPr>
            <w:tcW w:w="668" w:type="dxa"/>
            <w:hideMark/>
          </w:tcPr>
          <w:p>
            <w:pPr>
              <w:rPr>
                <w:noProof/>
                <w:sz w:val="18"/>
              </w:rPr>
            </w:pPr>
            <w:r>
              <w:rPr>
                <w:noProof/>
                <w:sz w:val="18"/>
              </w:rPr>
              <w:t>0</w:t>
            </w:r>
          </w:p>
        </w:tc>
        <w:tc>
          <w:tcPr>
            <w:tcW w:w="750" w:type="dxa"/>
            <w:hideMark/>
          </w:tcPr>
          <w:p>
            <w:pPr>
              <w:rPr>
                <w:noProof/>
                <w:sz w:val="18"/>
              </w:rPr>
            </w:pPr>
            <w:r>
              <w:rPr>
                <w:noProof/>
                <w:sz w:val="18"/>
              </w:rPr>
              <w:t>7</w:t>
            </w:r>
          </w:p>
        </w:tc>
        <w:tc>
          <w:tcPr>
            <w:tcW w:w="671" w:type="dxa"/>
            <w:hideMark/>
          </w:tcPr>
          <w:p>
            <w:pPr>
              <w:rPr>
                <w:noProof/>
                <w:sz w:val="18"/>
              </w:rPr>
            </w:pPr>
            <w:r>
              <w:rPr>
                <w:noProof/>
                <w:sz w:val="18"/>
              </w:rPr>
              <w:t>0,3</w:t>
            </w:r>
          </w:p>
        </w:tc>
        <w:tc>
          <w:tcPr>
            <w:tcW w:w="670" w:type="dxa"/>
            <w:hideMark/>
          </w:tcPr>
          <w:p>
            <w:pPr>
              <w:rPr>
                <w:noProof/>
                <w:sz w:val="18"/>
              </w:rPr>
            </w:pPr>
            <w:r>
              <w:rPr>
                <w:noProof/>
                <w:sz w:val="18"/>
              </w:rPr>
              <w:t>2,1</w:t>
            </w:r>
          </w:p>
        </w:tc>
        <w:tc>
          <w:tcPr>
            <w:tcW w:w="750" w:type="dxa"/>
            <w:hideMark/>
          </w:tcPr>
          <w:p>
            <w:pPr>
              <w:rPr>
                <w:noProof/>
                <w:sz w:val="18"/>
              </w:rPr>
            </w:pPr>
            <w:r>
              <w:rPr>
                <w:noProof/>
                <w:sz w:val="18"/>
              </w:rPr>
              <w:t>13</w:t>
            </w:r>
          </w:p>
        </w:tc>
        <w:tc>
          <w:tcPr>
            <w:tcW w:w="671" w:type="dxa"/>
            <w:hideMark/>
          </w:tcPr>
          <w:p>
            <w:pPr>
              <w:rPr>
                <w:noProof/>
                <w:sz w:val="18"/>
              </w:rPr>
            </w:pPr>
            <w:r>
              <w:rPr>
                <w:noProof/>
                <w:sz w:val="18"/>
              </w:rPr>
              <w:t>0,3</w:t>
            </w:r>
          </w:p>
        </w:tc>
        <w:tc>
          <w:tcPr>
            <w:tcW w:w="670" w:type="dxa"/>
            <w:hideMark/>
          </w:tcPr>
          <w:p>
            <w:pPr>
              <w:rPr>
                <w:noProof/>
                <w:sz w:val="18"/>
              </w:rPr>
            </w:pPr>
            <w:r>
              <w:rPr>
                <w:noProof/>
                <w:sz w:val="18"/>
              </w:rPr>
              <w:t>3,9</w:t>
            </w:r>
          </w:p>
        </w:tc>
        <w:tc>
          <w:tcPr>
            <w:tcW w:w="750" w:type="dxa"/>
            <w:hideMark/>
          </w:tcPr>
          <w:p>
            <w:pPr>
              <w:rPr>
                <w:noProof/>
                <w:sz w:val="18"/>
              </w:rPr>
            </w:pPr>
            <w:r>
              <w:rPr>
                <w:noProof/>
                <w:sz w:val="18"/>
              </w:rPr>
              <w:t>13</w:t>
            </w:r>
          </w:p>
        </w:tc>
        <w:tc>
          <w:tcPr>
            <w:tcW w:w="671" w:type="dxa"/>
            <w:hideMark/>
          </w:tcPr>
          <w:p>
            <w:pPr>
              <w:rPr>
                <w:noProof/>
                <w:sz w:val="18"/>
              </w:rPr>
            </w:pPr>
            <w:r>
              <w:rPr>
                <w:noProof/>
                <w:sz w:val="18"/>
              </w:rPr>
              <w:t>0,3</w:t>
            </w:r>
          </w:p>
        </w:tc>
        <w:tc>
          <w:tcPr>
            <w:tcW w:w="670" w:type="dxa"/>
            <w:hideMark/>
          </w:tcPr>
          <w:p>
            <w:pPr>
              <w:rPr>
                <w:noProof/>
                <w:sz w:val="18"/>
              </w:rPr>
            </w:pPr>
            <w:r>
              <w:rPr>
                <w:noProof/>
                <w:sz w:val="18"/>
              </w:rPr>
              <w:t>3,9</w:t>
            </w:r>
          </w:p>
        </w:tc>
        <w:tc>
          <w:tcPr>
            <w:tcW w:w="750" w:type="dxa"/>
            <w:hideMark/>
          </w:tcPr>
          <w:p>
            <w:pPr>
              <w:rPr>
                <w:noProof/>
                <w:sz w:val="18"/>
              </w:rPr>
            </w:pPr>
            <w:r>
              <w:rPr>
                <w:noProof/>
                <w:sz w:val="18"/>
              </w:rPr>
              <w:t>13</w:t>
            </w:r>
          </w:p>
        </w:tc>
        <w:tc>
          <w:tcPr>
            <w:tcW w:w="671" w:type="dxa"/>
            <w:hideMark/>
          </w:tcPr>
          <w:p>
            <w:pPr>
              <w:rPr>
                <w:noProof/>
                <w:sz w:val="18"/>
              </w:rPr>
            </w:pPr>
            <w:r>
              <w:rPr>
                <w:noProof/>
                <w:sz w:val="18"/>
              </w:rPr>
              <w:t>0,3</w:t>
            </w:r>
          </w:p>
        </w:tc>
        <w:tc>
          <w:tcPr>
            <w:tcW w:w="670" w:type="dxa"/>
            <w:hideMark/>
          </w:tcPr>
          <w:p>
            <w:pPr>
              <w:rPr>
                <w:noProof/>
                <w:sz w:val="18"/>
              </w:rPr>
            </w:pPr>
            <w:r>
              <w:rPr>
                <w:noProof/>
                <w:sz w:val="18"/>
              </w:rPr>
              <w:t>3,9</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Διαβουλεύσεις για κατευθυντήριες γραμμές</w:t>
            </w:r>
          </w:p>
        </w:tc>
        <w:tc>
          <w:tcPr>
            <w:tcW w:w="750" w:type="dxa"/>
            <w:hideMark/>
          </w:tcPr>
          <w:p>
            <w:pPr>
              <w:rPr>
                <w:noProof/>
                <w:sz w:val="18"/>
              </w:rPr>
            </w:pPr>
            <w:r>
              <w:rPr>
                <w:noProof/>
                <w:sz w:val="18"/>
              </w:rPr>
              <w:t>2</w:t>
            </w:r>
          </w:p>
        </w:tc>
        <w:tc>
          <w:tcPr>
            <w:tcW w:w="671" w:type="dxa"/>
            <w:hideMark/>
          </w:tcPr>
          <w:p>
            <w:pPr>
              <w:rPr>
                <w:noProof/>
                <w:sz w:val="18"/>
              </w:rPr>
            </w:pPr>
            <w:r>
              <w:rPr>
                <w:noProof/>
                <w:sz w:val="18"/>
              </w:rPr>
              <w:t>0,005</w:t>
            </w:r>
          </w:p>
        </w:tc>
        <w:tc>
          <w:tcPr>
            <w:tcW w:w="668" w:type="dxa"/>
            <w:hideMark/>
          </w:tcPr>
          <w:p>
            <w:pPr>
              <w:rPr>
                <w:noProof/>
                <w:sz w:val="18"/>
              </w:rPr>
            </w:pPr>
            <w:r>
              <w:rPr>
                <w:noProof/>
                <w:sz w:val="18"/>
              </w:rPr>
              <w:t>0,01</w:t>
            </w:r>
          </w:p>
        </w:tc>
        <w:tc>
          <w:tcPr>
            <w:tcW w:w="750" w:type="dxa"/>
            <w:hideMark/>
          </w:tcPr>
          <w:p>
            <w:pPr>
              <w:rPr>
                <w:noProof/>
                <w:sz w:val="18"/>
              </w:rPr>
            </w:pPr>
            <w:r>
              <w:rPr>
                <w:noProof/>
                <w:sz w:val="18"/>
              </w:rPr>
              <w:t>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w:t>
            </w:r>
          </w:p>
        </w:tc>
        <w:tc>
          <w:tcPr>
            <w:tcW w:w="750" w:type="dxa"/>
            <w:hideMark/>
          </w:tcPr>
          <w:p>
            <w:pPr>
              <w:rPr>
                <w:noProof/>
                <w:sz w:val="18"/>
              </w:rPr>
            </w:pPr>
            <w:r>
              <w:rPr>
                <w:noProof/>
                <w:sz w:val="18"/>
              </w:rPr>
              <w:t>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w:t>
            </w:r>
          </w:p>
        </w:tc>
        <w:tc>
          <w:tcPr>
            <w:tcW w:w="750" w:type="dxa"/>
            <w:hideMark/>
          </w:tcPr>
          <w:p>
            <w:pPr>
              <w:rPr>
                <w:noProof/>
                <w:sz w:val="18"/>
              </w:rPr>
            </w:pPr>
            <w:r>
              <w:rPr>
                <w:noProof/>
                <w:sz w:val="18"/>
              </w:rPr>
              <w:t>3</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0,015</w:t>
            </w:r>
          </w:p>
        </w:tc>
        <w:tc>
          <w:tcPr>
            <w:tcW w:w="750" w:type="dxa"/>
            <w:hideMark/>
          </w:tcPr>
          <w:p>
            <w:pPr>
              <w:rPr>
                <w:noProof/>
                <w:sz w:val="18"/>
              </w:rPr>
            </w:pPr>
            <w:r>
              <w:rPr>
                <w:noProof/>
                <w:sz w:val="18"/>
              </w:rPr>
              <w:t>3</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0,015</w:t>
            </w:r>
          </w:p>
        </w:tc>
        <w:tc>
          <w:tcPr>
            <w:tcW w:w="912" w:type="dxa"/>
            <w:hideMark/>
          </w:tcPr>
          <w:p>
            <w:pPr>
              <w:rPr>
                <w:b/>
                <w:bCs/>
                <w:noProof/>
                <w:sz w:val="18"/>
              </w:rPr>
            </w:pPr>
            <w:r>
              <w:rPr>
                <w:b/>
                <w:bCs/>
                <w:noProof/>
                <w:sz w:val="18"/>
              </w:rPr>
              <w:t xml:space="preserve"> </w:t>
            </w:r>
          </w:p>
        </w:tc>
      </w:tr>
      <w:tr>
        <w:trPr>
          <w:trHeight w:val="51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Διαβουλεύσεις για πλαίσια εκτίμησης κινδύνων</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0,005</w:t>
            </w:r>
          </w:p>
        </w:tc>
        <w:tc>
          <w:tcPr>
            <w:tcW w:w="668" w:type="dxa"/>
            <w:hideMark/>
          </w:tcPr>
          <w:p>
            <w:pPr>
              <w:rPr>
                <w:noProof/>
                <w:sz w:val="18"/>
              </w:rPr>
            </w:pPr>
            <w:r>
              <w:rPr>
                <w:noProof/>
                <w:sz w:val="18"/>
              </w:rPr>
              <w:t>0</w:t>
            </w:r>
          </w:p>
        </w:tc>
        <w:tc>
          <w:tcPr>
            <w:tcW w:w="750" w:type="dxa"/>
            <w:hideMark/>
          </w:tcPr>
          <w:p>
            <w:pPr>
              <w:rPr>
                <w:noProof/>
                <w:sz w:val="18"/>
              </w:rPr>
            </w:pPr>
            <w:r>
              <w:rPr>
                <w:noProof/>
                <w:sz w:val="18"/>
              </w:rPr>
              <w:t>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w:t>
            </w:r>
          </w:p>
        </w:tc>
        <w:tc>
          <w:tcPr>
            <w:tcW w:w="750" w:type="dxa"/>
            <w:hideMark/>
          </w:tcPr>
          <w:p>
            <w:pPr>
              <w:rPr>
                <w:noProof/>
                <w:sz w:val="18"/>
              </w:rPr>
            </w:pPr>
            <w:r>
              <w:rPr>
                <w:noProof/>
                <w:sz w:val="18"/>
              </w:rPr>
              <w:t>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w:t>
            </w:r>
          </w:p>
        </w:tc>
        <w:tc>
          <w:tcPr>
            <w:tcW w:w="750" w:type="dxa"/>
            <w:hideMark/>
          </w:tcPr>
          <w:p>
            <w:pPr>
              <w:rPr>
                <w:noProof/>
                <w:sz w:val="18"/>
              </w:rPr>
            </w:pPr>
            <w:r>
              <w:rPr>
                <w:noProof/>
                <w:sz w:val="18"/>
              </w:rPr>
              <w:t>1</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0,005</w:t>
            </w:r>
          </w:p>
        </w:tc>
        <w:tc>
          <w:tcPr>
            <w:tcW w:w="750" w:type="dxa"/>
            <w:hideMark/>
          </w:tcPr>
          <w:p>
            <w:pPr>
              <w:rPr>
                <w:noProof/>
                <w:sz w:val="18"/>
              </w:rPr>
            </w:pPr>
            <w:r>
              <w:rPr>
                <w:noProof/>
                <w:sz w:val="18"/>
              </w:rPr>
              <w:t>1</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0,005</w:t>
            </w:r>
          </w:p>
        </w:tc>
        <w:tc>
          <w:tcPr>
            <w:tcW w:w="912" w:type="dxa"/>
            <w:hideMark/>
          </w:tcPr>
          <w:p>
            <w:pPr>
              <w:rPr>
                <w:b/>
                <w:bCs/>
                <w:noProof/>
                <w:sz w:val="18"/>
              </w:rPr>
            </w:pPr>
            <w:r>
              <w:rPr>
                <w:b/>
                <w:bCs/>
                <w:noProof/>
                <w:sz w:val="18"/>
              </w:rPr>
              <w:t xml:space="preserve"> </w:t>
            </w:r>
          </w:p>
        </w:tc>
      </w:tr>
      <w:tr>
        <w:trPr>
          <w:trHeight w:val="51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Διαβουλεύσεις για εκτελεστικές και κατ’ εξουσιοδότηση πράξεις</w:t>
            </w:r>
          </w:p>
        </w:tc>
        <w:tc>
          <w:tcPr>
            <w:tcW w:w="750" w:type="dxa"/>
            <w:hideMark/>
          </w:tcPr>
          <w:p>
            <w:pPr>
              <w:rPr>
                <w:noProof/>
                <w:sz w:val="18"/>
              </w:rPr>
            </w:pPr>
            <w:r>
              <w:rPr>
                <w:noProof/>
                <w:sz w:val="18"/>
              </w:rPr>
              <w:t>3</w:t>
            </w:r>
          </w:p>
        </w:tc>
        <w:tc>
          <w:tcPr>
            <w:tcW w:w="671" w:type="dxa"/>
            <w:hideMark/>
          </w:tcPr>
          <w:p>
            <w:pPr>
              <w:rPr>
                <w:noProof/>
                <w:sz w:val="18"/>
              </w:rPr>
            </w:pPr>
            <w:r>
              <w:rPr>
                <w:noProof/>
                <w:sz w:val="18"/>
              </w:rPr>
              <w:t>0,005</w:t>
            </w:r>
          </w:p>
        </w:tc>
        <w:tc>
          <w:tcPr>
            <w:tcW w:w="668" w:type="dxa"/>
            <w:hideMark/>
          </w:tcPr>
          <w:p>
            <w:pPr>
              <w:rPr>
                <w:noProof/>
                <w:sz w:val="18"/>
              </w:rPr>
            </w:pPr>
            <w:r>
              <w:rPr>
                <w:noProof/>
                <w:sz w:val="18"/>
              </w:rPr>
              <w:t>0,015</w:t>
            </w:r>
          </w:p>
        </w:tc>
        <w:tc>
          <w:tcPr>
            <w:tcW w:w="750" w:type="dxa"/>
            <w:hideMark/>
          </w:tcPr>
          <w:p>
            <w:pPr>
              <w:rPr>
                <w:noProof/>
                <w:sz w:val="18"/>
              </w:rPr>
            </w:pPr>
            <w:r>
              <w:rPr>
                <w:noProof/>
                <w:sz w:val="18"/>
              </w:rPr>
              <w:t>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0,005</w:t>
            </w:r>
          </w:p>
        </w:tc>
        <w:tc>
          <w:tcPr>
            <w:tcW w:w="670" w:type="dxa"/>
            <w:hideMark/>
          </w:tcPr>
          <w:p>
            <w:pPr>
              <w:rPr>
                <w:noProof/>
                <w:sz w:val="18"/>
              </w:rPr>
            </w:pPr>
            <w:r>
              <w:rPr>
                <w:noProof/>
                <w:sz w:val="18"/>
              </w:rPr>
              <w:t>0</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0,005</w:t>
            </w:r>
          </w:p>
        </w:tc>
        <w:tc>
          <w:tcPr>
            <w:tcW w:w="670" w:type="dxa"/>
            <w:hideMark/>
          </w:tcPr>
          <w:p>
            <w:pPr>
              <w:rPr>
                <w:noProof/>
                <w:sz w:val="18"/>
              </w:rPr>
            </w:pPr>
            <w:r>
              <w:rPr>
                <w:noProof/>
                <w:sz w:val="18"/>
              </w:rPr>
              <w:t>0</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0,005</w:t>
            </w:r>
          </w:p>
        </w:tc>
        <w:tc>
          <w:tcPr>
            <w:tcW w:w="670" w:type="dxa"/>
            <w:hideMark/>
          </w:tcPr>
          <w:p>
            <w:pPr>
              <w:rPr>
                <w:noProof/>
                <w:sz w:val="18"/>
              </w:rPr>
            </w:pPr>
            <w:r>
              <w:rPr>
                <w:noProof/>
                <w:sz w:val="18"/>
              </w:rPr>
              <w:t>0</w:t>
            </w:r>
          </w:p>
        </w:tc>
        <w:tc>
          <w:tcPr>
            <w:tcW w:w="912" w:type="dxa"/>
            <w:hideMark/>
          </w:tcPr>
          <w:p>
            <w:pPr>
              <w:rPr>
                <w:b/>
                <w:bCs/>
                <w:noProof/>
                <w:sz w:val="18"/>
              </w:rPr>
            </w:pPr>
            <w:r>
              <w:rPr>
                <w:b/>
                <w:bCs/>
                <w:noProof/>
                <w:sz w:val="18"/>
              </w:rPr>
              <w:t xml:space="preserve"> </w:t>
            </w:r>
          </w:p>
        </w:tc>
      </w:tr>
      <w:tr>
        <w:trPr>
          <w:trHeight w:val="51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Επικοινωνία και στήριξη συμμετοχής ενδιαφερόμενων μερών</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0,2</w:t>
            </w:r>
          </w:p>
        </w:tc>
        <w:tc>
          <w:tcPr>
            <w:tcW w:w="668" w:type="dxa"/>
            <w:hideMark/>
          </w:tcPr>
          <w:p>
            <w:pPr>
              <w:rPr>
                <w:noProof/>
                <w:sz w:val="18"/>
              </w:rPr>
            </w:pPr>
            <w:r>
              <w:rPr>
                <w:noProof/>
                <w:sz w:val="18"/>
              </w:rPr>
              <w:t>0</w:t>
            </w:r>
          </w:p>
        </w:tc>
        <w:tc>
          <w:tcPr>
            <w:tcW w:w="750" w:type="dxa"/>
            <w:hideMark/>
          </w:tcPr>
          <w:p>
            <w:pPr>
              <w:rPr>
                <w:noProof/>
                <w:sz w:val="18"/>
              </w:rPr>
            </w:pPr>
            <w:r>
              <w:rPr>
                <w:noProof/>
                <w:sz w:val="18"/>
              </w:rPr>
              <w:t>1</w:t>
            </w:r>
          </w:p>
        </w:tc>
        <w:tc>
          <w:tcPr>
            <w:tcW w:w="671" w:type="dxa"/>
            <w:hideMark/>
          </w:tcPr>
          <w:p>
            <w:pPr>
              <w:rPr>
                <w:noProof/>
                <w:sz w:val="18"/>
              </w:rPr>
            </w:pPr>
            <w:r>
              <w:rPr>
                <w:noProof/>
                <w:sz w:val="18"/>
              </w:rPr>
              <w:t>0,2</w:t>
            </w:r>
          </w:p>
        </w:tc>
        <w:tc>
          <w:tcPr>
            <w:tcW w:w="670" w:type="dxa"/>
            <w:hideMark/>
          </w:tcPr>
          <w:p>
            <w:pPr>
              <w:rPr>
                <w:noProof/>
                <w:sz w:val="18"/>
              </w:rPr>
            </w:pPr>
            <w:r>
              <w:rPr>
                <w:noProof/>
                <w:sz w:val="18"/>
              </w:rPr>
              <w:t>0,2</w:t>
            </w:r>
          </w:p>
        </w:tc>
        <w:tc>
          <w:tcPr>
            <w:tcW w:w="750" w:type="dxa"/>
            <w:hideMark/>
          </w:tcPr>
          <w:p>
            <w:pPr>
              <w:rPr>
                <w:noProof/>
                <w:sz w:val="18"/>
              </w:rPr>
            </w:pPr>
            <w:r>
              <w:rPr>
                <w:noProof/>
                <w:sz w:val="18"/>
              </w:rPr>
              <w:t>1</w:t>
            </w:r>
          </w:p>
        </w:tc>
        <w:tc>
          <w:tcPr>
            <w:tcW w:w="671" w:type="dxa"/>
            <w:hideMark/>
          </w:tcPr>
          <w:p>
            <w:pPr>
              <w:rPr>
                <w:noProof/>
                <w:sz w:val="18"/>
              </w:rPr>
            </w:pPr>
            <w:r>
              <w:rPr>
                <w:noProof/>
                <w:sz w:val="18"/>
              </w:rPr>
              <w:t>0,2</w:t>
            </w:r>
          </w:p>
        </w:tc>
        <w:tc>
          <w:tcPr>
            <w:tcW w:w="670" w:type="dxa"/>
            <w:hideMark/>
          </w:tcPr>
          <w:p>
            <w:pPr>
              <w:rPr>
                <w:noProof/>
                <w:sz w:val="18"/>
              </w:rPr>
            </w:pPr>
            <w:r>
              <w:rPr>
                <w:noProof/>
                <w:sz w:val="18"/>
              </w:rPr>
              <w:t>0,2</w:t>
            </w:r>
          </w:p>
        </w:tc>
        <w:tc>
          <w:tcPr>
            <w:tcW w:w="750" w:type="dxa"/>
            <w:hideMark/>
          </w:tcPr>
          <w:p>
            <w:pPr>
              <w:rPr>
                <w:noProof/>
                <w:sz w:val="18"/>
              </w:rPr>
            </w:pPr>
            <w:r>
              <w:rPr>
                <w:noProof/>
                <w:sz w:val="18"/>
              </w:rPr>
              <w:t>1</w:t>
            </w:r>
          </w:p>
        </w:tc>
        <w:tc>
          <w:tcPr>
            <w:tcW w:w="671" w:type="dxa"/>
            <w:hideMark/>
          </w:tcPr>
          <w:p>
            <w:pPr>
              <w:rPr>
                <w:noProof/>
                <w:sz w:val="18"/>
              </w:rPr>
            </w:pPr>
            <w:r>
              <w:rPr>
                <w:noProof/>
                <w:sz w:val="18"/>
              </w:rPr>
              <w:t>0,2</w:t>
            </w:r>
          </w:p>
        </w:tc>
        <w:tc>
          <w:tcPr>
            <w:tcW w:w="670" w:type="dxa"/>
            <w:hideMark/>
          </w:tcPr>
          <w:p>
            <w:pPr>
              <w:rPr>
                <w:noProof/>
                <w:sz w:val="18"/>
              </w:rPr>
            </w:pPr>
            <w:r>
              <w:rPr>
                <w:noProof/>
                <w:sz w:val="18"/>
              </w:rPr>
              <w:t>0,2</w:t>
            </w:r>
          </w:p>
        </w:tc>
        <w:tc>
          <w:tcPr>
            <w:tcW w:w="750" w:type="dxa"/>
            <w:hideMark/>
          </w:tcPr>
          <w:p>
            <w:pPr>
              <w:rPr>
                <w:noProof/>
                <w:sz w:val="18"/>
              </w:rPr>
            </w:pPr>
            <w:r>
              <w:rPr>
                <w:noProof/>
                <w:sz w:val="18"/>
              </w:rPr>
              <w:t>1</w:t>
            </w:r>
          </w:p>
        </w:tc>
        <w:tc>
          <w:tcPr>
            <w:tcW w:w="671" w:type="dxa"/>
            <w:hideMark/>
          </w:tcPr>
          <w:p>
            <w:pPr>
              <w:rPr>
                <w:noProof/>
                <w:sz w:val="18"/>
              </w:rPr>
            </w:pPr>
            <w:r>
              <w:rPr>
                <w:noProof/>
                <w:sz w:val="18"/>
              </w:rPr>
              <w:t>0,2</w:t>
            </w:r>
          </w:p>
        </w:tc>
        <w:tc>
          <w:tcPr>
            <w:tcW w:w="670" w:type="dxa"/>
            <w:hideMark/>
          </w:tcPr>
          <w:p>
            <w:pPr>
              <w:rPr>
                <w:noProof/>
                <w:sz w:val="18"/>
              </w:rPr>
            </w:pPr>
            <w:r>
              <w:rPr>
                <w:noProof/>
                <w:sz w:val="18"/>
              </w:rPr>
              <w:t>0,2</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noProof/>
                <w:sz w:val="18"/>
              </w:rPr>
            </w:pPr>
            <w:r>
              <w:rPr>
                <w:noProof/>
                <w:sz w:val="18"/>
              </w:rPr>
              <w:t xml:space="preserve"> </w:t>
            </w:r>
          </w:p>
        </w:tc>
        <w:tc>
          <w:tcPr>
            <w:tcW w:w="1998" w:type="dxa"/>
            <w:hideMark/>
          </w:tcPr>
          <w:p>
            <w:pPr>
              <w:rPr>
                <w:b/>
                <w:bCs/>
                <w:noProof/>
                <w:sz w:val="18"/>
              </w:rPr>
            </w:pPr>
            <w:r>
              <w:rPr>
                <w:b/>
                <w:bCs/>
                <w:noProof/>
                <w:sz w:val="18"/>
              </w:rPr>
              <w:t>ΜΕΡΙΚΟ ΣΥΝΟΛΟ</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 xml:space="preserve"> </w:t>
            </w:r>
          </w:p>
        </w:tc>
        <w:tc>
          <w:tcPr>
            <w:tcW w:w="668" w:type="dxa"/>
            <w:hideMark/>
          </w:tcPr>
          <w:p>
            <w:pPr>
              <w:rPr>
                <w:b/>
                <w:bCs/>
                <w:noProof/>
                <w:sz w:val="18"/>
              </w:rPr>
            </w:pPr>
            <w:r>
              <w:rPr>
                <w:b/>
                <w:bCs/>
                <w:noProof/>
                <w:sz w:val="18"/>
              </w:rPr>
              <w:t>2,55</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7,905</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14,42</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14,92</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14,92</w:t>
            </w:r>
          </w:p>
        </w:tc>
        <w:tc>
          <w:tcPr>
            <w:tcW w:w="912" w:type="dxa"/>
            <w:hideMark/>
          </w:tcPr>
          <w:p>
            <w:pPr>
              <w:rPr>
                <w:b/>
                <w:bCs/>
                <w:noProof/>
                <w:sz w:val="18"/>
              </w:rPr>
            </w:pPr>
            <w:r>
              <w:rPr>
                <w:b/>
                <w:bCs/>
                <w:noProof/>
                <w:sz w:val="18"/>
              </w:rPr>
              <w:t>54,715</w:t>
            </w:r>
          </w:p>
        </w:tc>
      </w:tr>
      <w:tr>
        <w:trPr>
          <w:trHeight w:val="900"/>
        </w:trPr>
        <w:tc>
          <w:tcPr>
            <w:tcW w:w="1425" w:type="dxa"/>
            <w:hideMark/>
          </w:tcPr>
          <w:p>
            <w:pPr>
              <w:rPr>
                <w:noProof/>
                <w:sz w:val="18"/>
              </w:rPr>
            </w:pPr>
            <w:r>
              <w:rPr>
                <w:noProof/>
                <w:sz w:val="18"/>
              </w:rPr>
              <w:t>Συστήματα πληροφοριών και διαχείρισης</w:t>
            </w:r>
          </w:p>
        </w:tc>
        <w:tc>
          <w:tcPr>
            <w:tcW w:w="1998" w:type="dxa"/>
            <w:hideMark/>
          </w:tcPr>
          <w:p>
            <w:pPr>
              <w:rPr>
                <w:noProof/>
                <w:sz w:val="18"/>
              </w:rPr>
            </w:pPr>
            <w:r>
              <w:rPr>
                <w:noProof/>
                <w:sz w:val="18"/>
              </w:rPr>
              <w:t>Ανάπτυξη ψηφιακών πλατφορμών εκκαθάρισης</w:t>
            </w:r>
          </w:p>
        </w:tc>
        <w:tc>
          <w:tcPr>
            <w:tcW w:w="750" w:type="dxa"/>
            <w:hideMark/>
          </w:tcPr>
          <w:p>
            <w:pPr>
              <w:rPr>
                <w:noProof/>
                <w:sz w:val="18"/>
              </w:rPr>
            </w:pPr>
            <w:r>
              <w:rPr>
                <w:noProof/>
                <w:sz w:val="18"/>
              </w:rPr>
              <w:t>1</w:t>
            </w:r>
          </w:p>
        </w:tc>
        <w:tc>
          <w:tcPr>
            <w:tcW w:w="671" w:type="dxa"/>
            <w:hideMark/>
          </w:tcPr>
          <w:p>
            <w:pPr>
              <w:rPr>
                <w:noProof/>
                <w:sz w:val="18"/>
              </w:rPr>
            </w:pPr>
            <w:r>
              <w:rPr>
                <w:noProof/>
                <w:sz w:val="18"/>
              </w:rPr>
              <w:t>2</w:t>
            </w:r>
          </w:p>
        </w:tc>
        <w:tc>
          <w:tcPr>
            <w:tcW w:w="668" w:type="dxa"/>
            <w:hideMark/>
          </w:tcPr>
          <w:p>
            <w:pPr>
              <w:rPr>
                <w:noProof/>
                <w:sz w:val="18"/>
              </w:rPr>
            </w:pPr>
            <w:r>
              <w:rPr>
                <w:noProof/>
                <w:sz w:val="18"/>
              </w:rPr>
              <w:t>2</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1</w:t>
            </w:r>
          </w:p>
        </w:tc>
        <w:tc>
          <w:tcPr>
            <w:tcW w:w="670" w:type="dxa"/>
            <w:hideMark/>
          </w:tcPr>
          <w:p>
            <w:pPr>
              <w:rPr>
                <w:noProof/>
                <w:sz w:val="18"/>
              </w:rPr>
            </w:pPr>
            <w:r>
              <w:rPr>
                <w:noProof/>
                <w:sz w:val="18"/>
              </w:rPr>
              <w:t>1</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1</w:t>
            </w:r>
          </w:p>
        </w:tc>
        <w:tc>
          <w:tcPr>
            <w:tcW w:w="670" w:type="dxa"/>
            <w:hideMark/>
          </w:tcPr>
          <w:p>
            <w:pPr>
              <w:rPr>
                <w:noProof/>
                <w:sz w:val="18"/>
              </w:rPr>
            </w:pPr>
            <w:r>
              <w:rPr>
                <w:noProof/>
                <w:sz w:val="18"/>
              </w:rPr>
              <w:t>1</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0,5</w:t>
            </w:r>
          </w:p>
        </w:tc>
        <w:tc>
          <w:tcPr>
            <w:tcW w:w="670" w:type="dxa"/>
            <w:hideMark/>
          </w:tcPr>
          <w:p>
            <w:pPr>
              <w:rPr>
                <w:noProof/>
                <w:sz w:val="18"/>
              </w:rPr>
            </w:pPr>
            <w:r>
              <w:rPr>
                <w:noProof/>
                <w:sz w:val="18"/>
              </w:rPr>
              <w:t>0,5</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0,5</w:t>
            </w:r>
          </w:p>
        </w:tc>
        <w:tc>
          <w:tcPr>
            <w:tcW w:w="670" w:type="dxa"/>
            <w:hideMark/>
          </w:tcPr>
          <w:p>
            <w:pPr>
              <w:rPr>
                <w:noProof/>
                <w:sz w:val="18"/>
              </w:rPr>
            </w:pPr>
            <w:r>
              <w:rPr>
                <w:noProof/>
                <w:sz w:val="18"/>
              </w:rPr>
              <w:t>0,5</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Συντήρηση</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0,001</w:t>
            </w:r>
          </w:p>
        </w:tc>
        <w:tc>
          <w:tcPr>
            <w:tcW w:w="668" w:type="dxa"/>
            <w:hideMark/>
          </w:tcPr>
          <w:p>
            <w:pPr>
              <w:rPr>
                <w:noProof/>
                <w:sz w:val="18"/>
              </w:rPr>
            </w:pPr>
            <w:r>
              <w:rPr>
                <w:noProof/>
                <w:sz w:val="18"/>
              </w:rPr>
              <w:t>0,001</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0,001</w:t>
            </w:r>
          </w:p>
        </w:tc>
        <w:tc>
          <w:tcPr>
            <w:tcW w:w="670" w:type="dxa"/>
            <w:hideMark/>
          </w:tcPr>
          <w:p>
            <w:pPr>
              <w:rPr>
                <w:noProof/>
                <w:sz w:val="18"/>
              </w:rPr>
            </w:pPr>
            <w:r>
              <w:rPr>
                <w:noProof/>
                <w:sz w:val="18"/>
              </w:rPr>
              <w:t>0,001</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0,002</w:t>
            </w:r>
          </w:p>
        </w:tc>
        <w:tc>
          <w:tcPr>
            <w:tcW w:w="670" w:type="dxa"/>
            <w:hideMark/>
          </w:tcPr>
          <w:p>
            <w:pPr>
              <w:rPr>
                <w:noProof/>
                <w:sz w:val="18"/>
              </w:rPr>
            </w:pPr>
            <w:r>
              <w:rPr>
                <w:noProof/>
                <w:sz w:val="18"/>
              </w:rPr>
              <w:t>0,002</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0,002</w:t>
            </w:r>
          </w:p>
        </w:tc>
        <w:tc>
          <w:tcPr>
            <w:tcW w:w="670" w:type="dxa"/>
            <w:hideMark/>
          </w:tcPr>
          <w:p>
            <w:pPr>
              <w:rPr>
                <w:noProof/>
                <w:sz w:val="18"/>
              </w:rPr>
            </w:pPr>
            <w:r>
              <w:rPr>
                <w:noProof/>
                <w:sz w:val="18"/>
              </w:rPr>
              <w:t>0,002</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0,002</w:t>
            </w:r>
          </w:p>
        </w:tc>
        <w:tc>
          <w:tcPr>
            <w:tcW w:w="670" w:type="dxa"/>
            <w:hideMark/>
          </w:tcPr>
          <w:p>
            <w:pPr>
              <w:rPr>
                <w:noProof/>
                <w:sz w:val="18"/>
              </w:rPr>
            </w:pPr>
            <w:r>
              <w:rPr>
                <w:noProof/>
                <w:sz w:val="18"/>
              </w:rPr>
              <w:t>0,002</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b/>
                <w:bCs/>
                <w:noProof/>
                <w:sz w:val="18"/>
              </w:rPr>
            </w:pPr>
            <w:r>
              <w:rPr>
                <w:b/>
                <w:bCs/>
                <w:noProof/>
                <w:sz w:val="18"/>
              </w:rPr>
              <w:t xml:space="preserve"> </w:t>
            </w:r>
          </w:p>
        </w:tc>
        <w:tc>
          <w:tcPr>
            <w:tcW w:w="1998" w:type="dxa"/>
            <w:hideMark/>
          </w:tcPr>
          <w:p>
            <w:pPr>
              <w:rPr>
                <w:b/>
                <w:bCs/>
                <w:noProof/>
                <w:sz w:val="18"/>
              </w:rPr>
            </w:pPr>
            <w:r>
              <w:rPr>
                <w:b/>
                <w:bCs/>
                <w:noProof/>
                <w:sz w:val="18"/>
              </w:rPr>
              <w:t>ΜΕΡΙΚΟ ΣΥΝΟΛΟ</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68" w:type="dxa"/>
            <w:hideMark/>
          </w:tcPr>
          <w:p>
            <w:pPr>
              <w:rPr>
                <w:b/>
                <w:bCs/>
                <w:noProof/>
                <w:sz w:val="18"/>
              </w:rPr>
            </w:pPr>
            <w:r>
              <w:rPr>
                <w:b/>
                <w:bCs/>
                <w:noProof/>
                <w:sz w:val="18"/>
              </w:rPr>
              <w:t>2,001</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1,001</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1,002</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0,502</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0,502</w:t>
            </w:r>
          </w:p>
        </w:tc>
        <w:tc>
          <w:tcPr>
            <w:tcW w:w="912" w:type="dxa"/>
            <w:hideMark/>
          </w:tcPr>
          <w:p>
            <w:pPr>
              <w:rPr>
                <w:b/>
                <w:bCs/>
                <w:noProof/>
                <w:sz w:val="18"/>
              </w:rPr>
            </w:pPr>
            <w:r>
              <w:rPr>
                <w:b/>
                <w:bCs/>
                <w:noProof/>
                <w:sz w:val="18"/>
              </w:rPr>
              <w:t>5,008</w:t>
            </w:r>
          </w:p>
        </w:tc>
      </w:tr>
      <w:tr>
        <w:trPr>
          <w:trHeight w:val="315"/>
        </w:trPr>
        <w:tc>
          <w:tcPr>
            <w:tcW w:w="1425" w:type="dxa"/>
            <w:noWrap/>
            <w:hideMark/>
          </w:tcPr>
          <w:p>
            <w:pPr>
              <w:rPr>
                <w:noProof/>
                <w:sz w:val="18"/>
              </w:rPr>
            </w:pPr>
            <w:r>
              <w:rPr>
                <w:noProof/>
                <w:sz w:val="18"/>
              </w:rPr>
              <w:t>ΜΕΡΙΚΟ ΣΥΝΟΛΟ δαπανών</w:t>
            </w:r>
          </w:p>
        </w:tc>
        <w:tc>
          <w:tcPr>
            <w:tcW w:w="1998" w:type="dxa"/>
            <w:hideMark/>
          </w:tcPr>
          <w:p>
            <w:pPr>
              <w:rPr>
                <w:b/>
                <w:bCs/>
                <w:noProof/>
                <w:sz w:val="18"/>
              </w:rPr>
            </w:pPr>
            <w:r>
              <w:rPr>
                <w:b/>
                <w:bCs/>
                <w:noProof/>
                <w:sz w:val="18"/>
              </w:rPr>
              <w:t xml:space="preserve"> </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68" w:type="dxa"/>
            <w:hideMark/>
          </w:tcPr>
          <w:p>
            <w:pPr>
              <w:rPr>
                <w:b/>
                <w:bCs/>
                <w:noProof/>
                <w:sz w:val="18"/>
              </w:rPr>
            </w:pPr>
            <w:r>
              <w:rPr>
                <w:b/>
                <w:bCs/>
                <w:noProof/>
                <w:sz w:val="18"/>
              </w:rPr>
              <w:t>4,691</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9,156</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15,697</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15,722</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15,747</w:t>
            </w:r>
          </w:p>
        </w:tc>
        <w:tc>
          <w:tcPr>
            <w:tcW w:w="912" w:type="dxa"/>
            <w:hideMark/>
          </w:tcPr>
          <w:p>
            <w:pPr>
              <w:rPr>
                <w:b/>
                <w:bCs/>
                <w:noProof/>
                <w:sz w:val="18"/>
              </w:rPr>
            </w:pPr>
            <w:r>
              <w:rPr>
                <w:b/>
                <w:bCs/>
                <w:noProof/>
                <w:sz w:val="18"/>
              </w:rPr>
              <w:t>61,013</w:t>
            </w:r>
          </w:p>
        </w:tc>
      </w:tr>
      <w:tr>
        <w:trPr>
          <w:trHeight w:val="315"/>
        </w:trPr>
        <w:tc>
          <w:tcPr>
            <w:tcW w:w="1425" w:type="dxa"/>
            <w:noWrap/>
            <w:hideMark/>
          </w:tcPr>
          <w:p>
            <w:pPr>
              <w:rPr>
                <w:noProof/>
                <w:sz w:val="18"/>
              </w:rPr>
            </w:pPr>
            <w:r>
              <w:rPr>
                <w:noProof/>
                <w:sz w:val="18"/>
              </w:rPr>
              <w:t>Προϋπολογισμός ανθρώπινων πόρων</w:t>
            </w:r>
          </w:p>
        </w:tc>
        <w:tc>
          <w:tcPr>
            <w:tcW w:w="1998" w:type="dxa"/>
            <w:hideMark/>
          </w:tcPr>
          <w:p>
            <w:pPr>
              <w:rPr>
                <w:noProof/>
                <w:sz w:val="18"/>
              </w:rPr>
            </w:pPr>
            <w:r>
              <w:rPr>
                <w:noProof/>
                <w:sz w:val="18"/>
              </w:rPr>
              <w:t xml:space="preserve"> </w:t>
            </w:r>
          </w:p>
        </w:tc>
        <w:tc>
          <w:tcPr>
            <w:tcW w:w="750" w:type="dxa"/>
            <w:noWrap/>
            <w:hideMark/>
          </w:tcPr>
          <w:p>
            <w:pPr>
              <w:rPr>
                <w:noProof/>
                <w:sz w:val="18"/>
              </w:rPr>
            </w:pPr>
            <w:r>
              <w:rPr>
                <w:noProof/>
                <w:sz w:val="18"/>
              </w:rPr>
              <w:t xml:space="preserve"> </w:t>
            </w:r>
          </w:p>
        </w:tc>
        <w:tc>
          <w:tcPr>
            <w:tcW w:w="671" w:type="dxa"/>
            <w:noWrap/>
            <w:hideMark/>
          </w:tcPr>
          <w:p>
            <w:pPr>
              <w:rPr>
                <w:noProof/>
                <w:sz w:val="18"/>
              </w:rPr>
            </w:pPr>
          </w:p>
        </w:tc>
        <w:tc>
          <w:tcPr>
            <w:tcW w:w="668" w:type="dxa"/>
            <w:noWrap/>
            <w:hideMark/>
          </w:tcPr>
          <w:p>
            <w:pPr>
              <w:rPr>
                <w:noProof/>
                <w:sz w:val="18"/>
              </w:rPr>
            </w:pPr>
            <w:r>
              <w:rPr>
                <w:noProof/>
                <w:sz w:val="18"/>
              </w:rPr>
              <w:t>0,750</w:t>
            </w:r>
          </w:p>
        </w:tc>
        <w:tc>
          <w:tcPr>
            <w:tcW w:w="750" w:type="dxa"/>
            <w:noWrap/>
            <w:hideMark/>
          </w:tcPr>
          <w:p>
            <w:pPr>
              <w:rPr>
                <w:noProof/>
                <w:sz w:val="18"/>
              </w:rPr>
            </w:pPr>
            <w:r>
              <w:rPr>
                <w:noProof/>
                <w:sz w:val="18"/>
              </w:rPr>
              <w:t xml:space="preserve"> </w:t>
            </w:r>
          </w:p>
        </w:tc>
        <w:tc>
          <w:tcPr>
            <w:tcW w:w="671" w:type="dxa"/>
            <w:noWrap/>
            <w:hideMark/>
          </w:tcPr>
          <w:p>
            <w:pPr>
              <w:rPr>
                <w:noProof/>
                <w:sz w:val="18"/>
              </w:rPr>
            </w:pPr>
            <w:r>
              <w:rPr>
                <w:noProof/>
                <w:sz w:val="18"/>
              </w:rPr>
              <w:t xml:space="preserve"> </w:t>
            </w:r>
          </w:p>
        </w:tc>
        <w:tc>
          <w:tcPr>
            <w:tcW w:w="670" w:type="dxa"/>
            <w:noWrap/>
            <w:hideMark/>
          </w:tcPr>
          <w:p>
            <w:pPr>
              <w:rPr>
                <w:noProof/>
                <w:sz w:val="18"/>
              </w:rPr>
            </w:pPr>
            <w:r>
              <w:rPr>
                <w:noProof/>
                <w:sz w:val="18"/>
              </w:rPr>
              <w:t>3,750</w:t>
            </w:r>
          </w:p>
        </w:tc>
        <w:tc>
          <w:tcPr>
            <w:tcW w:w="750" w:type="dxa"/>
            <w:noWrap/>
            <w:hideMark/>
          </w:tcPr>
          <w:p>
            <w:pPr>
              <w:rPr>
                <w:noProof/>
                <w:sz w:val="18"/>
              </w:rPr>
            </w:pPr>
            <w:r>
              <w:rPr>
                <w:noProof/>
                <w:sz w:val="18"/>
              </w:rPr>
              <w:t xml:space="preserve"> </w:t>
            </w:r>
          </w:p>
        </w:tc>
        <w:tc>
          <w:tcPr>
            <w:tcW w:w="671" w:type="dxa"/>
            <w:noWrap/>
            <w:hideMark/>
          </w:tcPr>
          <w:p>
            <w:pPr>
              <w:rPr>
                <w:noProof/>
                <w:sz w:val="18"/>
              </w:rPr>
            </w:pPr>
            <w:r>
              <w:rPr>
                <w:noProof/>
                <w:sz w:val="18"/>
              </w:rPr>
              <w:t xml:space="preserve"> </w:t>
            </w:r>
          </w:p>
        </w:tc>
        <w:tc>
          <w:tcPr>
            <w:tcW w:w="670" w:type="dxa"/>
            <w:noWrap/>
            <w:hideMark/>
          </w:tcPr>
          <w:p>
            <w:pPr>
              <w:rPr>
                <w:noProof/>
                <w:sz w:val="18"/>
              </w:rPr>
            </w:pPr>
            <w:r>
              <w:rPr>
                <w:noProof/>
                <w:sz w:val="18"/>
              </w:rPr>
              <w:t>6,295</w:t>
            </w:r>
          </w:p>
        </w:tc>
        <w:tc>
          <w:tcPr>
            <w:tcW w:w="750" w:type="dxa"/>
            <w:noWrap/>
            <w:hideMark/>
          </w:tcPr>
          <w:p>
            <w:pPr>
              <w:rPr>
                <w:noProof/>
                <w:sz w:val="18"/>
              </w:rPr>
            </w:pPr>
            <w:r>
              <w:rPr>
                <w:noProof/>
                <w:sz w:val="18"/>
              </w:rPr>
              <w:t xml:space="preserve"> </w:t>
            </w:r>
          </w:p>
        </w:tc>
        <w:tc>
          <w:tcPr>
            <w:tcW w:w="671" w:type="dxa"/>
            <w:noWrap/>
            <w:hideMark/>
          </w:tcPr>
          <w:p>
            <w:pPr>
              <w:rPr>
                <w:noProof/>
                <w:sz w:val="18"/>
              </w:rPr>
            </w:pPr>
            <w:r>
              <w:rPr>
                <w:noProof/>
                <w:sz w:val="18"/>
              </w:rPr>
              <w:t xml:space="preserve"> </w:t>
            </w:r>
          </w:p>
        </w:tc>
        <w:tc>
          <w:tcPr>
            <w:tcW w:w="670" w:type="dxa"/>
            <w:noWrap/>
            <w:hideMark/>
          </w:tcPr>
          <w:p>
            <w:pPr>
              <w:rPr>
                <w:noProof/>
                <w:sz w:val="18"/>
              </w:rPr>
            </w:pPr>
            <w:r>
              <w:rPr>
                <w:noProof/>
                <w:sz w:val="18"/>
              </w:rPr>
              <w:t>6,295</w:t>
            </w:r>
          </w:p>
        </w:tc>
        <w:tc>
          <w:tcPr>
            <w:tcW w:w="750" w:type="dxa"/>
            <w:noWrap/>
            <w:hideMark/>
          </w:tcPr>
          <w:p>
            <w:pPr>
              <w:rPr>
                <w:noProof/>
                <w:sz w:val="18"/>
              </w:rPr>
            </w:pPr>
            <w:r>
              <w:rPr>
                <w:noProof/>
                <w:sz w:val="18"/>
              </w:rPr>
              <w:t xml:space="preserve"> </w:t>
            </w:r>
          </w:p>
        </w:tc>
        <w:tc>
          <w:tcPr>
            <w:tcW w:w="671" w:type="dxa"/>
            <w:noWrap/>
            <w:hideMark/>
          </w:tcPr>
          <w:p>
            <w:pPr>
              <w:rPr>
                <w:noProof/>
                <w:sz w:val="18"/>
              </w:rPr>
            </w:pPr>
            <w:r>
              <w:rPr>
                <w:noProof/>
                <w:sz w:val="18"/>
              </w:rPr>
              <w:t xml:space="preserve"> </w:t>
            </w:r>
          </w:p>
        </w:tc>
        <w:tc>
          <w:tcPr>
            <w:tcW w:w="670" w:type="dxa"/>
            <w:noWrap/>
            <w:hideMark/>
          </w:tcPr>
          <w:p>
            <w:pPr>
              <w:rPr>
                <w:noProof/>
                <w:sz w:val="18"/>
              </w:rPr>
            </w:pPr>
            <w:r>
              <w:rPr>
                <w:noProof/>
                <w:sz w:val="18"/>
              </w:rPr>
              <w:t>6,295</w:t>
            </w:r>
          </w:p>
        </w:tc>
        <w:tc>
          <w:tcPr>
            <w:tcW w:w="912" w:type="dxa"/>
            <w:noWrap/>
            <w:hideMark/>
          </w:tcPr>
          <w:p>
            <w:pPr>
              <w:rPr>
                <w:b/>
                <w:bCs/>
                <w:noProof/>
                <w:sz w:val="18"/>
              </w:rPr>
            </w:pPr>
            <w:r>
              <w:rPr>
                <w:b/>
                <w:bCs/>
                <w:noProof/>
                <w:sz w:val="18"/>
              </w:rPr>
              <w:t>23,385</w:t>
            </w:r>
          </w:p>
        </w:tc>
      </w:tr>
      <w:tr>
        <w:trPr>
          <w:trHeight w:val="450"/>
        </w:trPr>
        <w:tc>
          <w:tcPr>
            <w:tcW w:w="1425" w:type="dxa"/>
            <w:noWrap/>
            <w:hideMark/>
          </w:tcPr>
          <w:p>
            <w:pPr>
              <w:rPr>
                <w:b/>
                <w:bCs/>
                <w:noProof/>
                <w:sz w:val="18"/>
              </w:rPr>
            </w:pPr>
            <w:r>
              <w:rPr>
                <w:b/>
                <w:bCs/>
                <w:noProof/>
                <w:sz w:val="18"/>
              </w:rPr>
              <w:t>ΓΕΝΙΚΟ ΣΥΝΟΛΟ</w:t>
            </w:r>
          </w:p>
        </w:tc>
        <w:tc>
          <w:tcPr>
            <w:tcW w:w="1998" w:type="dxa"/>
            <w:noWrap/>
            <w:hideMark/>
          </w:tcPr>
          <w:p>
            <w:pPr>
              <w:rPr>
                <w:b/>
                <w:bCs/>
                <w:noProof/>
                <w:sz w:val="18"/>
              </w:rPr>
            </w:pPr>
            <w:r>
              <w:rPr>
                <w:b/>
                <w:bCs/>
                <w:noProof/>
                <w:sz w:val="18"/>
                <w:vertAlign w:val="superscript"/>
              </w:rPr>
              <w:t xml:space="preserve"> </w:t>
            </w:r>
          </w:p>
        </w:tc>
        <w:tc>
          <w:tcPr>
            <w:tcW w:w="750" w:type="dxa"/>
            <w:noWrap/>
            <w:hideMark/>
          </w:tcPr>
          <w:p>
            <w:pPr>
              <w:rPr>
                <w:noProof/>
                <w:sz w:val="18"/>
              </w:rPr>
            </w:pPr>
            <w:r>
              <w:rPr>
                <w:noProof/>
                <w:sz w:val="18"/>
              </w:rPr>
              <w:t xml:space="preserve"> </w:t>
            </w:r>
          </w:p>
        </w:tc>
        <w:tc>
          <w:tcPr>
            <w:tcW w:w="671" w:type="dxa"/>
            <w:noWrap/>
            <w:hideMark/>
          </w:tcPr>
          <w:p>
            <w:pPr>
              <w:rPr>
                <w:noProof/>
                <w:sz w:val="18"/>
              </w:rPr>
            </w:pPr>
            <w:r>
              <w:rPr>
                <w:noProof/>
                <w:sz w:val="18"/>
              </w:rPr>
              <w:t xml:space="preserve"> </w:t>
            </w:r>
          </w:p>
        </w:tc>
        <w:tc>
          <w:tcPr>
            <w:tcW w:w="668" w:type="dxa"/>
            <w:noWrap/>
            <w:hideMark/>
          </w:tcPr>
          <w:p>
            <w:pPr>
              <w:rPr>
                <w:b/>
                <w:bCs/>
                <w:noProof/>
                <w:sz w:val="18"/>
              </w:rPr>
            </w:pPr>
            <w:r>
              <w:rPr>
                <w:b/>
                <w:bCs/>
                <w:noProof/>
                <w:sz w:val="18"/>
              </w:rPr>
              <w:t>5,441</w:t>
            </w:r>
          </w:p>
        </w:tc>
        <w:tc>
          <w:tcPr>
            <w:tcW w:w="750" w:type="dxa"/>
            <w:noWrap/>
            <w:hideMark/>
          </w:tcPr>
          <w:p>
            <w:pPr>
              <w:rPr>
                <w:b/>
                <w:bCs/>
                <w:noProof/>
                <w:sz w:val="18"/>
              </w:rPr>
            </w:pPr>
            <w:r>
              <w:rPr>
                <w:b/>
                <w:bCs/>
                <w:noProof/>
                <w:sz w:val="18"/>
              </w:rPr>
              <w:t xml:space="preserve"> </w:t>
            </w:r>
          </w:p>
        </w:tc>
        <w:tc>
          <w:tcPr>
            <w:tcW w:w="671" w:type="dxa"/>
            <w:noWrap/>
            <w:hideMark/>
          </w:tcPr>
          <w:p>
            <w:pPr>
              <w:rPr>
                <w:b/>
                <w:bCs/>
                <w:noProof/>
                <w:sz w:val="18"/>
              </w:rPr>
            </w:pPr>
            <w:r>
              <w:rPr>
                <w:b/>
                <w:bCs/>
                <w:noProof/>
                <w:sz w:val="18"/>
              </w:rPr>
              <w:t xml:space="preserve"> </w:t>
            </w:r>
          </w:p>
        </w:tc>
        <w:tc>
          <w:tcPr>
            <w:tcW w:w="670" w:type="dxa"/>
            <w:noWrap/>
            <w:hideMark/>
          </w:tcPr>
          <w:p>
            <w:pPr>
              <w:rPr>
                <w:b/>
                <w:bCs/>
                <w:noProof/>
                <w:sz w:val="18"/>
              </w:rPr>
            </w:pPr>
            <w:r>
              <w:rPr>
                <w:b/>
                <w:bCs/>
                <w:noProof/>
                <w:sz w:val="18"/>
              </w:rPr>
              <w:t>12,906</w:t>
            </w:r>
          </w:p>
        </w:tc>
        <w:tc>
          <w:tcPr>
            <w:tcW w:w="750" w:type="dxa"/>
            <w:noWrap/>
            <w:hideMark/>
          </w:tcPr>
          <w:p>
            <w:pPr>
              <w:rPr>
                <w:b/>
                <w:bCs/>
                <w:noProof/>
                <w:sz w:val="18"/>
              </w:rPr>
            </w:pPr>
            <w:r>
              <w:rPr>
                <w:b/>
                <w:bCs/>
                <w:noProof/>
                <w:sz w:val="18"/>
              </w:rPr>
              <w:t xml:space="preserve"> </w:t>
            </w:r>
          </w:p>
        </w:tc>
        <w:tc>
          <w:tcPr>
            <w:tcW w:w="671" w:type="dxa"/>
            <w:noWrap/>
            <w:hideMark/>
          </w:tcPr>
          <w:p>
            <w:pPr>
              <w:rPr>
                <w:b/>
                <w:bCs/>
                <w:noProof/>
                <w:sz w:val="18"/>
              </w:rPr>
            </w:pPr>
            <w:r>
              <w:rPr>
                <w:b/>
                <w:bCs/>
                <w:noProof/>
                <w:sz w:val="18"/>
              </w:rPr>
              <w:t xml:space="preserve"> </w:t>
            </w:r>
          </w:p>
        </w:tc>
        <w:tc>
          <w:tcPr>
            <w:tcW w:w="670" w:type="dxa"/>
            <w:noWrap/>
            <w:hideMark/>
          </w:tcPr>
          <w:p>
            <w:pPr>
              <w:rPr>
                <w:b/>
                <w:bCs/>
                <w:noProof/>
                <w:sz w:val="18"/>
              </w:rPr>
            </w:pPr>
            <w:r>
              <w:rPr>
                <w:b/>
                <w:bCs/>
                <w:noProof/>
                <w:sz w:val="18"/>
              </w:rPr>
              <w:t>21,992</w:t>
            </w:r>
          </w:p>
        </w:tc>
        <w:tc>
          <w:tcPr>
            <w:tcW w:w="750" w:type="dxa"/>
            <w:noWrap/>
            <w:hideMark/>
          </w:tcPr>
          <w:p>
            <w:pPr>
              <w:rPr>
                <w:b/>
                <w:bCs/>
                <w:noProof/>
                <w:sz w:val="18"/>
              </w:rPr>
            </w:pPr>
            <w:r>
              <w:rPr>
                <w:b/>
                <w:bCs/>
                <w:noProof/>
                <w:sz w:val="18"/>
              </w:rPr>
              <w:t xml:space="preserve"> </w:t>
            </w:r>
          </w:p>
        </w:tc>
        <w:tc>
          <w:tcPr>
            <w:tcW w:w="671" w:type="dxa"/>
            <w:noWrap/>
            <w:hideMark/>
          </w:tcPr>
          <w:p>
            <w:pPr>
              <w:rPr>
                <w:b/>
                <w:bCs/>
                <w:noProof/>
                <w:sz w:val="18"/>
              </w:rPr>
            </w:pPr>
            <w:r>
              <w:rPr>
                <w:b/>
                <w:bCs/>
                <w:noProof/>
                <w:sz w:val="18"/>
              </w:rPr>
              <w:t xml:space="preserve"> </w:t>
            </w:r>
          </w:p>
        </w:tc>
        <w:tc>
          <w:tcPr>
            <w:tcW w:w="670" w:type="dxa"/>
            <w:noWrap/>
            <w:hideMark/>
          </w:tcPr>
          <w:p>
            <w:pPr>
              <w:rPr>
                <w:b/>
                <w:bCs/>
                <w:noProof/>
                <w:sz w:val="18"/>
              </w:rPr>
            </w:pPr>
            <w:r>
              <w:rPr>
                <w:b/>
                <w:bCs/>
                <w:noProof/>
                <w:sz w:val="18"/>
              </w:rPr>
              <w:t>22,017</w:t>
            </w:r>
          </w:p>
        </w:tc>
        <w:tc>
          <w:tcPr>
            <w:tcW w:w="750" w:type="dxa"/>
            <w:noWrap/>
            <w:hideMark/>
          </w:tcPr>
          <w:p>
            <w:pPr>
              <w:rPr>
                <w:b/>
                <w:bCs/>
                <w:noProof/>
                <w:sz w:val="18"/>
              </w:rPr>
            </w:pPr>
            <w:r>
              <w:rPr>
                <w:b/>
                <w:bCs/>
                <w:noProof/>
                <w:sz w:val="18"/>
              </w:rPr>
              <w:t xml:space="preserve"> </w:t>
            </w:r>
          </w:p>
        </w:tc>
        <w:tc>
          <w:tcPr>
            <w:tcW w:w="671" w:type="dxa"/>
            <w:noWrap/>
            <w:hideMark/>
          </w:tcPr>
          <w:p>
            <w:pPr>
              <w:rPr>
                <w:b/>
                <w:bCs/>
                <w:noProof/>
                <w:sz w:val="18"/>
              </w:rPr>
            </w:pPr>
            <w:r>
              <w:rPr>
                <w:b/>
                <w:bCs/>
                <w:noProof/>
                <w:sz w:val="18"/>
              </w:rPr>
              <w:t xml:space="preserve"> </w:t>
            </w:r>
          </w:p>
        </w:tc>
        <w:tc>
          <w:tcPr>
            <w:tcW w:w="670" w:type="dxa"/>
            <w:noWrap/>
            <w:hideMark/>
          </w:tcPr>
          <w:p>
            <w:pPr>
              <w:rPr>
                <w:b/>
                <w:bCs/>
                <w:noProof/>
                <w:sz w:val="18"/>
              </w:rPr>
            </w:pPr>
            <w:r>
              <w:rPr>
                <w:b/>
                <w:bCs/>
                <w:noProof/>
                <w:sz w:val="18"/>
              </w:rPr>
              <w:t>22,042</w:t>
            </w:r>
          </w:p>
        </w:tc>
        <w:tc>
          <w:tcPr>
            <w:tcW w:w="912" w:type="dxa"/>
            <w:noWrap/>
            <w:hideMark/>
          </w:tcPr>
          <w:p>
            <w:pPr>
              <w:rPr>
                <w:b/>
                <w:bCs/>
                <w:noProof/>
                <w:sz w:val="18"/>
              </w:rPr>
            </w:pPr>
            <w:r>
              <w:rPr>
                <w:b/>
                <w:bCs/>
                <w:noProof/>
                <w:sz w:val="18"/>
              </w:rPr>
              <w:t>84,398</w:t>
            </w:r>
          </w:p>
        </w:tc>
      </w:tr>
    </w:tbl>
    <w:p>
      <w:pPr>
        <w:rPr>
          <w:noProof/>
          <w:sz w:val="18"/>
        </w:rPr>
      </w:pPr>
    </w:p>
    <w:p>
      <w:pPr>
        <w:rPr>
          <w:noProof/>
          <w:sz w:val="18"/>
        </w:rPr>
      </w:pPr>
    </w:p>
    <w:p>
      <w:pPr>
        <w:rPr>
          <w:noProof/>
          <w:sz w:val="18"/>
        </w:rPr>
      </w:pPr>
      <w:r>
        <w:rPr>
          <w:noProof/>
          <w:sz w:val="18"/>
        </w:rPr>
        <w:t>Οι απαιτούμενες πιστώσεις για ανθρώπινους πόρους και άλλες δαπάνες διοικητικού χαρακτήρα θα καλυφθούν από τις πιστώσεις της ΓΔ που έχουν ήδη διατεθεί για τη διαχείριση της δράσης και/ή έχουν ανακατανεμηθεί στο εσωτερικό της ΓΔ και οι οποίες θα συμπληρωθούν, κατά περίπτωση, με πρόσθετα κονδύλια που ενδέχεται να χορηγηθούν στην αρμόδια για τη διαχείριση ΓΔ στο πλαίσιο της ετήσιας διαδικασίας κατανομής και λαμβανομένων υπόψη των υφιστάμενων δημοσιονομικών περιορισμών.</w:t>
      </w:r>
    </w:p>
    <w:p>
      <w:pPr>
        <w:rPr>
          <w:noProof/>
        </w:rPr>
      </w:pPr>
    </w:p>
    <w:p>
      <w:pPr>
        <w:rPr>
          <w:noProof/>
        </w:rPr>
      </w:pPr>
    </w:p>
    <w:p>
      <w:pPr>
        <w:rPr>
          <w:noProof/>
        </w:rPr>
      </w:pPr>
    </w:p>
    <w:sectPr>
      <w:headerReference w:type="default" r:id="rId40"/>
      <w:footerReference w:type="default" r:id="rId41"/>
      <w:headerReference w:type="first" r:id="rId42"/>
      <w:footerReference w:type="first" r:id="rId43"/>
      <w:pgSz w:w="16840" w:h="11907" w:orient="landscape"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EL</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EL</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EL</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101</w:t>
    </w:r>
    <w:r>
      <w:fldChar w:fldCharType="end"/>
    </w:r>
    <w: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EL</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EL</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
      </w:pPr>
      <w:r>
        <w:rPr>
          <w:rStyle w:val="FootnoteReference"/>
        </w:rPr>
        <w:footnoteRef/>
      </w:r>
      <w:r>
        <w:tab/>
        <w:t>Οδηγία 2000/31/ΕΚ του Ευρωπαϊκού Κοινοβουλίου και του Συμβουλίου, της 8ης Ιουνίου 2000, για ορισμένες νομικές πτυχές των υπηρεσιών της κοινωνίας της πληροφορίας, ιδίως του ηλεκτρονικού εμπορίου, στην εσωτερική αγορά («οδηγία για το ηλεκτρονικό εμπόριο») (</w:t>
      </w:r>
      <w:hyperlink r:id="rId1" w:history="1">
        <w:r>
          <w:rPr>
            <w:rStyle w:val="Hyperlink"/>
          </w:rPr>
          <w:t>EE L 178 της 17.7.2000, σ. 1</w:t>
        </w:r>
      </w:hyperlink>
      <w:r>
        <w:t>).</w:t>
      </w:r>
    </w:p>
  </w:footnote>
  <w:footnote w:id="3">
    <w:p>
      <w:pPr>
        <w:pStyle w:val="Foot"/>
      </w:pPr>
      <w:r>
        <w:rPr>
          <w:rStyle w:val="FootnoteReference"/>
        </w:rPr>
        <w:footnoteRef/>
      </w:r>
      <w:r>
        <w:tab/>
      </w:r>
      <w:hyperlink r:id="rId2" w:history="1">
        <w:r>
          <w:rPr>
            <w:rStyle w:val="Hyperlink"/>
          </w:rPr>
          <w:t>https://eur-lex.europa.eu/legal-content/EL/TXT/PDF/?uri=CELEX:52020DC0067&amp;from=EN</w:t>
        </w:r>
      </w:hyperlink>
      <w:r>
        <w:t xml:space="preserve">. </w:t>
      </w:r>
    </w:p>
  </w:footnote>
  <w:footnote w:id="4">
    <w:p>
      <w:pPr>
        <w:pStyle w:val="Foot"/>
      </w:pPr>
      <w:r>
        <w:rPr>
          <w:rStyle w:val="FootnoteReference"/>
        </w:rPr>
        <w:footnoteRef/>
      </w:r>
      <w:r>
        <w:tab/>
        <w:t>Ευρωπαϊκό Κοινοβούλιο, ψήφισμα σχετικά με τη βελτίωση της λειτουργίας της ενιαίας αγοράς [2020/2018(INL)].</w:t>
      </w:r>
    </w:p>
  </w:footnote>
  <w:footnote w:id="5">
    <w:p>
      <w:pPr>
        <w:pStyle w:val="Foot"/>
      </w:pPr>
      <w:r>
        <w:rPr>
          <w:rStyle w:val="FootnoteReference"/>
        </w:rPr>
        <w:footnoteRef/>
      </w:r>
      <w:r>
        <w:tab/>
        <w:t>Ευρωπαϊκό Κοινοβούλιο, ψήφισμα σχετικά με την προσαρμογή των κανόνων εμπορικού και αστικού δικαίου για τις εμπορικές οντότητες που δραστηριοποιούνται στο διαδίκτυο [2020/2019(INL)].</w:t>
      </w:r>
    </w:p>
  </w:footnote>
  <w:footnote w:id="6">
    <w:p>
      <w:pPr>
        <w:pStyle w:val="Foot"/>
      </w:pPr>
      <w:r>
        <w:rPr>
          <w:rStyle w:val="FootnoteReference"/>
        </w:rPr>
        <w:footnoteRef/>
      </w:r>
      <w:r>
        <w:tab/>
        <w:t>Ευρωπαϊκό Κοινοβούλιο, ψήφισμα σχετικά με τον νόμο για τις ψηφιακές υπηρεσίες και τα σχετικά με τα θεμελιώδη δικαιώματα ζητήματα [2020/2022(INI)].</w:t>
      </w:r>
    </w:p>
  </w:footnote>
  <w:footnote w:id="7">
    <w:p>
      <w:pPr>
        <w:pStyle w:val="Foot"/>
      </w:pPr>
      <w:r>
        <w:rPr>
          <w:rStyle w:val="FootnoteReference"/>
        </w:rPr>
        <w:footnoteRef/>
      </w:r>
      <w:r>
        <w:tab/>
        <w:t xml:space="preserve">Συμπεράσματα του Συμβουλίου σχετικά με τη διαμόρφωση του ψηφιακού μέλλοντος της Ευρώπης, 8711/20 της 9ης Ιουνίου 2020, </w:t>
      </w:r>
      <w:hyperlink r:id="rId3" w:history="1">
        <w:r>
          <w:rPr>
            <w:rStyle w:val="Hyperlink"/>
          </w:rPr>
          <w:t>https://data.consilium.europa.eu/doc/document/ST-8711-2020-INIT/el/pdf</w:t>
        </w:r>
      </w:hyperlink>
      <w:r>
        <w:t xml:space="preserve">. </w:t>
      </w:r>
    </w:p>
  </w:footnote>
  <w:footnote w:id="8">
    <w:p>
      <w:pPr>
        <w:pStyle w:val="Foot"/>
      </w:pPr>
      <w:r>
        <w:rPr>
          <w:rStyle w:val="FootnoteReference"/>
        </w:rPr>
        <w:footnoteRef/>
      </w:r>
      <w:r>
        <w:tab/>
      </w:r>
      <w:hyperlink r:id="rId4" w:history="1">
        <w:r>
          <w:rPr>
            <w:rStyle w:val="Hyperlink"/>
          </w:rPr>
          <w:t>https://www.consilium.europa.eu/media/45920/021020-euco-final-conclusions-el.pdf</w:t>
        </w:r>
      </w:hyperlink>
      <w:r>
        <w:t xml:space="preserve">. </w:t>
      </w:r>
    </w:p>
  </w:footnote>
  <w:footnote w:id="9">
    <w:p>
      <w:pPr>
        <w:pStyle w:val="FootnoteText"/>
      </w:pPr>
      <w:r>
        <w:rPr>
          <w:rStyle w:val="FootnoteReference"/>
        </w:rPr>
        <w:footnoteRef/>
      </w:r>
      <w:r>
        <w:tab/>
        <w:t>Για παράδειγμα, απόφαση της 3ης Οκτωβρίου 2019, Glawischnig-Piesczek (C-18/18).</w:t>
      </w:r>
    </w:p>
  </w:footnote>
  <w:footnote w:id="10">
    <w:p>
      <w:pPr>
        <w:pStyle w:val="Foot"/>
      </w:pPr>
      <w:r>
        <w:rPr>
          <w:rStyle w:val="FootnoteReference"/>
        </w:rPr>
        <w:footnoteRef/>
      </w:r>
      <w:r>
        <w:tab/>
        <w:t>Σύσταση της Επιτροπής της 1.3.2018 σχετικά με μέτρα για την αποτελεσματική αντιμετώπιση του παράνομου περιεχομένου στο διαδίκτυο [C(2018) 1177 final].</w:t>
      </w:r>
    </w:p>
  </w:footnote>
  <w:footnote w:id="11">
    <w:p>
      <w:pPr>
        <w:pStyle w:val="Foot"/>
      </w:pPr>
      <w:r>
        <w:rPr>
          <w:rStyle w:val="FootnoteReference"/>
        </w:rPr>
        <w:footnoteRef/>
      </w:r>
      <w:r>
        <w:tab/>
      </w:r>
      <w:hyperlink r:id="rId5" w:history="1">
        <w:r>
          <w:rPr>
            <w:rStyle w:val="Hyperlink"/>
          </w:rPr>
          <w:t>https://ec.europa.eu/info/business-economy-euro/product-safety-and-requirements/product-safety/product-safety-pledge_el</w:t>
        </w:r>
      </w:hyperlink>
      <w:r>
        <w:t xml:space="preserve">. </w:t>
      </w:r>
    </w:p>
  </w:footnote>
  <w:footnote w:id="12">
    <w:p>
      <w:pPr>
        <w:pStyle w:val="Foot"/>
      </w:pPr>
      <w:r>
        <w:rPr>
          <w:rStyle w:val="FootnoteReference"/>
        </w:rPr>
        <w:footnoteRef/>
      </w:r>
      <w:r>
        <w:tab/>
      </w:r>
      <w:hyperlink r:id="rId6" w:history="1">
        <w:r>
          <w:rPr>
            <w:rStyle w:val="Hyperlink"/>
          </w:rPr>
          <w:t>https://ec.europa.eu/growth/industry/policy/intellectual-property/enforcement/memorandum-understanding-sale-counterfeit-goods-internet_el</w:t>
        </w:r>
      </w:hyperlink>
      <w:r>
        <w:t xml:space="preserve">. </w:t>
      </w:r>
    </w:p>
  </w:footnote>
  <w:footnote w:id="13">
    <w:p>
      <w:pPr>
        <w:pStyle w:val="Foot"/>
      </w:pPr>
      <w:r>
        <w:rPr>
          <w:rStyle w:val="FootnoteReference"/>
        </w:rPr>
        <w:footnoteRef/>
      </w:r>
      <w:r>
        <w:tab/>
      </w:r>
      <w:hyperlink r:id="rId7" w:history="1">
        <w:r>
          <w:rPr>
            <w:rStyle w:val="Hyperlink"/>
          </w:rPr>
          <w:t>https://ec.europa.eu/info/policies/justice-and-fundamental-rights/combatting-discrimination/racism-and-xenophobia/eu-code-conduct-countering-illegal-hate-speech-online_el</w:t>
        </w:r>
      </w:hyperlink>
      <w:r>
        <w:t xml:space="preserve">. </w:t>
      </w:r>
    </w:p>
  </w:footnote>
  <w:footnote w:id="14">
    <w:p>
      <w:pPr>
        <w:pStyle w:val="Foot"/>
      </w:pPr>
      <w:r>
        <w:rPr>
          <w:rStyle w:val="FootnoteReference"/>
        </w:rPr>
        <w:footnoteRef/>
      </w:r>
      <w:r>
        <w:tab/>
        <w:t xml:space="preserve">Ευρωπαϊκό Κοινοβούλιο, </w:t>
      </w:r>
      <w:r>
        <w:rPr>
          <w:i/>
        </w:rPr>
        <w:t>ό.π.</w:t>
      </w:r>
    </w:p>
  </w:footnote>
  <w:footnote w:id="15">
    <w:p>
      <w:pPr>
        <w:pStyle w:val="Foot"/>
      </w:pPr>
      <w:r>
        <w:rPr>
          <w:rStyle w:val="FootnoteReference"/>
        </w:rPr>
        <w:footnoteRef/>
      </w:r>
      <w:r>
        <w:tab/>
        <w:t xml:space="preserve">Διαμόρφωση του ψηφιακού μέλλοντος της Ευρώπης, διατίθεται στη διεύθυνση: </w:t>
      </w:r>
      <w:hyperlink r:id="rId8" w:history="1">
        <w:r>
          <w:rPr>
            <w:rStyle w:val="Hyperlink"/>
          </w:rPr>
          <w:t>https://data.consilium.europa.eu/doc/document/ST-8711-2020-INIT/el/pdf</w:t>
        </w:r>
      </w:hyperlink>
      <w:r>
        <w:t xml:space="preserve">. </w:t>
      </w:r>
    </w:p>
  </w:footnote>
  <w:footnote w:id="16">
    <w:p>
      <w:pPr>
        <w:pStyle w:val="Foot"/>
        <w:rPr>
          <w:lang w:val="en-US"/>
        </w:rPr>
      </w:pPr>
      <w:r>
        <w:rPr>
          <w:rStyle w:val="FootnoteReference"/>
        </w:rPr>
        <w:footnoteRef/>
      </w:r>
      <w:r>
        <w:rPr>
          <w:lang w:val="en-US"/>
        </w:rPr>
        <w:tab/>
        <w:t xml:space="preserve">Van Hoboken J. et al (2018), </w:t>
      </w:r>
      <w:r>
        <w:rPr>
          <w:i/>
          <w:lang w:val="en-US"/>
        </w:rPr>
        <w:t xml:space="preserve">Hosting Intermediary Services and Illegal Content Online, </w:t>
      </w:r>
      <w:r>
        <w:t>και</w:t>
      </w:r>
      <w:r>
        <w:rPr>
          <w:lang w:val="en-US"/>
        </w:rPr>
        <w:t xml:space="preserve"> Schwemer, S., Mahler, T. &amp; Styri, H. (2020). </w:t>
      </w:r>
      <w:r>
        <w:rPr>
          <w:i/>
          <w:lang w:val="en-US"/>
        </w:rPr>
        <w:t xml:space="preserve">Legal analysis of the intermediary service providers of non-hosting nature, </w:t>
      </w:r>
      <w:r>
        <w:rPr>
          <w:lang w:val="en-US"/>
        </w:rPr>
        <w:t xml:space="preserve">ICF, Grimaldi, </w:t>
      </w:r>
      <w:r>
        <w:rPr>
          <w:i/>
          <w:lang w:val="en-US"/>
        </w:rPr>
        <w:t>The Liability Regime and Notice-and-Action Procedures</w:t>
      </w:r>
      <w:r>
        <w:rPr>
          <w:lang w:val="en-US"/>
        </w:rPr>
        <w:t>, SMART 2016/0039.</w:t>
      </w:r>
    </w:p>
  </w:footnote>
  <w:footnote w:id="17">
    <w:p>
      <w:pPr>
        <w:pStyle w:val="Foot"/>
      </w:pPr>
      <w:r>
        <w:rPr>
          <w:rStyle w:val="FootnoteReference"/>
        </w:rPr>
        <w:footnoteRef/>
      </w:r>
      <w:r>
        <w:rPr>
          <w:lang w:val="en-US"/>
        </w:rPr>
        <w:tab/>
        <w:t xml:space="preserve">Optimity Advisors, SMART 2017/ 0055 </w:t>
      </w:r>
      <w:r>
        <w:rPr>
          <w:i/>
          <w:lang w:val="en-US"/>
        </w:rPr>
        <w:t>Algorithmic Awareness building – State of the art report</w:t>
      </w:r>
      <w:r>
        <w:rPr>
          <w:lang w:val="en-US"/>
        </w:rPr>
        <w:t xml:space="preserve"> </w:t>
      </w:r>
      <w:r>
        <w:t>και</w:t>
      </w:r>
      <w:r>
        <w:rPr>
          <w:lang w:val="en-US"/>
        </w:rPr>
        <w:t xml:space="preserve"> LNE, </w:t>
      </w:r>
      <w:r>
        <w:rPr>
          <w:i/>
          <w:lang w:val="en-US"/>
        </w:rPr>
        <w:t>Governance and Accountability Mechanisms for Algorithmic Systems</w:t>
      </w:r>
      <w:r>
        <w:rPr>
          <w:lang w:val="en-US"/>
        </w:rPr>
        <w:t xml:space="preserve"> (</w:t>
      </w:r>
      <w:r>
        <w:t>υπό</w:t>
      </w:r>
      <w:r>
        <w:rPr>
          <w:lang w:val="en-US"/>
        </w:rPr>
        <w:t xml:space="preserve"> </w:t>
      </w:r>
      <w:r>
        <w:t>έκδοση</w:t>
      </w:r>
      <w:r>
        <w:rPr>
          <w:lang w:val="en-US"/>
        </w:rPr>
        <w:t xml:space="preserve">). </w:t>
      </w:r>
      <w:r>
        <w:t xml:space="preserve">SMART 2018/37. </w:t>
      </w:r>
    </w:p>
  </w:footnote>
  <w:footnote w:id="18">
    <w:p>
      <w:pPr>
        <w:pStyle w:val="Foot"/>
      </w:pPr>
      <w:r>
        <w:rPr>
          <w:rStyle w:val="FootnoteReference"/>
        </w:rPr>
        <w:footnoteRef/>
      </w:r>
      <w:r>
        <w:tab/>
        <w:t xml:space="preserve">Ευρωβαρόμετρο TNS. (2018, Ιούλιος). </w:t>
      </w:r>
      <w:r>
        <w:rPr>
          <w:i/>
        </w:rPr>
        <w:t>Έκτακτο Ευρωβαρόμετρο 469: Παράνομο περιεχόμενο στο διαδίκτυο.</w:t>
      </w:r>
    </w:p>
  </w:footnote>
  <w:footnote w:id="19">
    <w:p>
      <w:pPr>
        <w:pStyle w:val="Foot"/>
      </w:pPr>
      <w:r>
        <w:rPr>
          <w:rStyle w:val="FootnoteReference"/>
        </w:rPr>
        <w:footnoteRef/>
      </w:r>
      <w:r>
        <w:tab/>
        <w:t xml:space="preserve">Για παράδειγμα, υπόθεση C-108/09, </w:t>
      </w:r>
      <w:r>
        <w:rPr>
          <w:i/>
        </w:rPr>
        <w:t>Ker-Optika</w:t>
      </w:r>
      <w:r>
        <w:t xml:space="preserve">, ECLI:EU:C:2010:725, υπόθεση C-291/13, </w:t>
      </w:r>
      <w:r>
        <w:rPr>
          <w:i/>
        </w:rPr>
        <w:t>Παπασάββας</w:t>
      </w:r>
      <w:r>
        <w:t xml:space="preserve">, ECLI:EU:C:2014:2209, υπόθεση C-484/14, </w:t>
      </w:r>
      <w:r>
        <w:rPr>
          <w:i/>
        </w:rPr>
        <w:t>Tobias McFadden κατά Sony Music</w:t>
      </w:r>
      <w:r>
        <w:t xml:space="preserve">, ECLI:EU:C:2016:689· υπόθεση C-434/15 </w:t>
      </w:r>
      <w:r>
        <w:rPr>
          <w:i/>
        </w:rPr>
        <w:t>Asociación Profesional Élite Taxi</w:t>
      </w:r>
      <w:r>
        <w:t xml:space="preserve">, </w:t>
      </w:r>
      <w:r>
        <w:rPr>
          <w:rStyle w:val="outputecli"/>
        </w:rPr>
        <w:t xml:space="preserve">ECLI:EU:C:2017:981 ή </w:t>
      </w:r>
      <w:r>
        <w:t xml:space="preserve">υπόθεση C-390/18 </w:t>
      </w:r>
      <w:r>
        <w:rPr>
          <w:i/>
        </w:rPr>
        <w:t>Airbnb Ireland UC</w:t>
      </w:r>
      <w:r>
        <w:t xml:space="preserve">, </w:t>
      </w:r>
      <w:r>
        <w:rPr>
          <w:rStyle w:val="outputecli"/>
        </w:rPr>
        <w:t>ECLI:EU:C:2019:1112.</w:t>
      </w:r>
    </w:p>
  </w:footnote>
  <w:footnote w:id="20">
    <w:p>
      <w:pPr>
        <w:pStyle w:val="Foot"/>
      </w:pPr>
      <w:r>
        <w:rPr>
          <w:rStyle w:val="FootnoteReference"/>
        </w:rPr>
        <w:footnoteRef/>
      </w:r>
      <w:r>
        <w:tab/>
        <w:t xml:space="preserve">Υποθέσεις C-236/08 έως C-238/08, </w:t>
      </w:r>
      <w:r>
        <w:rPr>
          <w:i/>
        </w:rPr>
        <w:t>Google France και Google κατά Vuitton</w:t>
      </w:r>
      <w:r>
        <w:t xml:space="preserve">, ECLI:EU:C:2010:159· υπόθεση C-324/09, </w:t>
      </w:r>
      <w:r>
        <w:rPr>
          <w:i/>
        </w:rPr>
        <w:t xml:space="preserve">eBay, </w:t>
      </w:r>
      <w:r>
        <w:t xml:space="preserve">ECLI:EU:C:2011:474· υπόθεση C-70/10, </w:t>
      </w:r>
      <w:r>
        <w:rPr>
          <w:i/>
        </w:rPr>
        <w:t>Scarlet</w:t>
      </w:r>
      <w:r>
        <w:t xml:space="preserve">, ECLI:EU:C:2011:771· υπόθεση C-360/10, Netlog, </w:t>
      </w:r>
      <w:r>
        <w:rPr>
          <w:rStyle w:val="outputecliaff"/>
        </w:rPr>
        <w:t xml:space="preserve">ECLI:EU:C:2012:85· </w:t>
      </w:r>
      <w:r>
        <w:t xml:space="preserve">υπόθεση C-314/12, </w:t>
      </w:r>
      <w:r>
        <w:rPr>
          <w:i/>
        </w:rPr>
        <w:t>UPC Telekabel Wien</w:t>
      </w:r>
      <w:r>
        <w:t xml:space="preserve">, EU:C:2014:192· υπόθεση C-484/14, </w:t>
      </w:r>
      <w:r>
        <w:rPr>
          <w:i/>
        </w:rPr>
        <w:t>Tobias McFadden κατά Sony Music</w:t>
      </w:r>
      <w:r>
        <w:t xml:space="preserve">, ECLI:EU:C:2016:689 ή υπόθεση C‑18/18, </w:t>
      </w:r>
      <w:r>
        <w:rPr>
          <w:i/>
        </w:rPr>
        <w:t>Glawischnig,</w:t>
      </w:r>
      <w:r>
        <w:t xml:space="preserve"> ECLI:EU:C:2019:821.</w:t>
      </w:r>
    </w:p>
  </w:footnote>
  <w:footnote w:id="21">
    <w:p>
      <w:pPr>
        <w:pStyle w:val="Foot"/>
      </w:pPr>
      <w:r>
        <w:rPr>
          <w:rStyle w:val="FootnoteReference"/>
        </w:rPr>
        <w:footnoteRef/>
      </w:r>
      <w:r>
        <w:tab/>
        <w:t xml:space="preserve">Νόμος για τις ψηφιακές υπηρεσίες: βελτίωση της λειτουργίας της ενιαίας αγοράς, διατίθεται στην ακόλουθη διεύθυνση: </w:t>
      </w:r>
      <w:hyperlink r:id="rId9" w:history="1">
        <w:r>
          <w:rPr>
            <w:rStyle w:val="Hyperlink"/>
          </w:rPr>
          <w:t>https://www.europarl.europa.eu/doceo/document/TA-9-2020-0272_EL.html</w:t>
        </w:r>
      </w:hyperlink>
      <w:r>
        <w:t xml:space="preserve">. </w:t>
      </w:r>
      <w:hyperlink r:id="rId10" w:history="1">
        <w:r>
          <w:rPr>
            <w:rStyle w:val="Hyperlink"/>
          </w:rPr>
          <w:t>Νόμος για τις ψηφιακές υπηρεσίες:</w:t>
        </w:r>
      </w:hyperlink>
      <w:hyperlink r:id="rId11" w:history="1">
        <w:r>
          <w:rPr>
            <w:rStyle w:val="Hyperlink"/>
          </w:rPr>
          <w:t>προσαρμογή των κανόνων εμπορικού και αστικού δικαίου για τις εμπορικές οντότητες που δραστηριοποιούνται στο διαδίκτυο</w:t>
        </w:r>
      </w:hyperlink>
      <w:r>
        <w:t xml:space="preserve">, διατίθεται στην ακόλουθη διεύθυνση: </w:t>
      </w:r>
      <w:hyperlink r:id="rId12" w:history="1">
        <w:r>
          <w:rPr>
            <w:rStyle w:val="Hyperlink"/>
          </w:rPr>
          <w:t>https://www.europarl.europa.eu/doceo/document/TA-9-2020-0273_EL.html</w:t>
        </w:r>
      </w:hyperlink>
      <w:r>
        <w:t xml:space="preserve">. </w:t>
      </w:r>
      <w:hyperlink r:id="rId13" w:history="1">
        <w:r>
          <w:rPr>
            <w:rStyle w:val="Hyperlink"/>
          </w:rPr>
          <w:t>Νόμος για τις ψηφιακές υπηρεσίες και τα σχετικά με τα θεμελιώδη δικαιώματα ζητήματα</w:t>
        </w:r>
      </w:hyperlink>
      <w:r>
        <w:t xml:space="preserve">, διατίθεται στην ακόλουθη διεύθυνση: </w:t>
      </w:r>
      <w:hyperlink r:id="rId14" w:history="1">
        <w:r>
          <w:rPr>
            <w:rStyle w:val="Hyperlink"/>
          </w:rPr>
          <w:t>https://www.europarl.europa.eu/doceo/document/TA-9-2020-0274_EL.html</w:t>
        </w:r>
      </w:hyperlink>
      <w:r>
        <w:t>.</w:t>
      </w:r>
    </w:p>
  </w:footnote>
  <w:footnote w:id="22">
    <w:p>
      <w:pPr>
        <w:pStyle w:val="Foot"/>
      </w:pPr>
      <w:r>
        <w:rPr>
          <w:rStyle w:val="FootnoteReference"/>
        </w:rPr>
        <w:footnoteRef/>
      </w:r>
      <w:r>
        <w:tab/>
        <w:t>Σύνδεσμοι προς το συνοπτικό δελτίο και τη θετική γνώμη της επιτροπής ρυθμιστικού ελέγχου θα συμπεριληφθούν μετά τη δημοσίευσή τους.</w:t>
      </w:r>
    </w:p>
  </w:footnote>
  <w:footnote w:id="23">
    <w:p>
      <w:pPr>
        <w:pStyle w:val="Foot"/>
      </w:pPr>
      <w:r>
        <w:rPr>
          <w:rStyle w:val="FootnoteReference"/>
        </w:rPr>
        <w:footnoteRef/>
      </w:r>
      <w:r>
        <w:tab/>
        <w:t>ΕΕ C της , σ. .</w:t>
      </w:r>
    </w:p>
  </w:footnote>
  <w:footnote w:id="24">
    <w:p>
      <w:pPr>
        <w:pStyle w:val="Foot"/>
      </w:pPr>
      <w:r>
        <w:rPr>
          <w:rStyle w:val="FootnoteReference"/>
        </w:rPr>
        <w:footnoteRef/>
      </w:r>
      <w:r>
        <w:tab/>
        <w:t>ΕΕ C της , σ. .</w:t>
      </w:r>
    </w:p>
  </w:footnote>
  <w:footnote w:id="25">
    <w:p>
      <w:pPr>
        <w:pStyle w:val="Foot"/>
      </w:pPr>
      <w:r>
        <w:rPr>
          <w:rStyle w:val="FootnoteReference"/>
        </w:rPr>
        <w:footnoteRef/>
      </w:r>
      <w:r>
        <w:tab/>
        <w:t>ΕΕ C της , σ. .</w:t>
      </w:r>
    </w:p>
  </w:footnote>
  <w:footnote w:id="26">
    <w:p>
      <w:pPr>
        <w:pStyle w:val="Foot"/>
      </w:pPr>
      <w:r>
        <w:rPr>
          <w:rStyle w:val="FootnoteReference"/>
        </w:rPr>
        <w:footnoteRef/>
      </w:r>
      <w:r>
        <w:tab/>
        <w:t xml:space="preserve">Οδηγία 2000/31/ΕΚ του Ευρωπαϊκού Κοινοβουλίου και του Συμβουλίου, της 8ης Ιουνίου 2000, για ορισμένες νομικές πτυχές των υπηρεσιών της κοινωνίας της πληροφορίας, ιδίως του ηλεκτρονικού εμπορίου, στην εσωτερική αγορά («οδηγία για το ηλεκτρονικό εμπόριο») (EE L 178 της 17.7.2000, σ. 1). </w:t>
      </w:r>
    </w:p>
  </w:footnote>
  <w:footnote w:id="27">
    <w:p>
      <w:pPr>
        <w:pStyle w:val="Foot"/>
      </w:pPr>
      <w:r>
        <w:rPr>
          <w:rStyle w:val="FootnoteReference"/>
        </w:rPr>
        <w:footnoteRef/>
      </w:r>
      <w:r>
        <w:tab/>
        <w:t>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(ΕΕ L 241 της 17.9.2015, σ. 1).</w:t>
      </w:r>
    </w:p>
  </w:footnote>
  <w:footnote w:id="28">
    <w:p>
      <w:pPr>
        <w:pStyle w:val="Foot"/>
      </w:pPr>
      <w:r>
        <w:rPr>
          <w:rStyle w:val="FootnoteReference"/>
        </w:rPr>
        <w:footnoteRef/>
      </w:r>
      <w:r>
        <w:tab/>
        <w:t>Κανονισμός (ΕΕ) αριθ. 1215/2012 του Ευρωπαϊκού Κοινοβουλίου και του Συμβουλίου, της 12ης Δεκεμβρίου 2012, για τη διεθνή δικαιοδοσία, την αναγνώριση και την εκτέλεση αποφάσεων σε αστικές και εμπορικές υποθέσεις (ΕΕ L 351 της 20.12.2012, σ. 1).</w:t>
      </w:r>
    </w:p>
  </w:footnote>
  <w:footnote w:id="29">
    <w:p>
      <w:pPr>
        <w:pStyle w:val="Foot"/>
      </w:pPr>
      <w:r>
        <w:rPr>
          <w:rStyle w:val="FootnoteReference"/>
        </w:rPr>
        <w:footnoteRef/>
      </w:r>
      <w:r>
        <w:tab/>
        <w:t>Οδηγία 2010/13/ΕE του Ευρωπαϊκού Κοινοβουλίου και του Συμβουλίου, της 10ης Μαρτίου 2010,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(οδηγία για τις υπηρεσίες οπτικοακουστικών μέσων) (Κείμενο που παρουσιάζει ενδιαφέρον για τον ΕΟΧ) (ΕΕ L 95 της 15.4.2010, σ. 1).</w:t>
      </w:r>
    </w:p>
  </w:footnote>
  <w:footnote w:id="30">
    <w:p>
      <w:pPr>
        <w:pStyle w:val="Foot"/>
      </w:pPr>
      <w:r>
        <w:rPr>
          <w:rStyle w:val="FootnoteReference"/>
        </w:rPr>
        <w:footnoteRef/>
      </w:r>
      <w:r>
        <w:tab/>
        <w:t>Κανονισμός (ΕΕ) …/... του Ευρωπαϊκού Κοινοβουλίου και του Συμβουλίου —προτεινόμενος κανονισμός για το τρομοκρατικό περιεχόμενο στο διαδίκτυο.</w:t>
      </w:r>
    </w:p>
  </w:footnote>
  <w:footnote w:id="31">
    <w:p>
      <w:pPr>
        <w:pStyle w:val="Foot"/>
      </w:pPr>
      <w:r>
        <w:rPr>
          <w:rStyle w:val="FootnoteReference"/>
        </w:rPr>
        <w:footnoteRef/>
      </w:r>
      <w:r>
        <w:tab/>
        <w:t>Κανονισμός (ΕΕ) 2019/1148 του Ευρωπαϊκού Κοινοβουλίου και του Συμβουλίου, της 20ής Ιουνίου 2019, σχετικά με την κυκλοφορία στην αγορά και τη χρήση πρόδρομων ουσιών εκρηκτικών υλών, την τροποποίηση του κανονισμού (ΕΚ) αριθ. 1907/2006 και την κατάργηση του κανονισμού (ΕΕ) αριθ. 98/2013 (ΕΕ L 186 της 11.7.2019, σ. 1).</w:t>
      </w:r>
    </w:p>
  </w:footnote>
  <w:footnote w:id="32">
    <w:p>
      <w:pPr>
        <w:pStyle w:val="Foot"/>
      </w:pPr>
      <w:r>
        <w:rPr>
          <w:rStyle w:val="FootnoteReference"/>
        </w:rPr>
        <w:footnoteRef/>
      </w:r>
      <w:r>
        <w:tab/>
        <w:t>Κανονισμός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(ΕΕ L 186 της 11.7.2019, σ. 57).</w:t>
      </w:r>
    </w:p>
  </w:footnote>
  <w:footnote w:id="33">
    <w:p>
      <w:pPr>
        <w:pStyle w:val="Foot"/>
      </w:pPr>
      <w:r>
        <w:rPr>
          <w:rStyle w:val="FootnoteReference"/>
        </w:rPr>
        <w:footnoteRef/>
      </w:r>
      <w:r>
        <w:tab/>
        <w:t>Οδηγία 2002/58/ΕΚ του Ευρωπαϊκού Κοινοβουλίου και του Συμβουλίου, της 12ης Ιουλίου 2002, σχετικά με την επεξεργασία των δεδομένων προσωπικού χαρακτήρα και την προστασία της ιδιωτικής ζωής στον τομέα των ηλεκτρονικών επικοινωνιών (οδηγία για την προστασία ιδιωτικής ζωής στις ηλεκτρονικές επικοινωνίες) (ΕΕ L 201 της 31.7.2002, σ. 37).</w:t>
      </w:r>
    </w:p>
  </w:footnote>
  <w:footnote w:id="34">
    <w:p>
      <w:pPr>
        <w:pStyle w:val="Foot"/>
      </w:pPr>
      <w:r>
        <w:rPr>
          <w:rStyle w:val="FootnoteReference"/>
        </w:rPr>
        <w:footnoteRef/>
      </w:r>
      <w:r>
        <w:tab/>
        <w:t xml:space="preserve">Κανονισμός […/…] σχετικά με προσωρινή παρέκκλιση από ορισμένες διατάξεις της οδηγίας 2002/58/ΕΚ. </w:t>
      </w:r>
    </w:p>
  </w:footnote>
  <w:footnote w:id="35">
    <w:p>
      <w:pPr>
        <w:pStyle w:val="Foot"/>
      </w:pPr>
      <w:r>
        <w:rPr>
          <w:rStyle w:val="FootnoteReference"/>
        </w:rPr>
        <w:footnoteRef/>
      </w:r>
      <w:r>
        <w:tab/>
        <w:t xml:space="preserve">Οδηγία 2005/29/ΕΚ του Ευρωπαϊκού Κοινοβουλίου και του Συμβουλίου, της 11ης Μαΐου 2005, για τις αθέμιτες εμπορικές πρακτικές των επιχειρήσεων προς τους καταναλωτές στην εσωτερική αγορά και για την τροποποίηση της οδηγίας 84/450/ΕΟΚ του Συμβουλίου, των οδηγιών 97/7/ΕΚ, 98/27/ΕΚ και 2002/65/ΕΚ του Ευρωπαϊκού Κοινοβουλίου και του Συμβουλίου και του κανονισμού (ΕΚ) αριθ. 2006/2004 του Ευρωπαϊκού Κοινοβουλίου και του Συμβουλίου («Οδηγία για τις αθέμιτες εμπορικές πρακτικές»). </w:t>
      </w:r>
    </w:p>
  </w:footnote>
  <w:footnote w:id="36">
    <w:p>
      <w:pPr>
        <w:pStyle w:val="Foot"/>
      </w:pPr>
      <w:r>
        <w:rPr>
          <w:rStyle w:val="FootnoteReference"/>
        </w:rPr>
        <w:footnoteRef/>
      </w:r>
      <w:r>
        <w:tab/>
        <w:t>Οδηγία 2011/83/ΕΕ του Ευρωπαϊκού Κοινοβουλίου και του Συμβουλίου, της 25ης Οκτωβρίου 2011, σχετικά με τα δικαιώματα των καταναλωτών, την τροποποίηση της οδηγίας 93/13/ΕΟΚ του Συμβουλίου και της οδηγίας 1999/44/ΕΚ του Ευρωπαϊκού Κοινοβουλίου και του Συμβουλίου και την κατάργηση της οδηγίας 85/577/ΕΟΚ του Συμβουλίου και της οδηγίας 97/7/ΕΚ του Ευρωπαϊκού Κοινοβουλίου και του Συμβουλίου.</w:t>
      </w:r>
    </w:p>
  </w:footnote>
  <w:footnote w:id="37">
    <w:p>
      <w:pPr>
        <w:pStyle w:val="FootnoteText"/>
      </w:pPr>
      <w:r>
        <w:rPr>
          <w:rStyle w:val="FootnoteReference"/>
        </w:rPr>
        <w:footnoteRef/>
      </w:r>
      <w:r>
        <w:tab/>
        <w:t>Οδηγία 93/13/ΕΟΚ του Συμβουλίου, της 5ης Απριλίου 1993, σχετικά με τις καταχρηστικές ρήτρες των συμβάσεων που συνάπτονται με καταναλωτές.</w:t>
      </w:r>
    </w:p>
  </w:footnote>
  <w:footnote w:id="38">
    <w:p>
      <w:pPr>
        <w:pStyle w:val="Foot"/>
      </w:pPr>
      <w:r>
        <w:rPr>
          <w:rStyle w:val="FootnoteReference"/>
        </w:rPr>
        <w:footnoteRef/>
      </w:r>
      <w:r>
        <w:tab/>
        <w:t>Οδηγία (ΕΕ) 2019/2161 του Ευρωπαϊκού Κοινοβουλίου και του Συμβουλίου, της 27ης Νοεμβρίου 2019, για την τροποποίηση της οδηγίας 93/13/ΕΟΚ του Συμβουλίου, και των οδηγιών 98/6/ΕΚ, 2005/29/ΕΚ και 2011/83/ΕΕ του Ευρωπαϊκού Κοινοβουλίου και του Συμβουλίου όσον αφορά την καλύτερη επιβολή και τον εκσυγχρονισμό των κανόνων της Ένωσης για την προστασία των καταναλωτών.</w:t>
      </w:r>
    </w:p>
  </w:footnote>
  <w:footnote w:id="39">
    <w:p>
      <w:pPr>
        <w:pStyle w:val="Foot"/>
      </w:pPr>
      <w:r>
        <w:rPr>
          <w:rStyle w:val="FootnoteReference"/>
        </w:rPr>
        <w:footnoteRef/>
      </w:r>
      <w:r>
        <w:tab/>
        <w:t>Κανονισμός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 σ. 1).</w:t>
      </w:r>
    </w:p>
  </w:footnote>
  <w:footnote w:id="40">
    <w:p>
      <w:pPr>
        <w:pStyle w:val="Foot"/>
      </w:pPr>
      <w:r>
        <w:rPr>
          <w:rStyle w:val="FootnoteReference"/>
        </w:rPr>
        <w:footnoteRef/>
      </w:r>
      <w:r>
        <w:tab/>
        <w:t>Οδηγία (ΕΕ) 2018/1972 του Ευρωπαϊκού Κοινοβουλίου και του Συμβουλίου, της 11ης Δεκεμβρίου 2018, για τη θέσπιση του Ευρωπαϊκού Κώδικα Ηλεκτρονικών Επικοινωνιών (Αναδιατύπωση) (ΕΕ L 321 της 17.12.2018, σ. 36).</w:t>
      </w:r>
    </w:p>
  </w:footnote>
  <w:footnote w:id="41">
    <w:p>
      <w:pPr>
        <w:pStyle w:val="Foot"/>
      </w:pPr>
      <w:r>
        <w:rPr>
          <w:rStyle w:val="FootnoteReference"/>
        </w:rPr>
        <w:footnoteRef/>
      </w:r>
      <w:r>
        <w:tab/>
        <w:t>Σύσταση 2003/361/ΕΚ της Επιτροπής, της 6ης Μαΐου 2003, σχετικά με τον ορισμό των πολύ μικρών, των μικρών και των μεσαίων επιχειρήσεων (ΕΕ L 124 της 20.5.2003, σ. 36).</w:t>
      </w:r>
    </w:p>
  </w:footnote>
  <w:footnote w:id="42">
    <w:p>
      <w:pPr>
        <w:pStyle w:val="Foot"/>
      </w:pPr>
      <w:r>
        <w:rPr>
          <w:rStyle w:val="FootnoteReference"/>
        </w:rPr>
        <w:footnoteRef/>
      </w:r>
      <w:r>
        <w:tab/>
        <w:t>Σύσταση 2003/361/ΕΚ της Επιτροπής, της 6ης Μαΐου 2003, σχετικά με τον ορισμό των πολύ μικρών, των μικρών και των μεσαίων επιχειρήσεων (ΕΕ L 124 της 20.5.2003, σ. 36).</w:t>
      </w:r>
    </w:p>
  </w:footnote>
  <w:footnote w:id="43">
    <w:p>
      <w:pPr>
        <w:pStyle w:val="Foot"/>
      </w:pPr>
      <w:r>
        <w:rPr>
          <w:rStyle w:val="FootnoteReference"/>
        </w:rPr>
        <w:footnoteRef/>
      </w:r>
      <w:r>
        <w:tab/>
        <w:t xml:space="preserve">Οδηγία 2013/11/ΕΕ του Ευρωπαϊκού Κοινοβουλίου και του Συμβουλίου, της 21ης Μαΐου 2013, για την εναλλακτική επίλυση καταναλωτικών διαφορών και για την τροποποίηση του κανονισμού (ΕΚ) αριθ. 2006/2004 και της οδηγίας 2009/22/ΕΚ (ΕΕ L 165 της 18.6.2013, σ. 63). </w:t>
      </w:r>
    </w:p>
  </w:footnote>
  <w:footnote w:id="44">
    <w:p>
      <w:pPr>
        <w:pStyle w:val="Foot"/>
      </w:pPr>
      <w:r>
        <w:rPr>
          <w:rStyle w:val="FootnoteReference"/>
        </w:rPr>
        <w:footnoteRef/>
      </w:r>
      <w:r>
        <w:tab/>
        <w:t>Κανονισμός (ΕΕ) 2016/794 του Ευρωπαϊκού Κοινοβουλίου και του Συμβουλίου, της 11ης Μαΐου 2016, για τον Οργανισμό της Ευρωπαϊκής Ένωσης για τη Συνεργασία στον Τομέα της Επιβολής του Νόμου (Ευρωπόλ) και την αντικατάσταση και κατάργηση των αποφάσεων του Συμβουλίου 2009/371/ΔΕΥ, 2009/934/ΔΕΥ, 2009/935/ΔΕΥ, 2009/936/ΔΕΥ και 2009/968/ΔΕΥ (ΕΕ L 135 της 24.5.2016, σ. 53).</w:t>
      </w:r>
    </w:p>
  </w:footnote>
  <w:footnote w:id="45">
    <w:p>
      <w:pPr>
        <w:pStyle w:val="Foot"/>
      </w:pPr>
      <w:r>
        <w:rPr>
          <w:rStyle w:val="FootnoteReference"/>
        </w:rPr>
        <w:footnoteRef/>
      </w:r>
      <w:r>
        <w:tab/>
        <w:t xml:space="preserve">Οδηγία 2011/93/ΕΕ του Ευρωπαϊκού Κοινοβουλίου και του Συμβουλίου, της 13ης Δεκεμβρίου 2011, σχετικά με την καταπολέμηση της σεξουαλικής κακοποίησης και της σεξουαλικής εκμετάλλευσης παιδιών και της παιδικής πορνογραφίας και την αντικατάσταση της απόφασης-πλαίσιο 2004/68/ΔΕΥ του Συμβουλίου (ΕΕ L 335 της 17.12.2011, σ. 1). </w:t>
      </w:r>
    </w:p>
  </w:footnote>
  <w:footnote w:id="46">
    <w:p>
      <w:pPr>
        <w:pStyle w:val="Foot"/>
      </w:pPr>
      <w:r>
        <w:rPr>
          <w:rStyle w:val="FootnoteReference"/>
        </w:rPr>
        <w:footnoteRef/>
      </w:r>
      <w:r>
        <w:tab/>
      </w:r>
      <w:hyperlink r:id="rId15" w:history="1">
        <w:r>
          <w:rPr>
            <w:rStyle w:val="Hyperlink"/>
          </w:rPr>
          <w:t>https://ec.europa.eu/taxation_customs/vies/vieshome.do?selectedLanguage=el</w:t>
        </w:r>
      </w:hyperlink>
      <w:r>
        <w:t xml:space="preserve">. </w:t>
      </w:r>
    </w:p>
  </w:footnote>
  <w:footnote w:id="47">
    <w:p>
      <w:pPr>
        <w:pStyle w:val="Foot"/>
      </w:pPr>
      <w:r>
        <w:rPr>
          <w:rStyle w:val="FootnoteReference"/>
        </w:rPr>
        <w:footnoteRef/>
      </w:r>
      <w:r>
        <w:tab/>
        <w:t>Οδηγία 2011/83/ΕΕ του Ευρωπαϊκού Κοινοβουλίου και του Συμβουλίου, της 25ης Οκτωβρίου 2011, σχετικά με τα δικαιώματα των καταναλωτών, την τροποποίηση της οδηγίας 93/13/ΕΟΚ του Συμβουλίου και της οδηγίας 1999/44/ΕΚ του Ευρωπαϊκού Κοινοβουλίου και του Συμβουλίου και την κατάργηση της οδηγίας 85/577/ΕΟΚ του Συμβουλίου και της οδηγίας 97/7/ΕΚ του Ευρωπαϊκού Κοινοβουλίου και του Συμβουλίου.</w:t>
      </w:r>
    </w:p>
  </w:footnote>
  <w:footnote w:id="48">
    <w:p>
      <w:pPr>
        <w:pStyle w:val="Foot"/>
      </w:pPr>
      <w:r>
        <w:rPr>
          <w:rStyle w:val="FootnoteReference"/>
        </w:rPr>
        <w:footnoteRef/>
      </w:r>
      <w:r>
        <w:tab/>
        <w:t>Οδηγία 2005/29/ΕΚ του Ευρωπαϊκού Κοινοβουλίου και του Συμβουλίου, της 11ης Μαΐου 2005, για τις αθέμιτες εμπορικές πρακτικές των επιχειρήσεων προς τους καταναλωτές στην εσωτερική αγορά και για την τροποποίηση της οδηγίας 84/450/ΕΟΚ του Συμβουλίου, των οδηγιών 97/7/ΕΚ, 98/27/ΕΚ και 2002/65/ΕΚ του Ευρωπαϊκού Κοινοβουλίου και του Συμβουλίου και του κανονισμού (ΕΚ) αριθ. 2006/2004 του Ευρωπαϊκού Κοινοβουλίου και του Συμβουλίου («Οδηγία για τις αθέμιτες εμπορικές πρακτικές»).</w:t>
      </w:r>
    </w:p>
  </w:footnote>
  <w:footnote w:id="49">
    <w:p>
      <w:pPr>
        <w:pStyle w:val="Foot"/>
      </w:pPr>
      <w:r>
        <w:rPr>
          <w:rStyle w:val="FootnoteReference"/>
        </w:rPr>
        <w:footnoteRef/>
      </w:r>
      <w:r>
        <w:tab/>
        <w:t>Οδηγία 98/6/ΕΚ του Ευρωπαϊκού Κοινοβουλίου και του Συμβουλίου, της 16ης Φεβρουαρίου 1998, περί της προστασίας των καταναλωτών όσον αφορά την αναγραφή των τιμών των προϊόντων που προσφέρονται στους καταναλωτές.</w:t>
      </w:r>
    </w:p>
  </w:footnote>
  <w:footnote w:id="50">
    <w:p>
      <w:pPr>
        <w:pStyle w:val="Foot"/>
      </w:pPr>
      <w:r>
        <w:rPr>
          <w:rStyle w:val="FootnoteReference"/>
        </w:rPr>
        <w:footnoteRef/>
      </w:r>
      <w:r>
        <w:tab/>
        <w:t>Κανονισμός (ΕΕ) αριθ. 182/2011 του Ευρωπαϊκού Κοινοβουλίου και του Συμβουλίου, της 16ης Φεβρουαρίου 2011, για τη θέσπιση κανόνων και γενικών αρχών σχετικά με τους τρόπους ελέγχου από τα κράτη μέλη της άσκησης των εκτελεστικών αρμοδιοτήτων από την Επιτροπή (ΕΕ L 55 της 28.2.2011, σ. 13).</w:t>
      </w:r>
    </w:p>
  </w:footnote>
  <w:footnote w:id="51">
    <w:p>
      <w:pPr>
        <w:pStyle w:val="Foot"/>
      </w:pPr>
      <w:r>
        <w:rPr>
          <w:rStyle w:val="FootnoteReference"/>
        </w:rPr>
        <w:footnoteRef/>
      </w:r>
      <w:r>
        <w:tab/>
        <w:t>Κανονισμός (ΕΕ) αριθ. 910/2014 του Ευρωπαϊκού Κοινοβουλίου και του Συμβουλίου, της 23ης Ιουλίου 2014, σχετικά με την ηλεκτρονική ταυτοποίηση και τις υπηρεσίες εμπιστοσύνης για τις ηλεκτρονικές συναλλαγές στην εσωτερική αγορά και την κατάργηση της οδηγίας 1999/93/ΕΚ.</w:t>
      </w:r>
    </w:p>
  </w:footnote>
  <w:footnote w:id="52">
    <w:p>
      <w:pPr>
        <w:pStyle w:val="Foot"/>
      </w:pPr>
      <w:r>
        <w:rPr>
          <w:rStyle w:val="FootnoteReference"/>
        </w:rPr>
        <w:footnoteRef/>
      </w:r>
      <w:r>
        <w:tab/>
        <w:t>Κανονισμός (ΕΕ) 2019/1020 του Ευρωπαϊκού Κοινοβουλίου και του Συμβουλίου, της 20ής Ιουνίου 2019, για την εποπτεία της αγοράς και τη συμμόρφωση των προϊόντων και για την τροποποίηση της οδηγίας 2004/42/ΕΚ και των κανονισμών (ΕΚ) αριθ. 765/2008 και (ΕΕ) αριθ. 305/2011 (ΕΕ L 169 της 25.6.2019, σ. 1).</w:t>
      </w:r>
    </w:p>
  </w:footnote>
  <w:footnote w:id="53">
    <w:p>
      <w:pPr>
        <w:pStyle w:val="FootnoteText"/>
      </w:pPr>
      <w:r>
        <w:rPr>
          <w:rStyle w:val="FootnoteReference"/>
        </w:rPr>
        <w:footnoteRef/>
      </w:r>
      <w:r>
        <w:tab/>
        <w:t>[Παραπομπή]</w:t>
      </w:r>
    </w:p>
  </w:footnote>
  <w:footnote w:id="54">
    <w:p>
      <w:pPr>
        <w:pStyle w:val="FootnoteText"/>
        <w:rPr>
          <w:szCs w:val="24"/>
        </w:rPr>
      </w:pPr>
      <w:r>
        <w:rPr>
          <w:rStyle w:val="FootnoteReference"/>
        </w:rPr>
        <w:footnoteRef/>
      </w:r>
      <w:r>
        <w:tab/>
        <w:t>ΔΒΔ: διαχείριση βάσει δραστηριοτήτων· ΠΒΔ: προϋπολογισμός βάσει δραστηριοτήτων.</w:t>
      </w:r>
    </w:p>
  </w:footnote>
  <w:footnote w:id="55">
    <w:p>
      <w:pPr>
        <w:pStyle w:val="FootnoteText"/>
        <w:rPr>
          <w:szCs w:val="24"/>
        </w:rPr>
      </w:pPr>
      <w:r>
        <w:rPr>
          <w:rStyle w:val="FootnoteReference"/>
        </w:rPr>
        <w:footnoteRef/>
      </w:r>
      <w:r>
        <w:tab/>
        <w:t>Όπως αναφέρεται στο άρθρο 58 παράγραφος 2 στοιχείο α) ή β) του δημοσιονομικού κανονισμού.</w:t>
      </w:r>
    </w:p>
  </w:footnote>
  <w:footnote w:id="56">
    <w:p>
      <w:pPr>
        <w:pStyle w:val="FootnoteText"/>
        <w:rPr>
          <w:szCs w:val="24"/>
        </w:rPr>
      </w:pPr>
      <w:r>
        <w:rPr>
          <w:rStyle w:val="FootnoteReference"/>
        </w:rPr>
        <w:footnoteRef/>
      </w:r>
      <w:r>
        <w:tab/>
        <w:t xml:space="preserve">Οι λεπτομέρειες σχετικά με τους τρόπους διαχείρισης και οι παραπομπές στον δημοσιονομικό κανονισμό είναι διαθέσιμες στον δικτυακό τόπο BudgWeb: </w:t>
      </w:r>
      <w:hyperlink r:id="rId16" w:history="1">
        <w:r>
          <w:rPr>
            <w:rStyle w:val="Hyperlink"/>
            <w:sz w:val="18"/>
          </w:rPr>
          <w:t>http://www.cc.cec/budg/man/budgmanag/budgmanag_en.html</w:t>
        </w:r>
      </w:hyperlink>
      <w:r>
        <w:t>.</w:t>
      </w:r>
    </w:p>
  </w:footnote>
  <w:footnote w:id="57">
    <w:p>
      <w:pPr>
        <w:pStyle w:val="FootnoteText"/>
        <w:rPr>
          <w:szCs w:val="24"/>
        </w:rPr>
      </w:pPr>
      <w:r>
        <w:rPr>
          <w:rStyle w:val="FootnoteReference"/>
        </w:rPr>
        <w:footnoteRef/>
      </w:r>
      <w:r>
        <w:tab/>
        <w:t>ΔΠ = Διαχωριζόμενες πιστώσεις / ΜΔΠ = Μη διαχωριζόμενες πιστώσεις.</w:t>
      </w:r>
    </w:p>
  </w:footnote>
  <w:footnote w:id="58">
    <w:p>
      <w:pPr>
        <w:pStyle w:val="FootnoteText"/>
        <w:rPr>
          <w:szCs w:val="24"/>
        </w:rPr>
      </w:pPr>
      <w:r>
        <w:rPr>
          <w:rStyle w:val="FootnoteReference"/>
        </w:rPr>
        <w:footnoteRef/>
      </w:r>
      <w:r>
        <w:tab/>
        <w:t xml:space="preserve">ΕΖΕΣ: Ευρωπαϊκή Ζώνη Ελεύθερων Συναλλαγών. </w:t>
      </w:r>
    </w:p>
  </w:footnote>
  <w:footnote w:id="59">
    <w:p>
      <w:pPr>
        <w:pStyle w:val="FootnoteText"/>
      </w:pPr>
      <w:r>
        <w:rPr>
          <w:rStyle w:val="FootnoteReference"/>
        </w:rPr>
        <w:footnoteRef/>
      </w:r>
      <w:r>
        <w:tab/>
        <w:t>Υποψήφιες χώρες και, κατά περίπτωση, δυνάμει υποψήφια μέλη των Δυτικών Βαλκανίων.</w:t>
      </w:r>
    </w:p>
  </w:footnote>
  <w:footnote w:id="60">
    <w:p>
      <w:pPr>
        <w:pStyle w:val="Footnoterefere"/>
      </w:pPr>
      <w:r>
        <w:rPr>
          <w:rStyle w:val="FootnoteReference"/>
        </w:rPr>
        <w:footnoteRef/>
      </w:r>
      <w:r>
        <w:tab/>
        <w:t>Όλα τα ποσά της παρούσας στήλης είναι ενδεικτικά και υπόκεινται στη συνέχιση των προγραμμάτων και στη διαθεσιμότητα των πιστώσεων.</w:t>
      </w:r>
    </w:p>
  </w:footnote>
  <w:footnote w:id="61">
    <w:p>
      <w:pPr>
        <w:pStyle w:val="FootnoteText"/>
      </w:pPr>
      <w:r>
        <w:rPr>
          <w:rStyle w:val="FootnoteReference"/>
        </w:rPr>
        <w:footnoteRef/>
      </w:r>
      <w:r>
        <w:tab/>
        <w:t>Όλα τα ποσά της παρούσας στήλης είναι ενδεικτικά και υπόκεινται στη συνέχιση των προγραμμάτων και στη διαθεσιμότητα των πιστώσεων.</w:t>
      </w:r>
    </w:p>
  </w:footnote>
  <w:footnote w:id="62">
    <w:p>
      <w:pPr>
        <w:pStyle w:val="FootnoteText"/>
        <w:rPr>
          <w:szCs w:val="24"/>
        </w:rPr>
      </w:pPr>
      <w:r>
        <w:rPr>
          <w:rStyle w:val="FootnoteReference"/>
        </w:rPr>
        <w:footnoteRef/>
      </w:r>
      <w:r>
        <w:tab/>
        <w:t>Τεχνική και/ή διοικητική βοήθεια και δαπάνες στήριξης της εφαρμογής προγραμμάτων και/ή δράσεων της ΕΕ (πρώην γραμμές «BA»), έμμεση έρευνα, άμεση έρευνα.</w:t>
      </w:r>
    </w:p>
  </w:footnote>
  <w:footnote w:id="63">
    <w:p>
      <w:pPr>
        <w:pStyle w:val="Footnote"/>
      </w:pPr>
      <w:r>
        <w:rPr>
          <w:rStyle w:val="FootnoteReference"/>
        </w:rPr>
        <w:footnoteRef/>
      </w:r>
      <w:r>
        <w:tab/>
        <w:t>Δεδομένου ότι η πρωτοβουλία είναι οριζόντια και συνδυάζει διάφορους τομείς αρμοδιότητας της Επιτροπής, όπως εκείνοι που σχετίζονται με την εσωτερική αγορά, τις ψηφιακές υπηρεσίες, την προστασία των καταναλωτών, την προστασία των θεμελιωδών ελευθεριών στο διαδίκτυο, το σχέδιο είναι να συγκεντρωθούν πόροι από όλες τις ΓΔ της Επιτροπής, με την επιφύλαξη της συμφωνίας της ΓΔ HR και των οικείων ΓΔ, προς συζήτηση.</w:t>
      </w:r>
    </w:p>
  </w:footnote>
  <w:footnote w:id="64">
    <w:p>
      <w:pPr>
        <w:pStyle w:val="FootnoteText"/>
        <w:rPr>
          <w:szCs w:val="24"/>
        </w:rPr>
      </w:pPr>
      <w:r>
        <w:rPr>
          <w:rStyle w:val="FootnoteReference"/>
        </w:rPr>
        <w:footnoteRef/>
      </w:r>
      <w:r>
        <w:tab/>
        <w:t xml:space="preserve">AC = Συμβασιούχος υπάλληλος· AL = Τοπικός υπάλληλος· END = Αποσπασμένος εθνικός εμπειρογνώμονας· INT = Προσωρινό προσωπικό· JPD = Νέος επαγγελματίας σε αντιπροσωπεία της ΕΕ· </w:t>
      </w:r>
    </w:p>
  </w:footnote>
  <w:footnote w:id="65">
    <w:p>
      <w:pPr>
        <w:pStyle w:val="FootnoteText"/>
        <w:rPr>
          <w:szCs w:val="24"/>
        </w:rPr>
      </w:pPr>
      <w:r>
        <w:rPr>
          <w:rStyle w:val="FootnoteReference"/>
        </w:rPr>
        <w:footnoteRef/>
      </w:r>
      <w:r>
        <w:tab/>
        <w:t>Επιμέρους ανώτατο όριο εξωτερικού προσωπικού που καλύπτεται από επιχειρησιακές πιστώσεις (πρώην γραμμές «BA»).</w:t>
      </w:r>
    </w:p>
  </w:footnote>
  <w:footnote w:id="66">
    <w:p>
      <w:pPr>
        <w:pStyle w:val="FootnoteText"/>
        <w:rPr>
          <w:szCs w:val="24"/>
        </w:rPr>
      </w:pPr>
      <w:r>
        <w:rPr>
          <w:rStyle w:val="FootnoteReference"/>
        </w:rPr>
        <w:footnoteRef/>
      </w:r>
      <w:r>
        <w:tab/>
        <w:t>Όσον αφορά τους παραδοσιακούς ιδίους πόρους (δασμούς, εισφορές ζάχαρης), τα αναγραφόμενα ποσά πρέπει να είναι καθαρά ποσά, δηλ. τα ακαθάριστα ποσά μετά την αφαίρεση του 20 % για έξοδα είσπραξης.</w:t>
      </w:r>
    </w:p>
  </w:footnote>
  <w:footnote w:id="67">
    <w:p>
      <w:pPr>
        <w:pStyle w:val="FootnoteText"/>
        <w:spacing w:after="120"/>
        <w:rPr>
          <w:sz w:val="18"/>
        </w:rPr>
      </w:pPr>
      <w:r>
        <w:rPr>
          <w:rStyle w:val="FootnoteReference"/>
        </w:rPr>
        <w:footnoteRef/>
      </w:r>
      <w:r>
        <w:tab/>
      </w:r>
      <w:r>
        <w:rPr>
          <w:sz w:val="18"/>
        </w:rPr>
        <w:t>AC = Συμβασιούχος υπάλληλος</w:t>
      </w:r>
      <w:r>
        <w:t>·</w:t>
      </w:r>
      <w:r>
        <w:rPr>
          <w:sz w:val="18"/>
        </w:rPr>
        <w:t xml:space="preserve"> AL = Τοπικός υπάλληλος· END = Αποσπασμένος εθνικός εμπειρογνώμονας· INT = Προσωρινό προσωπικό· JPD = Νέος επαγγελματίας σε αντιπροσωπεία της ΕΕ.</w:t>
      </w:r>
    </w:p>
    <w:p>
      <w:pPr>
        <w:pStyle w:val="Text1"/>
        <w:rPr>
          <w:sz w:val="18"/>
          <w:szCs w:val="18"/>
        </w:rPr>
      </w:pPr>
      <w:r>
        <w:rPr>
          <w:sz w:val="18"/>
        </w:rPr>
        <w:t>Οι ανάγκες σε ανθρώπινους πόρους θα καλυφθούν από το προσωπικό της ΓΔ που έχει ήδη διατεθεί για τη διαχείριση της δράσης και/ή έχει ανακατανεμηθεί στο εσωτερικό της ΓΔ και το οποίο θα συμπληρωθεί, εάν χρειαστεί, από πρόσθετους πόρους που μπορεί να διατεθούν στην αρμόδια για τη διαχείριση ΓΔ στο πλαίσιο της ετήσιας διαδικασίας κατανομής και λαμβανομένων υπόψη των υφιστάμενων δημοσιονομικών περιορισμών.</w:t>
      </w:r>
    </w:p>
    <w:p>
      <w:pPr>
        <w:pStyle w:val="FootnoteText"/>
        <w:spacing w:after="1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F4A43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FA4F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42A1E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D238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hybridMultilevel"/>
    <w:tmpl w:val="452E5C12"/>
    <w:lvl w:ilvl="0" w:tplc="EEF6FCE2">
      <w:start w:val="1"/>
      <w:numFmt w:val="bullet"/>
      <w:pStyle w:val="ListBullet3"/>
      <w:lvlText w:val=""/>
      <w:lvlJc w:val="left"/>
      <w:pPr>
        <w:tabs>
          <w:tab w:val="num" w:pos="926"/>
        </w:tabs>
        <w:ind w:left="926" w:hanging="360"/>
      </w:pPr>
      <w:rPr>
        <w:rFonts w:ascii="Symbol" w:hAnsi="Symbol" w:hint="default"/>
      </w:rPr>
    </w:lvl>
    <w:lvl w:ilvl="1" w:tplc="2AD8F29C">
      <w:numFmt w:val="decimal"/>
      <w:lvlText w:val=""/>
      <w:lvlJc w:val="left"/>
    </w:lvl>
    <w:lvl w:ilvl="2" w:tplc="CB24C12E">
      <w:numFmt w:val="decimal"/>
      <w:lvlText w:val=""/>
      <w:lvlJc w:val="left"/>
    </w:lvl>
    <w:lvl w:ilvl="3" w:tplc="91B6A186">
      <w:numFmt w:val="decimal"/>
      <w:lvlText w:val=""/>
      <w:lvlJc w:val="left"/>
    </w:lvl>
    <w:lvl w:ilvl="4" w:tplc="14C2B52E">
      <w:numFmt w:val="decimal"/>
      <w:lvlText w:val=""/>
      <w:lvlJc w:val="left"/>
    </w:lvl>
    <w:lvl w:ilvl="5" w:tplc="42D07288">
      <w:numFmt w:val="decimal"/>
      <w:lvlText w:val=""/>
      <w:lvlJc w:val="left"/>
    </w:lvl>
    <w:lvl w:ilvl="6" w:tplc="5DA64346">
      <w:numFmt w:val="decimal"/>
      <w:lvlText w:val=""/>
      <w:lvlJc w:val="left"/>
    </w:lvl>
    <w:lvl w:ilvl="7" w:tplc="2592DD04">
      <w:numFmt w:val="decimal"/>
      <w:lvlText w:val=""/>
      <w:lvlJc w:val="left"/>
    </w:lvl>
    <w:lvl w:ilvl="8" w:tplc="71728A62">
      <w:numFmt w:val="decimal"/>
      <w:lvlText w:val=""/>
      <w:lvlJc w:val="left"/>
    </w:lvl>
  </w:abstractNum>
  <w:abstractNum w:abstractNumId="5">
    <w:nsid w:val="FFFFFF83"/>
    <w:multiLevelType w:val="hybridMultilevel"/>
    <w:tmpl w:val="CCFA3B80"/>
    <w:lvl w:ilvl="0" w:tplc="A3046CD4">
      <w:start w:val="1"/>
      <w:numFmt w:val="bullet"/>
      <w:pStyle w:val="ListBullet2"/>
      <w:lvlText w:val=""/>
      <w:lvlJc w:val="left"/>
      <w:pPr>
        <w:tabs>
          <w:tab w:val="num" w:pos="643"/>
        </w:tabs>
        <w:ind w:left="643" w:hanging="360"/>
      </w:pPr>
      <w:rPr>
        <w:rFonts w:ascii="Symbol" w:hAnsi="Symbol" w:hint="default"/>
      </w:rPr>
    </w:lvl>
    <w:lvl w:ilvl="1" w:tplc="9554397A">
      <w:numFmt w:val="decimal"/>
      <w:lvlText w:val=""/>
      <w:lvlJc w:val="left"/>
    </w:lvl>
    <w:lvl w:ilvl="2" w:tplc="46E41C70">
      <w:numFmt w:val="decimal"/>
      <w:lvlText w:val=""/>
      <w:lvlJc w:val="left"/>
    </w:lvl>
    <w:lvl w:ilvl="3" w:tplc="560C9042">
      <w:numFmt w:val="decimal"/>
      <w:lvlText w:val=""/>
      <w:lvlJc w:val="left"/>
    </w:lvl>
    <w:lvl w:ilvl="4" w:tplc="989E6832">
      <w:numFmt w:val="decimal"/>
      <w:lvlText w:val=""/>
      <w:lvlJc w:val="left"/>
    </w:lvl>
    <w:lvl w:ilvl="5" w:tplc="A344F536">
      <w:numFmt w:val="decimal"/>
      <w:lvlText w:val=""/>
      <w:lvlJc w:val="left"/>
    </w:lvl>
    <w:lvl w:ilvl="6" w:tplc="C9AECDBE">
      <w:numFmt w:val="decimal"/>
      <w:lvlText w:val=""/>
      <w:lvlJc w:val="left"/>
    </w:lvl>
    <w:lvl w:ilvl="7" w:tplc="82B84552">
      <w:numFmt w:val="decimal"/>
      <w:lvlText w:val=""/>
      <w:lvlJc w:val="left"/>
    </w:lvl>
    <w:lvl w:ilvl="8" w:tplc="E5800142">
      <w:numFmt w:val="decimal"/>
      <w:lvlText w:val=""/>
      <w:lvlJc w:val="left"/>
    </w:lvl>
  </w:abstractNum>
  <w:abstractNum w:abstractNumId="6">
    <w:nsid w:val="FFFFFF88"/>
    <w:multiLevelType w:val="singleLevel"/>
    <w:tmpl w:val="9372269E"/>
    <w:lvl w:ilvl="0">
      <w:start w:val="1"/>
      <w:numFmt w:val="decimal"/>
      <w:pStyle w:val="ListNumber"/>
      <w:lvlText w:val="%1."/>
      <w:lvlJc w:val="left"/>
      <w:pPr>
        <w:tabs>
          <w:tab w:val="num" w:pos="360"/>
        </w:tabs>
        <w:ind w:left="360" w:hanging="360"/>
      </w:pPr>
    </w:lvl>
  </w:abstractNum>
  <w:abstractNum w:abstractNumId="7">
    <w:nsid w:val="FFFFFF89"/>
    <w:multiLevelType w:val="hybridMultilevel"/>
    <w:tmpl w:val="4A900BD0"/>
    <w:lvl w:ilvl="0" w:tplc="B322BBB8">
      <w:start w:val="1"/>
      <w:numFmt w:val="bullet"/>
      <w:pStyle w:val="ListBullet"/>
      <w:lvlText w:val=""/>
      <w:lvlJc w:val="left"/>
      <w:pPr>
        <w:tabs>
          <w:tab w:val="num" w:pos="360"/>
        </w:tabs>
        <w:ind w:left="360" w:hanging="360"/>
      </w:pPr>
      <w:rPr>
        <w:rFonts w:ascii="Symbol" w:hAnsi="Symbol" w:hint="default"/>
      </w:rPr>
    </w:lvl>
    <w:lvl w:ilvl="1" w:tplc="276CA960">
      <w:numFmt w:val="decimal"/>
      <w:lvlText w:val=""/>
      <w:lvlJc w:val="left"/>
    </w:lvl>
    <w:lvl w:ilvl="2" w:tplc="46A8F0CC">
      <w:numFmt w:val="decimal"/>
      <w:lvlText w:val=""/>
      <w:lvlJc w:val="left"/>
    </w:lvl>
    <w:lvl w:ilvl="3" w:tplc="8572E770">
      <w:numFmt w:val="decimal"/>
      <w:lvlText w:val=""/>
      <w:lvlJc w:val="left"/>
    </w:lvl>
    <w:lvl w:ilvl="4" w:tplc="373ECE1E">
      <w:numFmt w:val="decimal"/>
      <w:lvlText w:val=""/>
      <w:lvlJc w:val="left"/>
    </w:lvl>
    <w:lvl w:ilvl="5" w:tplc="F3B880E8">
      <w:numFmt w:val="decimal"/>
      <w:lvlText w:val=""/>
      <w:lvlJc w:val="left"/>
    </w:lvl>
    <w:lvl w:ilvl="6" w:tplc="EA08EC48">
      <w:numFmt w:val="decimal"/>
      <w:lvlText w:val=""/>
      <w:lvlJc w:val="left"/>
    </w:lvl>
    <w:lvl w:ilvl="7" w:tplc="42F293BC">
      <w:numFmt w:val="decimal"/>
      <w:lvlText w:val=""/>
      <w:lvlJc w:val="left"/>
    </w:lvl>
    <w:lvl w:ilvl="8" w:tplc="023284D4">
      <w:numFmt w:val="decimal"/>
      <w:lvlText w:val=""/>
      <w:lvlJc w:val="left"/>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5">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1B24173"/>
    <w:multiLevelType w:val="hybridMultilevel"/>
    <w:tmpl w:val="2EDA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68A0307"/>
    <w:multiLevelType w:val="hybridMultilevel"/>
    <w:tmpl w:val="717E649E"/>
    <w:lvl w:ilvl="0" w:tplc="55D8A828">
      <w:start w:val="1"/>
      <w:numFmt w:val="decimal"/>
      <w:pStyle w:val="Numbered-Para"/>
      <w:lvlText w:val="%1"/>
      <w:lvlJc w:val="left"/>
      <w:pPr>
        <w:ind w:left="3" w:hanging="360"/>
      </w:pPr>
      <w:rPr>
        <w:rFonts w:hint="default"/>
        <w:b w:val="0"/>
        <w:i w:val="0"/>
        <w:color w:val="808080" w:themeColor="background1" w:themeShade="80"/>
      </w:rPr>
    </w:lvl>
    <w:lvl w:ilvl="1" w:tplc="9EE2AB7A">
      <w:start w:val="4"/>
      <w:numFmt w:val="bullet"/>
      <w:lvlText w:val="-"/>
      <w:lvlJc w:val="left"/>
      <w:pPr>
        <w:ind w:left="1440" w:hanging="360"/>
      </w:pPr>
      <w:rPr>
        <w:rFonts w:ascii="Calibri" w:eastAsiaTheme="minorHAnsi" w:hAnsi="Calibri" w:cs="Calibr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7"/>
  </w:num>
  <w:num w:numId="2">
    <w:abstractNumId w:val="3"/>
  </w:num>
  <w:num w:numId="3">
    <w:abstractNumId w:val="7"/>
  </w:num>
  <w:num w:numId="4">
    <w:abstractNumId w:val="5"/>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
  </w:num>
  <w:num w:numId="28">
    <w:abstractNumId w:val="1"/>
  </w:num>
  <w:num w:numId="29">
    <w:abstractNumId w:val="0"/>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9"/>
    <w:lvlOverride w:ilvl="0">
      <w:startOverride w:val="1"/>
    </w:lvlOverride>
  </w:num>
  <w:num w:numId="75">
    <w:abstractNumId w:val="16"/>
    <w:lvlOverride w:ilvl="0">
      <w:startOverride w:val="1"/>
    </w:lvlOverride>
  </w:num>
  <w:num w:numId="76">
    <w:abstractNumId w:val="28"/>
    <w:lvlOverride w:ilvl="0">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lvlOverride w:ilvl="0">
      <w:startOverride w:val="1"/>
    </w:lvlOverride>
  </w:num>
  <w:num w:numId="82">
    <w:abstractNumId w:val="8"/>
  </w:num>
  <w:num w:numId="83">
    <w:abstractNumId w:val="14"/>
  </w:num>
  <w:num w:numId="84">
    <w:abstractNumId w:val="20"/>
  </w:num>
  <w:num w:numId="85">
    <w:abstractNumId w:val="19"/>
  </w:num>
  <w:num w:numId="86">
    <w:abstractNumId w:val="9"/>
  </w:num>
  <w:num w:numId="87">
    <w:abstractNumId w:val="15"/>
  </w:num>
  <w:num w:numId="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
    <w:lvlOverride w:ilvl="0">
      <w:startOverride w:val="1"/>
    </w:lvlOverride>
  </w:num>
  <w:num w:numId="90">
    <w:abstractNumId w:val="25"/>
  </w:num>
  <w:num w:numId="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
  </w:num>
  <w:num w:numId="94">
    <w:abstractNumId w:val="16"/>
  </w:num>
  <w:num w:numId="95">
    <w:abstractNumId w:val="28"/>
  </w:num>
  <w:num w:numId="96">
    <w:abstractNumId w:val="13"/>
  </w:num>
  <w:num w:numId="97">
    <w:abstractNumId w:val="17"/>
  </w:num>
  <w:num w:numId="98">
    <w:abstractNumId w:val="11"/>
  </w:num>
  <w:num w:numId="99">
    <w:abstractNumId w:val="26"/>
  </w:num>
  <w:num w:numId="100">
    <w:abstractNumId w:val="10"/>
  </w:num>
  <w:num w:numId="101">
    <w:abstractNumId w:val="18"/>
  </w:num>
  <w:num w:numId="102">
    <w:abstractNumId w:val="22"/>
  </w:num>
  <w:num w:numId="103">
    <w:abstractNumId w:val="23"/>
  </w:num>
  <w:num w:numId="104">
    <w:abstractNumId w:val="12"/>
  </w:num>
  <w:num w:numId="105">
    <w:abstractNumId w:val="21"/>
  </w:num>
  <w:num w:numId="106">
    <w:abstractNumId w:val="2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02 10:04:4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2"/>
    <w:docVar w:name="DQCResult_ModifiedMarkers" w:val="0;0"/>
    <w:docVar w:name="DQCResult_ModifiedNumbering" w:val="0;0"/>
    <w:docVar w:name="DQCResult_Objects" w:val="0;0"/>
    <w:docVar w:name="DQCResult_Sections" w:val="0;1"/>
    <w:docVar w:name="DQCResult_StructureCheck" w:val="0;0"/>
    <w:docVar w:name="DQCResult_SuperfluousWhitespace" w:val="0;62"/>
    <w:docVar w:name="DQCResult_UnknownFonts" w:val="0;0"/>
    <w:docVar w:name="DQCResult_UnknownStyles" w:val="0;52"/>
    <w:docVar w:name="DQCStatus" w:val="Green"/>
    <w:docVar w:name="DQCVersion" w:val="3"/>
    <w:docVar w:name="DQCWithWarnings" w:val="0"/>
    <w:docVar w:name="LW_CORRIGENDUM" w:val="&lt;UNUSED&gt;"/>
    <w:docVar w:name="LW_COVERPAGE_EXISTS" w:val="True"/>
    <w:docVar w:name="LW_COVERPAGE_GUID" w:val="9223FD3C-E7BD-4233-95D0-78AC97BC7020"/>
    <w:docVar w:name="LW_COVERPAGE_TYPE" w:val="1"/>
    <w:docVar w:name="LW_CROSSREFERENCE" w:val="{SEC(2020) 432 final} - {SWD(2020) 348 final} - {SWD(2020) 349 final}"/>
    <w:docVar w:name="LW_DocType" w:val="COM"/>
    <w:docVar w:name="LW_EMISSION" w:val="15.12.2020"/>
    <w:docVar w:name="LW_EMISSION_ISODATE" w:val="2020-12-15"/>
    <w:docVar w:name="LW_EMISSION_LOCATION" w:val="BRX"/>
    <w:docVar w:name="LW_EMISSION_PREFIX" w:val="Βρυξέλλες,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u922?\u949?\u943?\u956?\u949?\u957?\u959? \u960?\u959?\u965? \u960?\u945?\u961?\u959?\u965?\u963?\u953?\u940?\u950?\u949?\u953? \u949?\u957?\u948?\u953?\u945?\u966?\u941?\u961?\u959?\u957? \u947?\u953?\u945? \u964?\u959?\u957? \u917?\u927?\u935?)"/>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361"/>
    <w:docVar w:name="LW_REF.II.NEW.CP_YEAR" w:val="2020"/>
    <w:docVar w:name="LW_REF.INST.NEW" w:val="COM"/>
    <w:docVar w:name="LW_REF.INST.NEW_ADOPTED" w:val="final"/>
    <w:docVar w:name="LW_REF.INST.NEW_TEXT" w:val="(2020) 8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928?\u961?\u972?\u964?\u945?\u963?\u951?"/>
    <w:docVar w:name="LW_SUPERTITRE" w:val="&lt;UNUSED&gt;"/>
    <w:docVar w:name="LW_TITRE.OBJ.CP" w:val="\u963?\u967?\u949?\u964?\u953?\u954?\u940? \u956?\u949? \u964?\u951?\u957? \u949?\u957?\u953?\u945?\u943?\u945? \u945?\u947?\u959?\u961?\u940? \u968?\u951?\u966?\u953?\u945?\u954?\u974?\u957? \u965?\u960?\u951?\u961?\u949?\u963?\u953?\u974?\u957? (\u960?\u961?\u940?\u958?\u951? \u947?\u953?\u945? \u964?\u953?\u962? \u968?\u951?\u966?\u953?\u945?\u954?\u941?\u962? \u965?\u960?\u951?\u961?\u949?\u963?\u943?\u949?\u962?) \u954?\u945?\u953? \u964?\u951?\u957? \u964?\u961?\u959?\u960?\u959?\u960?\u959?\u943?\u951?\u963?\u951? \u964?\u951?\u962? \u959?\u948?\u951?\u947?\u943?\u945?\u962? 2000/31/\u917?\u922?"/>
    <w:docVar w:name="LW_TYPE.DOC.CP" w:val="\u922?\u913?\u925?\u927?\u925?\u921?\u931?\u924?\u927?\u931? \u932?\u927?\u933? \u917?\u933?\u929?\u937?\u928?\u913?\u938?\u922?\u927?\u933? \u922?\u927?\u921?\u925?\u927?\u914?\u927?\u933?\u923?\u921?\u927?\u933? \u922?\u913?\u921? \u932?\u927?\u933? \u931?\u933?\u924?\u914?\u927?\u933?\u923?\u921?\u927?\u933?"/>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9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Pr>
      <w:color w:val="0000FF"/>
      <w:u w:val="single"/>
    </w:rPr>
  </w:style>
  <w:style w:type="paragraph" w:customStyle="1" w:styleId="Numbered-Para">
    <w:name w:val="Numbered-Para"/>
    <w:basedOn w:val="Normal"/>
    <w:link w:val="Numbered-ParaChar"/>
    <w:qFormat/>
    <w:pPr>
      <w:numPr>
        <w:numId w:val="1"/>
      </w:numPr>
      <w:tabs>
        <w:tab w:val="left" w:pos="2302"/>
      </w:tabs>
      <w:spacing w:before="0"/>
    </w:pPr>
    <w:rPr>
      <w:rFonts w:eastAsia="Times New Roman"/>
      <w:szCs w:val="20"/>
    </w:rPr>
  </w:style>
  <w:style w:type="character" w:customStyle="1" w:styleId="Numbered-ParaChar">
    <w:name w:val="Numbered-Para Char"/>
    <w:basedOn w:val="DefaultParagraphFont"/>
    <w:link w:val="Numbered-Para"/>
    <w:rPr>
      <w:rFonts w:ascii="Times New Roman" w:eastAsia="Times New Roman" w:hAnsi="Times New Roman" w:cs="Times New Roman"/>
      <w:sz w:val="24"/>
      <w:szCs w:val="20"/>
      <w:lang w:val="en-GB"/>
    </w:rPr>
  </w:style>
  <w:style w:type="paragraph" w:styleId="ListBullet4">
    <w:name w:val="List Bullet 4"/>
    <w:basedOn w:val="Normal"/>
    <w:unhideWhenUsed/>
    <w:pPr>
      <w:numPr>
        <w:numId w:val="2"/>
      </w:numPr>
      <w:contextualSpacing/>
    </w:pPr>
  </w:style>
  <w:style w:type="paragraph" w:styleId="Bibliography">
    <w:name w:val="Bibliography"/>
    <w:basedOn w:val="Normal"/>
    <w:next w:val="Normal"/>
    <w:uiPriority w:val="37"/>
    <w:semiHidden/>
    <w:unhideWhenUsed/>
  </w:style>
  <w:style w:type="character" w:customStyle="1" w:styleId="outputecli">
    <w:name w:val="outputecli"/>
    <w:basedOn w:val="DefaultParagraphFont"/>
  </w:style>
  <w:style w:type="character" w:customStyle="1" w:styleId="outputecliaff">
    <w:name w:val="outputecliaff"/>
    <w:basedOn w:val="DefaultParagraphFont"/>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nhideWhenUsed/>
    <w:pPr>
      <w:numPr>
        <w:numId w:val="5"/>
      </w:numPr>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l-GR"/>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l-G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l-GR"/>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s-ES_tradnl"/>
    </w:rPr>
  </w:style>
  <w:style w:type="paragraph" w:styleId="ListParagraph">
    <w:name w:val="List Paragraph"/>
    <w:aliases w:val="Lettre d'introduction,Numbered paragraph 1,Paragrafo elenco,1st level - Bullet List Paragraph,cS List Paragraph,Bullet List Paragraph,List Paragraph1,Heading 2_sj,Lijstalinea,Numbered Para 1,Dot pt,No Spacing1,Llista Nivell1,BULLET 1,L,Ha"/>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dsgvo-title">
    <w:name w:val="dsgvo-title"/>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lang w:eastAsia="es-ES_tradnl"/>
    </w:rPr>
  </w:style>
  <w:style w:type="table" w:styleId="TableGrid">
    <w:name w:val="Table Grid"/>
    <w:basedOn w:val="TableNormal"/>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super">
    <w:name w:val="super"/>
    <w:basedOn w:val="DefaultParagraphFont"/>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customStyle="1" w:styleId="NormalHanging12a">
    <w:name w:val="NormalHanging12a"/>
    <w:basedOn w:val="Normal"/>
    <w:link w:val="NormalHanging12aChar"/>
    <w:qFormat/>
    <w:pPr>
      <w:widowControl w:val="0"/>
      <w:spacing w:before="0" w:after="240"/>
      <w:ind w:left="567" w:hanging="567"/>
      <w:jc w:val="left"/>
    </w:pPr>
    <w:rPr>
      <w:rFonts w:eastAsia="Times New Roman"/>
      <w:szCs w:val="20"/>
      <w:lang w:eastAsia="en-GB"/>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paragraph" w:customStyle="1" w:styleId="paragraph">
    <w:name w:val="paragraph"/>
    <w:basedOn w:val="Normal"/>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Normal3">
    <w:name w:val="Normal3"/>
    <w:basedOn w:val="Normal"/>
    <w:pPr>
      <w:spacing w:before="100" w:beforeAutospacing="1" w:after="100" w:afterAutospacing="1"/>
      <w:jc w:val="left"/>
    </w:pPr>
    <w:rPr>
      <w:rFonts w:eastAsia="Times New Roman"/>
      <w:szCs w:val="24"/>
      <w:lang w:eastAsia="en-GB"/>
    </w:rPr>
  </w:style>
  <w:style w:type="character" w:customStyle="1" w:styleId="num">
    <w:name w:val="num"/>
    <w:basedOn w:val="DefaultParagraphFont"/>
  </w:style>
  <w:style w:type="character" w:customStyle="1" w:styleId="ListParagraphChar">
    <w:name w:val="List Paragraph Char"/>
    <w:aliases w:val="Lettre d'introduction Char,Numbered paragraph 1 Char,Paragrafo elenco Char,1st level - Bullet List Paragraph Char,cS List Paragraph Char,Bullet List Paragraph Char,List Paragraph1 Char,Heading 2_sj Char,Lijstalinea Char,Dot pt Char"/>
    <w:link w:val="ListParagraph"/>
    <w:uiPriority w:val="34"/>
    <w:qFormat/>
    <w:locked/>
    <w:rPr>
      <w:lang w:val="el-GR"/>
    </w:rPr>
  </w:style>
  <w:style w:type="paragraph" w:customStyle="1" w:styleId="ListNumber1">
    <w:name w:val="List Number 1"/>
    <w:basedOn w:val="Text1"/>
    <w:pPr>
      <w:tabs>
        <w:tab w:val="num" w:pos="1560"/>
      </w:tabs>
      <w:ind w:left="1560" w:hanging="709"/>
    </w:pPr>
    <w:rPr>
      <w:rFonts w:eastAsia="Times New Roman"/>
      <w:lang w:eastAsia="en-GB"/>
    </w:rPr>
  </w:style>
  <w:style w:type="paragraph" w:customStyle="1" w:styleId="ListNumber1Level2">
    <w:name w:val="List Number 1 (Level 2)"/>
    <w:basedOn w:val="Text1"/>
    <w:pPr>
      <w:tabs>
        <w:tab w:val="num" w:pos="2268"/>
      </w:tabs>
      <w:ind w:left="2268" w:hanging="708"/>
    </w:pPr>
    <w:rPr>
      <w:rFonts w:eastAsia="Times New Roman"/>
      <w:lang w:eastAsia="en-GB"/>
    </w:rPr>
  </w:style>
  <w:style w:type="paragraph" w:customStyle="1" w:styleId="ListNumber1Level3">
    <w:name w:val="List Number 1 (Level 3)"/>
    <w:basedOn w:val="Text1"/>
    <w:pPr>
      <w:tabs>
        <w:tab w:val="num" w:pos="2977"/>
      </w:tabs>
      <w:ind w:left="2977" w:hanging="709"/>
    </w:pPr>
    <w:rPr>
      <w:rFonts w:eastAsia="Times New Roman"/>
      <w:lang w:eastAsia="en-GB"/>
    </w:rPr>
  </w:style>
  <w:style w:type="paragraph" w:customStyle="1" w:styleId="ListNumber1Level4">
    <w:name w:val="List Number 1 (Level 4)"/>
    <w:basedOn w:val="Text1"/>
    <w:pPr>
      <w:tabs>
        <w:tab w:val="num" w:pos="3686"/>
      </w:tabs>
      <w:ind w:left="3686" w:hanging="709"/>
    </w:pPr>
    <w:rPr>
      <w:rFonts w:eastAsia="Times New Roman"/>
      <w:lang w:eastAsia="en-GB"/>
    </w:rPr>
  </w:style>
  <w:style w:type="character" w:customStyle="1" w:styleId="NormalHanging12aChar">
    <w:name w:val="NormalHanging12a Char"/>
    <w:basedOn w:val="DefaultParagraphFont"/>
    <w:link w:val="NormalHanging12a"/>
    <w:locked/>
    <w:rPr>
      <w:rFonts w:ascii="Times New Roman" w:eastAsia="Times New Roman" w:hAnsi="Times New Roman" w:cs="Times New Roman"/>
      <w:sz w:val="24"/>
      <w:szCs w:val="20"/>
      <w:lang w:val="el-GR" w:eastAsia="en-GB"/>
    </w:rPr>
  </w:style>
  <w:style w:type="character" w:customStyle="1" w:styleId="highlight">
    <w:name w:val="highlight"/>
    <w:basedOn w:val="DefaultParagraphFont"/>
  </w:style>
  <w:style w:type="character" w:styleId="Strong">
    <w:name w:val="Strong"/>
    <w:basedOn w:val="DefaultParagraphFont"/>
    <w:uiPriority w:val="22"/>
    <w:qFormat/>
    <w:rPr>
      <w:b/>
      <w:bCs/>
    </w:rPr>
  </w:style>
  <w:style w:type="paragraph" w:customStyle="1" w:styleId="LegalNumPar">
    <w:name w:val="LegalNumPar"/>
    <w:basedOn w:val="Normal"/>
    <w:pPr>
      <w:spacing w:line="360" w:lineRule="auto"/>
      <w:ind w:left="476" w:hanging="476"/>
    </w:pPr>
  </w:style>
  <w:style w:type="paragraph" w:customStyle="1" w:styleId="LegalNumPar2">
    <w:name w:val="LegalNumPar2"/>
    <w:basedOn w:val="Normal"/>
    <w:pPr>
      <w:spacing w:line="360" w:lineRule="auto"/>
      <w:ind w:left="953" w:hanging="477"/>
    </w:pPr>
  </w:style>
  <w:style w:type="paragraph" w:customStyle="1" w:styleId="LegalNumPar3">
    <w:name w:val="LegalNumPar3"/>
    <w:basedOn w:val="Normal"/>
    <w:pPr>
      <w:spacing w:line="360" w:lineRule="auto"/>
      <w:ind w:left="1429" w:hanging="476"/>
    </w:pPr>
  </w:style>
  <w:style w:type="paragraph" w:customStyle="1" w:styleId="Style1">
    <w:name w:val="Style1"/>
    <w:basedOn w:val="Considrant"/>
    <w:qFormat/>
    <w:pPr>
      <w:ind w:left="0" w:firstLine="0"/>
    </w:pPr>
    <w:rPr>
      <w:b/>
      <w:smallCaps/>
    </w:rPr>
  </w:style>
  <w:style w:type="paragraph" w:customStyle="1" w:styleId="Style2">
    <w:name w:val="Style2"/>
    <w:basedOn w:val="Considrant"/>
    <w:autoRedefine/>
    <w:qFormat/>
  </w:style>
  <w:style w:type="character" w:customStyle="1" w:styleId="acopre">
    <w:name w:val="acopre"/>
    <w:basedOn w:val="DefaultParagraphFont"/>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26"/>
      </w:numPr>
      <w:contextualSpacing/>
    </w:pPr>
  </w:style>
  <w:style w:type="paragraph" w:styleId="ListNumber2">
    <w:name w:val="List Number 2"/>
    <w:basedOn w:val="Normal"/>
    <w:unhideWhenUsed/>
    <w:pPr>
      <w:numPr>
        <w:numId w:val="27"/>
      </w:numPr>
      <w:contextualSpacing/>
    </w:pPr>
  </w:style>
  <w:style w:type="paragraph" w:styleId="ListNumber3">
    <w:name w:val="List Number 3"/>
    <w:basedOn w:val="Normal"/>
    <w:unhideWhenUsed/>
    <w:pPr>
      <w:numPr>
        <w:numId w:val="28"/>
      </w:numPr>
      <w:contextualSpacing/>
    </w:pPr>
  </w:style>
  <w:style w:type="paragraph" w:styleId="ListNumber4">
    <w:name w:val="List Number 4"/>
    <w:basedOn w:val="Normal"/>
    <w:unhideWhenUsed/>
    <w:pPr>
      <w:numPr>
        <w:numId w:val="29"/>
      </w:numPr>
      <w:contextualSpacing/>
    </w:pPr>
  </w:style>
  <w:style w:type="character" w:styleId="FollowedHyperlink">
    <w:name w:val="FollowedHyperlink"/>
    <w:basedOn w:val="DefaultParagraphFont"/>
    <w:uiPriority w:val="99"/>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l-GR"/>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paragraph" w:customStyle="1" w:styleId="Foot">
    <w:name w:val="Foot"/>
    <w:basedOn w:val="FootnoteText"/>
    <w:pPr>
      <w:ind w:left="142" w:hanging="142"/>
    </w:pPr>
  </w:style>
  <w:style w:type="paragraph" w:customStyle="1" w:styleId="ListBullet1">
    <w:name w:val="List Bullet 1"/>
    <w:basedOn w:val="Normal"/>
    <w:pPr>
      <w:numPr>
        <w:numId w:val="82"/>
      </w:numPr>
    </w:pPr>
    <w:rPr>
      <w:rFonts w:eastAsia="Times New Roman"/>
      <w:lang w:eastAsia="de-DE"/>
    </w:rPr>
  </w:style>
  <w:style w:type="paragraph" w:customStyle="1" w:styleId="ListDash">
    <w:name w:val="List Dash"/>
    <w:basedOn w:val="Normal"/>
    <w:pPr>
      <w:numPr>
        <w:numId w:val="83"/>
      </w:numPr>
    </w:pPr>
    <w:rPr>
      <w:rFonts w:eastAsia="Times New Roman"/>
      <w:lang w:eastAsia="de-DE"/>
    </w:rPr>
  </w:style>
  <w:style w:type="paragraph" w:customStyle="1" w:styleId="ListDash1">
    <w:name w:val="List Dash 1"/>
    <w:basedOn w:val="Normal"/>
    <w:pPr>
      <w:numPr>
        <w:numId w:val="84"/>
      </w:numPr>
    </w:pPr>
    <w:rPr>
      <w:rFonts w:eastAsia="Times New Roman"/>
      <w:lang w:eastAsia="de-DE"/>
    </w:rPr>
  </w:style>
  <w:style w:type="paragraph" w:customStyle="1" w:styleId="ListDash2">
    <w:name w:val="List Dash 2"/>
    <w:basedOn w:val="Normal"/>
    <w:pPr>
      <w:numPr>
        <w:numId w:val="85"/>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ListDash3">
    <w:name w:val="List Dash 3"/>
    <w:basedOn w:val="Normal"/>
    <w:pPr>
      <w:numPr>
        <w:numId w:val="86"/>
      </w:numPr>
    </w:pPr>
    <w:rPr>
      <w:rFonts w:eastAsia="Times New Roman"/>
      <w:lang w:eastAsia="en-GB"/>
    </w:rPr>
  </w:style>
  <w:style w:type="paragraph" w:customStyle="1" w:styleId="ListDash4">
    <w:name w:val="List Dash 4"/>
    <w:basedOn w:val="Normal"/>
    <w:pPr>
      <w:numPr>
        <w:numId w:val="87"/>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ootnote">
    <w:name w:val="Footnote"/>
    <w:basedOn w:val="FootnoteText"/>
  </w:style>
  <w:style w:type="paragraph" w:customStyle="1" w:styleId="Footnoterefere">
    <w:name w:val="Footnote refere"/>
    <w:basedOn w:val="FootnoteText"/>
  </w:style>
  <w:style w:type="character" w:customStyle="1" w:styleId="tw4winError">
    <w:name w:val="tw4winError"/>
    <w:rPr>
      <w:color w:val="00FF00"/>
      <w:sz w:val="40"/>
      <w:lang w:val="el-GR" w:eastAsia="en-GB"/>
    </w:rPr>
  </w:style>
  <w:style w:type="character" w:customStyle="1" w:styleId="tw4winTerm">
    <w:name w:val="tw4winTerm"/>
    <w:rPr>
      <w:color w:val="0000FF"/>
      <w:lang w:val="el-GR" w:eastAsia="en-GB"/>
    </w:rPr>
  </w:style>
  <w:style w:type="character" w:customStyle="1" w:styleId="tw4winPopup">
    <w:name w:val="tw4winPopup"/>
    <w:rPr>
      <w:noProof/>
      <w:color w:val="008000"/>
      <w:lang w:val="el-GR" w:eastAsia="en-GB"/>
    </w:rPr>
  </w:style>
  <w:style w:type="character" w:customStyle="1" w:styleId="tw4winJump">
    <w:name w:val="tw4winJump"/>
    <w:rPr>
      <w:noProof/>
      <w:color w:val="008080"/>
      <w:lang w:val="el-GR" w:eastAsia="en-GB"/>
    </w:rPr>
  </w:style>
  <w:style w:type="character" w:customStyle="1" w:styleId="tw4winExternal">
    <w:name w:val="tw4winExternal"/>
    <w:rPr>
      <w:noProof/>
      <w:color w:val="808080"/>
      <w:lang w:val="el-GR" w:eastAsia="en-GB"/>
    </w:rPr>
  </w:style>
  <w:style w:type="character" w:customStyle="1" w:styleId="tw4winInternal">
    <w:name w:val="tw4winInternal"/>
    <w:rPr>
      <w:noProof/>
      <w:color w:val="FF0000"/>
      <w:lang w:val="el-GR" w:eastAsia="en-GB"/>
    </w:rPr>
  </w:style>
  <w:style w:type="character" w:customStyle="1" w:styleId="DONOTTRANSLATE">
    <w:name w:val="DO_NOT_TRANSLATE"/>
    <w:rPr>
      <w:noProof/>
      <w:color w:val="800000"/>
      <w:lang w:val="el-GR"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lang w:eastAsia="en-GB"/>
    </w:rPr>
  </w:style>
  <w:style w:type="character" w:customStyle="1" w:styleId="FooterCoverPageChar">
    <w:name w:val="Footer Cover Page Char"/>
    <w:link w:val="FooterCoverPage"/>
    <w:rPr>
      <w:rFonts w:ascii="Times New Roman" w:eastAsia="Times New Roman" w:hAnsi="Times New Roman" w:cs="Times New Roman"/>
      <w:sz w:val="24"/>
      <w:szCs w:val="24"/>
      <w:lang w:val="el-GR" w:eastAsia="en-GB"/>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lang w:eastAsia="en-GB"/>
    </w:rPr>
  </w:style>
  <w:style w:type="character" w:customStyle="1" w:styleId="HeaderCoverPageChar">
    <w:name w:val="Header Cover Page Char"/>
    <w:link w:val="HeaderCoverPage"/>
    <w:rPr>
      <w:rFonts w:ascii="Times New Roman" w:eastAsia="Times New Roman" w:hAnsi="Times New Roman" w:cs="Times New Roman"/>
      <w:sz w:val="24"/>
      <w:szCs w:val="24"/>
      <w:lang w:val="el-GR"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3"/>
      </w:numPr>
    </w:pPr>
  </w:style>
  <w:style w:type="paragraph" w:customStyle="1" w:styleId="Tiret1">
    <w:name w:val="Tiret 1"/>
    <w:basedOn w:val="Point1"/>
    <w:pPr>
      <w:numPr>
        <w:numId w:val="94"/>
      </w:numPr>
    </w:pPr>
  </w:style>
  <w:style w:type="paragraph" w:customStyle="1" w:styleId="Tiret2">
    <w:name w:val="Tiret 2"/>
    <w:basedOn w:val="Point2"/>
    <w:pPr>
      <w:numPr>
        <w:numId w:val="95"/>
      </w:numPr>
    </w:pPr>
  </w:style>
  <w:style w:type="paragraph" w:customStyle="1" w:styleId="Tiret3">
    <w:name w:val="Tiret 3"/>
    <w:basedOn w:val="Point3"/>
    <w:pPr>
      <w:numPr>
        <w:numId w:val="96"/>
      </w:numPr>
    </w:pPr>
  </w:style>
  <w:style w:type="paragraph" w:customStyle="1" w:styleId="Tiret4">
    <w:name w:val="Tiret 4"/>
    <w:basedOn w:val="Point4"/>
    <w:pPr>
      <w:numPr>
        <w:numId w:val="9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8"/>
      </w:numPr>
    </w:pPr>
  </w:style>
  <w:style w:type="paragraph" w:customStyle="1" w:styleId="NumPar2">
    <w:name w:val="NumPar 2"/>
    <w:basedOn w:val="Normal"/>
    <w:next w:val="Text1"/>
    <w:pPr>
      <w:numPr>
        <w:ilvl w:val="1"/>
        <w:numId w:val="98"/>
      </w:numPr>
    </w:pPr>
  </w:style>
  <w:style w:type="paragraph" w:customStyle="1" w:styleId="NumPar3">
    <w:name w:val="NumPar 3"/>
    <w:basedOn w:val="Normal"/>
    <w:next w:val="Text1"/>
    <w:pPr>
      <w:numPr>
        <w:ilvl w:val="2"/>
        <w:numId w:val="98"/>
      </w:numPr>
    </w:pPr>
  </w:style>
  <w:style w:type="paragraph" w:customStyle="1" w:styleId="NumPar4">
    <w:name w:val="NumPar 4"/>
    <w:basedOn w:val="Normal"/>
    <w:next w:val="Text1"/>
    <w:pPr>
      <w:numPr>
        <w:ilvl w:val="3"/>
        <w:numId w:val="9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0"/>
      </w:numPr>
    </w:pPr>
  </w:style>
  <w:style w:type="paragraph" w:customStyle="1" w:styleId="Point1number">
    <w:name w:val="Point 1 (number)"/>
    <w:basedOn w:val="Normal"/>
    <w:pPr>
      <w:numPr>
        <w:ilvl w:val="2"/>
        <w:numId w:val="100"/>
      </w:numPr>
    </w:pPr>
  </w:style>
  <w:style w:type="paragraph" w:customStyle="1" w:styleId="Point2number">
    <w:name w:val="Point 2 (number)"/>
    <w:basedOn w:val="Normal"/>
    <w:pPr>
      <w:numPr>
        <w:ilvl w:val="4"/>
        <w:numId w:val="100"/>
      </w:numPr>
    </w:pPr>
  </w:style>
  <w:style w:type="paragraph" w:customStyle="1" w:styleId="Point3number">
    <w:name w:val="Point 3 (number)"/>
    <w:basedOn w:val="Normal"/>
    <w:pPr>
      <w:numPr>
        <w:ilvl w:val="6"/>
        <w:numId w:val="100"/>
      </w:numPr>
    </w:pPr>
  </w:style>
  <w:style w:type="paragraph" w:customStyle="1" w:styleId="Point0letter">
    <w:name w:val="Point 0 (letter)"/>
    <w:basedOn w:val="Normal"/>
    <w:pPr>
      <w:numPr>
        <w:ilvl w:val="1"/>
        <w:numId w:val="100"/>
      </w:numPr>
    </w:pPr>
  </w:style>
  <w:style w:type="paragraph" w:customStyle="1" w:styleId="Point1letter">
    <w:name w:val="Point 1 (letter)"/>
    <w:basedOn w:val="Normal"/>
    <w:pPr>
      <w:numPr>
        <w:ilvl w:val="3"/>
        <w:numId w:val="100"/>
      </w:numPr>
    </w:pPr>
  </w:style>
  <w:style w:type="paragraph" w:customStyle="1" w:styleId="Point2letter">
    <w:name w:val="Point 2 (letter)"/>
    <w:basedOn w:val="Normal"/>
    <w:pPr>
      <w:numPr>
        <w:ilvl w:val="5"/>
        <w:numId w:val="100"/>
      </w:numPr>
    </w:pPr>
  </w:style>
  <w:style w:type="paragraph" w:customStyle="1" w:styleId="Point3letter">
    <w:name w:val="Point 3 (letter)"/>
    <w:basedOn w:val="Normal"/>
    <w:pPr>
      <w:numPr>
        <w:ilvl w:val="7"/>
        <w:numId w:val="100"/>
      </w:numPr>
    </w:pPr>
  </w:style>
  <w:style w:type="paragraph" w:customStyle="1" w:styleId="Point4letter">
    <w:name w:val="Point 4 (letter)"/>
    <w:basedOn w:val="Normal"/>
    <w:pPr>
      <w:numPr>
        <w:ilvl w:val="8"/>
        <w:numId w:val="100"/>
      </w:numPr>
    </w:pPr>
  </w:style>
  <w:style w:type="paragraph" w:customStyle="1" w:styleId="Bullet0">
    <w:name w:val="Bullet 0"/>
    <w:basedOn w:val="Normal"/>
    <w:pPr>
      <w:numPr>
        <w:numId w:val="101"/>
      </w:numPr>
    </w:pPr>
  </w:style>
  <w:style w:type="paragraph" w:customStyle="1" w:styleId="Bullet1">
    <w:name w:val="Bullet 1"/>
    <w:basedOn w:val="Normal"/>
    <w:pPr>
      <w:numPr>
        <w:numId w:val="102"/>
      </w:numPr>
    </w:pPr>
  </w:style>
  <w:style w:type="paragraph" w:customStyle="1" w:styleId="Bullet2">
    <w:name w:val="Bullet 2"/>
    <w:basedOn w:val="Normal"/>
    <w:pPr>
      <w:numPr>
        <w:numId w:val="103"/>
      </w:numPr>
    </w:pPr>
  </w:style>
  <w:style w:type="paragraph" w:customStyle="1" w:styleId="Bullet3">
    <w:name w:val="Bullet 3"/>
    <w:basedOn w:val="Normal"/>
    <w:pPr>
      <w:numPr>
        <w:numId w:val="104"/>
      </w:numPr>
    </w:pPr>
  </w:style>
  <w:style w:type="paragraph" w:customStyle="1" w:styleId="Bullet4">
    <w:name w:val="Bullet 4"/>
    <w:basedOn w:val="Normal"/>
    <w:pPr>
      <w:numPr>
        <w:numId w:val="10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9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Pr>
      <w:color w:val="0000FF"/>
      <w:u w:val="single"/>
    </w:rPr>
  </w:style>
  <w:style w:type="paragraph" w:customStyle="1" w:styleId="Numbered-Para">
    <w:name w:val="Numbered-Para"/>
    <w:basedOn w:val="Normal"/>
    <w:link w:val="Numbered-ParaChar"/>
    <w:qFormat/>
    <w:pPr>
      <w:numPr>
        <w:numId w:val="1"/>
      </w:numPr>
      <w:tabs>
        <w:tab w:val="left" w:pos="2302"/>
      </w:tabs>
      <w:spacing w:before="0"/>
    </w:pPr>
    <w:rPr>
      <w:rFonts w:eastAsia="Times New Roman"/>
      <w:szCs w:val="20"/>
    </w:rPr>
  </w:style>
  <w:style w:type="character" w:customStyle="1" w:styleId="Numbered-ParaChar">
    <w:name w:val="Numbered-Para Char"/>
    <w:basedOn w:val="DefaultParagraphFont"/>
    <w:link w:val="Numbered-Para"/>
    <w:rPr>
      <w:rFonts w:ascii="Times New Roman" w:eastAsia="Times New Roman" w:hAnsi="Times New Roman" w:cs="Times New Roman"/>
      <w:sz w:val="24"/>
      <w:szCs w:val="20"/>
      <w:lang w:val="en-GB"/>
    </w:rPr>
  </w:style>
  <w:style w:type="paragraph" w:styleId="ListBullet4">
    <w:name w:val="List Bullet 4"/>
    <w:basedOn w:val="Normal"/>
    <w:unhideWhenUsed/>
    <w:pPr>
      <w:numPr>
        <w:numId w:val="2"/>
      </w:numPr>
      <w:contextualSpacing/>
    </w:pPr>
  </w:style>
  <w:style w:type="paragraph" w:styleId="Bibliography">
    <w:name w:val="Bibliography"/>
    <w:basedOn w:val="Normal"/>
    <w:next w:val="Normal"/>
    <w:uiPriority w:val="37"/>
    <w:semiHidden/>
    <w:unhideWhenUsed/>
  </w:style>
  <w:style w:type="character" w:customStyle="1" w:styleId="outputecli">
    <w:name w:val="outputecli"/>
    <w:basedOn w:val="DefaultParagraphFont"/>
  </w:style>
  <w:style w:type="character" w:customStyle="1" w:styleId="outputecliaff">
    <w:name w:val="outputecliaff"/>
    <w:basedOn w:val="DefaultParagraphFont"/>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nhideWhenUsed/>
    <w:pPr>
      <w:numPr>
        <w:numId w:val="5"/>
      </w:numPr>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l-GR"/>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l-G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l-GR"/>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s-ES_tradnl"/>
    </w:rPr>
  </w:style>
  <w:style w:type="paragraph" w:styleId="ListParagraph">
    <w:name w:val="List Paragraph"/>
    <w:aliases w:val="Lettre d'introduction,Numbered paragraph 1,Paragrafo elenco,1st level - Bullet List Paragraph,cS List Paragraph,Bullet List Paragraph,List Paragraph1,Heading 2_sj,Lijstalinea,Numbered Para 1,Dot pt,No Spacing1,Llista Nivell1,BULLET 1,L,Ha"/>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dsgvo-title">
    <w:name w:val="dsgvo-title"/>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lang w:eastAsia="es-ES_tradnl"/>
    </w:rPr>
  </w:style>
  <w:style w:type="table" w:styleId="TableGrid">
    <w:name w:val="Table Grid"/>
    <w:basedOn w:val="TableNormal"/>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super">
    <w:name w:val="super"/>
    <w:basedOn w:val="DefaultParagraphFont"/>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customStyle="1" w:styleId="NormalHanging12a">
    <w:name w:val="NormalHanging12a"/>
    <w:basedOn w:val="Normal"/>
    <w:link w:val="NormalHanging12aChar"/>
    <w:qFormat/>
    <w:pPr>
      <w:widowControl w:val="0"/>
      <w:spacing w:before="0" w:after="240"/>
      <w:ind w:left="567" w:hanging="567"/>
      <w:jc w:val="left"/>
    </w:pPr>
    <w:rPr>
      <w:rFonts w:eastAsia="Times New Roman"/>
      <w:szCs w:val="20"/>
      <w:lang w:eastAsia="en-GB"/>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paragraph" w:customStyle="1" w:styleId="paragraph">
    <w:name w:val="paragraph"/>
    <w:basedOn w:val="Normal"/>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Normal3">
    <w:name w:val="Normal3"/>
    <w:basedOn w:val="Normal"/>
    <w:pPr>
      <w:spacing w:before="100" w:beforeAutospacing="1" w:after="100" w:afterAutospacing="1"/>
      <w:jc w:val="left"/>
    </w:pPr>
    <w:rPr>
      <w:rFonts w:eastAsia="Times New Roman"/>
      <w:szCs w:val="24"/>
      <w:lang w:eastAsia="en-GB"/>
    </w:rPr>
  </w:style>
  <w:style w:type="character" w:customStyle="1" w:styleId="num">
    <w:name w:val="num"/>
    <w:basedOn w:val="DefaultParagraphFont"/>
  </w:style>
  <w:style w:type="character" w:customStyle="1" w:styleId="ListParagraphChar">
    <w:name w:val="List Paragraph Char"/>
    <w:aliases w:val="Lettre d'introduction Char,Numbered paragraph 1 Char,Paragrafo elenco Char,1st level - Bullet List Paragraph Char,cS List Paragraph Char,Bullet List Paragraph Char,List Paragraph1 Char,Heading 2_sj Char,Lijstalinea Char,Dot pt Char"/>
    <w:link w:val="ListParagraph"/>
    <w:uiPriority w:val="34"/>
    <w:qFormat/>
    <w:locked/>
    <w:rPr>
      <w:lang w:val="el-GR"/>
    </w:rPr>
  </w:style>
  <w:style w:type="paragraph" w:customStyle="1" w:styleId="ListNumber1">
    <w:name w:val="List Number 1"/>
    <w:basedOn w:val="Text1"/>
    <w:pPr>
      <w:tabs>
        <w:tab w:val="num" w:pos="1560"/>
      </w:tabs>
      <w:ind w:left="1560" w:hanging="709"/>
    </w:pPr>
    <w:rPr>
      <w:rFonts w:eastAsia="Times New Roman"/>
      <w:lang w:eastAsia="en-GB"/>
    </w:rPr>
  </w:style>
  <w:style w:type="paragraph" w:customStyle="1" w:styleId="ListNumber1Level2">
    <w:name w:val="List Number 1 (Level 2)"/>
    <w:basedOn w:val="Text1"/>
    <w:pPr>
      <w:tabs>
        <w:tab w:val="num" w:pos="2268"/>
      </w:tabs>
      <w:ind w:left="2268" w:hanging="708"/>
    </w:pPr>
    <w:rPr>
      <w:rFonts w:eastAsia="Times New Roman"/>
      <w:lang w:eastAsia="en-GB"/>
    </w:rPr>
  </w:style>
  <w:style w:type="paragraph" w:customStyle="1" w:styleId="ListNumber1Level3">
    <w:name w:val="List Number 1 (Level 3)"/>
    <w:basedOn w:val="Text1"/>
    <w:pPr>
      <w:tabs>
        <w:tab w:val="num" w:pos="2977"/>
      </w:tabs>
      <w:ind w:left="2977" w:hanging="709"/>
    </w:pPr>
    <w:rPr>
      <w:rFonts w:eastAsia="Times New Roman"/>
      <w:lang w:eastAsia="en-GB"/>
    </w:rPr>
  </w:style>
  <w:style w:type="paragraph" w:customStyle="1" w:styleId="ListNumber1Level4">
    <w:name w:val="List Number 1 (Level 4)"/>
    <w:basedOn w:val="Text1"/>
    <w:pPr>
      <w:tabs>
        <w:tab w:val="num" w:pos="3686"/>
      </w:tabs>
      <w:ind w:left="3686" w:hanging="709"/>
    </w:pPr>
    <w:rPr>
      <w:rFonts w:eastAsia="Times New Roman"/>
      <w:lang w:eastAsia="en-GB"/>
    </w:rPr>
  </w:style>
  <w:style w:type="character" w:customStyle="1" w:styleId="NormalHanging12aChar">
    <w:name w:val="NormalHanging12a Char"/>
    <w:basedOn w:val="DefaultParagraphFont"/>
    <w:link w:val="NormalHanging12a"/>
    <w:locked/>
    <w:rPr>
      <w:rFonts w:ascii="Times New Roman" w:eastAsia="Times New Roman" w:hAnsi="Times New Roman" w:cs="Times New Roman"/>
      <w:sz w:val="24"/>
      <w:szCs w:val="20"/>
      <w:lang w:val="el-GR" w:eastAsia="en-GB"/>
    </w:rPr>
  </w:style>
  <w:style w:type="character" w:customStyle="1" w:styleId="highlight">
    <w:name w:val="highlight"/>
    <w:basedOn w:val="DefaultParagraphFont"/>
  </w:style>
  <w:style w:type="character" w:styleId="Strong">
    <w:name w:val="Strong"/>
    <w:basedOn w:val="DefaultParagraphFont"/>
    <w:uiPriority w:val="22"/>
    <w:qFormat/>
    <w:rPr>
      <w:b/>
      <w:bCs/>
    </w:rPr>
  </w:style>
  <w:style w:type="paragraph" w:customStyle="1" w:styleId="LegalNumPar">
    <w:name w:val="LegalNumPar"/>
    <w:basedOn w:val="Normal"/>
    <w:pPr>
      <w:spacing w:line="360" w:lineRule="auto"/>
      <w:ind w:left="476" w:hanging="476"/>
    </w:pPr>
  </w:style>
  <w:style w:type="paragraph" w:customStyle="1" w:styleId="LegalNumPar2">
    <w:name w:val="LegalNumPar2"/>
    <w:basedOn w:val="Normal"/>
    <w:pPr>
      <w:spacing w:line="360" w:lineRule="auto"/>
      <w:ind w:left="953" w:hanging="477"/>
    </w:pPr>
  </w:style>
  <w:style w:type="paragraph" w:customStyle="1" w:styleId="LegalNumPar3">
    <w:name w:val="LegalNumPar3"/>
    <w:basedOn w:val="Normal"/>
    <w:pPr>
      <w:spacing w:line="360" w:lineRule="auto"/>
      <w:ind w:left="1429" w:hanging="476"/>
    </w:pPr>
  </w:style>
  <w:style w:type="paragraph" w:customStyle="1" w:styleId="Style1">
    <w:name w:val="Style1"/>
    <w:basedOn w:val="Considrant"/>
    <w:qFormat/>
    <w:pPr>
      <w:ind w:left="0" w:firstLine="0"/>
    </w:pPr>
    <w:rPr>
      <w:b/>
      <w:smallCaps/>
    </w:rPr>
  </w:style>
  <w:style w:type="paragraph" w:customStyle="1" w:styleId="Style2">
    <w:name w:val="Style2"/>
    <w:basedOn w:val="Considrant"/>
    <w:autoRedefine/>
    <w:qFormat/>
  </w:style>
  <w:style w:type="character" w:customStyle="1" w:styleId="acopre">
    <w:name w:val="acopre"/>
    <w:basedOn w:val="DefaultParagraphFont"/>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26"/>
      </w:numPr>
      <w:contextualSpacing/>
    </w:pPr>
  </w:style>
  <w:style w:type="paragraph" w:styleId="ListNumber2">
    <w:name w:val="List Number 2"/>
    <w:basedOn w:val="Normal"/>
    <w:unhideWhenUsed/>
    <w:pPr>
      <w:numPr>
        <w:numId w:val="27"/>
      </w:numPr>
      <w:contextualSpacing/>
    </w:pPr>
  </w:style>
  <w:style w:type="paragraph" w:styleId="ListNumber3">
    <w:name w:val="List Number 3"/>
    <w:basedOn w:val="Normal"/>
    <w:unhideWhenUsed/>
    <w:pPr>
      <w:numPr>
        <w:numId w:val="28"/>
      </w:numPr>
      <w:contextualSpacing/>
    </w:pPr>
  </w:style>
  <w:style w:type="paragraph" w:styleId="ListNumber4">
    <w:name w:val="List Number 4"/>
    <w:basedOn w:val="Normal"/>
    <w:unhideWhenUsed/>
    <w:pPr>
      <w:numPr>
        <w:numId w:val="29"/>
      </w:numPr>
      <w:contextualSpacing/>
    </w:pPr>
  </w:style>
  <w:style w:type="character" w:styleId="FollowedHyperlink">
    <w:name w:val="FollowedHyperlink"/>
    <w:basedOn w:val="DefaultParagraphFont"/>
    <w:uiPriority w:val="99"/>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l-GR"/>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paragraph" w:customStyle="1" w:styleId="Foot">
    <w:name w:val="Foot"/>
    <w:basedOn w:val="FootnoteText"/>
    <w:pPr>
      <w:ind w:left="142" w:hanging="142"/>
    </w:pPr>
  </w:style>
  <w:style w:type="paragraph" w:customStyle="1" w:styleId="ListBullet1">
    <w:name w:val="List Bullet 1"/>
    <w:basedOn w:val="Normal"/>
    <w:pPr>
      <w:numPr>
        <w:numId w:val="82"/>
      </w:numPr>
    </w:pPr>
    <w:rPr>
      <w:rFonts w:eastAsia="Times New Roman"/>
      <w:lang w:eastAsia="de-DE"/>
    </w:rPr>
  </w:style>
  <w:style w:type="paragraph" w:customStyle="1" w:styleId="ListDash">
    <w:name w:val="List Dash"/>
    <w:basedOn w:val="Normal"/>
    <w:pPr>
      <w:numPr>
        <w:numId w:val="83"/>
      </w:numPr>
    </w:pPr>
    <w:rPr>
      <w:rFonts w:eastAsia="Times New Roman"/>
      <w:lang w:eastAsia="de-DE"/>
    </w:rPr>
  </w:style>
  <w:style w:type="paragraph" w:customStyle="1" w:styleId="ListDash1">
    <w:name w:val="List Dash 1"/>
    <w:basedOn w:val="Normal"/>
    <w:pPr>
      <w:numPr>
        <w:numId w:val="84"/>
      </w:numPr>
    </w:pPr>
    <w:rPr>
      <w:rFonts w:eastAsia="Times New Roman"/>
      <w:lang w:eastAsia="de-DE"/>
    </w:rPr>
  </w:style>
  <w:style w:type="paragraph" w:customStyle="1" w:styleId="ListDash2">
    <w:name w:val="List Dash 2"/>
    <w:basedOn w:val="Normal"/>
    <w:pPr>
      <w:numPr>
        <w:numId w:val="85"/>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ListDash3">
    <w:name w:val="List Dash 3"/>
    <w:basedOn w:val="Normal"/>
    <w:pPr>
      <w:numPr>
        <w:numId w:val="86"/>
      </w:numPr>
    </w:pPr>
    <w:rPr>
      <w:rFonts w:eastAsia="Times New Roman"/>
      <w:lang w:eastAsia="en-GB"/>
    </w:rPr>
  </w:style>
  <w:style w:type="paragraph" w:customStyle="1" w:styleId="ListDash4">
    <w:name w:val="List Dash 4"/>
    <w:basedOn w:val="Normal"/>
    <w:pPr>
      <w:numPr>
        <w:numId w:val="87"/>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ootnote">
    <w:name w:val="Footnote"/>
    <w:basedOn w:val="FootnoteText"/>
  </w:style>
  <w:style w:type="paragraph" w:customStyle="1" w:styleId="Footnoterefere">
    <w:name w:val="Footnote refere"/>
    <w:basedOn w:val="FootnoteText"/>
  </w:style>
  <w:style w:type="character" w:customStyle="1" w:styleId="tw4winError">
    <w:name w:val="tw4winError"/>
    <w:rPr>
      <w:color w:val="00FF00"/>
      <w:sz w:val="40"/>
      <w:lang w:val="el-GR" w:eastAsia="en-GB"/>
    </w:rPr>
  </w:style>
  <w:style w:type="character" w:customStyle="1" w:styleId="tw4winTerm">
    <w:name w:val="tw4winTerm"/>
    <w:rPr>
      <w:color w:val="0000FF"/>
      <w:lang w:val="el-GR" w:eastAsia="en-GB"/>
    </w:rPr>
  </w:style>
  <w:style w:type="character" w:customStyle="1" w:styleId="tw4winPopup">
    <w:name w:val="tw4winPopup"/>
    <w:rPr>
      <w:noProof/>
      <w:color w:val="008000"/>
      <w:lang w:val="el-GR" w:eastAsia="en-GB"/>
    </w:rPr>
  </w:style>
  <w:style w:type="character" w:customStyle="1" w:styleId="tw4winJump">
    <w:name w:val="tw4winJump"/>
    <w:rPr>
      <w:noProof/>
      <w:color w:val="008080"/>
      <w:lang w:val="el-GR" w:eastAsia="en-GB"/>
    </w:rPr>
  </w:style>
  <w:style w:type="character" w:customStyle="1" w:styleId="tw4winExternal">
    <w:name w:val="tw4winExternal"/>
    <w:rPr>
      <w:noProof/>
      <w:color w:val="808080"/>
      <w:lang w:val="el-GR" w:eastAsia="en-GB"/>
    </w:rPr>
  </w:style>
  <w:style w:type="character" w:customStyle="1" w:styleId="tw4winInternal">
    <w:name w:val="tw4winInternal"/>
    <w:rPr>
      <w:noProof/>
      <w:color w:val="FF0000"/>
      <w:lang w:val="el-GR" w:eastAsia="en-GB"/>
    </w:rPr>
  </w:style>
  <w:style w:type="character" w:customStyle="1" w:styleId="DONOTTRANSLATE">
    <w:name w:val="DO_NOT_TRANSLATE"/>
    <w:rPr>
      <w:noProof/>
      <w:color w:val="800000"/>
      <w:lang w:val="el-GR"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lang w:eastAsia="en-GB"/>
    </w:rPr>
  </w:style>
  <w:style w:type="character" w:customStyle="1" w:styleId="FooterCoverPageChar">
    <w:name w:val="Footer Cover Page Char"/>
    <w:link w:val="FooterCoverPage"/>
    <w:rPr>
      <w:rFonts w:ascii="Times New Roman" w:eastAsia="Times New Roman" w:hAnsi="Times New Roman" w:cs="Times New Roman"/>
      <w:sz w:val="24"/>
      <w:szCs w:val="24"/>
      <w:lang w:val="el-GR" w:eastAsia="en-GB"/>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lang w:eastAsia="en-GB"/>
    </w:rPr>
  </w:style>
  <w:style w:type="character" w:customStyle="1" w:styleId="HeaderCoverPageChar">
    <w:name w:val="Header Cover Page Char"/>
    <w:link w:val="HeaderCoverPage"/>
    <w:rPr>
      <w:rFonts w:ascii="Times New Roman" w:eastAsia="Times New Roman" w:hAnsi="Times New Roman" w:cs="Times New Roman"/>
      <w:sz w:val="24"/>
      <w:szCs w:val="24"/>
      <w:lang w:val="el-GR"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3"/>
      </w:numPr>
    </w:pPr>
  </w:style>
  <w:style w:type="paragraph" w:customStyle="1" w:styleId="Tiret1">
    <w:name w:val="Tiret 1"/>
    <w:basedOn w:val="Point1"/>
    <w:pPr>
      <w:numPr>
        <w:numId w:val="94"/>
      </w:numPr>
    </w:pPr>
  </w:style>
  <w:style w:type="paragraph" w:customStyle="1" w:styleId="Tiret2">
    <w:name w:val="Tiret 2"/>
    <w:basedOn w:val="Point2"/>
    <w:pPr>
      <w:numPr>
        <w:numId w:val="95"/>
      </w:numPr>
    </w:pPr>
  </w:style>
  <w:style w:type="paragraph" w:customStyle="1" w:styleId="Tiret3">
    <w:name w:val="Tiret 3"/>
    <w:basedOn w:val="Point3"/>
    <w:pPr>
      <w:numPr>
        <w:numId w:val="96"/>
      </w:numPr>
    </w:pPr>
  </w:style>
  <w:style w:type="paragraph" w:customStyle="1" w:styleId="Tiret4">
    <w:name w:val="Tiret 4"/>
    <w:basedOn w:val="Point4"/>
    <w:pPr>
      <w:numPr>
        <w:numId w:val="9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8"/>
      </w:numPr>
    </w:pPr>
  </w:style>
  <w:style w:type="paragraph" w:customStyle="1" w:styleId="NumPar2">
    <w:name w:val="NumPar 2"/>
    <w:basedOn w:val="Normal"/>
    <w:next w:val="Text1"/>
    <w:pPr>
      <w:numPr>
        <w:ilvl w:val="1"/>
        <w:numId w:val="98"/>
      </w:numPr>
    </w:pPr>
  </w:style>
  <w:style w:type="paragraph" w:customStyle="1" w:styleId="NumPar3">
    <w:name w:val="NumPar 3"/>
    <w:basedOn w:val="Normal"/>
    <w:next w:val="Text1"/>
    <w:pPr>
      <w:numPr>
        <w:ilvl w:val="2"/>
        <w:numId w:val="98"/>
      </w:numPr>
    </w:pPr>
  </w:style>
  <w:style w:type="paragraph" w:customStyle="1" w:styleId="NumPar4">
    <w:name w:val="NumPar 4"/>
    <w:basedOn w:val="Normal"/>
    <w:next w:val="Text1"/>
    <w:pPr>
      <w:numPr>
        <w:ilvl w:val="3"/>
        <w:numId w:val="9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0"/>
      </w:numPr>
    </w:pPr>
  </w:style>
  <w:style w:type="paragraph" w:customStyle="1" w:styleId="Point1number">
    <w:name w:val="Point 1 (number)"/>
    <w:basedOn w:val="Normal"/>
    <w:pPr>
      <w:numPr>
        <w:ilvl w:val="2"/>
        <w:numId w:val="100"/>
      </w:numPr>
    </w:pPr>
  </w:style>
  <w:style w:type="paragraph" w:customStyle="1" w:styleId="Point2number">
    <w:name w:val="Point 2 (number)"/>
    <w:basedOn w:val="Normal"/>
    <w:pPr>
      <w:numPr>
        <w:ilvl w:val="4"/>
        <w:numId w:val="100"/>
      </w:numPr>
    </w:pPr>
  </w:style>
  <w:style w:type="paragraph" w:customStyle="1" w:styleId="Point3number">
    <w:name w:val="Point 3 (number)"/>
    <w:basedOn w:val="Normal"/>
    <w:pPr>
      <w:numPr>
        <w:ilvl w:val="6"/>
        <w:numId w:val="100"/>
      </w:numPr>
    </w:pPr>
  </w:style>
  <w:style w:type="paragraph" w:customStyle="1" w:styleId="Point0letter">
    <w:name w:val="Point 0 (letter)"/>
    <w:basedOn w:val="Normal"/>
    <w:pPr>
      <w:numPr>
        <w:ilvl w:val="1"/>
        <w:numId w:val="100"/>
      </w:numPr>
    </w:pPr>
  </w:style>
  <w:style w:type="paragraph" w:customStyle="1" w:styleId="Point1letter">
    <w:name w:val="Point 1 (letter)"/>
    <w:basedOn w:val="Normal"/>
    <w:pPr>
      <w:numPr>
        <w:ilvl w:val="3"/>
        <w:numId w:val="100"/>
      </w:numPr>
    </w:pPr>
  </w:style>
  <w:style w:type="paragraph" w:customStyle="1" w:styleId="Point2letter">
    <w:name w:val="Point 2 (letter)"/>
    <w:basedOn w:val="Normal"/>
    <w:pPr>
      <w:numPr>
        <w:ilvl w:val="5"/>
        <w:numId w:val="100"/>
      </w:numPr>
    </w:pPr>
  </w:style>
  <w:style w:type="paragraph" w:customStyle="1" w:styleId="Point3letter">
    <w:name w:val="Point 3 (letter)"/>
    <w:basedOn w:val="Normal"/>
    <w:pPr>
      <w:numPr>
        <w:ilvl w:val="7"/>
        <w:numId w:val="100"/>
      </w:numPr>
    </w:pPr>
  </w:style>
  <w:style w:type="paragraph" w:customStyle="1" w:styleId="Point4letter">
    <w:name w:val="Point 4 (letter)"/>
    <w:basedOn w:val="Normal"/>
    <w:pPr>
      <w:numPr>
        <w:ilvl w:val="8"/>
        <w:numId w:val="100"/>
      </w:numPr>
    </w:pPr>
  </w:style>
  <w:style w:type="paragraph" w:customStyle="1" w:styleId="Bullet0">
    <w:name w:val="Bullet 0"/>
    <w:basedOn w:val="Normal"/>
    <w:pPr>
      <w:numPr>
        <w:numId w:val="101"/>
      </w:numPr>
    </w:pPr>
  </w:style>
  <w:style w:type="paragraph" w:customStyle="1" w:styleId="Bullet1">
    <w:name w:val="Bullet 1"/>
    <w:basedOn w:val="Normal"/>
    <w:pPr>
      <w:numPr>
        <w:numId w:val="102"/>
      </w:numPr>
    </w:pPr>
  </w:style>
  <w:style w:type="paragraph" w:customStyle="1" w:styleId="Bullet2">
    <w:name w:val="Bullet 2"/>
    <w:basedOn w:val="Normal"/>
    <w:pPr>
      <w:numPr>
        <w:numId w:val="103"/>
      </w:numPr>
    </w:pPr>
  </w:style>
  <w:style w:type="paragraph" w:customStyle="1" w:styleId="Bullet3">
    <w:name w:val="Bullet 3"/>
    <w:basedOn w:val="Normal"/>
    <w:pPr>
      <w:numPr>
        <w:numId w:val="104"/>
      </w:numPr>
    </w:pPr>
  </w:style>
  <w:style w:type="paragraph" w:customStyle="1" w:styleId="Bullet4">
    <w:name w:val="Bullet 4"/>
    <w:basedOn w:val="Normal"/>
    <w:pPr>
      <w:numPr>
        <w:numId w:val="10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371">
      <w:bodyDiv w:val="1"/>
      <w:marLeft w:val="0"/>
      <w:marRight w:val="0"/>
      <w:marTop w:val="0"/>
      <w:marBottom w:val="0"/>
      <w:divBdr>
        <w:top w:val="none" w:sz="0" w:space="0" w:color="auto"/>
        <w:left w:val="none" w:sz="0" w:space="0" w:color="auto"/>
        <w:bottom w:val="none" w:sz="0" w:space="0" w:color="auto"/>
        <w:right w:val="none" w:sz="0" w:space="0" w:color="auto"/>
      </w:divBdr>
    </w:div>
    <w:div w:id="12584494">
      <w:bodyDiv w:val="1"/>
      <w:marLeft w:val="0"/>
      <w:marRight w:val="0"/>
      <w:marTop w:val="0"/>
      <w:marBottom w:val="0"/>
      <w:divBdr>
        <w:top w:val="none" w:sz="0" w:space="0" w:color="auto"/>
        <w:left w:val="none" w:sz="0" w:space="0" w:color="auto"/>
        <w:bottom w:val="none" w:sz="0" w:space="0" w:color="auto"/>
        <w:right w:val="none" w:sz="0" w:space="0" w:color="auto"/>
      </w:divBdr>
    </w:div>
    <w:div w:id="20981148">
      <w:bodyDiv w:val="1"/>
      <w:marLeft w:val="0"/>
      <w:marRight w:val="0"/>
      <w:marTop w:val="0"/>
      <w:marBottom w:val="0"/>
      <w:divBdr>
        <w:top w:val="none" w:sz="0" w:space="0" w:color="auto"/>
        <w:left w:val="none" w:sz="0" w:space="0" w:color="auto"/>
        <w:bottom w:val="none" w:sz="0" w:space="0" w:color="auto"/>
        <w:right w:val="none" w:sz="0" w:space="0" w:color="auto"/>
      </w:divBdr>
    </w:div>
    <w:div w:id="120005619">
      <w:bodyDiv w:val="1"/>
      <w:marLeft w:val="0"/>
      <w:marRight w:val="0"/>
      <w:marTop w:val="0"/>
      <w:marBottom w:val="0"/>
      <w:divBdr>
        <w:top w:val="none" w:sz="0" w:space="0" w:color="auto"/>
        <w:left w:val="none" w:sz="0" w:space="0" w:color="auto"/>
        <w:bottom w:val="none" w:sz="0" w:space="0" w:color="auto"/>
        <w:right w:val="none" w:sz="0" w:space="0" w:color="auto"/>
      </w:divBdr>
    </w:div>
    <w:div w:id="123696371">
      <w:bodyDiv w:val="1"/>
      <w:marLeft w:val="0"/>
      <w:marRight w:val="0"/>
      <w:marTop w:val="0"/>
      <w:marBottom w:val="0"/>
      <w:divBdr>
        <w:top w:val="none" w:sz="0" w:space="0" w:color="auto"/>
        <w:left w:val="none" w:sz="0" w:space="0" w:color="auto"/>
        <w:bottom w:val="none" w:sz="0" w:space="0" w:color="auto"/>
        <w:right w:val="none" w:sz="0" w:space="0" w:color="auto"/>
      </w:divBdr>
    </w:div>
    <w:div w:id="287712206">
      <w:bodyDiv w:val="1"/>
      <w:marLeft w:val="0"/>
      <w:marRight w:val="0"/>
      <w:marTop w:val="0"/>
      <w:marBottom w:val="0"/>
      <w:divBdr>
        <w:top w:val="none" w:sz="0" w:space="0" w:color="auto"/>
        <w:left w:val="none" w:sz="0" w:space="0" w:color="auto"/>
        <w:bottom w:val="none" w:sz="0" w:space="0" w:color="auto"/>
        <w:right w:val="none" w:sz="0" w:space="0" w:color="auto"/>
      </w:divBdr>
    </w:div>
    <w:div w:id="347634937">
      <w:bodyDiv w:val="1"/>
      <w:marLeft w:val="0"/>
      <w:marRight w:val="0"/>
      <w:marTop w:val="0"/>
      <w:marBottom w:val="0"/>
      <w:divBdr>
        <w:top w:val="none" w:sz="0" w:space="0" w:color="auto"/>
        <w:left w:val="none" w:sz="0" w:space="0" w:color="auto"/>
        <w:bottom w:val="none" w:sz="0" w:space="0" w:color="auto"/>
        <w:right w:val="none" w:sz="0" w:space="0" w:color="auto"/>
      </w:divBdr>
    </w:div>
    <w:div w:id="420488259">
      <w:bodyDiv w:val="1"/>
      <w:marLeft w:val="0"/>
      <w:marRight w:val="0"/>
      <w:marTop w:val="0"/>
      <w:marBottom w:val="0"/>
      <w:divBdr>
        <w:top w:val="none" w:sz="0" w:space="0" w:color="auto"/>
        <w:left w:val="none" w:sz="0" w:space="0" w:color="auto"/>
        <w:bottom w:val="none" w:sz="0" w:space="0" w:color="auto"/>
        <w:right w:val="none" w:sz="0" w:space="0" w:color="auto"/>
      </w:divBdr>
    </w:div>
    <w:div w:id="520359835">
      <w:bodyDiv w:val="1"/>
      <w:marLeft w:val="0"/>
      <w:marRight w:val="0"/>
      <w:marTop w:val="0"/>
      <w:marBottom w:val="0"/>
      <w:divBdr>
        <w:top w:val="none" w:sz="0" w:space="0" w:color="auto"/>
        <w:left w:val="none" w:sz="0" w:space="0" w:color="auto"/>
        <w:bottom w:val="none" w:sz="0" w:space="0" w:color="auto"/>
        <w:right w:val="none" w:sz="0" w:space="0" w:color="auto"/>
      </w:divBdr>
    </w:div>
    <w:div w:id="546067504">
      <w:bodyDiv w:val="1"/>
      <w:marLeft w:val="0"/>
      <w:marRight w:val="0"/>
      <w:marTop w:val="0"/>
      <w:marBottom w:val="0"/>
      <w:divBdr>
        <w:top w:val="none" w:sz="0" w:space="0" w:color="auto"/>
        <w:left w:val="none" w:sz="0" w:space="0" w:color="auto"/>
        <w:bottom w:val="none" w:sz="0" w:space="0" w:color="auto"/>
        <w:right w:val="none" w:sz="0" w:space="0" w:color="auto"/>
      </w:divBdr>
    </w:div>
    <w:div w:id="664017644">
      <w:bodyDiv w:val="1"/>
      <w:marLeft w:val="0"/>
      <w:marRight w:val="0"/>
      <w:marTop w:val="0"/>
      <w:marBottom w:val="0"/>
      <w:divBdr>
        <w:top w:val="none" w:sz="0" w:space="0" w:color="auto"/>
        <w:left w:val="none" w:sz="0" w:space="0" w:color="auto"/>
        <w:bottom w:val="none" w:sz="0" w:space="0" w:color="auto"/>
        <w:right w:val="none" w:sz="0" w:space="0" w:color="auto"/>
      </w:divBdr>
    </w:div>
    <w:div w:id="895044810">
      <w:bodyDiv w:val="1"/>
      <w:marLeft w:val="0"/>
      <w:marRight w:val="0"/>
      <w:marTop w:val="0"/>
      <w:marBottom w:val="0"/>
      <w:divBdr>
        <w:top w:val="none" w:sz="0" w:space="0" w:color="auto"/>
        <w:left w:val="none" w:sz="0" w:space="0" w:color="auto"/>
        <w:bottom w:val="none" w:sz="0" w:space="0" w:color="auto"/>
        <w:right w:val="none" w:sz="0" w:space="0" w:color="auto"/>
      </w:divBdr>
    </w:div>
    <w:div w:id="916211788">
      <w:bodyDiv w:val="1"/>
      <w:marLeft w:val="0"/>
      <w:marRight w:val="0"/>
      <w:marTop w:val="0"/>
      <w:marBottom w:val="0"/>
      <w:divBdr>
        <w:top w:val="none" w:sz="0" w:space="0" w:color="auto"/>
        <w:left w:val="none" w:sz="0" w:space="0" w:color="auto"/>
        <w:bottom w:val="none" w:sz="0" w:space="0" w:color="auto"/>
        <w:right w:val="none" w:sz="0" w:space="0" w:color="auto"/>
      </w:divBdr>
    </w:div>
    <w:div w:id="1030111990">
      <w:bodyDiv w:val="1"/>
      <w:marLeft w:val="0"/>
      <w:marRight w:val="0"/>
      <w:marTop w:val="0"/>
      <w:marBottom w:val="0"/>
      <w:divBdr>
        <w:top w:val="none" w:sz="0" w:space="0" w:color="auto"/>
        <w:left w:val="none" w:sz="0" w:space="0" w:color="auto"/>
        <w:bottom w:val="none" w:sz="0" w:space="0" w:color="auto"/>
        <w:right w:val="none" w:sz="0" w:space="0" w:color="auto"/>
      </w:divBdr>
    </w:div>
    <w:div w:id="1087656834">
      <w:bodyDiv w:val="1"/>
      <w:marLeft w:val="0"/>
      <w:marRight w:val="0"/>
      <w:marTop w:val="0"/>
      <w:marBottom w:val="0"/>
      <w:divBdr>
        <w:top w:val="none" w:sz="0" w:space="0" w:color="auto"/>
        <w:left w:val="none" w:sz="0" w:space="0" w:color="auto"/>
        <w:bottom w:val="none" w:sz="0" w:space="0" w:color="auto"/>
        <w:right w:val="none" w:sz="0" w:space="0" w:color="auto"/>
      </w:divBdr>
    </w:div>
    <w:div w:id="1140422327">
      <w:bodyDiv w:val="1"/>
      <w:marLeft w:val="0"/>
      <w:marRight w:val="0"/>
      <w:marTop w:val="0"/>
      <w:marBottom w:val="0"/>
      <w:divBdr>
        <w:top w:val="none" w:sz="0" w:space="0" w:color="auto"/>
        <w:left w:val="none" w:sz="0" w:space="0" w:color="auto"/>
        <w:bottom w:val="none" w:sz="0" w:space="0" w:color="auto"/>
        <w:right w:val="none" w:sz="0" w:space="0" w:color="auto"/>
      </w:divBdr>
    </w:div>
    <w:div w:id="1174877374">
      <w:bodyDiv w:val="1"/>
      <w:marLeft w:val="0"/>
      <w:marRight w:val="0"/>
      <w:marTop w:val="0"/>
      <w:marBottom w:val="0"/>
      <w:divBdr>
        <w:top w:val="none" w:sz="0" w:space="0" w:color="auto"/>
        <w:left w:val="none" w:sz="0" w:space="0" w:color="auto"/>
        <w:bottom w:val="none" w:sz="0" w:space="0" w:color="auto"/>
        <w:right w:val="none" w:sz="0" w:space="0" w:color="auto"/>
      </w:divBdr>
    </w:div>
    <w:div w:id="1287001602">
      <w:bodyDiv w:val="1"/>
      <w:marLeft w:val="0"/>
      <w:marRight w:val="0"/>
      <w:marTop w:val="0"/>
      <w:marBottom w:val="0"/>
      <w:divBdr>
        <w:top w:val="none" w:sz="0" w:space="0" w:color="auto"/>
        <w:left w:val="none" w:sz="0" w:space="0" w:color="auto"/>
        <w:bottom w:val="none" w:sz="0" w:space="0" w:color="auto"/>
        <w:right w:val="none" w:sz="0" w:space="0" w:color="auto"/>
      </w:divBdr>
    </w:div>
    <w:div w:id="1299916115">
      <w:bodyDiv w:val="1"/>
      <w:marLeft w:val="0"/>
      <w:marRight w:val="0"/>
      <w:marTop w:val="0"/>
      <w:marBottom w:val="0"/>
      <w:divBdr>
        <w:top w:val="none" w:sz="0" w:space="0" w:color="auto"/>
        <w:left w:val="none" w:sz="0" w:space="0" w:color="auto"/>
        <w:bottom w:val="none" w:sz="0" w:space="0" w:color="auto"/>
        <w:right w:val="none" w:sz="0" w:space="0" w:color="auto"/>
      </w:divBdr>
    </w:div>
    <w:div w:id="1366753834">
      <w:bodyDiv w:val="1"/>
      <w:marLeft w:val="0"/>
      <w:marRight w:val="0"/>
      <w:marTop w:val="0"/>
      <w:marBottom w:val="0"/>
      <w:divBdr>
        <w:top w:val="none" w:sz="0" w:space="0" w:color="auto"/>
        <w:left w:val="none" w:sz="0" w:space="0" w:color="auto"/>
        <w:bottom w:val="none" w:sz="0" w:space="0" w:color="auto"/>
        <w:right w:val="none" w:sz="0" w:space="0" w:color="auto"/>
      </w:divBdr>
    </w:div>
    <w:div w:id="1369573249">
      <w:bodyDiv w:val="1"/>
      <w:marLeft w:val="0"/>
      <w:marRight w:val="0"/>
      <w:marTop w:val="0"/>
      <w:marBottom w:val="0"/>
      <w:divBdr>
        <w:top w:val="none" w:sz="0" w:space="0" w:color="auto"/>
        <w:left w:val="none" w:sz="0" w:space="0" w:color="auto"/>
        <w:bottom w:val="none" w:sz="0" w:space="0" w:color="auto"/>
        <w:right w:val="none" w:sz="0" w:space="0" w:color="auto"/>
      </w:divBdr>
    </w:div>
    <w:div w:id="1384256155">
      <w:bodyDiv w:val="1"/>
      <w:marLeft w:val="0"/>
      <w:marRight w:val="0"/>
      <w:marTop w:val="0"/>
      <w:marBottom w:val="0"/>
      <w:divBdr>
        <w:top w:val="none" w:sz="0" w:space="0" w:color="auto"/>
        <w:left w:val="none" w:sz="0" w:space="0" w:color="auto"/>
        <w:bottom w:val="none" w:sz="0" w:space="0" w:color="auto"/>
        <w:right w:val="none" w:sz="0" w:space="0" w:color="auto"/>
      </w:divBdr>
    </w:div>
    <w:div w:id="1386635921">
      <w:bodyDiv w:val="1"/>
      <w:marLeft w:val="0"/>
      <w:marRight w:val="0"/>
      <w:marTop w:val="0"/>
      <w:marBottom w:val="0"/>
      <w:divBdr>
        <w:top w:val="none" w:sz="0" w:space="0" w:color="auto"/>
        <w:left w:val="none" w:sz="0" w:space="0" w:color="auto"/>
        <w:bottom w:val="none" w:sz="0" w:space="0" w:color="auto"/>
        <w:right w:val="none" w:sz="0" w:space="0" w:color="auto"/>
      </w:divBdr>
    </w:div>
    <w:div w:id="1413116162">
      <w:bodyDiv w:val="1"/>
      <w:marLeft w:val="0"/>
      <w:marRight w:val="0"/>
      <w:marTop w:val="0"/>
      <w:marBottom w:val="0"/>
      <w:divBdr>
        <w:top w:val="none" w:sz="0" w:space="0" w:color="auto"/>
        <w:left w:val="none" w:sz="0" w:space="0" w:color="auto"/>
        <w:bottom w:val="none" w:sz="0" w:space="0" w:color="auto"/>
        <w:right w:val="none" w:sz="0" w:space="0" w:color="auto"/>
      </w:divBdr>
    </w:div>
    <w:div w:id="1515411747">
      <w:bodyDiv w:val="1"/>
      <w:marLeft w:val="0"/>
      <w:marRight w:val="0"/>
      <w:marTop w:val="0"/>
      <w:marBottom w:val="0"/>
      <w:divBdr>
        <w:top w:val="none" w:sz="0" w:space="0" w:color="auto"/>
        <w:left w:val="none" w:sz="0" w:space="0" w:color="auto"/>
        <w:bottom w:val="none" w:sz="0" w:space="0" w:color="auto"/>
        <w:right w:val="none" w:sz="0" w:space="0" w:color="auto"/>
      </w:divBdr>
    </w:div>
    <w:div w:id="1530752040">
      <w:bodyDiv w:val="1"/>
      <w:marLeft w:val="0"/>
      <w:marRight w:val="0"/>
      <w:marTop w:val="0"/>
      <w:marBottom w:val="0"/>
      <w:divBdr>
        <w:top w:val="none" w:sz="0" w:space="0" w:color="auto"/>
        <w:left w:val="none" w:sz="0" w:space="0" w:color="auto"/>
        <w:bottom w:val="none" w:sz="0" w:space="0" w:color="auto"/>
        <w:right w:val="none" w:sz="0" w:space="0" w:color="auto"/>
      </w:divBdr>
    </w:div>
    <w:div w:id="1538735782">
      <w:bodyDiv w:val="1"/>
      <w:marLeft w:val="0"/>
      <w:marRight w:val="0"/>
      <w:marTop w:val="0"/>
      <w:marBottom w:val="0"/>
      <w:divBdr>
        <w:top w:val="none" w:sz="0" w:space="0" w:color="auto"/>
        <w:left w:val="none" w:sz="0" w:space="0" w:color="auto"/>
        <w:bottom w:val="none" w:sz="0" w:space="0" w:color="auto"/>
        <w:right w:val="none" w:sz="0" w:space="0" w:color="auto"/>
      </w:divBdr>
    </w:div>
    <w:div w:id="1559243068">
      <w:bodyDiv w:val="1"/>
      <w:marLeft w:val="0"/>
      <w:marRight w:val="0"/>
      <w:marTop w:val="0"/>
      <w:marBottom w:val="0"/>
      <w:divBdr>
        <w:top w:val="none" w:sz="0" w:space="0" w:color="auto"/>
        <w:left w:val="none" w:sz="0" w:space="0" w:color="auto"/>
        <w:bottom w:val="none" w:sz="0" w:space="0" w:color="auto"/>
        <w:right w:val="none" w:sz="0" w:space="0" w:color="auto"/>
      </w:divBdr>
    </w:div>
    <w:div w:id="1678463588">
      <w:bodyDiv w:val="1"/>
      <w:marLeft w:val="0"/>
      <w:marRight w:val="0"/>
      <w:marTop w:val="0"/>
      <w:marBottom w:val="0"/>
      <w:divBdr>
        <w:top w:val="none" w:sz="0" w:space="0" w:color="auto"/>
        <w:left w:val="none" w:sz="0" w:space="0" w:color="auto"/>
        <w:bottom w:val="none" w:sz="0" w:space="0" w:color="auto"/>
        <w:right w:val="none" w:sz="0" w:space="0" w:color="auto"/>
      </w:divBdr>
    </w:div>
    <w:div w:id="1685203291">
      <w:bodyDiv w:val="1"/>
      <w:marLeft w:val="0"/>
      <w:marRight w:val="0"/>
      <w:marTop w:val="0"/>
      <w:marBottom w:val="0"/>
      <w:divBdr>
        <w:top w:val="none" w:sz="0" w:space="0" w:color="auto"/>
        <w:left w:val="none" w:sz="0" w:space="0" w:color="auto"/>
        <w:bottom w:val="none" w:sz="0" w:space="0" w:color="auto"/>
        <w:right w:val="none" w:sz="0" w:space="0" w:color="auto"/>
      </w:divBdr>
    </w:div>
    <w:div w:id="1755321357">
      <w:bodyDiv w:val="1"/>
      <w:marLeft w:val="0"/>
      <w:marRight w:val="0"/>
      <w:marTop w:val="0"/>
      <w:marBottom w:val="0"/>
      <w:divBdr>
        <w:top w:val="none" w:sz="0" w:space="0" w:color="auto"/>
        <w:left w:val="none" w:sz="0" w:space="0" w:color="auto"/>
        <w:bottom w:val="none" w:sz="0" w:space="0" w:color="auto"/>
        <w:right w:val="none" w:sz="0" w:space="0" w:color="auto"/>
      </w:divBdr>
      <w:divsChild>
        <w:div w:id="1254053079">
          <w:marLeft w:val="0"/>
          <w:marRight w:val="0"/>
          <w:marTop w:val="0"/>
          <w:marBottom w:val="0"/>
          <w:divBdr>
            <w:top w:val="none" w:sz="0" w:space="0" w:color="auto"/>
            <w:left w:val="none" w:sz="0" w:space="0" w:color="auto"/>
            <w:bottom w:val="none" w:sz="0" w:space="0" w:color="auto"/>
            <w:right w:val="none" w:sz="0" w:space="0" w:color="auto"/>
          </w:divBdr>
          <w:divsChild>
            <w:div w:id="13309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55299">
      <w:bodyDiv w:val="1"/>
      <w:marLeft w:val="0"/>
      <w:marRight w:val="0"/>
      <w:marTop w:val="0"/>
      <w:marBottom w:val="0"/>
      <w:divBdr>
        <w:top w:val="none" w:sz="0" w:space="0" w:color="auto"/>
        <w:left w:val="none" w:sz="0" w:space="0" w:color="auto"/>
        <w:bottom w:val="none" w:sz="0" w:space="0" w:color="auto"/>
        <w:right w:val="none" w:sz="0" w:space="0" w:color="auto"/>
      </w:divBdr>
    </w:div>
    <w:div w:id="1802115235">
      <w:bodyDiv w:val="1"/>
      <w:marLeft w:val="0"/>
      <w:marRight w:val="0"/>
      <w:marTop w:val="0"/>
      <w:marBottom w:val="0"/>
      <w:divBdr>
        <w:top w:val="none" w:sz="0" w:space="0" w:color="auto"/>
        <w:left w:val="none" w:sz="0" w:space="0" w:color="auto"/>
        <w:bottom w:val="none" w:sz="0" w:space="0" w:color="auto"/>
        <w:right w:val="none" w:sz="0" w:space="0" w:color="auto"/>
      </w:divBdr>
    </w:div>
    <w:div w:id="1862429515">
      <w:bodyDiv w:val="1"/>
      <w:marLeft w:val="0"/>
      <w:marRight w:val="0"/>
      <w:marTop w:val="0"/>
      <w:marBottom w:val="0"/>
      <w:divBdr>
        <w:top w:val="none" w:sz="0" w:space="0" w:color="auto"/>
        <w:left w:val="none" w:sz="0" w:space="0" w:color="auto"/>
        <w:bottom w:val="none" w:sz="0" w:space="0" w:color="auto"/>
        <w:right w:val="none" w:sz="0" w:space="0" w:color="auto"/>
      </w:divBdr>
    </w:div>
    <w:div w:id="1883664759">
      <w:bodyDiv w:val="1"/>
      <w:marLeft w:val="0"/>
      <w:marRight w:val="0"/>
      <w:marTop w:val="0"/>
      <w:marBottom w:val="0"/>
      <w:divBdr>
        <w:top w:val="none" w:sz="0" w:space="0" w:color="auto"/>
        <w:left w:val="none" w:sz="0" w:space="0" w:color="auto"/>
        <w:bottom w:val="none" w:sz="0" w:space="0" w:color="auto"/>
        <w:right w:val="none" w:sz="0" w:space="0" w:color="auto"/>
      </w:divBdr>
    </w:div>
    <w:div w:id="210791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yperlink" Target="https://eur-lex.europa.eu/legal-content/EL/TXT/HTML/?uri=CELEX:32011R0182" TargetMode="External"/><Relationship Id="rId26" Type="http://schemas.openxmlformats.org/officeDocument/2006/relationships/footer" Target="footer7.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oter" Target="footer11.xml"/><Relationship Id="rId42" Type="http://schemas.openxmlformats.org/officeDocument/2006/relationships/header" Target="header1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eur-lex.europa.eu/legal-content/EL/TXT/HTML/?uri=CELEX:32011R0182" TargetMode="Externa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6.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footer" Target="footer8.xml"/><Relationship Id="rId36"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5.xml"/><Relationship Id="rId30" Type="http://schemas.openxmlformats.org/officeDocument/2006/relationships/footer" Target="footer9.xml"/><Relationship Id="rId35" Type="http://schemas.openxmlformats.org/officeDocument/2006/relationships/hyperlink" Target="https://myintracomm.ec.europa.eu/budgweb/EL/pre/legalbasis/Pages/pre-040-020_preparation.aspx" TargetMode="External"/><Relationship Id="rId43" Type="http://schemas.openxmlformats.org/officeDocument/2006/relationships/footer" Target="footer15.xml"/></Relationships>
</file>

<file path=word/_rels/footnotes.xml.rels><?xml version="1.0" encoding="UTF-8" standalone="yes"?>
<Relationships xmlns="http://schemas.openxmlformats.org/package/2006/relationships"><Relationship Id="rId8" Type="http://schemas.openxmlformats.org/officeDocument/2006/relationships/hyperlink" Target="https://data.consilium.europa.eu/doc/document/ST-8711-2020-INIT/el/pdf" TargetMode="External"/><Relationship Id="rId13" Type="http://schemas.openxmlformats.org/officeDocument/2006/relationships/hyperlink" Target="https://www.europarl.europa.eu/doceo/document/TA-9-2020-0274_EL.html" TargetMode="External"/><Relationship Id="rId3" Type="http://schemas.openxmlformats.org/officeDocument/2006/relationships/hyperlink" Target="https://data.consilium.europa.eu/doc/document/ST-8711-2020-INIT/el/pdf" TargetMode="External"/><Relationship Id="rId7" Type="http://schemas.openxmlformats.org/officeDocument/2006/relationships/hyperlink" Target="https://ec.europa.eu/info/policies/justice-and-fundamental-rights/combatting-discrimination/racism-and-xenophobia/eu-code-conduct-countering-illegal-hate-speech-online_el" TargetMode="External"/><Relationship Id="rId12" Type="http://schemas.openxmlformats.org/officeDocument/2006/relationships/hyperlink" Target="https://www.europarl.europa.eu/doceo/document/TA-9-2020-0273_EL.html" TargetMode="External"/><Relationship Id="rId2" Type="http://schemas.openxmlformats.org/officeDocument/2006/relationships/hyperlink" Target="https://eur-lex.europa.eu/legal-content/EL/TXT/PDF/?uri=CELEX:52020DC0067&amp;from=EN" TargetMode="External"/><Relationship Id="rId16" Type="http://schemas.openxmlformats.org/officeDocument/2006/relationships/hyperlink" Target="http://www.cc.cec/budg/man/budgmanag/budgmanag_en.html" TargetMode="External"/><Relationship Id="rId1" Type="http://schemas.openxmlformats.org/officeDocument/2006/relationships/hyperlink" Target="https://eur-lex.europa.eu/legal-content/EL/TXT/PDF/?uri=OJ:L:2000:178:FULL&amp;from=EN" TargetMode="External"/><Relationship Id="rId6" Type="http://schemas.openxmlformats.org/officeDocument/2006/relationships/hyperlink" Target="https://ec.europa.eu/growth/industry/policy/intellectual-property/enforcement/memorandum-understanding-sale-counterfeit-goods-internet_el" TargetMode="External"/><Relationship Id="rId11" Type="http://schemas.openxmlformats.org/officeDocument/2006/relationships/hyperlink" Target="https://www.europarl.europa.eu/doceo/document/TA-9-2020-0273_EL.html" TargetMode="External"/><Relationship Id="rId5" Type="http://schemas.openxmlformats.org/officeDocument/2006/relationships/hyperlink" Target="https://ec.europa.eu/info/business-economy-euro/product-safety-and-requirements/product-safety/product-safety-pledge_el" TargetMode="External"/><Relationship Id="rId15" Type="http://schemas.openxmlformats.org/officeDocument/2006/relationships/hyperlink" Target="https://ec.europa.eu/taxation_customs/vies/vieshome.do?selectedLanguage=el" TargetMode="External"/><Relationship Id="rId10" Type="http://schemas.openxmlformats.org/officeDocument/2006/relationships/hyperlink" Target="https://www.europarl.europa.eu/doceo/document/TA-9-2020-0273_EL.html" TargetMode="External"/><Relationship Id="rId4" Type="http://schemas.openxmlformats.org/officeDocument/2006/relationships/hyperlink" Target="https://www.consilium.europa.eu/media/45920/021020-euco-final-conclusions-el.pdf" TargetMode="External"/><Relationship Id="rId9" Type="http://schemas.openxmlformats.org/officeDocument/2006/relationships/hyperlink" Target="https://www.europarl.europa.eu/doceo/document/TA-9-2020-0272_EL.html" TargetMode="External"/><Relationship Id="rId14" Type="http://schemas.openxmlformats.org/officeDocument/2006/relationships/hyperlink" Target="https://www.europarl.europa.eu/doceo/document/TA-9-2020-0274_E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334439B0EB53547A97AED0C61C797B0" ma:contentTypeVersion="10" ma:contentTypeDescription="Create a new document." ma:contentTypeScope="" ma:versionID="29b912440b18570d35d90fd477b15cbd">
  <xsd:schema xmlns:xsd="http://www.w3.org/2001/XMLSchema" xmlns:xs="http://www.w3.org/2001/XMLSchema" xmlns:p="http://schemas.microsoft.com/office/2006/metadata/properties" xmlns:ns3="35db15ed-dc62-41e6-bdce-c88a6b949d6d" xmlns:ns4="866aabb8-7ec2-447a-a7ff-f911015037e7" targetNamespace="http://schemas.microsoft.com/office/2006/metadata/properties" ma:root="true" ma:fieldsID="b5857851d813fa8ce41eb767da1e1029" ns3:_="" ns4:_="">
    <xsd:import namespace="35db15ed-dc62-41e6-bdce-c88a6b949d6d"/>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b15ed-dc62-41e6-bdce-c88a6b949d6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35db15ed-dc62-41e6-bdce-c88a6b949d6d">EN</EC_Collab_DocumentLanguage>
    <EC_Collab_Reference xmlns="35db15ed-dc62-41e6-bdce-c88a6b949d6d" xsi:nil="true"/>
    <_dlc_DocId xmlns="866aabb8-7ec2-447a-a7ff-f911015037e7">UVNUSV5RWJH5-270907859-132</_dlc_DocId>
    <_dlc_DocIdUrl xmlns="866aabb8-7ec2-447a-a7ff-f911015037e7">
      <Url>https://myintracomm-collab.ec.europa.eu/dg/CONNECT/directorateF/UnitF2/_layouts/15/DocIdRedir.aspx?ID=UVNUSV5RWJH5-270907859-132</Url>
      <Description>UVNUSV5RWJH5-270907859-132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FBFF34B-2E9C-4BD3-9196-598AC1B98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b15ed-dc62-41e6-bdce-c88a6b949d6d"/>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39833-266E-4BEF-94B4-3A02CF1D5AF1}">
  <ds:schemaRefs>
    <ds:schemaRef ds:uri="http://schemas.microsoft.com/sharepoint/v3/contenttype/forms"/>
  </ds:schemaRefs>
</ds:datastoreItem>
</file>

<file path=customXml/itemProps3.xml><?xml version="1.0" encoding="utf-8"?>
<ds:datastoreItem xmlns:ds="http://schemas.openxmlformats.org/officeDocument/2006/customXml" ds:itemID="{E87AFF6A-E497-4D08-8EE3-F46A14E75E2D}">
  <ds:schemaRefs>
    <ds:schemaRef ds:uri="http://purl.org/dc/terms/"/>
    <ds:schemaRef ds:uri="http://schemas.microsoft.com/office/2006/documentManagement/types"/>
    <ds:schemaRef ds:uri="http://schemas.openxmlformats.org/package/2006/metadata/core-properties"/>
    <ds:schemaRef ds:uri="http://purl.org/dc/elements/1.1/"/>
    <ds:schemaRef ds:uri="866aabb8-7ec2-447a-a7ff-f911015037e7"/>
    <ds:schemaRef ds:uri="http://schemas.microsoft.com/office/infopath/2007/PartnerControls"/>
    <ds:schemaRef ds:uri="35db15ed-dc62-41e6-bdce-c88a6b949d6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48BC945-A3B3-452A-9CA7-409EC4C5B457}">
  <ds:schemaRefs>
    <ds:schemaRef ds:uri="http://schemas.microsoft.com/sharepoint/events"/>
  </ds:schemaRefs>
</ds:datastoreItem>
</file>

<file path=customXml/itemProps5.xml><?xml version="1.0" encoding="utf-8"?>
<ds:datastoreItem xmlns:ds="http://schemas.openxmlformats.org/officeDocument/2006/customXml" ds:itemID="{661609CE-2BB7-4100-ABD4-91DB2267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103</Pages>
  <Words>48981</Words>
  <Characters>296341</Characters>
  <Application>Microsoft Office Word</Application>
  <DocSecurity>0</DocSecurity>
  <Lines>6585</Lines>
  <Paragraphs>2105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dcterms:created xsi:type="dcterms:W3CDTF">2021-01-29T13:04:00Z</dcterms:created>
  <dcterms:modified xsi:type="dcterms:W3CDTF">2021-02-02T09:04:00Z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Crea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0x010100258AA79CEB83498886A3A0868112325000C334439B0EB53547A97AED0C61C797B0</vt:lpwstr>
  </property>
  <property fmtid="{D5CDD505-2E9C-101B-9397-08002B2CF9AE}" pid="10" name="_dlc_DocIdItemGuid">
    <vt:lpwstr>03c9e93b-61bc-470c-99b0-a18a0635d5fb</vt:lpwstr>
  </property>
  <property fmtid="{D5CDD505-2E9C-101B-9397-08002B2CF9AE}" pid="11" name="Last edited using">
    <vt:lpwstr>LW 7.0, Build 20190717</vt:lpwstr>
  </property>
  <property fmtid="{D5CDD505-2E9C-101B-9397-08002B2CF9AE}" pid="12" name="DQCStatus">
    <vt:lpwstr>Green (DQC version 03)</vt:lpwstr>
  </property>
</Properties>
</file>