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70060A1A-E611-44A9-AB67-EAB8F65BAA84" style="width:450.7pt;height:383.4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b w:val="0"/>
          <w:noProof/>
        </w:rPr>
      </w:pPr>
      <w:bookmarkStart w:id="0" w:name="_GoBack"/>
      <w:bookmarkEnd w:id="0"/>
      <w:r>
        <w:rPr>
          <w:b w:val="0"/>
          <w:noProof/>
        </w:rPr>
        <w:lastRenderedPageBreak/>
        <w:t xml:space="preserve">ALLEGATO </w:t>
      </w:r>
    </w:p>
    <w:p>
      <w:pPr>
        <w:jc w:val="center"/>
        <w:rPr>
          <w:noProof/>
          <w:u w:val="single"/>
        </w:rPr>
      </w:pPr>
      <w:r>
        <w:rPr>
          <w:noProof/>
          <w:u w:val="single"/>
        </w:rPr>
        <w:t xml:space="preserve">Settori, sottosettori e tipi di soggetti </w:t>
      </w:r>
    </w:p>
    <w:p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4078"/>
      </w:tblGrid>
      <w:tr>
        <w:tc>
          <w:tcPr>
            <w:tcW w:w="251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Settore</w:t>
            </w:r>
          </w:p>
        </w:tc>
        <w:tc>
          <w:tcPr>
            <w:tcW w:w="269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Sottosettore</w:t>
            </w: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Tipo di soggetto</w:t>
            </w:r>
          </w:p>
        </w:tc>
      </w:tr>
      <w:tr>
        <w:trPr>
          <w:trHeight w:val="69"/>
        </w:trPr>
        <w:tc>
          <w:tcPr>
            <w:tcW w:w="2518" w:type="dxa"/>
            <w:vMerge w:val="restart"/>
          </w:tcPr>
          <w:p>
            <w:pPr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w:t>1. Energia</w:t>
            </w:r>
          </w:p>
        </w:tc>
        <w:tc>
          <w:tcPr>
            <w:tcW w:w="2693" w:type="dxa"/>
            <w:vMerge w:val="restart"/>
          </w:tcPr>
          <w:p>
            <w:pPr>
              <w:rPr>
                <w:noProof/>
                <w:lang w:eastAsia="en-GB"/>
              </w:rPr>
            </w:pPr>
            <w:r>
              <w:rPr>
                <w:noProof/>
                <w:color w:val="000000" w:themeColor="text1"/>
                <w:szCs w:val="24"/>
              </w:rPr>
              <w:t>a) Energia elettrica</w:t>
            </w: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Imprese elettriche di cui all'articolo 2, punto 57, della direttiva (UE) 2019/944</w:t>
            </w:r>
            <w:r>
              <w:rPr>
                <w:rStyle w:val="FootnoteReference"/>
                <w:noProof/>
                <w:lang w:eastAsia="en-GB"/>
              </w:rPr>
              <w:footnoteReference w:id="2"/>
            </w:r>
            <w:r>
              <w:rPr>
                <w:noProof/>
              </w:rPr>
              <w:t xml:space="preserve"> che svolgono l'attività di "fornitura" di cui all'articolo 2, punto 12, di tale direttiva </w:t>
            </w:r>
          </w:p>
        </w:tc>
      </w:tr>
      <w:tr>
        <w:trPr>
          <w:trHeight w:val="67"/>
        </w:trPr>
        <w:tc>
          <w:tcPr>
            <w:tcW w:w="2518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Gestori del sistema di distribuzione di cui all'articolo 2, punto 29, della direttiva (UE) 2019/944</w:t>
            </w:r>
          </w:p>
        </w:tc>
      </w:tr>
      <w:tr>
        <w:trPr>
          <w:trHeight w:val="67"/>
        </w:trPr>
        <w:tc>
          <w:tcPr>
            <w:tcW w:w="2518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Gestori del sistema di trasmissione di cui all'articolo 2, punto 35, della direttiva (UE) 2019/944</w:t>
            </w:r>
          </w:p>
        </w:tc>
      </w:tr>
      <w:tr>
        <w:trPr>
          <w:trHeight w:val="67"/>
        </w:trPr>
        <w:tc>
          <w:tcPr>
            <w:tcW w:w="2518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Produttori di cui all'articolo 2, punto 38, della direttiva (UE) 2019/944</w:t>
            </w:r>
          </w:p>
        </w:tc>
      </w:tr>
      <w:tr>
        <w:trPr>
          <w:trHeight w:val="67"/>
        </w:trPr>
        <w:tc>
          <w:tcPr>
            <w:tcW w:w="2518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Gestori del mercato elettrico designato di cui all'articolo 2, punto 8, del regolamento (UE) 2019/943</w:t>
            </w:r>
            <w:r>
              <w:rPr>
                <w:rStyle w:val="FootnoteReference"/>
                <w:noProof/>
              </w:rPr>
              <w:footnoteReference w:id="3"/>
            </w:r>
          </w:p>
        </w:tc>
      </w:tr>
      <w:tr>
        <w:trPr>
          <w:trHeight w:val="67"/>
        </w:trPr>
        <w:tc>
          <w:tcPr>
            <w:tcW w:w="2518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Partecipanti al mercato dell'energia elettrica di cui all'articolo 2, punto 25, del regolamento (UE) 2019/943 che forniscono servizi di aggregazione, gestione della domanda o stoccaggio di energia di cui all'articolo 2, punti 18, 20 e 59 della direttiva (UE) 2019/944</w:t>
            </w:r>
          </w:p>
        </w:tc>
      </w:tr>
      <w:tr>
        <w:trPr>
          <w:trHeight w:val="67"/>
        </w:trPr>
        <w:tc>
          <w:tcPr>
            <w:tcW w:w="2518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>b) Teleriscaldamento e teleraffrescamento</w:t>
            </w: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Teleriscaldamento o teleraffrescamento di cui all'articolo 2, punto 19, della direttiva (UE) 2018/2001</w:t>
            </w:r>
            <w:r>
              <w:rPr>
                <w:rStyle w:val="FootnoteReference"/>
                <w:noProof/>
                <w:lang w:eastAsia="en-GB"/>
              </w:rPr>
              <w:footnoteReference w:id="4"/>
            </w:r>
            <w:r>
              <w:rPr>
                <w:noProof/>
              </w:rPr>
              <w:t xml:space="preserve"> sulla promozione dell'uso dell'energia da fonti rinnovabili</w:t>
            </w:r>
          </w:p>
        </w:tc>
      </w:tr>
      <w:tr>
        <w:trPr>
          <w:trHeight w:val="169"/>
        </w:trPr>
        <w:tc>
          <w:tcPr>
            <w:tcW w:w="2518" w:type="dxa"/>
            <w:vMerge/>
          </w:tcPr>
          <w:p>
            <w:pPr>
              <w:rPr>
                <w:noProof/>
                <w:lang w:eastAsia="en-GB"/>
              </w:rPr>
            </w:pPr>
          </w:p>
        </w:tc>
        <w:tc>
          <w:tcPr>
            <w:tcW w:w="2693" w:type="dxa"/>
            <w:vMerge w:val="restart"/>
          </w:tcPr>
          <w:p>
            <w:pPr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w:t>c) Petrolio</w:t>
            </w: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 xml:space="preserve"> Gestori di oleodotti</w:t>
            </w:r>
          </w:p>
        </w:tc>
      </w:tr>
      <w:tr>
        <w:trPr>
          <w:trHeight w:val="168"/>
        </w:trPr>
        <w:tc>
          <w:tcPr>
            <w:tcW w:w="2518" w:type="dxa"/>
            <w:vMerge/>
          </w:tcPr>
          <w:p>
            <w:pPr>
              <w:rPr>
                <w:noProof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Gestori di impianti di produzione, raffinazione, trattamento, deposito e trasporto di petrolio</w:t>
            </w:r>
          </w:p>
        </w:tc>
      </w:tr>
      <w:tr>
        <w:trPr>
          <w:trHeight w:val="168"/>
        </w:trPr>
        <w:tc>
          <w:tcPr>
            <w:tcW w:w="2518" w:type="dxa"/>
            <w:vMerge/>
          </w:tcPr>
          <w:p>
            <w:pPr>
              <w:rPr>
                <w:noProof/>
                <w:lang w:eastAsia="en-GB"/>
              </w:rPr>
            </w:pPr>
          </w:p>
        </w:tc>
        <w:tc>
          <w:tcPr>
            <w:tcW w:w="2693" w:type="dxa"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Organismi centrali di stoccaggio di cui all'articolo 2, lettera f), della direttiva 2009/119/CE del Consiglio</w:t>
            </w:r>
            <w:r>
              <w:rPr>
                <w:rStyle w:val="FootnoteReference"/>
                <w:noProof/>
              </w:rPr>
              <w:footnoteReference w:id="5"/>
            </w:r>
          </w:p>
        </w:tc>
      </w:tr>
      <w:tr>
        <w:trPr>
          <w:trHeight w:val="42"/>
        </w:trPr>
        <w:tc>
          <w:tcPr>
            <w:tcW w:w="2518" w:type="dxa"/>
            <w:vMerge/>
          </w:tcPr>
          <w:p>
            <w:pPr>
              <w:rPr>
                <w:noProof/>
                <w:lang w:eastAsia="en-GB"/>
              </w:rPr>
            </w:pPr>
          </w:p>
        </w:tc>
        <w:tc>
          <w:tcPr>
            <w:tcW w:w="2693" w:type="dxa"/>
            <w:vMerge w:val="restart"/>
          </w:tcPr>
          <w:p>
            <w:pPr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w:t>d) Gas</w:t>
            </w: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Imprese fornitrici di cui all'articolo 2, punto 8, della direttiva 2009/73/CE</w:t>
            </w:r>
            <w:r>
              <w:rPr>
                <w:rStyle w:val="FootnoteReference"/>
                <w:noProof/>
                <w:lang w:eastAsia="en-GB"/>
              </w:rPr>
              <w:footnoteReference w:id="6"/>
            </w:r>
            <w:r>
              <w:rPr>
                <w:noProof/>
              </w:rPr>
              <w:t xml:space="preserve"> </w:t>
            </w:r>
          </w:p>
        </w:tc>
      </w:tr>
      <w:tr>
        <w:trPr>
          <w:trHeight w:val="38"/>
        </w:trPr>
        <w:tc>
          <w:tcPr>
            <w:tcW w:w="2518" w:type="dxa"/>
            <w:vMerge/>
          </w:tcPr>
          <w:p>
            <w:pPr>
              <w:rPr>
                <w:noProof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Gestori del sistema di distribuzione di cui all'articolo 2, punto 6, della direttiva 2009/73/CE</w:t>
            </w:r>
          </w:p>
        </w:tc>
      </w:tr>
      <w:tr>
        <w:trPr>
          <w:trHeight w:val="38"/>
        </w:trPr>
        <w:tc>
          <w:tcPr>
            <w:tcW w:w="2518" w:type="dxa"/>
            <w:vMerge/>
          </w:tcPr>
          <w:p>
            <w:pPr>
              <w:rPr>
                <w:noProof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Gestori del sistema di trasporto di cui all'articolo 2, punto 4, della direttiva 2009/73/CE</w:t>
            </w:r>
          </w:p>
        </w:tc>
      </w:tr>
      <w:tr>
        <w:trPr>
          <w:trHeight w:val="38"/>
        </w:trPr>
        <w:tc>
          <w:tcPr>
            <w:tcW w:w="2518" w:type="dxa"/>
            <w:vMerge/>
          </w:tcPr>
          <w:p>
            <w:pPr>
              <w:rPr>
                <w:noProof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Gestori dell'impianto di stoccaggio di cui all'articolo 2, punto 10, della direttiva 2009/73/CE</w:t>
            </w:r>
          </w:p>
        </w:tc>
      </w:tr>
      <w:tr>
        <w:trPr>
          <w:trHeight w:val="38"/>
        </w:trPr>
        <w:tc>
          <w:tcPr>
            <w:tcW w:w="2518" w:type="dxa"/>
            <w:vMerge/>
          </w:tcPr>
          <w:p>
            <w:pPr>
              <w:rPr>
                <w:noProof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Gestori del sistema GNL di cui all'articolo 2, punto 12, della direttiva 2009/73/CE</w:t>
            </w:r>
          </w:p>
        </w:tc>
      </w:tr>
      <w:tr>
        <w:trPr>
          <w:trHeight w:val="38"/>
        </w:trPr>
        <w:tc>
          <w:tcPr>
            <w:tcW w:w="2518" w:type="dxa"/>
            <w:vMerge/>
          </w:tcPr>
          <w:p>
            <w:pPr>
              <w:rPr>
                <w:noProof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Imprese di gas naturale quali definite all'articolo 2, punto 1, della direttiva 2009/73/CE</w:t>
            </w:r>
          </w:p>
        </w:tc>
      </w:tr>
      <w:tr>
        <w:trPr>
          <w:trHeight w:val="38"/>
        </w:trPr>
        <w:tc>
          <w:tcPr>
            <w:tcW w:w="2518" w:type="dxa"/>
            <w:vMerge/>
          </w:tcPr>
          <w:p>
            <w:pPr>
              <w:rPr>
                <w:noProof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Gestori di impianti di raffinazione e trattamento di gas naturale</w:t>
            </w:r>
          </w:p>
        </w:tc>
      </w:tr>
      <w:tr>
        <w:trPr>
          <w:trHeight w:val="38"/>
        </w:trPr>
        <w:tc>
          <w:tcPr>
            <w:tcW w:w="2518" w:type="dxa"/>
            <w:vMerge/>
          </w:tcPr>
          <w:p>
            <w:pPr>
              <w:rPr>
                <w:noProof/>
                <w:lang w:eastAsia="en-GB"/>
              </w:rPr>
            </w:pPr>
          </w:p>
        </w:tc>
        <w:tc>
          <w:tcPr>
            <w:tcW w:w="2693" w:type="dxa"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>e) Idrogeno</w:t>
            </w: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 Gestori di impianti di produzione, stoccaggio e trasporto di idrogeno</w:t>
            </w:r>
          </w:p>
        </w:tc>
      </w:tr>
      <w:tr>
        <w:trPr>
          <w:trHeight w:val="113"/>
        </w:trPr>
        <w:tc>
          <w:tcPr>
            <w:tcW w:w="2518" w:type="dxa"/>
            <w:vMerge w:val="restart"/>
          </w:tcPr>
          <w:p>
            <w:pPr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w:t>2. Trasporti</w:t>
            </w:r>
          </w:p>
        </w:tc>
        <w:tc>
          <w:tcPr>
            <w:tcW w:w="2693" w:type="dxa"/>
            <w:vMerge w:val="restart"/>
          </w:tcPr>
          <w:p>
            <w:pPr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w:t>a) Trasporto aereo</w:t>
            </w: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Vettori aerei di cui all'articolo 3, punto 4, del regolamento (CE) n. 300/2008</w:t>
            </w:r>
            <w:r>
              <w:rPr>
                <w:rStyle w:val="FootnoteReference"/>
                <w:noProof/>
                <w:lang w:eastAsia="en-GB"/>
              </w:rPr>
              <w:footnoteReference w:id="7"/>
            </w:r>
            <w:r>
              <w:rPr>
                <w:noProof/>
              </w:rPr>
              <w:t xml:space="preserve"> </w:t>
            </w:r>
          </w:p>
        </w:tc>
      </w:tr>
      <w:tr>
        <w:trPr>
          <w:trHeight w:val="112"/>
        </w:trPr>
        <w:tc>
          <w:tcPr>
            <w:tcW w:w="2518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Gestori aeroportuali di cui all'articolo 2, punto 2, della direttiva 2009/12/CE</w:t>
            </w:r>
            <w:r>
              <w:rPr>
                <w:rStyle w:val="FootnoteReference"/>
                <w:noProof/>
                <w:lang w:eastAsia="en-GB"/>
              </w:rPr>
              <w:footnoteReference w:id="8"/>
            </w:r>
            <w:r>
              <w:rPr>
                <w:noProof/>
              </w:rPr>
              <w:t>, aeroporti di cui all'articolo 2, punto 1, di tale direttiva, compresi gli aeroporti centrali di cui all'allegato II, sezione 2, del regolamento (UE) n. 1315/2013</w:t>
            </w:r>
            <w:r>
              <w:rPr>
                <w:rStyle w:val="FootnoteReference"/>
                <w:noProof/>
                <w:lang w:eastAsia="en-GB"/>
              </w:rPr>
              <w:footnoteReference w:id="9"/>
            </w:r>
            <w:r>
              <w:rPr>
                <w:noProof/>
              </w:rPr>
              <w:t>, e soggetti che gestiscono impianti annessi situati in aeroporti</w:t>
            </w:r>
          </w:p>
        </w:tc>
      </w:tr>
      <w:tr>
        <w:trPr>
          <w:trHeight w:val="112"/>
        </w:trPr>
        <w:tc>
          <w:tcPr>
            <w:tcW w:w="2518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Operatori attivi nel controllo della gestione del traffico che forniscono servizi di controllo del traffico aereo di cui all'articolo 2, punto 1, del regolamento (CE) n. 549/2004</w:t>
            </w:r>
            <w:r>
              <w:rPr>
                <w:rStyle w:val="FootnoteReference"/>
                <w:noProof/>
                <w:lang w:eastAsia="en-GB"/>
              </w:rPr>
              <w:footnoteReference w:id="10"/>
            </w:r>
            <w:r>
              <w:rPr>
                <w:noProof/>
              </w:rPr>
              <w:t xml:space="preserve"> </w:t>
            </w:r>
          </w:p>
        </w:tc>
      </w:tr>
      <w:tr>
        <w:trPr>
          <w:trHeight w:val="169"/>
        </w:trPr>
        <w:tc>
          <w:tcPr>
            <w:tcW w:w="2518" w:type="dxa"/>
            <w:vMerge w:val="restart"/>
          </w:tcPr>
          <w:p>
            <w:pPr>
              <w:rPr>
                <w:noProof/>
                <w:lang w:eastAsia="en-GB"/>
              </w:rPr>
            </w:pPr>
          </w:p>
        </w:tc>
        <w:tc>
          <w:tcPr>
            <w:tcW w:w="2693" w:type="dxa"/>
            <w:vMerge w:val="restart"/>
          </w:tcPr>
          <w:p>
            <w:pPr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w:t>b) Trasporto ferroviario</w:t>
            </w: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Gestori dell'infrastruttura di cui all'articolo 3, punto 2, della direttiva 2012/34/UE</w:t>
            </w:r>
            <w:r>
              <w:rPr>
                <w:rStyle w:val="FootnoteReference"/>
                <w:noProof/>
                <w:lang w:eastAsia="en-GB"/>
              </w:rPr>
              <w:footnoteReference w:id="11"/>
            </w:r>
          </w:p>
        </w:tc>
      </w:tr>
      <w:tr>
        <w:trPr>
          <w:trHeight w:val="168"/>
        </w:trPr>
        <w:tc>
          <w:tcPr>
            <w:tcW w:w="2518" w:type="dxa"/>
            <w:vMerge/>
          </w:tcPr>
          <w:p>
            <w:pPr>
              <w:rPr>
                <w:noProof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Imprese ferroviarie di cui all'articolo 3, punto 1, della direttiva 2012/34/UE, compresi gli operatori degli impianti di servizio di cui all'articolo 3, punto 12, della direttiva 2012/34/UE</w:t>
            </w:r>
          </w:p>
        </w:tc>
      </w:tr>
      <w:tr>
        <w:trPr>
          <w:trHeight w:val="113"/>
        </w:trPr>
        <w:tc>
          <w:tcPr>
            <w:tcW w:w="2518" w:type="dxa"/>
            <w:vMerge w:val="restart"/>
          </w:tcPr>
          <w:p>
            <w:pPr>
              <w:rPr>
                <w:noProof/>
                <w:lang w:eastAsia="en-GB"/>
              </w:rPr>
            </w:pPr>
          </w:p>
        </w:tc>
        <w:tc>
          <w:tcPr>
            <w:tcW w:w="2693" w:type="dxa"/>
            <w:vMerge w:val="restart"/>
          </w:tcPr>
          <w:p>
            <w:pPr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w:t>c) Trasporto per vie d'acqua</w:t>
            </w: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Compagnie di navigazione per il trasporto per vie d'acqua interne, marittimo e costiero di passeggeri e merci di cui all'allegato I del regolamento (CE) n. 725/2004</w:t>
            </w:r>
            <w:r>
              <w:rPr>
                <w:rStyle w:val="FootnoteReference"/>
                <w:noProof/>
                <w:lang w:eastAsia="en-GB"/>
              </w:rPr>
              <w:footnoteReference w:id="12"/>
            </w:r>
            <w:r>
              <w:rPr>
                <w:noProof/>
              </w:rPr>
              <w:t>, escluse le singole navi gestite da tali compagnie</w:t>
            </w:r>
          </w:p>
        </w:tc>
      </w:tr>
      <w:tr>
        <w:trPr>
          <w:trHeight w:val="112"/>
        </w:trPr>
        <w:tc>
          <w:tcPr>
            <w:tcW w:w="2518" w:type="dxa"/>
            <w:vMerge/>
          </w:tcPr>
          <w:p>
            <w:pPr>
              <w:rPr>
                <w:noProof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Organi di gestione dei porti di cui all'articolo 3, punto 1, della direttiva 2005/65/CE</w:t>
            </w:r>
            <w:r>
              <w:rPr>
                <w:rStyle w:val="FootnoteReference"/>
                <w:noProof/>
                <w:lang w:eastAsia="en-GB"/>
              </w:rPr>
              <w:footnoteReference w:id="13"/>
            </w:r>
            <w:r>
              <w:rPr>
                <w:noProof/>
              </w:rPr>
              <w:t>, compresi i relativi impianti portuali di cui all'articolo 2, punto 11, del regolamento (CE) n. 725/2004, e soggetti che gestiscono opere e attrezzature all'interno di porti</w:t>
            </w:r>
          </w:p>
        </w:tc>
      </w:tr>
      <w:tr>
        <w:trPr>
          <w:trHeight w:val="112"/>
        </w:trPr>
        <w:tc>
          <w:tcPr>
            <w:tcW w:w="2518" w:type="dxa"/>
            <w:vMerge/>
          </w:tcPr>
          <w:p>
            <w:pPr>
              <w:rPr>
                <w:noProof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Gestori di servizi di assistenza al traffico marittimo di cui all'articolo 3, lettera o), della direttiva 2002/59/CE</w:t>
            </w:r>
            <w:r>
              <w:rPr>
                <w:rStyle w:val="FootnoteReference"/>
                <w:noProof/>
                <w:lang w:eastAsia="en-GB"/>
              </w:rPr>
              <w:footnoteReference w:id="14"/>
            </w:r>
            <w:r>
              <w:rPr>
                <w:noProof/>
              </w:rPr>
              <w:t xml:space="preserve"> del Parlamento europeo e del Consiglio</w:t>
            </w:r>
          </w:p>
        </w:tc>
      </w:tr>
      <w:tr>
        <w:trPr>
          <w:trHeight w:val="169"/>
        </w:trPr>
        <w:tc>
          <w:tcPr>
            <w:tcW w:w="2518" w:type="dxa"/>
            <w:vMerge w:val="restart"/>
          </w:tcPr>
          <w:p>
            <w:pPr>
              <w:rPr>
                <w:noProof/>
                <w:lang w:eastAsia="en-GB"/>
              </w:rPr>
            </w:pPr>
          </w:p>
        </w:tc>
        <w:tc>
          <w:tcPr>
            <w:tcW w:w="2693" w:type="dxa"/>
            <w:vMerge w:val="restart"/>
          </w:tcPr>
          <w:p>
            <w:pPr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w:t>d) Trasporto su strada</w:t>
            </w: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Autorità stradali di cui all'articolo 2, punto 12, del regolamento delegato (UE) 2015/962 della Commissione</w:t>
            </w:r>
            <w:r>
              <w:rPr>
                <w:rStyle w:val="FootnoteReference"/>
                <w:noProof/>
                <w:lang w:eastAsia="en-GB"/>
              </w:rPr>
              <w:footnoteReference w:id="15"/>
            </w:r>
            <w:r>
              <w:rPr>
                <w:noProof/>
              </w:rPr>
              <w:t xml:space="preserve"> responsabili del controllo della gestione del traffico</w:t>
            </w:r>
          </w:p>
        </w:tc>
      </w:tr>
      <w:tr>
        <w:trPr>
          <w:trHeight w:val="168"/>
        </w:trPr>
        <w:tc>
          <w:tcPr>
            <w:tcW w:w="2518" w:type="dxa"/>
            <w:vMerge/>
          </w:tcPr>
          <w:p>
            <w:pPr>
              <w:rPr>
                <w:noProof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Gestori di sistemi di trasporto intelligenti di cui all'articolo 4, punto 1, della direttiva 2010/40/UE</w:t>
            </w:r>
            <w:r>
              <w:rPr>
                <w:rStyle w:val="FootnoteReference"/>
                <w:noProof/>
                <w:lang w:eastAsia="en-GB"/>
              </w:rPr>
              <w:footnoteReference w:id="16"/>
            </w:r>
            <w:r>
              <w:rPr>
                <w:noProof/>
              </w:rPr>
              <w:t xml:space="preserve"> </w:t>
            </w:r>
          </w:p>
        </w:tc>
      </w:tr>
      <w:tr>
        <w:trPr>
          <w:trHeight w:val="168"/>
        </w:trPr>
        <w:tc>
          <w:tcPr>
            <w:tcW w:w="251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 Settore bancario</w:t>
            </w:r>
          </w:p>
        </w:tc>
        <w:tc>
          <w:tcPr>
            <w:tcW w:w="2693" w:type="dxa"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Enti creditizi di cui all'articolo 4, punto 1, del regolamento (UE) n. 575/2013</w:t>
            </w:r>
            <w:r>
              <w:rPr>
                <w:rStyle w:val="FootnoteReference"/>
                <w:noProof/>
                <w:szCs w:val="24"/>
              </w:rPr>
              <w:footnoteReference w:id="17"/>
            </w:r>
            <w:r>
              <w:rPr>
                <w:noProof/>
              </w:rPr>
              <w:t xml:space="preserve"> </w:t>
            </w:r>
          </w:p>
        </w:tc>
      </w:tr>
      <w:tr>
        <w:trPr>
          <w:trHeight w:val="168"/>
        </w:trPr>
        <w:tc>
          <w:tcPr>
            <w:tcW w:w="2518" w:type="dxa"/>
            <w:vMerge w:val="restart"/>
          </w:tcPr>
          <w:p>
            <w:pPr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w:t>4. Infrastrutture dei mercati finanziari</w:t>
            </w:r>
          </w:p>
          <w:p>
            <w:pPr>
              <w:rPr>
                <w:noProof/>
                <w:lang w:eastAsia="en-GB"/>
              </w:rPr>
            </w:pPr>
          </w:p>
        </w:tc>
        <w:tc>
          <w:tcPr>
            <w:tcW w:w="2693" w:type="dxa"/>
            <w:vMerge w:val="restart"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Gestori di sedi di negoziazione di cui all'articolo 4, punto 24, della direttiva 2014/65/UE</w:t>
            </w:r>
            <w:r>
              <w:rPr>
                <w:rStyle w:val="FootnoteReference"/>
                <w:noProof/>
                <w:szCs w:val="24"/>
              </w:rPr>
              <w:footnoteReference w:id="18"/>
            </w:r>
            <w:r>
              <w:rPr>
                <w:noProof/>
              </w:rPr>
              <w:t xml:space="preserve"> </w:t>
            </w:r>
          </w:p>
        </w:tc>
      </w:tr>
      <w:tr>
        <w:trPr>
          <w:trHeight w:val="168"/>
        </w:trPr>
        <w:tc>
          <w:tcPr>
            <w:tcW w:w="2518" w:type="dxa"/>
            <w:vMerge/>
          </w:tcPr>
          <w:p>
            <w:pPr>
              <w:rPr>
                <w:noProof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Controparti centrali (CCP) di cui all'articolo 2, punto 1, del regolamento (UE) n. 648/2012</w:t>
            </w:r>
            <w:r>
              <w:rPr>
                <w:rStyle w:val="FootnoteReference"/>
                <w:noProof/>
                <w:szCs w:val="24"/>
              </w:rPr>
              <w:footnoteReference w:id="19"/>
            </w:r>
            <w:r>
              <w:rPr>
                <w:noProof/>
              </w:rPr>
              <w:t xml:space="preserve"> </w:t>
            </w:r>
          </w:p>
        </w:tc>
      </w:tr>
      <w:tr>
        <w:tc>
          <w:tcPr>
            <w:tcW w:w="2518" w:type="dxa"/>
            <w:vMerge w:val="restart"/>
          </w:tcPr>
          <w:p>
            <w:pPr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w:t>5. Settore sanitario</w:t>
            </w:r>
          </w:p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  <w:p>
            <w:pPr>
              <w:rPr>
                <w:noProof/>
                <w:lang w:eastAsia="en-GB"/>
              </w:rPr>
            </w:pPr>
          </w:p>
        </w:tc>
        <w:tc>
          <w:tcPr>
            <w:tcW w:w="2693" w:type="dxa"/>
            <w:vMerge w:val="restart"/>
          </w:tcPr>
          <w:p>
            <w:pPr>
              <w:rPr>
                <w:noProof/>
                <w:lang w:eastAsia="en-GB"/>
              </w:rPr>
            </w:pPr>
          </w:p>
          <w:p>
            <w:pPr>
              <w:rPr>
                <w:noProof/>
                <w:lang w:eastAsia="en-GB"/>
              </w:rPr>
            </w:pPr>
          </w:p>
          <w:p>
            <w:pPr>
              <w:rPr>
                <w:noProof/>
                <w:lang w:eastAsia="en-GB"/>
              </w:rPr>
            </w:pPr>
          </w:p>
          <w:p>
            <w:pPr>
              <w:rPr>
                <w:noProof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Prestatori di assistenza sanitaria di cui all'articolo 3, lettera g), della direttiva 2011/24/UE</w:t>
            </w:r>
            <w:r>
              <w:rPr>
                <w:rStyle w:val="FootnoteReference"/>
                <w:noProof/>
                <w:lang w:eastAsia="en-GB"/>
              </w:rPr>
              <w:footnoteReference w:id="20"/>
            </w:r>
            <w:r>
              <w:rPr>
                <w:noProof/>
              </w:rPr>
              <w:t xml:space="preserve"> </w:t>
            </w:r>
          </w:p>
        </w:tc>
      </w:tr>
      <w:tr>
        <w:tc>
          <w:tcPr>
            <w:tcW w:w="2518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noProof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Laboratori di riferimento dell'UE di cui all'articolo 15 del regolamento [XX] relativo alle gravi minacce per la salute a carattere transfrontaliero</w:t>
            </w:r>
            <w:r>
              <w:rPr>
                <w:rStyle w:val="FootnoteReference"/>
                <w:noProof/>
                <w:lang w:eastAsia="en-GB"/>
              </w:rPr>
              <w:footnoteReference w:id="21"/>
            </w:r>
            <w:r>
              <w:rPr>
                <w:noProof/>
              </w:rPr>
              <w:t xml:space="preserve"> </w:t>
            </w:r>
          </w:p>
        </w:tc>
      </w:tr>
      <w:tr>
        <w:tc>
          <w:tcPr>
            <w:tcW w:w="2518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noProof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Soggetti che svolgono attività di ricerca e sviluppo relative ai medicinali di cui all'articolo 1, punto 2, della direttiva 2001/83/CE</w:t>
            </w:r>
            <w:r>
              <w:rPr>
                <w:rStyle w:val="FootnoteReference"/>
                <w:noProof/>
              </w:rPr>
              <w:footnoteReference w:id="22"/>
            </w:r>
          </w:p>
        </w:tc>
      </w:tr>
      <w:tr>
        <w:tc>
          <w:tcPr>
            <w:tcW w:w="2518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noProof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Soggetti che fabbricano prodotti farmaceutici di base e preparati farmaceutici di cui alla sezione C, divisione 21, della NACE Rev. 2</w:t>
            </w:r>
          </w:p>
        </w:tc>
      </w:tr>
      <w:tr>
        <w:tc>
          <w:tcPr>
            <w:tcW w:w="2518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noProof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Soggetti che fabbricano dispositivi medici considerati critici durante un'emergenza di sanità pubblica ("elenco dei dispositivi critici per l'emergenza di sanità pubblica") di cui all'articolo 20 del regolamento XXXX</w:t>
            </w:r>
            <w:r>
              <w:rPr>
                <w:rStyle w:val="FootnoteReference"/>
                <w:noProof/>
              </w:rPr>
              <w:footnoteReference w:id="23"/>
            </w:r>
            <w:r>
              <w:rPr>
                <w:b/>
                <w:noProof/>
              </w:rPr>
              <w:t xml:space="preserve"> </w:t>
            </w:r>
          </w:p>
        </w:tc>
      </w:tr>
      <w:tr>
        <w:trPr>
          <w:trHeight w:val="699"/>
        </w:trPr>
        <w:tc>
          <w:tcPr>
            <w:tcW w:w="2518" w:type="dxa"/>
          </w:tcPr>
          <w:p>
            <w:pPr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w:t xml:space="preserve">6. Acqua potabile </w:t>
            </w:r>
          </w:p>
        </w:tc>
        <w:tc>
          <w:tcPr>
            <w:tcW w:w="2693" w:type="dxa"/>
          </w:tcPr>
          <w:p>
            <w:pPr>
              <w:rPr>
                <w:noProof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Fornitori e distributori di acque destinate al consumo umano, di cui all'articolo 2, punto 1, lettera a), della direttiva 98/83/CE del Consiglio</w:t>
            </w:r>
            <w:r>
              <w:rPr>
                <w:rStyle w:val="FootnoteReference"/>
                <w:noProof/>
                <w:lang w:eastAsia="en-GB"/>
              </w:rPr>
              <w:footnoteReference w:id="24"/>
            </w:r>
            <w:r>
              <w:rPr>
                <w:noProof/>
              </w:rPr>
              <w:t>, ma esclusi i distributori per i quali la distribuzione di acque destinate al consumo umano è solo una parte dell'attività generale di distribuzione di altri prodotti e beni che non sono considerati servizi essenziali o importanti</w:t>
            </w:r>
          </w:p>
        </w:tc>
      </w:tr>
      <w:tr>
        <w:tc>
          <w:tcPr>
            <w:tcW w:w="2518" w:type="dxa"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>7. Acque reflue</w:t>
            </w:r>
          </w:p>
        </w:tc>
        <w:tc>
          <w:tcPr>
            <w:tcW w:w="2693" w:type="dxa"/>
          </w:tcPr>
          <w:p>
            <w:pPr>
              <w:rPr>
                <w:noProof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Imprese che raccolgono, smaltiscono o trattano acque reflue urbane, domestiche e industriali di cui all'articolo 2, punti da 1 a 3, della direttiva 91/271/CEE del Consiglio</w:t>
            </w:r>
            <w:r>
              <w:rPr>
                <w:rStyle w:val="FootnoteReference"/>
                <w:noProof/>
                <w:lang w:eastAsia="en-GB"/>
              </w:rPr>
              <w:footnoteReference w:id="25"/>
            </w:r>
          </w:p>
        </w:tc>
      </w:tr>
      <w:tr>
        <w:tc>
          <w:tcPr>
            <w:tcW w:w="2518" w:type="dxa"/>
            <w:vMerge w:val="restart"/>
          </w:tcPr>
          <w:p>
            <w:pPr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w:t>8. Infrastrutture digitali</w:t>
            </w:r>
          </w:p>
        </w:tc>
        <w:tc>
          <w:tcPr>
            <w:tcW w:w="2693" w:type="dxa"/>
            <w:vMerge w:val="restart"/>
          </w:tcPr>
          <w:p>
            <w:pPr>
              <w:rPr>
                <w:noProof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 xml:space="preserve">Fornitori di </w:t>
            </w:r>
            <w:r>
              <w:rPr>
                <w:noProof/>
                <w:color w:val="000000" w:themeColor="text1"/>
                <w:szCs w:val="24"/>
              </w:rPr>
              <w:t>punti di interscambio Internet [di cui all'articolo 4, punto X della direttiva NIS 2]</w:t>
            </w:r>
          </w:p>
        </w:tc>
      </w:tr>
      <w:tr>
        <w:tc>
          <w:tcPr>
            <w:tcW w:w="2518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</w:r>
            <w:r>
              <w:rPr>
                <w:noProof/>
                <w:color w:val="000000" w:themeColor="text1"/>
                <w:szCs w:val="24"/>
              </w:rPr>
              <w:t>Fornitori di servizi DNS [di cui all'articolo 4, punto X della direttiva NIS 2]</w:t>
            </w:r>
          </w:p>
        </w:tc>
      </w:tr>
      <w:tr>
        <w:tc>
          <w:tcPr>
            <w:tcW w:w="2518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</w:r>
            <w:r>
              <w:rPr>
                <w:noProof/>
                <w:color w:val="000000" w:themeColor="text1"/>
                <w:szCs w:val="24"/>
              </w:rPr>
              <w:t xml:space="preserve">Registri dei nomi di dominio di primo livello (TLD) [di cui all'articolo 4, punto X della direttiva NIS 2] </w:t>
            </w:r>
          </w:p>
        </w:tc>
      </w:tr>
      <w:tr>
        <w:tc>
          <w:tcPr>
            <w:tcW w:w="2518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 xml:space="preserve">Fornitori di </w:t>
            </w:r>
            <w:r>
              <w:rPr>
                <w:noProof/>
                <w:color w:val="000000" w:themeColor="text1"/>
                <w:szCs w:val="24"/>
              </w:rPr>
              <w:t>servizi di cloud computing [di cui all'articolo 4, punto X della direttiva NIS 2]</w:t>
            </w:r>
          </w:p>
        </w:tc>
      </w:tr>
      <w:tr>
        <w:tc>
          <w:tcPr>
            <w:tcW w:w="2518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Fornitori di servizi di data center </w:t>
            </w:r>
            <w:r>
              <w:rPr>
                <w:noProof/>
                <w:color w:val="000000" w:themeColor="text1"/>
                <w:szCs w:val="24"/>
              </w:rPr>
              <w:t>[di cui all'articolo 4, punto X della direttiva NIS 2]</w:t>
            </w:r>
          </w:p>
        </w:tc>
      </w:tr>
      <w:tr>
        <w:tc>
          <w:tcPr>
            <w:tcW w:w="2518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Fornitori di reti di distribuzione dei contenuti (</w:t>
            </w:r>
            <w:r>
              <w:rPr>
                <w:i/>
                <w:iCs/>
                <w:noProof/>
              </w:rPr>
              <w:t>content delivery network</w:t>
            </w:r>
            <w:r>
              <w:rPr>
                <w:noProof/>
              </w:rPr>
              <w:t xml:space="preserve">) </w:t>
            </w:r>
            <w:r>
              <w:rPr>
                <w:noProof/>
                <w:color w:val="000000" w:themeColor="text1"/>
                <w:szCs w:val="24"/>
              </w:rPr>
              <w:t>[di cui all'articolo 4, punto X della direttiva NIS 2]</w:t>
            </w:r>
          </w:p>
        </w:tc>
      </w:tr>
      <w:tr>
        <w:tc>
          <w:tcPr>
            <w:tcW w:w="2518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</w:r>
            <w:r>
              <w:rPr>
                <w:noProof/>
                <w:color w:val="000000" w:themeColor="text1"/>
                <w:szCs w:val="24"/>
              </w:rPr>
              <w:t>Prestatori di servizi fiduciari di cui all'articolo 3, punto 19, del regolamento (UE) n. 910/2014</w:t>
            </w:r>
            <w:r>
              <w:rPr>
                <w:rStyle w:val="FootnoteReference"/>
                <w:rFonts w:eastAsiaTheme="minorEastAsia"/>
                <w:noProof/>
                <w:color w:val="000000"/>
                <w:szCs w:val="24"/>
                <w:lang w:eastAsia="en-GB"/>
              </w:rPr>
              <w:footnoteReference w:id="26"/>
            </w:r>
          </w:p>
        </w:tc>
      </w:tr>
      <w:tr>
        <w:trPr>
          <w:trHeight w:val="733"/>
        </w:trPr>
        <w:tc>
          <w:tcPr>
            <w:tcW w:w="2518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Fornitori di reti pubbliche di comunicazione elettronica di cui all'articolo 2, punto 8, della direttiva (UE) 2018/1972</w:t>
            </w:r>
            <w:r>
              <w:rPr>
                <w:rStyle w:val="FootnoteReference"/>
                <w:noProof/>
                <w:lang w:eastAsia="en-GB"/>
              </w:rPr>
              <w:footnoteReference w:id="27"/>
            </w:r>
            <w:r>
              <w:rPr>
                <w:noProof/>
              </w:rPr>
              <w:t xml:space="preserve"> o fornitori di servizi di comunicazione elettronica ai sensi dell'articolo 2, punto 4, della direttiva (UE) 2018/1972 nella misura in cui tali servizi siano accessibili al pubblico</w:t>
            </w:r>
          </w:p>
        </w:tc>
      </w:tr>
      <w:tr>
        <w:tc>
          <w:tcPr>
            <w:tcW w:w="2518" w:type="dxa"/>
            <w:vMerge w:val="restart"/>
          </w:tcPr>
          <w:p>
            <w:pPr>
              <w:jc w:val="left"/>
              <w:rPr>
                <w:rFonts w:eastAsiaTheme="minorEastAsia"/>
                <w:noProof/>
                <w:color w:val="000000" w:themeColor="text1"/>
                <w:kern w:val="24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 xml:space="preserve">9. Pubblica amministrazione  </w:t>
            </w:r>
          </w:p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2693" w:type="dxa"/>
            <w:vMerge w:val="restart"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tabs>
                <w:tab w:val="num" w:pos="850"/>
              </w:tabs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 xml:space="preserve">Enti della pubblica amministrazione </w:t>
            </w:r>
            <w:r>
              <w:rPr>
                <w:noProof/>
                <w:color w:val="000000" w:themeColor="text1"/>
                <w:szCs w:val="24"/>
              </w:rPr>
              <w:t xml:space="preserve">[di cui all'articolo 4, punto X della direttiva NIS 2] </w:t>
            </w:r>
            <w:r>
              <w:rPr>
                <w:noProof/>
              </w:rPr>
              <w:t xml:space="preserve">delle amministrazioni centrali </w:t>
            </w:r>
          </w:p>
        </w:tc>
      </w:tr>
      <w:tr>
        <w:tc>
          <w:tcPr>
            <w:tcW w:w="2518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 xml:space="preserve">Enti della pubblica amministrazione, </w:t>
            </w:r>
            <w:r>
              <w:rPr>
                <w:noProof/>
                <w:color w:val="000000" w:themeColor="text1"/>
                <w:szCs w:val="24"/>
              </w:rPr>
              <w:t xml:space="preserve">[di cui all'articolo 4, punto X della direttiva NIS 2] </w:t>
            </w:r>
            <w:r>
              <w:rPr>
                <w:noProof/>
              </w:rPr>
              <w:t>delle regioni di livello NUTS 1 elencate nell'allegato I del regolamento (CE) n. 1059/2003</w:t>
            </w:r>
            <w:r>
              <w:rPr>
                <w:rStyle w:val="FootnoteReference"/>
                <w:noProof/>
              </w:rPr>
              <w:footnoteReference w:id="28"/>
            </w:r>
          </w:p>
        </w:tc>
      </w:tr>
      <w:tr>
        <w:tc>
          <w:tcPr>
            <w:tcW w:w="2518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 xml:space="preserve">Enti della pubblica amministrazione </w:t>
            </w:r>
            <w:r>
              <w:rPr>
                <w:noProof/>
                <w:color w:val="000000" w:themeColor="text1"/>
                <w:szCs w:val="24"/>
              </w:rPr>
              <w:t xml:space="preserve">[di cui all'articolo 4, punto X della direttiva NIS 2] </w:t>
            </w:r>
            <w:r>
              <w:rPr>
                <w:noProof/>
              </w:rPr>
              <w:t>delle regioni di livello NUTS 2 elencate nell'allegato I del regolamento (CE) n. 1059/2003</w:t>
            </w:r>
          </w:p>
        </w:tc>
      </w:tr>
      <w:tr>
        <w:tc>
          <w:tcPr>
            <w:tcW w:w="2518" w:type="dxa"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>10. Spazio</w:t>
            </w:r>
          </w:p>
        </w:tc>
        <w:tc>
          <w:tcPr>
            <w:tcW w:w="2693" w:type="dxa"/>
          </w:tcPr>
          <w:p>
            <w:pPr>
              <w:rPr>
                <w:rFonts w:eastAsiaTheme="minorEastAsia"/>
                <w:noProof/>
                <w:color w:val="000000" w:themeColor="text1"/>
                <w:kern w:val="24"/>
                <w:szCs w:val="24"/>
                <w:lang w:eastAsia="en-GB"/>
              </w:rPr>
            </w:pPr>
          </w:p>
        </w:tc>
        <w:tc>
          <w:tcPr>
            <w:tcW w:w="407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Operatori di infrastrutture terrestri possedute, gestite e operate dagli Stati membri o da privati, che sostengono la fornitura di servizi spaziali, esclusi i fornitori di reti pubbliche di comunicazione elettronica di cui all'articolo 2, punto 8, della direttiva (UE) 2018/1972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IT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IT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IT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Direttiva (UE) 2019/944 del Parlamento europeo e del Consiglio, del 5 giugno 2019, relativa a norme comuni per il mercato interno dell'energia elettrica e che modifica la direttiva 2012/27/UE (GU L 158 del 14.6.2019, pag. 125).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Regolamento (UE) 2019/943 del Parlamento europeo e del Consiglio, del 5 giugno 2019, sul mercato interno dell'energia elettrica (GU L 158 del 14.6.2019, pag. 54).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 xml:space="preserve">Direttiva (UE) 2018/2001 del Parlamento europeo e del Consiglio, dell'11 dicembre 2018, sulla promozione dell'uso dell'energia da fonti rinnovabili (GU L 328 del 21.12.2018, pag. 82). 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Direttiva 2009/119/CE del Consiglio, del 14 settembre 2009, che stabilisce l’obbligo per gli Stati membri di mantenere un livello minimo di scorte di petrolio greggio e/o di prodotti petroliferi (GU L 265 del 9.10.2009, pag. 9).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Direttiva 2009/73/CE del Parlamento europeo e del Consiglio, del 13 luglio 2009, relativa a norme comuni per il mercato interno del gas naturale e che abroga la direttiva 2003/55/CE (GU L 211 del 14.8.2009, pag. 94).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Regolamento (CE) n. 300/2008 del Parlamento europeo e del Consiglio, dell'11 marzo 2008, che istituisce norme comuni per la sicurezza dell'aviazione civile e che abroga il regolamento (CE) n. 2320/2002 (GU L 97 del 9.4.2008, pag. 72).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Direttiva 2009/12/CE del Parlamento europeo e del Consiglio, dell'11 marzo 2009, concernente i diritti aeroportuali (GU L 70 del 14.3.2009, pag. 11).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Regolamento (UE) n. 1315/2013 del Parlamento europeo e del Consiglio, dell'11 dicembre 2013, sugli orientamenti dell'Unione per lo sviluppo della rete transeuropea dei trasporti e che abroga la decisione n. 661/2010/UE (GU L 348 del 20.12.2013, pag. 1).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  <w:t>Regolamento (CE) n. 549/2004 del Parlamento europeo e del Consiglio, del 10 marzo 2004, che stabilisce i principi generali per l'istituzione del cielo unico europeo ("regolamento quadro") (GU L 96 del 31.3.2004, pag. 1).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>Direttiva 2012/34/UE del Parlamento europeo e del Consiglio, del 21 novembre 2012, che istituisce uno spazio ferroviario europeo unico (GU L 343 del 14.12.2012, pag. 32).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  <w:t>Regolamento (CE) n. 725/2004 del Parlamento europeo e del Consiglio, del 31 marzo 2004, relativo al miglioramento della sicurezza delle navi e degli impianti portuali (GU L 129 del 29.4.2004, pag. 6).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ab/>
        <w:t>Direttiva 2005/65/CE del Parlamento europeo e del Consiglio, del 26 ottobre 2005, relativa al miglioramento della sicurezza dei porti (GU L 310 del 25.11.2005, pag. 28).</w:t>
      </w:r>
    </w:p>
  </w:footnote>
  <w:footnote w:id="14">
    <w:p>
      <w:pPr>
        <w:pStyle w:val="FootnoteText"/>
        <w:ind w:left="709" w:hanging="709"/>
      </w:pPr>
      <w:r>
        <w:rPr>
          <w:rStyle w:val="FootnoteReference"/>
        </w:rPr>
        <w:footnoteRef/>
      </w:r>
      <w:r>
        <w:tab/>
        <w:t>Direttiva 2002/59/CE del Parlamento europeo e del Consiglio, del 27 giugno 2002, relativa all'istituzione di un sistema comunitario di monitoraggio del traffico navale e d'informazione e che abroga la direttiva 93/75/CEE del Consiglio (GU L 208 del 5.8.2002, pag. 10).</w:t>
      </w:r>
    </w:p>
  </w:footnote>
  <w:footnote w:id="15">
    <w:p>
      <w:pPr>
        <w:pStyle w:val="FootnoteText"/>
      </w:pPr>
      <w:r>
        <w:rPr>
          <w:rStyle w:val="FootnoteReference"/>
        </w:rPr>
        <w:footnoteRef/>
      </w:r>
      <w:r>
        <w:tab/>
        <w:t>Regolamento delegato (UE) 2015/962 della Commissione, del 18 dicembre 2014, che integra la direttiva 2010/40/UE del Parlamento europeo e del Consiglio relativamente alla predisposizione in tutto il territorio dell'Unione europea di servizi di informazione sul traffico in tempo reale (GU L 157 del 23.6.2015, pag. 21).</w:t>
      </w:r>
    </w:p>
  </w:footnote>
  <w:footnote w:id="16">
    <w:p>
      <w:pPr>
        <w:pStyle w:val="FootnoteText"/>
      </w:pPr>
      <w:r>
        <w:rPr>
          <w:rStyle w:val="FootnoteReference"/>
        </w:rPr>
        <w:footnoteRef/>
      </w:r>
      <w:r>
        <w:tab/>
        <w:t>Direttiva 2010/40/UE del Parlamento europeo e del Consiglio, del 7 luglio 2010, sul quadro generale per la diffusione dei sistemi di trasporto intelligenti nel settore del trasporto stradale e nelle interfacce con altri modi di trasporto (GU L 207 del 6.8.2010, pag. 1).</w:t>
      </w:r>
    </w:p>
  </w:footnote>
  <w:footnote w:id="17">
    <w:p>
      <w:pPr>
        <w:pStyle w:val="FootnoteText"/>
      </w:pPr>
      <w:r>
        <w:rPr>
          <w:rStyle w:val="FootnoteReference"/>
        </w:rPr>
        <w:footnoteRef/>
      </w:r>
      <w:r>
        <w:tab/>
        <w:t>Regolamento (UE) n. 575/2013 del Parlamento europeo e del Consiglio, del 26 giugno 2013, relativo ai requisiti prudenziali per gli enti creditizi e le imprese di investimento e che modifica il regolamento (UE) n. 648/2012 (GU L 176 del 27.6.2013, pag. 1).</w:t>
      </w:r>
    </w:p>
  </w:footnote>
  <w:footnote w:id="18">
    <w:p>
      <w:pPr>
        <w:pStyle w:val="FootnoteText"/>
        <w:ind w:left="709" w:hanging="709"/>
      </w:pPr>
      <w:r>
        <w:rPr>
          <w:rStyle w:val="FootnoteReference"/>
        </w:rPr>
        <w:footnoteRef/>
      </w:r>
      <w:r>
        <w:tab/>
        <w:t>Direttiva 2014/65/UE del Parlamento europeo e del Consiglio, del 15 maggio 2014, relativa ai mercati degli strumenti finanziari e che modifica la direttiva 2002/92/CE e la direttiva 2011/61/UE (GU L 173 del 12.6.2014, pag. 349).</w:t>
      </w:r>
    </w:p>
  </w:footnote>
  <w:footnote w:id="19">
    <w:p>
      <w:pPr>
        <w:pStyle w:val="FootnoteText"/>
        <w:ind w:left="709" w:hanging="709"/>
      </w:pPr>
      <w:r>
        <w:rPr>
          <w:rStyle w:val="FootnoteReference"/>
        </w:rPr>
        <w:footnoteRef/>
      </w:r>
      <w:r>
        <w:tab/>
        <w:t>Regolamento (UE) n. 648/2012 del Parlamento europeo e del Consiglio, del 4 luglio 2012, sugli strumenti derivati OTC, le controparti centrali e i repertori di dati sulle negoziazioni (GU L 201 del 27.7.2012, pag. 1).</w:t>
      </w:r>
    </w:p>
  </w:footnote>
  <w:footnote w:id="20">
    <w:p>
      <w:pPr>
        <w:pStyle w:val="FootnoteText"/>
      </w:pPr>
      <w:r>
        <w:rPr>
          <w:rStyle w:val="FootnoteReference"/>
        </w:rPr>
        <w:footnoteRef/>
      </w:r>
      <w:r>
        <w:tab/>
        <w:t xml:space="preserve">Direttiva 2011/24/UE del Parlamento europeo e del Consiglio, del 9 marzo 2011, concernente l'applicazione dei diritti dei pazienti relativi all'assistenza sanitaria transfrontaliera (GU L 88 del 4.4.2011, pag. 45).  </w:t>
      </w:r>
    </w:p>
  </w:footnote>
  <w:footnote w:id="21">
    <w:p>
      <w:pPr>
        <w:pStyle w:val="FootnoteText"/>
      </w:pPr>
      <w:r>
        <w:rPr>
          <w:rStyle w:val="FootnoteReference"/>
        </w:rPr>
        <w:footnoteRef/>
      </w:r>
      <w:r>
        <w:tab/>
        <w:t>[Regolamento del Parlamento europeo e del Consiglio relativo alle gravi minacce per la salute a carattere transfrontaliero e che abroga la decisione n. 1082/2013/UE, riferimento da aggiornare dopo l'adozione della proposta COM(2020) 727 final].</w:t>
      </w:r>
    </w:p>
  </w:footnote>
  <w:footnote w:id="22">
    <w:p>
      <w:pPr>
        <w:pStyle w:val="FootnoteText"/>
      </w:pPr>
      <w:r>
        <w:rPr>
          <w:rStyle w:val="FootnoteReference"/>
        </w:rPr>
        <w:footnoteRef/>
      </w:r>
      <w:r>
        <w:tab/>
        <w:t>Direttiva 2001/83/CE del Parlamento europeo e del Consiglio, del 6 novembre 2001, recante un codice comunitario relativo ai medicinali per uso umano (GU L 311 del 28.11.2001, pag. 67).</w:t>
      </w:r>
    </w:p>
  </w:footnote>
  <w:footnote w:id="23">
    <w:p>
      <w:pPr>
        <w:pStyle w:val="FootnoteText"/>
      </w:pPr>
      <w:r>
        <w:rPr>
          <w:rStyle w:val="FootnoteReference"/>
        </w:rPr>
        <w:footnoteRef/>
      </w:r>
      <w:r>
        <w:tab/>
        <w:t>[Regolamento del Parlamento europeo e del Consiglio relativo a un ruolo rafforzato dell'Agenzia europea per i medicinali nella preparazione alle crisi e nella loro gestione in relazione ai medicinali e ai dispositivi medici, COM(2020) 725 final], riferimento una volta aggiornata la proposta].</w:t>
      </w:r>
    </w:p>
  </w:footnote>
  <w:footnote w:id="24">
    <w:p>
      <w:pPr>
        <w:pStyle w:val="FootnoteText"/>
      </w:pPr>
      <w:r>
        <w:rPr>
          <w:rStyle w:val="FootnoteReference"/>
        </w:rPr>
        <w:footnoteRef/>
      </w:r>
      <w:r>
        <w:tab/>
        <w:t>Direttiva 98/83/CE del Consiglio, del 3 novembre 1998, concernente la qualità delle acque destinate al consumo umano (GU L 330 del 5.12.1998, pag. 32).</w:t>
      </w:r>
    </w:p>
  </w:footnote>
  <w:footnote w:id="25">
    <w:p>
      <w:pPr>
        <w:pStyle w:val="FootnoteText"/>
      </w:pPr>
      <w:r>
        <w:rPr>
          <w:rStyle w:val="FootnoteReference"/>
        </w:rPr>
        <w:footnoteRef/>
      </w:r>
      <w:r>
        <w:tab/>
        <w:t>Direttiva 91/271/CEE del Consiglio, del 21 maggio 1991, concernente il trattamento delle acque reflue urbane (GU L 135 del 30.5.1991, pag. 40).</w:t>
      </w:r>
    </w:p>
  </w:footnote>
  <w:footnote w:id="26">
    <w:p>
      <w:pPr>
        <w:pStyle w:val="FootnoteText"/>
      </w:pPr>
      <w:r>
        <w:rPr>
          <w:rStyle w:val="FootnoteReference"/>
        </w:rPr>
        <w:footnoteRef/>
      </w:r>
      <w:r>
        <w:tab/>
        <w:t>Regolamento (UE) n. 910/2014 del Parlamento europeo e del Consiglio, del 23 luglio 2014, in materia di identificazione elettronica e servizi fiduciari per le transazioni elettroniche nel mercato interno e che abroga la direttiva 1999/93/CE (GU L 257 del 28.8.2014, pag. 73).</w:t>
      </w:r>
    </w:p>
  </w:footnote>
  <w:footnote w:id="27">
    <w:p>
      <w:pPr>
        <w:pStyle w:val="FootnoteText"/>
      </w:pPr>
      <w:r>
        <w:rPr>
          <w:rStyle w:val="FootnoteReference"/>
        </w:rPr>
        <w:footnoteRef/>
      </w:r>
      <w:r>
        <w:tab/>
        <w:t>Direttiva (UE) 2018/1972 del Parlamento europeo e del Consiglio, dell’11 dicembre 2018, che istituisce il codice europeo delle comunicazioni elettroniche (GU L 321 del 17.12.2018, pag. 36).</w:t>
      </w:r>
    </w:p>
  </w:footnote>
  <w:footnote w:id="28">
    <w:p>
      <w:pPr>
        <w:pStyle w:val="FootnoteText"/>
      </w:pPr>
      <w:r>
        <w:rPr>
          <w:rStyle w:val="FootnoteReference"/>
        </w:rPr>
        <w:footnoteRef/>
      </w:r>
      <w:r>
        <w:tab/>
        <w:t>Regolamento (CE) n. 1059/2003 del Parlamento europeo e del Consiglio, del 26 maggio 2003, relativo all'istituzione di una classificazione comune delle unità territoriali per la statistica (NUTS) (GU L 154 del 21.6.2003, pag.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B1AD6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644576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87C18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EE478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62CF8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EE42E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9F613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1DAE9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4D0C058A"/>
    <w:multiLevelType w:val="singleLevel"/>
    <w:tmpl w:val="BAE8D90E"/>
    <w:name w:val="List Dash 1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9"/>
  </w:num>
  <w:num w:numId="11">
    <w:abstractNumId w:val="12"/>
  </w:num>
  <w:num w:numId="12">
    <w:abstractNumId w:val="21"/>
  </w:num>
  <w:num w:numId="13">
    <w:abstractNumId w:val="11"/>
  </w:num>
  <w:num w:numId="14">
    <w:abstractNumId w:val="13"/>
  </w:num>
  <w:num w:numId="15">
    <w:abstractNumId w:val="9"/>
  </w:num>
  <w:num w:numId="16">
    <w:abstractNumId w:val="20"/>
  </w:num>
  <w:num w:numId="17">
    <w:abstractNumId w:val="8"/>
  </w:num>
  <w:num w:numId="18">
    <w:abstractNumId w:val="14"/>
  </w:num>
  <w:num w:numId="19">
    <w:abstractNumId w:val="17"/>
  </w:num>
  <w:num w:numId="20">
    <w:abstractNumId w:val="18"/>
  </w:num>
  <w:num w:numId="21">
    <w:abstractNumId w:val="10"/>
  </w:num>
  <w:num w:numId="22">
    <w:abstractNumId w:val="16"/>
  </w:num>
  <w:num w:numId="23">
    <w:abstractNumId w:val="22"/>
  </w:num>
  <w:num w:numId="24">
    <w:abstractNumId w:val="19"/>
  </w:num>
  <w:num w:numId="25">
    <w:abstractNumId w:val="12"/>
  </w:num>
  <w:num w:numId="26">
    <w:abstractNumId w:val="21"/>
  </w:num>
  <w:num w:numId="27">
    <w:abstractNumId w:val="11"/>
  </w:num>
  <w:num w:numId="28">
    <w:abstractNumId w:val="13"/>
  </w:num>
  <w:num w:numId="29">
    <w:abstractNumId w:val="9"/>
  </w:num>
  <w:num w:numId="30">
    <w:abstractNumId w:val="20"/>
  </w:num>
  <w:num w:numId="31">
    <w:abstractNumId w:val="8"/>
  </w:num>
  <w:num w:numId="32">
    <w:abstractNumId w:val="14"/>
  </w:num>
  <w:num w:numId="33">
    <w:abstractNumId w:val="17"/>
  </w:num>
  <w:num w:numId="34">
    <w:abstractNumId w:val="18"/>
  </w:num>
  <w:num w:numId="35">
    <w:abstractNumId w:val="10"/>
  </w:num>
  <w:num w:numId="36">
    <w:abstractNumId w:val="16"/>
  </w:num>
  <w:num w:numId="37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2-08 10:41:3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6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lla proposta di"/>
    <w:docVar w:name="LW_ACCOMPAGNANT.CP" w:val="della proposta di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70060A1A-E611-44A9-AB67-EAB8F65BAA84"/>
    <w:docVar w:name="LW_COVERPAGE_TYPE" w:val="1"/>
    <w:docVar w:name="LW_CROSSREFERENCE" w:val="{SEC(2020) 433 final} - {SWD(2020) 358 final} - {SWD(2020) 359 final}"/>
    <w:docVar w:name="LW_DocType" w:val="ANNEX"/>
    <w:docVar w:name="LW_EMISSION" w:val="16.12.2020"/>
    <w:docVar w:name="LW_EMISSION_ISODATE" w:val="2020-12-16"/>
    <w:docVar w:name="LW_EMISSION_LOCATION" w:val="BRX"/>
    <w:docVar w:name="LW_EMISSION_PREFIX" w:val="Bruxelles, "/>
    <w:docVar w:name="LW_EMISSION_SUFFIX" w:val=" "/>
    <w:docVar w:name="LW_ID_DOCSTRUCTURE" w:val="COM/ANNEX"/>
    <w:docVar w:name="LW_ID_DOCTYPE" w:val="SG-017"/>
    <w:docVar w:name="LW_LANGUE" w:val="IT"/>
    <w:docVar w:name="LW_LEVEL_OF_SENSITIVITY" w:val="Standard treatment"/>
    <w:docVar w:name="LW_NOM.INST" w:val="COMMISSIONE EUROPEA"/>
    <w:docVar w:name="LW_NOM.INST_JOINTDOC" w:val="&lt;EMPTY&gt;"/>
    <w:docVar w:name="LW_OBJETACTEPRINCIPAL" w:val="sulla resilienza dei soggetti critici"/>
    <w:docVar w:name="LW_OBJETACTEPRINCIPAL.CP" w:val="sulla resilienza dei soggetti critici"/>
    <w:docVar w:name="LW_PART_NBR" w:val="1"/>
    <w:docVar w:name="LW_PART_NBR_TOTAL" w:val="1"/>
    <w:docVar w:name="LW_REF.INST.NEW" w:val="COM"/>
    <w:docVar w:name="LW_REF.INST.NEW_ADOPTED" w:val="final"/>
    <w:docVar w:name="LW_REF.INST.NEW_TEXT" w:val="(2020) 82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LLEGATO"/>
    <w:docVar w:name="LW_TYPE.DOC.CP" w:val="ALLEGATO"/>
    <w:docVar w:name="LW_TYPEACTEPRINCIPAL" w:val="DIRETTIVA DEL PARLAMENTO EUROPEO E DEL CONSIGLIO"/>
    <w:docVar w:name="LW_TYPEACTEPRINCIPAL.CP" w:val="DIRETTIVA DEL PARLAMENTO EUROPEO E DEL CONSIGLIO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it-IT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  <w:shd w:val="clear" w:color="auto" w:fill="auto"/>
    </w:rPr>
  </w:style>
  <w:style w:type="paragraph" w:customStyle="1" w:styleId="ListDash1">
    <w:name w:val="List Dash 1"/>
    <w:basedOn w:val="Normal"/>
    <w:pPr>
      <w:numPr>
        <w:numId w:val="1"/>
      </w:numPr>
    </w:pPr>
    <w:rPr>
      <w:rFonts w:eastAsia="Times New Roman"/>
      <w:lang w:eastAsia="de-DE"/>
    </w:rPr>
  </w:style>
  <w:style w:type="table" w:styleId="TableGrid">
    <w:name w:val="Table Grid"/>
    <w:aliases w:val="Document Table,CV1,Table Format 1,HTG"/>
    <w:basedOn w:val="TableNormal"/>
    <w:uiPriority w:val="5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rFonts w:eastAsia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it-IT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it-IT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it-IT" w:eastAsia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it-I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it-IT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  <w:shd w:val="clear" w:color="auto" w:fill="auto"/>
    </w:rPr>
  </w:style>
  <w:style w:type="paragraph" w:customStyle="1" w:styleId="ListDash1">
    <w:name w:val="List Dash 1"/>
    <w:basedOn w:val="Normal"/>
    <w:pPr>
      <w:numPr>
        <w:numId w:val="1"/>
      </w:numPr>
    </w:pPr>
    <w:rPr>
      <w:rFonts w:eastAsia="Times New Roman"/>
      <w:lang w:eastAsia="de-DE"/>
    </w:rPr>
  </w:style>
  <w:style w:type="table" w:styleId="TableGrid">
    <w:name w:val="Table Grid"/>
    <w:aliases w:val="Document Table,CV1,Table Format 1,HTG"/>
    <w:basedOn w:val="TableNormal"/>
    <w:uiPriority w:val="5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rFonts w:eastAsia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it-IT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it-IT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it-IT" w:eastAsia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it-I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52E499C-B8BC-47DE-9D26-9909AA04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8</Pages>
  <Words>1132</Words>
  <Characters>6572</Characters>
  <Application>Microsoft Office Word</Application>
  <DocSecurity>0</DocSecurity>
  <Lines>365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2021-02-05T10:48:00Z</dcterms:created>
  <dcterms:modified xsi:type="dcterms:W3CDTF">2021-02-08T09:41:00Z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Last edited using">
    <vt:lpwstr>LW 7.0.1, Build 20190916</vt:lpwstr>
  </property>
  <property fmtid="{D5CDD505-2E9C-101B-9397-08002B2CF9AE}" pid="4" name="First annex">
    <vt:lpwstr>1</vt:lpwstr>
  </property>
  <property fmtid="{D5CDD505-2E9C-101B-9397-08002B2CF9AE}" pid="5" name="Last annex">
    <vt:lpwstr>1</vt:lpwstr>
  </property>
  <property fmtid="{D5CDD505-2E9C-101B-9397-08002B2CF9AE}" pid="6" name="Unique annex">
    <vt:lpwstr>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SG-017</vt:lpwstr>
  </property>
  <property fmtid="{D5CDD505-2E9C-101B-9397-08002B2CF9AE}" pid="10" name="DQCStatus">
    <vt:lpwstr>Green (DQC version 03)</vt:lpwstr>
  </property>
  <property fmtid="{D5CDD505-2E9C-101B-9397-08002B2CF9AE}" pid="11" name="Category">
    <vt:lpwstr>COM/ANNEX</vt:lpwstr>
  </property>
</Properties>
</file>