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40AB5E15-E06A-4099-915B-DA729BF954B9" style="width:450pt;height:408.75pt">
            <v:imagedata r:id="rId9" o:title=""/>
          </v:shape>
        </w:pict>
      </w:r>
    </w:p>
    <w:bookmarkEnd w:id="0"/>
    <w:p>
      <w:pPr>
        <w:rPr>
          <w:rFonts w:ascii="Times New Roman" w:hAnsi="Times New Roman" w:cs="Times New Roman"/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>
        <w:tc>
          <w:tcPr>
            <w:tcW w:w="10490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lastRenderedPageBreak/>
              <w:t xml:space="preserve">Skeda tas-Sommarju Eżekuttiv </w:t>
            </w:r>
          </w:p>
        </w:tc>
      </w:tr>
      <w:t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0"/>
              </w:rPr>
              <w:t xml:space="preserve">Valutazzjoni tal-impatt dwar ir-rieżami u l-estensjoni tar-Regolament dwar ir-Roaming (riformulazzjoni) </w:t>
            </w:r>
          </w:p>
        </w:tc>
      </w:tr>
      <w:tr>
        <w:tc>
          <w:tcPr>
            <w:tcW w:w="10490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t>A. Ħtieġa li tittieħed azzjoni</w:t>
            </w:r>
          </w:p>
        </w:tc>
      </w:tr>
      <w:tr>
        <w:tc>
          <w:tcPr>
            <w:tcW w:w="10490" w:type="dxa"/>
            <w:tcBorders>
              <w:bottom w:val="single" w:sz="4" w:space="0" w:color="auto"/>
            </w:tcBorders>
            <w:shd w:val="clear" w:color="auto" w:fill="E0E0E0"/>
          </w:tcPr>
          <w:p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t xml:space="preserve">X’inhi l-problema u għaliex hi problema fil-livell tal-UE? </w:t>
            </w:r>
          </w:p>
        </w:tc>
      </w:tr>
      <w:t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Ir-Regolament (UE) Nru 531/2012 jiskadi fit-30 ta’ Ġunju 2022.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Mingħajr estensjoni tar-regoli dwar ir-roaming, il-benefiċċji tar-“ir-roaming daqslikieku f’pajjiżek” (RLAH)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 jistgħu jintilfu għall-konsumaturi u għan-negozji, filwaqt li ostakli addizzjonali jistgħu jillimitaw l-użu bla xkiel ta’ servizzi mobbli u ta’ applikazzjonijiet innovattivi waqt l-ivvjaġġar fis-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suq uniku tal-UE/ŻEE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Kważi 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170 miljun klijent Ewropew tar-roaming bħalissa jgawdu l-RLAH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 u l-benefiċċji li jibqgħu konnessi daqslikieku f’pajjiżhom waqt li jkunu qed jivvjaġġaw fl-UE/fiż-ŻEE.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</w:t>
            </w:r>
          </w:p>
          <w:p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Ir-rapport ta’ rieżami tal-Kummissjoni tal-2019 identifika l-problemi li din l-inizjattiva għandha l-għan li tindirizza. L-analiżi tibni fuq firxa wiesgħa ta’ </w:t>
            </w:r>
            <w:r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t>data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 u rispons mingħand il-partijiet ikkonċernati, li ntużaw biex tiġi evalwata l-prestazzjoni ta’ dan ir-Regolament u biex jiġi evalwat kif jaħdem is-suq tar-roaming skont ir-regoli eżistenti tal-UE dwar ir-roaming. Il-problemi ewlenin huma spjegati fil-qosor hawn taħt:</w:t>
            </w:r>
          </w:p>
          <w:p>
            <w:pPr>
              <w:pStyle w:val="Default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L-</w:t>
            </w: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RLAH ma jistax jiġi sostnut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 mingħajr tariffi regolati bl-ingrossa jew servizzi regolati tar-roaming bl-imnut, minħabba dinamika insuffiċjenti tal-kompetizzjoni (falliment tas-suq). </w:t>
            </w:r>
          </w:p>
          <w:p>
            <w:pPr>
              <w:pStyle w:val="Default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Il-konsumaturi mhux dejjem ikunu jafu x’livell ta’ servizz għandhom jistennew (kwalità tas-servizz) jew kif jiġu ċċarġjati t-telefonati għal servizzi ta’ valur miżjud waqt ir-roaming (tariffi ogħla). Il-kwalità tas-servizz offrut xi kultant tkun aktar baxxa minn dik li jgawdu f’pajjiżhom, anki jekk ikun hemm disponibbli l-livell ekwivalenti. L-aċċess mingħajr ħlas għas-servizzi ta’ emerġenza permezz ta’ mezzi alternattivi u l-forniment ta’ informazzjoni dwar il-lokalizzazzjoni ta’ min qed jagħmel it-telefonata mhux dejjem jiġu żgurati, speċjalment lill-utenti finali b’diżabbiltà.</w:t>
            </w:r>
          </w:p>
          <w:p>
            <w:pPr>
              <w:pStyle w:val="Default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Il-fornituri tar-roaming xi kultant jiffaċċjaw problemi biex jiksbu aċċess għar-roaming bl-ingrossa għan-networks mitluba. Minħabba li hemm ukoll nuqqas ta’ trasparenza fir-rigward tat-telefonati lejn servizzi ta’ valur miżjud, il-fornituri tar-roaming ma jistgħux jidentifikaw il-meded ta’ numri rilevanti u, b’riżultat ta’ dan, jistgħu jġarrbu kostijiet mhux mistennija. Ir-regoli attwali tal-UE dwar ir-roaming jaf ma jkunux adattati biżżejjed biex jippermettu l-innovazzjoni u jindirizzaw il-bidliet teknoloġiċi u kummerċjali.</w:t>
            </w:r>
          </w:p>
        </w:tc>
      </w:tr>
      <w:tr>
        <w:tc>
          <w:tcPr>
            <w:tcW w:w="10490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X’għandu jinkiseb?</w:t>
            </w:r>
          </w:p>
        </w:tc>
      </w:tr>
      <w:t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12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L-inizjattiva għandha l-għan li tikseb dan li ġej:</w:t>
            </w:r>
          </w:p>
          <w:p>
            <w:pPr>
              <w:spacing w:after="12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A) </w:t>
            </w:r>
            <w:r>
              <w:rPr>
                <w:rFonts w:ascii="Times New Roman" w:hAnsi="Times New Roman"/>
                <w:b/>
                <w:noProof/>
              </w:rPr>
              <w:t>Li jiġi żgurat li l-RLAH ikun sostenibbli għall-operaturi, u li dawn ikunu jistgħu jirkupraw il-kost tal-forniment tas-servizzi tar-roaming fil-livell bl-ingrossa</w:t>
            </w:r>
            <w:r>
              <w:rPr>
                <w:rFonts w:ascii="Times New Roman" w:hAnsi="Times New Roman"/>
                <w:noProof/>
              </w:rPr>
              <w:t xml:space="preserve">, filwaqt li tippreserva l-inċentivi għall-investiment f’networks miżjura u tevita d-distorsjoni tal-kompetizzjoni domestika fis-swieq miżjura. </w:t>
            </w:r>
          </w:p>
          <w:p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B) Li tikseb </w:t>
            </w:r>
            <w:r>
              <w:rPr>
                <w:rFonts w:ascii="Times New Roman" w:hAnsi="Times New Roman"/>
                <w:b/>
                <w:noProof/>
              </w:rPr>
              <w:t>esperjenza ġenwina tal-RLAH għall-klijenti tar-roaming</w:t>
            </w:r>
            <w:r>
              <w:rPr>
                <w:rFonts w:ascii="Times New Roman" w:hAnsi="Times New Roman"/>
                <w:noProof/>
              </w:rPr>
              <w:t xml:space="preserve"> u li tagħti lill-utenti finali l-kunfidenza biex jibqgħu konnessi meta jivvjaġġaw fl-UE. Il-konsumaturi u l-utenti finali tan-negozju għandhom jibbenefikaw mill-istess kwalità tas-servizz waqt ir-roaming daqslikieku f’pajjiżhom, u għandhom ikunu jistgħu jużaw servizzi innovattivi u jibbenefikaw minn trasparenza akbar biex jevitaw ħasdiet bil-kont li jirriżultaw mill-użu ta’ servizzi ta’ valur miżjud. Għandu jiġi żgurat ukoll aċċess ekwivalenti għas-servizzi ta’ emerġenza għal kulħadd, bl-istess mod bħal fil-pajjiż tal-oriġini. </w:t>
            </w:r>
          </w:p>
          <w:p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C) </w:t>
            </w:r>
            <w:r>
              <w:rPr>
                <w:rFonts w:ascii="Times New Roman" w:hAnsi="Times New Roman"/>
                <w:b/>
                <w:noProof/>
              </w:rPr>
              <w:t>Li tiffaċilita l-innovazzjoni</w:t>
            </w:r>
            <w:r>
              <w:rPr>
                <w:rFonts w:ascii="Times New Roman" w:hAnsi="Times New Roman"/>
                <w:noProof/>
              </w:rPr>
              <w:t>, li tiżgura aċċess għar-roaming bl-ingrossa għat-teknoloġiji tan-network mitluba u li tgħin lill-operaturi jevitaw telf marbut ma’ servizzi ta’ valur miżjud. L-inizjattiva għandha l-għan ukoll li tissimplifika l-affarijiet u li tnaqqas il-piż għall-operaturi u għal partijiet ikkonċernati oħra.</w:t>
            </w:r>
          </w:p>
        </w:tc>
      </w:tr>
      <w:tr>
        <w:tc>
          <w:tcPr>
            <w:tcW w:w="10490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t>X’inhu l-valur miżjud ta’ azzjoni fil-livell tal-UE (sussidjarjetà)?</w:t>
            </w:r>
          </w:p>
        </w:tc>
      </w:tr>
      <w:t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12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Fis-suq internazzjonali tar-roaming, hija meħtieġa azzjoni fil-livell tal-UE biex jittejjeb is-suq uniku għall-komunikazzjoni elettronika. Kif ġie osservat f’kawża storika tal-Qorti tal-Ġustizzja dwar ir-roaming (C-58/08 Vodafone), il-fatt li </w:t>
            </w:r>
            <w:r>
              <w:rPr>
                <w:rFonts w:ascii="Times New Roman" w:hAnsi="Times New Roman"/>
                <w:b/>
                <w:noProof/>
              </w:rPr>
              <w:t>r-roaming internazzjonali huwa transfruntier</w:t>
            </w:r>
            <w:r>
              <w:rPr>
                <w:rFonts w:ascii="Times New Roman" w:hAnsi="Times New Roman"/>
                <w:noProof/>
              </w:rPr>
              <w:t xml:space="preserve"> fih innifsu jiġġustifika azzjoni fil-livell tal-UE minħabba li l-Istati Membri waħedhom ma jistgħux jindirizzaw il-kwistjoni b’mod effettiv. Barra minn hekk, l-awtoritajiet regolatorji nazzjonali ma kellhomx l-għodod biex jindirizzaw il-problemi huma stess.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Is-sejbiet tar-rapport ta’ rieżami tal-Kummissjoni tal-2019 u s-sejbiet tal-Korp ta’ Regolaturi Ewropej tal-Komunikazzjonijiet Elettroniċi (BEREC) jikkonfermaw li t-tneħħija tat-tariffi tar-roaming bl-imnut fiż-ŻEE kkontribwiet b’mod sostanzjali għat-tlestija tas-suq uniku. L-utenti finali setgħu jibbenefikaw ukoll mill-RLAH b’żieda sinifikanti fil-volumi minn Ġunju 2017. Ir-rapport jikkonkludi li, minkejja sinjali ta’ xi dinamika tal-kompetizzjoni kemm fis-swieq tar-roaming bl-imnut kif ukoll bl-ingrossa, il-kundizzjonijiet bażiċi sottostanti tal-kompetizzjoni ma nbidlux, u aktarx li mhux se jinbidlu fil-futur qrib, tant li r-regolamentazzjoni bl-imnut jew bl-ingrossa tas-suq tar-roaming jaf titneħħa. Il-valur miżjud qed jippermetti RLAH sostenibbli u ġenwin għall-utenti finali, permezz ta’ limiti massimi bl-ingrossa fl-UE kollha li strument tal-UE biss jista’ jiżgura. </w:t>
            </w:r>
          </w:p>
        </w:tc>
      </w:tr>
      <w:tr>
        <w:tc>
          <w:tcPr>
            <w:tcW w:w="10490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t>B. Soluzzjonijiet</w:t>
            </w:r>
          </w:p>
        </w:tc>
      </w:tr>
      <w:tr>
        <w:tc>
          <w:tcPr>
            <w:tcW w:w="10490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t>X’inhuma l-alternattivi differenti biex jinkisbu l-objettivi?</w:t>
            </w:r>
            <w:r>
              <w:rPr>
                <w:rFonts w:ascii="Times New Roman" w:hAnsi="Times New Roman"/>
                <w:noProof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t>Hemm alternattiva ppreferuta? Jekk le, għaliex?</w:t>
            </w:r>
          </w:p>
        </w:tc>
      </w:tr>
      <w:t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Il-Kummissjoni qed tipproponi u tivvaluta erba’ għażliet differenti: </w:t>
            </w:r>
          </w:p>
          <w:p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L-Għażla 1 (Linja bażi) – Estensjoni tar-regoli, u ż-żamma tad-dispożizzjonijiet attwali tar-Regolament dwar ir-Roaming kemm fil-livell bl-imnut kif ukoll fil-livell bl-ingrossa.</w:t>
            </w:r>
            <w:r>
              <w:rPr>
                <w:rFonts w:ascii="Times New Roman" w:hAnsi="Times New Roman"/>
                <w:noProof/>
              </w:rPr>
              <w:t xml:space="preserve"> </w:t>
            </w:r>
          </w:p>
          <w:p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L-Għażla 2 – Kontinwità tar-Regolament dwar ir-Roaming bi kjarifiki, aktar trasparenza u miżuri biex tissaħħaħ il-kompetizzjoni. </w:t>
            </w:r>
          </w:p>
          <w:p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L-Għażla 3 – RLAH sostenibbli u ġenwin (l-għażla ppreferuta). </w:t>
            </w:r>
          </w:p>
          <w:p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L-Għażla 4 – Obbligi estensivi fil-livell bl-ingrossa u bl-imnut għal esperjenza mtejba tal-RLAH.</w:t>
            </w:r>
            <w:r>
              <w:rPr>
                <w:rFonts w:ascii="Times New Roman" w:hAnsi="Times New Roman"/>
                <w:noProof/>
              </w:rPr>
              <w:t xml:space="preserve"> </w:t>
            </w:r>
          </w:p>
          <w:p>
            <w:pPr>
              <w:pStyle w:val="CommentText"/>
              <w:spacing w:after="120"/>
              <w:rPr>
                <w:noProof/>
              </w:rPr>
            </w:pPr>
            <w:r>
              <w:rPr>
                <w:b/>
                <w:noProof/>
                <w:sz w:val="22"/>
                <w:szCs w:val="22"/>
              </w:rPr>
              <w:t>L-għażla ppreferuta</w:t>
            </w:r>
            <w:r>
              <w:rPr>
                <w:noProof/>
                <w:sz w:val="22"/>
                <w:szCs w:val="22"/>
              </w:rPr>
              <w:t xml:space="preserve"> hija l-Għażla 3, li tiżgura l-akbar effikaċja u effiċjenza biex jintlaħqu l-objettivi tar-rieżami u l-estensjoni tar-Regolament dwar ir-Roaming (fil-forma ta’ riformulazzjoni). Tinkludi miżuri biex jiġi żgurat il-forniment sostenibbli tal-RLAH, b’perkors ta’ tnaqqis gradwali (glide path) propost biex jitnaqqsu l-limiti massimi fil-livell bl-ingrossa. Tintroduċi bosta titjib biex twieġeb għall-iżviluppi teknoloġiċi u kummerċjali u tiżgura esperjenza ġenwina tal-RLAH għall-utenti finali b’rabta mal-kwalità tas-servizz, is-servizzi ta’ valur miżjud u l-komunikazzjonijiet ta’ emerġenza. Tinkludi simplifikazzjoni orizzontali u miżuri għat-tnaqqis tal-piż amministrattiv. </w:t>
            </w:r>
          </w:p>
        </w:tc>
      </w:tr>
      <w:tr>
        <w:tc>
          <w:tcPr>
            <w:tcW w:w="10490" w:type="dxa"/>
            <w:shd w:val="clear" w:color="auto" w:fill="CCCCCC"/>
          </w:tcPr>
          <w:p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t xml:space="preserve">X’inhi l-opinjoni tal-partijiet ikkonċernati differenti? Liema għażla u min jappoġġaha? </w:t>
            </w:r>
          </w:p>
        </w:tc>
      </w:tr>
      <w:tr>
        <w:tc>
          <w:tcPr>
            <w:tcW w:w="10490" w:type="dxa"/>
            <w:shd w:val="clear" w:color="auto" w:fill="auto"/>
          </w:tcPr>
          <w:p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Il-partijiet ikkonċernati għandhom fehmiet differenti dwar il-livell tal-limiti massimi tal-prezzijiet, ir-rekwiżiti dwar il-kwalità tas-servizz, u l-aċċess għas-servizzi ta’ emerġenza. L-operaturi inbounder kbar tan-networks (u speċjalment il-gruppi pan-Ewropej) għandhom it-tendenza li jiffavorixxu ż-żamma tal-limiti massimi bl-ingrossa għal-livell attwali. Min-naħa l-oħra, l-operaturi outbounder żgħar tan-networks (“li jkollhom klijentela li tuża aktar servizzi mobbli barra mill-pajjiż minn dawk użati mill-klijentela tal-operaturi sħab fuq in-network tagħhom stess) u l-operaturi virtwali jidher li jappoġġaw tnaqqis sinifikanti fil-limiti massimi bl-ingrossa. </w:t>
            </w:r>
          </w:p>
        </w:tc>
      </w:tr>
      <w:tr>
        <w:tc>
          <w:tcPr>
            <w:tcW w:w="10490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t>C. Impatti tal-għażla ppreferuta</w:t>
            </w:r>
          </w:p>
        </w:tc>
      </w:tr>
      <w:tr>
        <w:tc>
          <w:tcPr>
            <w:tcW w:w="10490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t>X’inhuma l-benefiċċji tal-għażla ppreferuta (jekk hemm, inkella x’inhuma dawk ewlenin)?</w:t>
            </w:r>
            <w:r>
              <w:rPr>
                <w:rFonts w:ascii="Times New Roman" w:hAnsi="Times New Roman"/>
                <w:noProof/>
                <w:sz w:val="24"/>
                <w:szCs w:val="20"/>
              </w:rPr>
              <w:t xml:space="preserve"> </w:t>
            </w:r>
          </w:p>
        </w:tc>
      </w:tr>
      <w:t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12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L-għażla ppreferuta tibbilanċja l-interessi tal-operaturi fl-iżgurar ta’ forniment sostenibbli tal-RLAH mingħajr ma thedded l-irkupru tal-kostijiet fil-forniment tas-servizzi tar-roaming bl-ingrossa. It-tnaqqas fil-limiti massimi bl-ingrossa jimplika li aktarx jonqsu l-kostijiet tar-roaming bl-ingrossa għall-operaturi outbounder. L-analiżi tas-sostenibbiltà tal-Kummissjoni tistma li dan se jwassal għal tnaqqis fil-perċentwal tal-operaturi mhux sostenibbli (marġni negattiv tar-roaming li jaqbeż it-3 % tal-marġni domestiku tagħhom) u għal tnaqqis relatat fil-marġni negattiv totali tar-roaming meta mqabbel mal-linja bażi ta’ 42 % fl-2023 u ta’ 52 % fl-2025. </w:t>
            </w:r>
          </w:p>
          <w:p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Il-benefiċċji għall-klijenti</w:t>
            </w:r>
            <w:r>
              <w:rPr>
                <w:rFonts w:ascii="Times New Roman" w:hAnsi="Times New Roman"/>
                <w:noProof/>
              </w:rPr>
              <w:t xml:space="preserve"> huma importanti wkoll; il-proporzjon ta’ utenti finali f’riskju li jiffaċċjaw ħlasijiet supplimentari meta l-operatur ikun ingħata deroga għas-sostenibbiltà, jitnaqqas b’aktar minn 40 %, u l-ħlasijiet supplimentari mħallsa eċċezzjonalment jitnaqqsu aktar. Din l-għażla se ttejjeb l-esperjenza tal-utenti finali waqt ir-roaming billi tikkontribwixxi għal kwalità aħjar tas-servizz u aktar għarfien fost il-konsumaturi dwar il-kwalità tas-servizz li għandhom jistennew waqt ir-roaming, u billi tgħin lill-utenti tar-roaming jevitaw ħasdiet bil-kont minn telefonati lejn servizzi ta’ valur miżjud. It-tnejn aktarx jirriżultaw f’żieda fis-sodisfazzjon tal-klijenti u f’inqas ilmenti. </w:t>
            </w:r>
          </w:p>
          <w:p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Din l-għażla tipprovdi wkoll l-għodod meħtieġa għall-operaturi biex jimplimentaw aċċess mingħajr ħlas għas-servizzi ta’ emerġenza u biex jipprovdu informazzjoni dwar il-lokalizzazzjoni ta’ min qed jagħmel it-telefonata għall-utenti finali kollha tar-roaming, inkluż dawk b’diżabbiltà. Din se tgħin biex jiġu salvagwardjati s-saħħa tagħhom, kif ukoll ħajjithom u l-proprjetà tagħhom.</w:t>
            </w:r>
          </w:p>
          <w:p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Fl-aħħar nett, l-għażla ppreferuta għandha l-għan li tippermetti lill-konsumaturi u lill-utenti tan-negozju jibbenefikaw mill-iżviluppi teknoloġiċi u mill-innovazzjoni xprunata mill-5G waqt li jkunu qed jivvjaġġaw.</w:t>
            </w:r>
          </w:p>
          <w:p>
            <w:pPr>
              <w:spacing w:after="12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Mistennija wkoll xi benefiċċji ambjentali (żgħar) billi tagħmilha aktar faċli biex min juża r-roaming jagħmel użu minn servizzi u applikazzjonijiet mobbli li ma jagħmlux ħsara lill-ambjent (eż. servizzi mobbli ġodda tal-5G u tal-IoT għall-konnessjoni ma’ vetturi u infrastruttura tat-toroq li jistgħu jipprevjenu l-imwiet tan-nies u jnaqqsu l-kostijiet tal-fjuwil u t-tniġġis tal-arja).</w:t>
            </w:r>
          </w:p>
        </w:tc>
      </w:tr>
      <w:tr>
        <w:tc>
          <w:tcPr>
            <w:tcW w:w="10490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t>X’inhuma l-kostijiet tal-għażla ppreferuta (jekk hemm, inkella x’inhuma dawk ewlenin)?</w:t>
            </w:r>
            <w:r>
              <w:rPr>
                <w:rFonts w:ascii="Times New Roman" w:hAnsi="Times New Roman"/>
                <w:noProof/>
                <w:sz w:val="24"/>
                <w:szCs w:val="20"/>
              </w:rPr>
              <w:t xml:space="preserve"> </w:t>
            </w:r>
          </w:p>
        </w:tc>
      </w:tr>
      <w:t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It-tnaqqis fil-limiti massimi bl-ingrossa jimplika li aktarx jonqos id-dħul tar-roaming bl-ingrossa għall-operaturi inbounder, filwaqt li xorta waħda jiżgura l-irkupru sħiħ tal-kostijiet. Għall-operaturi, tnaqqis possibbli fid-dħul tar-roaming bl-imnut huwa marbut ma’ ħlasijiet supplimentari aktar baxxi – il-konsumaturi jistgħu jintalbu jħallsu fil-każijiet eċċezzjonali meta dawn ikunu permessi (politika ta’ użu ġust u d-derogi għas-sostenibbiltà), f’liema każijiet il-ħlasijiet supplimentari ma jistgħux jaqbżu l-limiti massimi bl-ingrossa. Il-kostijiet addizzjonali ta’ konformità għall-operaturi u l-amministrazzjonijiet huma minuri (stmati li bħala medja huma inqas minn 6 ijiem ta’ persuna fis-sena għal kull wieħed minnhom). </w:t>
            </w:r>
          </w:p>
          <w:p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Il-miżura proposta dwar l-aċċess għas-servizzi ta’ emerġenza timplika kostijiet ta’ implimentazzjoni. Madankollu, dawn huma marbuta l-aktar mal-implimentazzjoni tad-drittijiet u l-obbligi diġà definiti f’leġiżlazzjoni oħra tal-UE (il-Kodiċi Ewropew għall-Komunikazzjonijiet Elettroniċi). Fl-aħħar nett, l-iżvilupp u ż-żamma ta’ bażi tad-</w:t>
            </w:r>
            <w:r>
              <w:rPr>
                <w:rFonts w:ascii="Times New Roman" w:hAnsi="Times New Roman"/>
                <w:i/>
                <w:iCs/>
                <w:noProof/>
              </w:rPr>
              <w:t>data</w:t>
            </w:r>
            <w:r>
              <w:rPr>
                <w:rFonts w:ascii="Times New Roman" w:hAnsi="Times New Roman"/>
                <w:noProof/>
              </w:rPr>
              <w:t xml:space="preserve"> għall-meded ta’ numri għas-servizzi ta’ valur miżjud fiż-ŻEE kollha se jġarrbu kostijiet għall-BEREC (responsabbli għaż-żewġ kompiti) u kostijiet modesti għall-awtoritajiet regolatorji nazzjonali (responsabbli għall-aġġornament tal-kontenut tal-bażi tad-</w:t>
            </w:r>
            <w:r>
              <w:rPr>
                <w:rFonts w:ascii="Times New Roman" w:hAnsi="Times New Roman"/>
                <w:i/>
                <w:noProof/>
              </w:rPr>
              <w:t>data</w:t>
            </w:r>
            <w:r>
              <w:rPr>
                <w:rFonts w:ascii="Times New Roman" w:hAnsi="Times New Roman"/>
                <w:noProof/>
              </w:rPr>
              <w:t>).</w:t>
            </w:r>
          </w:p>
        </w:tc>
      </w:tr>
      <w:tr>
        <w:tc>
          <w:tcPr>
            <w:tcW w:w="10490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t xml:space="preserve">X’inhuma l-impatti fuq l-intrapriżi żgħar u ta’ daqs medju (SMEs)? </w:t>
            </w:r>
          </w:p>
        </w:tc>
      </w:tr>
      <w:t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12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L-SMEs se jkunu jistgħu jibbenefikaw minn esperjenza ġenwina tal-RLAH, bis-saħħa ta’ kwalità mtejba tas-servizz u r-riskju mnaqqas ta’ derogi għas-sostenibbiltà. L-SMEs u l-iżviluppaturi tal-applikazzjonijiet se jibbenefikaw ukoll mill-fatt li l-klijenti jużaw l-applikazzjonijiet meta jivvjaġġaw minn pajjiż għall-ieħor, bi kwalità tas-servizz kemm aħjar kif ukoll magħrufa. Applikazzjonijiet u servizzi ġodda, li jeħtieġu servizz ta’ kwalità għolja jew 5G jistgħu jibbenefikaw indirettament: l-użu bla xkiel fis-Suq Intern kollu jista’ jappoġġa l-użu tagħhom.</w:t>
            </w:r>
          </w:p>
        </w:tc>
      </w:tr>
      <w:tr>
        <w:tc>
          <w:tcPr>
            <w:tcW w:w="10490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t>Se jkun hemm impatti sinifikanti fuq il-baġits u l-amministrazzjonijiet nazzjonali?</w:t>
            </w:r>
            <w:r>
              <w:rPr>
                <w:rFonts w:ascii="Times New Roman" w:hAnsi="Times New Roman"/>
                <w:noProof/>
                <w:sz w:val="24"/>
                <w:szCs w:val="20"/>
              </w:rPr>
              <w:t xml:space="preserve"> </w:t>
            </w:r>
          </w:p>
        </w:tc>
      </w:tr>
      <w:tr>
        <w:tc>
          <w:tcPr>
            <w:tcW w:w="10490" w:type="dxa"/>
            <w:shd w:val="clear" w:color="auto" w:fill="auto"/>
          </w:tcPr>
          <w:p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i/>
                <w:noProof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</w:rPr>
              <w:t>Ma huma mistennija l-ebda impatti sinifikanti fuq il-baġits u l-amministrazzjonijiet nazzjonali.</w:t>
            </w:r>
            <w:r>
              <w:rPr>
                <w:rFonts w:ascii="Times New Roman" w:hAnsi="Times New Roman"/>
                <w:noProof/>
                <w:sz w:val="24"/>
                <w:szCs w:val="20"/>
              </w:rPr>
              <w:t xml:space="preserve"> </w:t>
            </w:r>
          </w:p>
        </w:tc>
      </w:tr>
      <w:tr>
        <w:tc>
          <w:tcPr>
            <w:tcW w:w="10490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t>Se jkun hemm impatti sinifikanti oħra?</w:t>
            </w:r>
            <w:r>
              <w:rPr>
                <w:rFonts w:ascii="Times New Roman" w:hAnsi="Times New Roman"/>
                <w:noProof/>
                <w:sz w:val="24"/>
                <w:szCs w:val="20"/>
              </w:rPr>
              <w:t xml:space="preserve"> </w:t>
            </w:r>
          </w:p>
        </w:tc>
      </w:tr>
      <w:t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Tnaqqis fil-piż amministrattiv huwa possibbli bis-saħħa ta’ proposta biex jiġu riveduti l-limiti massimi bl-ingrossa, jekk meħtieġ, permezz ta’ att delegat, li jissimplifika l-proċess leġiżlattiv (wara l-2025). Iffrankar ulterjuri huwa marbut ma’ sistema ta’ monitoraġġ simplifikata, rekwiżiti simplifikati għall-operaturi barra miż-żona tal-euro u t-tħassir ta’ dispożizzjonijiet skaduti.</w:t>
            </w:r>
          </w:p>
        </w:tc>
      </w:tr>
      <w:tr>
        <w:tc>
          <w:tcPr>
            <w:tcW w:w="10490" w:type="dxa"/>
            <w:tcBorders>
              <w:bottom w:val="single" w:sz="4" w:space="0" w:color="auto"/>
            </w:tcBorders>
            <w:shd w:val="clear" w:color="auto" w:fill="D9D9D9"/>
          </w:tcPr>
          <w:p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i/>
                <w:noProof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t>Il-proporzjonalità?</w:t>
            </w:r>
            <w:r>
              <w:rPr>
                <w:rFonts w:ascii="Times New Roman" w:hAnsi="Times New Roman"/>
                <w:noProof/>
                <w:sz w:val="24"/>
                <w:szCs w:val="20"/>
              </w:rPr>
              <w:t xml:space="preserve"> </w:t>
            </w:r>
          </w:p>
        </w:tc>
      </w:tr>
      <w:t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L-għażla ppreferuta fiha sett ta’ miżuri li la huma intrużivi u lanqas sproporzjonati. Huma limitati għal dawk l-aspetti li ġew osservati u li ma ġewx indirizzati biżżejjed mir-Regolament attwali, u li ma jistgħux jiġu indirizzati b’mod effettiv fil-livell nazzjonali. It-tul limitat ta’ 10 snin ikompli jiżgura l-proporzjonalità.</w:t>
            </w:r>
          </w:p>
        </w:tc>
      </w:tr>
      <w:tr>
        <w:tc>
          <w:tcPr>
            <w:tcW w:w="10490" w:type="dxa"/>
            <w:tcBorders>
              <w:bottom w:val="single" w:sz="4" w:space="0" w:color="auto"/>
            </w:tcBorders>
            <w:shd w:val="clear" w:color="auto" w:fill="C0C0C0"/>
          </w:tcPr>
          <w:p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t>D. Segwitu</w:t>
            </w:r>
          </w:p>
        </w:tc>
      </w:tr>
      <w:tr>
        <w:tc>
          <w:tcPr>
            <w:tcW w:w="10490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t xml:space="preserve">Meta se tiġi rieżaminata l-politika? </w:t>
            </w:r>
          </w:p>
        </w:tc>
      </w:tr>
      <w:t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Il-Kummissjoni tipproponi li r-Regolament il-ġdid jibqa’ għaddej għal 10 snin biex tiġi żgurata ċ-ċertezza fis-suq u jiġi minimizzat il-piż regolatorju. Il-kompetizzjoni fis-suq mhijiex mistennija li tinbidel b’mod sinifikanti f’dan il-perjodu. L-ewwel rapport ta’ rieżami huwa ppjanat għall-2025, meta l-Kummissjoni se tivvaluta kif ikun qed jiffunzjona s-suq tar-roaming u jekk hemmx bżonn rieżami tal-politika biex jiġu indirizzati xi sfidi emerġenti.</w:t>
            </w:r>
          </w:p>
        </w:tc>
      </w:tr>
    </w:tbl>
    <w:p>
      <w:pPr>
        <w:spacing w:after="120"/>
        <w:rPr>
          <w:rFonts w:ascii="Times New Roman" w:hAnsi="Times New Roman" w:cs="Times New Roman"/>
          <w:noProof/>
          <w:sz w:val="2"/>
          <w:szCs w:val="2"/>
        </w:rPr>
      </w:pPr>
    </w:p>
    <w:p>
      <w:pPr>
        <w:spacing w:after="120"/>
        <w:rPr>
          <w:rFonts w:ascii="Times New Roman" w:hAnsi="Times New Roman" w:cs="Times New Roman"/>
          <w:noProof/>
          <w:sz w:val="2"/>
          <w:szCs w:val="2"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  <w:p/>
  </w:endnote>
  <w:endnote w:type="continuationSeparator" w:id="0">
    <w:p>
      <w:pPr>
        <w:spacing w:after="0" w:line="240" w:lineRule="auto"/>
      </w:pPr>
      <w:r>
        <w:continuationSeparator/>
      </w:r>
    </w:p>
    <w:p/>
  </w:endnote>
  <w:endnote w:type="continuationNotice" w:id="1">
    <w:p>
      <w:pPr>
        <w:spacing w:after="0" w:line="240" w:lineRule="auto"/>
      </w:pPr>
    </w:p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MT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MT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  <w:p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2828398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Footer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  <w:p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45AB1"/>
    <w:multiLevelType w:val="hybridMultilevel"/>
    <w:tmpl w:val="11ECD4BA"/>
    <w:lvl w:ilvl="0" w:tplc="F90E407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A64DB"/>
    <w:multiLevelType w:val="hybridMultilevel"/>
    <w:tmpl w:val="B03A4A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2F170F"/>
    <w:multiLevelType w:val="hybridMultilevel"/>
    <w:tmpl w:val="8AFA0B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734306"/>
    <w:multiLevelType w:val="multilevel"/>
    <w:tmpl w:val="D26610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2847"/>
        </w:tabs>
        <w:ind w:left="2847" w:hanging="720"/>
      </w:pPr>
    </w:lvl>
    <w:lvl w:ilvl="3">
      <w:start w:val="1"/>
      <w:numFmt w:val="decimal"/>
      <w:lvlText w:val="%1.%2.%3.%4."/>
      <w:lvlJc w:val="left"/>
      <w:pPr>
        <w:tabs>
          <w:tab w:val="num" w:pos="2706"/>
        </w:tabs>
        <w:ind w:left="2706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D4977C3"/>
    <w:multiLevelType w:val="hybridMultilevel"/>
    <w:tmpl w:val="773E225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8A7293"/>
    <w:multiLevelType w:val="hybridMultilevel"/>
    <w:tmpl w:val="76B8E91A"/>
    <w:lvl w:ilvl="0" w:tplc="105AB996">
      <w:start w:val="1"/>
      <w:numFmt w:val="lowerRoman"/>
      <w:lvlText w:val="(%1)"/>
      <w:lvlJc w:val="left"/>
      <w:pPr>
        <w:ind w:left="720" w:hanging="720"/>
      </w:pPr>
      <w:rPr>
        <w:rFonts w:ascii="Georgia" w:eastAsia="Georgia" w:hAnsi="Georgia" w:cs="Georgi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1F37FE"/>
    <w:multiLevelType w:val="hybridMultilevel"/>
    <w:tmpl w:val="765C4548"/>
    <w:lvl w:ilvl="0" w:tplc="F90E4074">
      <w:start w:val="5"/>
      <w:numFmt w:val="bullet"/>
      <w:lvlText w:val="-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9907AE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>
    <w:nsid w:val="4BB805A3"/>
    <w:multiLevelType w:val="hybridMultilevel"/>
    <w:tmpl w:val="755E199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1415B"/>
    <w:multiLevelType w:val="hybridMultilevel"/>
    <w:tmpl w:val="E5688A62"/>
    <w:lvl w:ilvl="0" w:tplc="61AA256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revisionView w:markup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Li jakkumpanja d-dokument"/>
    <w:docVar w:name="LW_CORRIGENDUM" w:val="&lt;UNUSED&gt;"/>
    <w:docVar w:name="LW_COVERPAGE_EXISTS" w:val="True"/>
    <w:docVar w:name="LW_COVERPAGE_GUID" w:val="40AB5E15-E06A-4099-915B-DA729BF954B9"/>
    <w:docVar w:name="LW_COVERPAGE_TYPE" w:val="1"/>
    <w:docVar w:name="LW_CROSSREFERENCE" w:val="{COM(2021) 85 final} - {SEC(2021) 90 final} - {SWD(2021) 28 final} - {SWD(2021) 29 final}"/>
    <w:docVar w:name="LW_DocType" w:val="NORMAL"/>
    <w:docVar w:name="LW_EMISSION" w:val="24.2.2021"/>
    <w:docVar w:name="LW_EMISSION_ISODATE" w:val="2021-02-24"/>
    <w:docVar w:name="LW_EMISSION_LOCATION" w:val="BRX"/>
    <w:docVar w:name="LW_EMISSION_PREFIX" w:val="Brussell, "/>
    <w:docVar w:name="LW_EMISSION_SUFFIX" w:val=" "/>
    <w:docVar w:name="LW_ID_DOCTYPE_NONLW" w:val="CP-027"/>
    <w:docVar w:name="LW_LANGUE" w:val="MT"/>
    <w:docVar w:name="LW_LEVEL_OF_SENSITIVITY" w:val="Standard treatment"/>
    <w:docVar w:name="LW_NOM.INST" w:val="IL-KUMMISSJONI EWROPEA"/>
    <w:docVar w:name="LW_NOM.INST_JOINTDOC" w:val="&lt;EMPTY&gt;"/>
    <w:docVar w:name="LW_OBJETACTEPRINCIPAL.CP" w:val="dwar ir-roaming fuq networks pubbli\u267?i tal-komunikazzjoni mobbli fi \u295?dan l-Unjoni (Riformulazzjoni)"/>
    <w:docVar w:name="LW_PART_NBR" w:val="1"/>
    <w:docVar w:name="LW_PART_NBR_TOTAL" w:val="1"/>
    <w:docVar w:name="LW_REF.INST.NEW" w:val="SWD"/>
    <w:docVar w:name="LW_REF.INST.NEW_ADOPTED" w:val="final"/>
    <w:docVar w:name="LW_REF.INST.NEW_TEXT" w:val="(2021) 2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DOKUMENT TA\u8217? \u294?IDMA TAL-PERSUNAL TAL-KUMMISSJONI_x000b__x000b_SOMMARJU E\u379?EKUTTIV TAR-RAPPORT TAL-VALUTAZZJONI TAL-IMPATT _x000b_"/>
    <w:docVar w:name="LW_TYPEACTEPRINCIPAL.CP" w:val="Proposta g\u295?al Regolament tal-Parlament Ewropew u tal-Kunsil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Theme="minorEastAsia" w:hAnsi="Times New Roman" w:cs="Times New Roman"/>
      <w:i/>
      <w:sz w:val="24"/>
      <w:szCs w:val="20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4"/>
      </w:numPr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4"/>
      </w:numPr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4"/>
      </w:numPr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4"/>
      </w:numPr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4"/>
      </w:numPr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FootnoteText">
    <w:name w:val="footnote text"/>
    <w:aliases w:val="Char,Fußnote,Carattere,fn,Footnotes,Footnote ak,Footnote Text Char1,Footnote Text Char Char,fn Char Char,footnote text Char Char,Footnotes Char Char,Footnote ak Char Char,fn Char1,footnote text Char1,Footnotes Char1,ft,Footnote Text_EP-LC"/>
    <w:basedOn w:val="Normal"/>
    <w:link w:val="FootnoteTextChar"/>
    <w:uiPriority w:val="99"/>
    <w:qFormat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aliases w:val="Char Char,Fußnote Char,Carattere Char,fn Char,Footnotes Char,Footnote ak Char,Footnote Text Char1 Char,Footnote Text Char Char Char,fn Char Char Char,footnote text Char Char Char,Footnotes Char Char Char,Footnote ak Char Char Char"/>
    <w:basedOn w:val="DefaultParagraphFont"/>
    <w:link w:val="FootnoteText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aliases w:val="Footnote Reference Superscript,BVI fnr, BVI fnr,Footnote symbol,Footnote reference number,note TESI,Appel note de bas de p,Nota,SUPERS,Footnote number,EN Footnote Reference,-E Fußnotenzeichen,number Char Char,number,Ref,styl,styli,FR"/>
    <w:link w:val="FootnotesymbolCarZchn"/>
    <w:uiPriority w:val="99"/>
    <w:qFormat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"/>
    <w:link w:val="FootnoteReference"/>
    <w:uiPriority w:val="99"/>
    <w:pPr>
      <w:spacing w:after="160" w:line="240" w:lineRule="exact"/>
      <w:jc w:val="both"/>
    </w:pPr>
    <w:rPr>
      <w:vertAlign w:val="superscript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Bullet">
    <w:name w:val="List Bullet"/>
    <w:basedOn w:val="Normal"/>
    <w:pPr>
      <w:tabs>
        <w:tab w:val="num" w:pos="283"/>
      </w:tabs>
      <w:spacing w:after="24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aliases w:val="Bullet List Paragraph,List Paragraph1,Lettre d'introduction,Numbered paragraph 1,Paragrafo elenco,1st level - Bullet List Paragraph,Medium Grid 1 - Accent 21,Normal bullet 2,Numbered List,Elenco a colori - Colore 11,Fiche List Paragraph"/>
    <w:basedOn w:val="Normal"/>
    <w:link w:val="ListParagraphChar"/>
    <w:uiPriority w:val="34"/>
    <w:qFormat/>
    <w:pPr>
      <w:numPr>
        <w:numId w:val="3"/>
      </w:numPr>
      <w:spacing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7"/>
      <w:lang w:eastAsia="en-GB"/>
    </w:rPr>
  </w:style>
  <w:style w:type="character" w:customStyle="1" w:styleId="ListParagraphChar">
    <w:name w:val="List Paragraph Char"/>
    <w:aliases w:val="Bullet List Paragraph Char,List Paragraph1 Char,Lettre d'introduction Char,Numbered paragraph 1 Char,Paragrafo elenco Char,1st level - Bullet List Paragraph Char,Medium Grid 1 - Accent 21 Char,Normal bullet 2 Char,Numbered List Char"/>
    <w:basedOn w:val="DefaultParagraphFont"/>
    <w:link w:val="ListParagraph"/>
    <w:uiPriority w:val="34"/>
    <w:qFormat/>
    <w:rPr>
      <w:rFonts w:ascii="Times New Roman" w:eastAsia="Times New Roman" w:hAnsi="Times New Roman" w:cs="Times New Roman"/>
      <w:sz w:val="24"/>
      <w:szCs w:val="27"/>
      <w:lang w:val="mt-MT" w:eastAsia="en-GB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smallCaps/>
      <w:sz w:val="24"/>
      <w:szCs w:val="20"/>
      <w:lang w:val="mt-MT" w:eastAsia="en-GB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sz w:val="24"/>
      <w:szCs w:val="20"/>
      <w:lang w:val="mt-MT" w:eastAsia="en-GB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i/>
      <w:sz w:val="24"/>
      <w:szCs w:val="20"/>
      <w:lang w:val="mt-MT" w:eastAsia="en-GB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Theme="minorEastAsia" w:hAnsi="Times New Roman" w:cs="Times New Roman"/>
      <w:i/>
      <w:sz w:val="24"/>
      <w:szCs w:val="20"/>
      <w:lang w:val="mt-MT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4"/>
      <w:lang w:val="mt-MT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lang w:val="mt-MT"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mt-MT"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mt-MT"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mt-MT"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Footnote">
    <w:name w:val="Footnote"/>
    <w:basedOn w:val="FootnoteText"/>
    <w:link w:val="FootnoteChar"/>
    <w:qFormat/>
    <w:pPr>
      <w:spacing w:after="0"/>
      <w:ind w:left="0" w:firstLine="0"/>
    </w:pPr>
  </w:style>
  <w:style w:type="character" w:customStyle="1" w:styleId="FootnoteChar">
    <w:name w:val="Footnote Char"/>
    <w:basedOn w:val="DefaultParagraphFont"/>
    <w:link w:val="Footnot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  <w:jc w:val="both"/>
    </w:pPr>
    <w:rPr>
      <w:rFonts w:ascii="Georgia" w:eastAsia="Georgia" w:hAnsi="Georgia" w:cs="Georgia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Georgia" w:eastAsia="Georgia" w:hAnsi="Georgia" w:cs="Georgia"/>
      <w:sz w:val="24"/>
      <w:szCs w:val="24"/>
      <w:lang w:val="mt-MT" w:eastAsia="en-GB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Theme="minorEastAsia" w:hAnsi="Times New Roman" w:cs="Times New Roman"/>
      <w:i/>
      <w:sz w:val="24"/>
      <w:szCs w:val="20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4"/>
      </w:numPr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4"/>
      </w:numPr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4"/>
      </w:numPr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4"/>
      </w:numPr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4"/>
      </w:numPr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FootnoteText">
    <w:name w:val="footnote text"/>
    <w:aliases w:val="Char,Fußnote,Carattere,fn,Footnotes,Footnote ak,Footnote Text Char1,Footnote Text Char Char,fn Char Char,footnote text Char Char,Footnotes Char Char,Footnote ak Char Char,fn Char1,footnote text Char1,Footnotes Char1,ft,Footnote Text_EP-LC"/>
    <w:basedOn w:val="Normal"/>
    <w:link w:val="FootnoteTextChar"/>
    <w:uiPriority w:val="99"/>
    <w:qFormat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aliases w:val="Char Char,Fußnote Char,Carattere Char,fn Char,Footnotes Char,Footnote ak Char,Footnote Text Char1 Char,Footnote Text Char Char Char,fn Char Char Char,footnote text Char Char Char,Footnotes Char Char Char,Footnote ak Char Char Char"/>
    <w:basedOn w:val="DefaultParagraphFont"/>
    <w:link w:val="FootnoteText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aliases w:val="Footnote Reference Superscript,BVI fnr, BVI fnr,Footnote symbol,Footnote reference number,note TESI,Appel note de bas de p,Nota,SUPERS,Footnote number,EN Footnote Reference,-E Fußnotenzeichen,number Char Char,number,Ref,styl,styli,FR"/>
    <w:link w:val="FootnotesymbolCarZchn"/>
    <w:uiPriority w:val="99"/>
    <w:qFormat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"/>
    <w:link w:val="FootnoteReference"/>
    <w:uiPriority w:val="99"/>
    <w:pPr>
      <w:spacing w:after="160" w:line="240" w:lineRule="exact"/>
      <w:jc w:val="both"/>
    </w:pPr>
    <w:rPr>
      <w:vertAlign w:val="superscript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Bullet">
    <w:name w:val="List Bullet"/>
    <w:basedOn w:val="Normal"/>
    <w:pPr>
      <w:tabs>
        <w:tab w:val="num" w:pos="283"/>
      </w:tabs>
      <w:spacing w:after="24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aliases w:val="Bullet List Paragraph,List Paragraph1,Lettre d'introduction,Numbered paragraph 1,Paragrafo elenco,1st level - Bullet List Paragraph,Medium Grid 1 - Accent 21,Normal bullet 2,Numbered List,Elenco a colori - Colore 11,Fiche List Paragraph"/>
    <w:basedOn w:val="Normal"/>
    <w:link w:val="ListParagraphChar"/>
    <w:uiPriority w:val="34"/>
    <w:qFormat/>
    <w:pPr>
      <w:numPr>
        <w:numId w:val="3"/>
      </w:numPr>
      <w:spacing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7"/>
      <w:lang w:eastAsia="en-GB"/>
    </w:rPr>
  </w:style>
  <w:style w:type="character" w:customStyle="1" w:styleId="ListParagraphChar">
    <w:name w:val="List Paragraph Char"/>
    <w:aliases w:val="Bullet List Paragraph Char,List Paragraph1 Char,Lettre d'introduction Char,Numbered paragraph 1 Char,Paragrafo elenco Char,1st level - Bullet List Paragraph Char,Medium Grid 1 - Accent 21 Char,Normal bullet 2 Char,Numbered List Char"/>
    <w:basedOn w:val="DefaultParagraphFont"/>
    <w:link w:val="ListParagraph"/>
    <w:uiPriority w:val="34"/>
    <w:qFormat/>
    <w:rPr>
      <w:rFonts w:ascii="Times New Roman" w:eastAsia="Times New Roman" w:hAnsi="Times New Roman" w:cs="Times New Roman"/>
      <w:sz w:val="24"/>
      <w:szCs w:val="27"/>
      <w:lang w:val="mt-MT" w:eastAsia="en-GB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smallCaps/>
      <w:sz w:val="24"/>
      <w:szCs w:val="20"/>
      <w:lang w:val="mt-MT" w:eastAsia="en-GB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sz w:val="24"/>
      <w:szCs w:val="20"/>
      <w:lang w:val="mt-MT" w:eastAsia="en-GB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i/>
      <w:sz w:val="24"/>
      <w:szCs w:val="20"/>
      <w:lang w:val="mt-MT" w:eastAsia="en-GB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Theme="minorEastAsia" w:hAnsi="Times New Roman" w:cs="Times New Roman"/>
      <w:i/>
      <w:sz w:val="24"/>
      <w:szCs w:val="20"/>
      <w:lang w:val="mt-MT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4"/>
      <w:lang w:val="mt-MT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lang w:val="mt-MT"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mt-MT"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mt-MT"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mt-MT"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Footnote">
    <w:name w:val="Footnote"/>
    <w:basedOn w:val="FootnoteText"/>
    <w:link w:val="FootnoteChar"/>
    <w:qFormat/>
    <w:pPr>
      <w:spacing w:after="0"/>
      <w:ind w:left="0" w:firstLine="0"/>
    </w:pPr>
  </w:style>
  <w:style w:type="character" w:customStyle="1" w:styleId="FootnoteChar">
    <w:name w:val="Footnote Char"/>
    <w:basedOn w:val="DefaultParagraphFont"/>
    <w:link w:val="Footnot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  <w:jc w:val="both"/>
    </w:pPr>
    <w:rPr>
      <w:rFonts w:ascii="Georgia" w:eastAsia="Georgia" w:hAnsi="Georgia" w:cs="Georgia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Georgia" w:eastAsia="Georgia" w:hAnsi="Georgia" w:cs="Georgia"/>
      <w:sz w:val="24"/>
      <w:szCs w:val="24"/>
      <w:lang w:val="mt-MT" w:eastAsia="en-GB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C7E08-0ED1-497F-81F9-EE5F3F31F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1616</Words>
  <Characters>11879</Characters>
  <Application>Microsoft Office Word</Application>
  <DocSecurity>0</DocSecurity>
  <Lines>144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2021-02-10T06:31:00Z</dcterms:created>
  <dcterms:modified xsi:type="dcterms:W3CDTF">2021-03-02T10:30:00Z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Last edited using">
    <vt:lpwstr>LW 7.0, Build 20190717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PTemplateID">
    <vt:lpwstr>CP-027</vt:lpwstr>
  </property>
</Properties>
</file>