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FA0E3F6E-AFB0-4133-9E64-2E138BFC434C" style="width:450.8pt;height:293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Rfrenceinterne"/>
        <w:rPr>
          <w:noProof/>
        </w:rPr>
      </w:pPr>
      <w:bookmarkStart w:id="1" w:name="_GoBack"/>
      <w:bookmarkEnd w:id="1"/>
      <w:r>
        <w:rPr>
          <w:noProof/>
        </w:rPr>
        <w:lastRenderedPageBreak/>
        <w:t>A BIZOTTSÁG JELENTÉSE AZ EURÓPAI PARLAMENTNEK ÉS A TANÁCSNAK</w:t>
      </w:r>
    </w:p>
    <w:p>
      <w:pPr>
        <w:jc w:val="center"/>
        <w:rPr>
          <w:rFonts w:ascii="Times New Roman" w:hAnsi="Times New Roman" w:cs="Times New Roman"/>
          <w:noProof/>
        </w:rPr>
      </w:pPr>
      <w:bookmarkStart w:id="2" w:name="_Toc197163672"/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a tisztviselők személyzeti szabályzatának 77. cikke alapján</w:t>
      </w:r>
    </w:p>
    <w:bookmarkEnd w:id="2"/>
    <w:p>
      <w:pPr>
        <w:pStyle w:val="Heading1"/>
        <w:rPr>
          <w:noProof/>
        </w:rPr>
      </w:pPr>
      <w:r>
        <w:rPr>
          <w:noProof/>
        </w:rPr>
        <w:t>Jogalap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legutóbb 2013-ban módosított személyzeti szabályzat</w:t>
      </w:r>
      <w:r>
        <w:rPr>
          <w:noProof/>
          <w:vertAlign w:val="superscript"/>
          <w:lang w:val="en-US"/>
        </w:rPr>
        <w:footnoteReference w:id="1"/>
      </w:r>
      <w:r>
        <w:rPr>
          <w:noProof/>
        </w:rPr>
        <w:t xml:space="preserve"> 77. cikke úgy rendelkezik, hogy a nyugdíjkorhatárról 2014. január 1-től kezdődően a Bizottság Európai Parlament és Tanács elé terjesztett jelentése alapján ötévente értékelést kell készíteni. A jelentés megvizsgálja különösen a tagállamok közszolgálati alkalmazottaira vonatkozó nyugdíjkorhatár alakulását, valamint az intézmények tisztviselőinek várható élettartamát.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társjogalkotók arról is határoztak, hogy adott esetben a Bizottság tegyen javaslatot arra, hogy a nyugdíjkorhatárt a jelentés következtetéseivel összhangban módosítsák, különös figyelmet fordítva a tagállamokban bekövetkezett fejleményekre.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Ez a jelentés a fent említett rendelkezést hajtja végre oly módon, hogy megvizsgálja különösen a tagállamok közszolgálati alkalmazottaira vonatkozó nyugdíjkorhatár alakulását, valamint az intézmények tisztviselőinek várható élettartamát 2014 és 2018 között.</w:t>
      </w:r>
    </w:p>
    <w:p>
      <w:pPr>
        <w:pStyle w:val="Heading1"/>
        <w:numPr>
          <w:ilvl w:val="0"/>
          <w:numId w:val="3"/>
        </w:numPr>
        <w:rPr>
          <w:noProof/>
        </w:rPr>
      </w:pPr>
      <w:bookmarkStart w:id="3" w:name="_Toc197163673"/>
      <w:r>
        <w:rPr>
          <w:noProof/>
        </w:rPr>
        <w:t>A jelentés hatálya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személyzeti szabályzat 77. cikke értelmében a tagállamok közszolgálati alkalmazottaira vonatkozó nyugdíjkorhatár alakulását, valamint az intézmények tisztviselőinek várható élettartamát ötévente értékelni kell, így e jelentés ötéves referencia-időszaka 2014. január 1-től 2018. december 31-ig tartott.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társjogalkotók a tárgyi hatályt úgy állapították meg, hogy az a tagállamok közszolgálati alkalmazottaira vonatkozó nyugdíjkorhatár alakulását, valamint az intézmények tisztviselői várható élettartamának alakulását egyaránt magába foglalja. A személyzeti szabályzat továbbá azt is megállapította, hogy a nyugdíjkorhatár módosítása lehetőségének mérlegelésekor a Bizottságnak külön figyelmet kell fordítania a tagállamokban bekövetkezett fejleményekre.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Az Egyesült Királyságnak az Európai Unióból történő 2020. február 1-jei kilépését követően az Egyesült Királyságra vonatkozó adatok nem szerepelnek a jelentésben. A jelentésben végzett elemzés lényegében a jövőbeli intézkedések alapjául szolgál. Ezért annak elismerése mellett, hogy az Egyesült Királyság a referencia-időszakban az Unió tagállama volt, jelen pillanatban nem tűnik indokoltnak, hogy a jelentés az Egyesült Királyság helyzetére vonatkozó adatokat is tartalmazzon.</w:t>
      </w:r>
    </w:p>
    <w:p>
      <w:pPr>
        <w:pStyle w:val="Heading1"/>
        <w:numPr>
          <w:ilvl w:val="0"/>
          <w:numId w:val="3"/>
        </w:numPr>
        <w:rPr>
          <w:noProof/>
        </w:rPr>
      </w:pPr>
      <w:r>
        <w:rPr>
          <w:noProof/>
        </w:rPr>
        <w:t>Háttérinformációk</w:t>
      </w:r>
    </w:p>
    <w:p>
      <w:pPr>
        <w:pStyle w:val="Heading2"/>
        <w:numPr>
          <w:ilvl w:val="1"/>
          <w:numId w:val="3"/>
        </w:numPr>
        <w:tabs>
          <w:tab w:val="clear" w:pos="850"/>
          <w:tab w:val="num" w:pos="1202"/>
        </w:tabs>
        <w:spacing w:before="0" w:after="240"/>
        <w:ind w:left="1202" w:hanging="720"/>
        <w:rPr>
          <w:noProof/>
        </w:rPr>
      </w:pPr>
      <w:r>
        <w:rPr>
          <w:noProof/>
        </w:rPr>
        <w:t>Adatgyűjtés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Az Eurostat a személyzeti szabályzat 83. cikkével foglalkozó munkacsoport keretében a tagállami szakértőket éves adatszolgáltatásra kérte fel. E munkacsoport illetékes abban, hogy a személyzeti szabályzat XII. mellékletének végrehajtásával kapcsolatos módszertannal összefüggő kérdéseket az Eurostattal együttműködve kezelje.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jelentéstételi kötelezettségének teljesítése érdekében és az Európai Unióról szóló szerződés 4. cikkének (3) bekezdésével összhangban az Európai Bizottság felkérte a 83. cikk szerinti munkacsoport tagállami küldötteit, hogy 2019 végéig adják meg és erősítsék meg a közszolgálati nyugdíjrendszereikre vonatkozó adatok megbízhatóságát. Ez különösen a referencia-időszak során alkalmazandó nyugdíjkorhatárra és a nyugdíjrendszerek működésének egyéb modalitásaira vonatkozott.</w:t>
      </w:r>
    </w:p>
    <w:p>
      <w:pPr>
        <w:pStyle w:val="Heading2"/>
        <w:numPr>
          <w:ilvl w:val="1"/>
          <w:numId w:val="3"/>
        </w:numPr>
        <w:tabs>
          <w:tab w:val="clear" w:pos="850"/>
          <w:tab w:val="num" w:pos="1202"/>
        </w:tabs>
        <w:spacing w:before="0" w:after="240"/>
        <w:ind w:left="1202" w:hanging="720"/>
        <w:rPr>
          <w:noProof/>
        </w:rPr>
      </w:pPr>
      <w:r>
        <w:rPr>
          <w:noProof/>
        </w:rPr>
        <w:t>Módszertani szempontok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nyugellátás tagállamok közötti összehasonlítása csak bizonyos mértékig lehetséges, mivel a nyugdíjrendszerek között strukturális különbségek állnak fenn. Előfordulhat főként az, hogy a tagállamok központi szolgálatainál a tisztviselőkre vonatkozó nyugdíjrendszerek nem ugyanazokra a populációkra terjednek ki, pl. a tagállami rendszerek a központi kormányzati tisztviselőket, a közszférában dolgozó valamennyi tisztviselőt magukban foglalhatják, vagy akár a teljes dolgozó népességet, a központi kormányzatokban dolgozó köztisztviselőkkel együtt.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Egyes nemzeti rendszerek ráadásul felosztó-kirovó rendszerek (azaz a dolgozó népesség által fizetett nyugdíjjárulékokat a már nyugdíjban lévők között osztják fel), szemben azokkal, amelyekben a munkavállalók a saját jövőbeli nyugdíjukhoz járulnak hozzá. Ezenfelül bizonyos nemzeti rendszerek az egyes nemekre eltérő nyugdíjkorhatárt állapítanak meg.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Az uniós bíróságok ítélkezési gyakorlata</w:t>
      </w:r>
      <w:r>
        <w:rPr>
          <w:rStyle w:val="FootnoteReference"/>
          <w:noProof/>
          <w:lang w:val="en-US"/>
        </w:rPr>
        <w:footnoteReference w:id="2"/>
      </w:r>
      <w:r>
        <w:rPr>
          <w:noProof/>
        </w:rPr>
        <w:t xml:space="preserve"> is megerősítette, hogy az uniós tisztviselőkre vonatkozó nyugdíjrendszer tőkefedezeti elvű (fiktív) járadékalapú nyugdíjalap, amelyben a személyzet tagjainak járulékai finanszírozzák a járulékfizetők jövőbeli nyugdíját. A járulékok tulajdonképpen egy adott évben megszerzett nyugdíjjogosultságok költségét fedezik, és semmilyen módon nem kapcsolódnak az adott évi nyugdíjkiadásokhoz</w:t>
      </w:r>
      <w:r>
        <w:rPr>
          <w:rStyle w:val="FootnoteReference"/>
          <w:noProof/>
          <w:lang w:val="en-US"/>
        </w:rPr>
        <w:footnoteReference w:id="3"/>
      </w:r>
      <w:r>
        <w:rPr>
          <w:noProof/>
        </w:rPr>
        <w:t>.</w:t>
      </w:r>
    </w:p>
    <w:p>
      <w:pPr>
        <w:pStyle w:val="Heading2"/>
        <w:numPr>
          <w:ilvl w:val="1"/>
          <w:numId w:val="3"/>
        </w:numPr>
        <w:tabs>
          <w:tab w:val="clear" w:pos="850"/>
          <w:tab w:val="num" w:pos="1202"/>
        </w:tabs>
        <w:spacing w:before="0" w:after="240"/>
        <w:ind w:left="1202" w:hanging="720"/>
        <w:rPr>
          <w:noProof/>
        </w:rPr>
      </w:pPr>
      <w:r>
        <w:rPr>
          <w:noProof/>
        </w:rPr>
        <w:t>A rendes nyugdíjkorhatár meghatározása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személyzeti szabályzat 77. cikke a nyugdíjkorhatárra vonatkozik, amelyet rendes nyugdíjkorhatárnak is neveznek. Ez a fogalom azt az életkort jelenti, amely életkorban az uniós munkatársak automatikusan, pénzügyi szankció nélkül nyugdíjba vonulnak. 2014. január 1-től a 2014-től felvett munkatársak esetében a rendes nyugdíjkorhatár 66 évre emelkedett. Az említett időpont előtt felvett munkatársakra átmeneti rendelkezések vonatkoznak.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rendes nyugdíjkorhatártól két esetben lehet eltérni:</w:t>
      </w:r>
    </w:p>
    <w:p>
      <w:pPr>
        <w:pStyle w:val="Text1"/>
        <w:rPr>
          <w:noProof/>
        </w:rPr>
      </w:pPr>
      <w:r>
        <w:rPr>
          <w:noProof/>
        </w:rPr>
        <w:t>Először is a személyzet tagjai kérhetik előnyugdíjazásukat, azaz a rendes nyugdíjkorhatár elérése előtti nyugdíjazásukat. 2014. január 1-től az előnyugdíjazás korhatárát 58 évre emelték a személyzet valamennyi tagja esetében. Az előnyugdíjazás mindig jelentős pénzügyi szankcióval jár</w:t>
      </w:r>
      <w:r>
        <w:rPr>
          <w:rStyle w:val="FootnoteReference"/>
          <w:noProof/>
          <w:lang w:val="en-US"/>
        </w:rPr>
        <w:footnoteReference w:id="4"/>
      </w:r>
      <w:r>
        <w:rPr>
          <w:noProof/>
        </w:rPr>
        <w:t>.</w:t>
      </w:r>
    </w:p>
    <w:p>
      <w:pPr>
        <w:pStyle w:val="Text1"/>
        <w:rPr>
          <w:noProof/>
        </w:rPr>
      </w:pPr>
      <w:r>
        <w:rPr>
          <w:noProof/>
        </w:rPr>
        <w:t>Másodszor a személyzet tagjai saját kérésükre és ha a kinevezésre jogosult hatóság a szolgálat érdekében azt indokoltnak tartja, 67 éves korukig folytathatják a munkát. Kivételes esetben a személyzet tagja 70 éves koráig is dolgozhat, amely esetben automatikusan nyugdíjazni kell azon hónap utolsó napján, amelyben az említett kort betölti.</w:t>
      </w:r>
    </w:p>
    <w:bookmarkEnd w:id="3"/>
    <w:p>
      <w:pPr>
        <w:pStyle w:val="Heading1"/>
        <w:numPr>
          <w:ilvl w:val="0"/>
          <w:numId w:val="3"/>
        </w:numPr>
        <w:rPr>
          <w:noProof/>
        </w:rPr>
      </w:pPr>
      <w:r>
        <w:rPr>
          <w:noProof/>
        </w:rPr>
        <w:t>A tagállamok központi szolgálatainál dolgozó köztisztviselőkre vonatkozó nyugdíjkorhatár alakulása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Az alábbi ábra a tagállamok központi közszolgálatainál dolgozó tisztviselőkre vonatkozó rendes nyugdíjkorhatár, minimális nyugdíjkorhatár és maximális nyugdíjkorhatár alakulását szemlélteti</w:t>
      </w:r>
      <w:r>
        <w:rPr>
          <w:rStyle w:val="FootnoteReference"/>
          <w:noProof/>
          <w:lang w:val="en-US"/>
        </w:rPr>
        <w:footnoteReference w:id="5"/>
      </w:r>
      <w:r>
        <w:rPr>
          <w:noProof/>
        </w:rPr>
        <w:t>. A táblázatban nem említett tagállamok vagy nem szolgáltattak adatot az Eurostatnak, vagy nem rendelkeznek minimális vagy maximális nyugdíjkorhatárral.</w:t>
      </w:r>
    </w:p>
    <w:p>
      <w:pPr>
        <w:pStyle w:val="Heading2"/>
        <w:numPr>
          <w:ilvl w:val="1"/>
          <w:numId w:val="3"/>
        </w:numPr>
        <w:tabs>
          <w:tab w:val="clear" w:pos="850"/>
          <w:tab w:val="num" w:pos="1202"/>
        </w:tabs>
        <w:spacing w:before="0" w:after="240"/>
        <w:ind w:left="1202" w:hanging="720"/>
        <w:rPr>
          <w:noProof/>
        </w:rPr>
      </w:pPr>
      <w:r>
        <w:rPr>
          <w:noProof/>
        </w:rPr>
        <w:t>Rendes nyugdíjkorhatár a tagállamok központi közszolgálatainál</w:t>
      </w:r>
    </w:p>
    <w:p>
      <w:pPr>
        <w:pStyle w:val="Heading2"/>
        <w:rPr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5734050" cy="52422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376" cy="5272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noProof/>
          <w:lang w:eastAsia="de-DE"/>
        </w:rPr>
      </w:pPr>
    </w:p>
    <w:p>
      <w:pPr>
        <w:pStyle w:val="Heading2"/>
        <w:numPr>
          <w:ilvl w:val="1"/>
          <w:numId w:val="3"/>
        </w:numPr>
        <w:tabs>
          <w:tab w:val="clear" w:pos="850"/>
          <w:tab w:val="num" w:pos="1202"/>
        </w:tabs>
        <w:spacing w:before="0" w:after="240"/>
        <w:ind w:left="1202" w:hanging="720"/>
        <w:rPr>
          <w:noProof/>
        </w:rPr>
      </w:pPr>
      <w:r>
        <w:rPr>
          <w:noProof/>
        </w:rPr>
        <w:t xml:space="preserve"> Minimális nyugdíjkorhatár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21921</wp:posOffset>
            </wp:positionH>
            <wp:positionV relativeFrom="paragraph">
              <wp:posOffset>2991090</wp:posOffset>
            </wp:positionV>
            <wp:extent cx="154940" cy="103293"/>
            <wp:effectExtent l="0" t="0" r="0" b="0"/>
            <wp:wrapNone/>
            <wp:docPr id="45" name="Picture 45" descr="Amazon.com : European Union (EU) Flag - 3 foot by 5 foot Polyester (New) :  Garden &amp; Outdoor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zon.com : European Union (EU) Flag - 3 foot by 5 foot Polyester (New) :  Garden &amp; Outdoor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2" cy="1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noProof/>
          <w:lang w:val="en-GB" w:eastAsia="en-GB"/>
        </w:rPr>
        <w:drawing>
          <wp:inline distT="0" distB="0" distL="0" distR="0">
            <wp:extent cx="6074797" cy="7266804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300" cy="7369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</w:rPr>
        <w:t xml:space="preserve"> </w:t>
      </w:r>
    </w:p>
    <w:p>
      <w:pPr>
        <w:pStyle w:val="Text1"/>
        <w:numPr>
          <w:ilvl w:val="0"/>
          <w:numId w:val="0"/>
        </w:numPr>
        <w:rPr>
          <w:noProof/>
          <w:lang w:val="en-US"/>
        </w:rPr>
      </w:pPr>
    </w:p>
    <w:p>
      <w:pPr>
        <w:pStyle w:val="Heading2"/>
        <w:numPr>
          <w:ilvl w:val="1"/>
          <w:numId w:val="3"/>
        </w:numPr>
        <w:tabs>
          <w:tab w:val="clear" w:pos="850"/>
          <w:tab w:val="num" w:pos="1202"/>
        </w:tabs>
        <w:spacing w:before="0" w:after="240"/>
        <w:ind w:left="1202" w:hanging="720"/>
        <w:rPr>
          <w:noProof/>
        </w:rPr>
      </w:pPr>
      <w:r>
        <w:rPr>
          <w:noProof/>
        </w:rPr>
        <w:t>Maximális nyugdíjkorhatár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-1519</wp:posOffset>
            </wp:positionH>
            <wp:positionV relativeFrom="paragraph">
              <wp:posOffset>2855595</wp:posOffset>
            </wp:positionV>
            <wp:extent cx="225425" cy="150495"/>
            <wp:effectExtent l="0" t="0" r="3175" b="1905"/>
            <wp:wrapNone/>
            <wp:docPr id="2" name="Picture 2" descr="Amazon.com : European Union (EU) Flag - 3 foot by 5 foot Polyester (New) :  Garden &amp; Outdoor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zon.com : European Union (EU) Flag - 3 foot by 5 foot Polyester (New) :  Garden &amp; Outdoor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5736590" cy="8030818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901" cy="8070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Text1"/>
        <w:numPr>
          <w:ilvl w:val="0"/>
          <w:numId w:val="0"/>
        </w:numPr>
        <w:rPr>
          <w:noProof/>
          <w:lang w:val="en-US"/>
        </w:rPr>
      </w:pPr>
    </w:p>
    <w:p>
      <w:pPr>
        <w:pStyle w:val="Heading2"/>
        <w:numPr>
          <w:ilvl w:val="1"/>
          <w:numId w:val="3"/>
        </w:numPr>
        <w:tabs>
          <w:tab w:val="clear" w:pos="850"/>
          <w:tab w:val="num" w:pos="1202"/>
        </w:tabs>
        <w:spacing w:before="0" w:after="240"/>
        <w:ind w:left="1202" w:hanging="720"/>
        <w:rPr>
          <w:noProof/>
        </w:rPr>
      </w:pPr>
      <w:r>
        <w:rPr>
          <w:noProof/>
        </w:rPr>
        <w:t>A tagállami közszolgálatok személyzetére vonatkozó nyugdíjkorhatár alakulásának értékelése</w:t>
      </w:r>
    </w:p>
    <w:p>
      <w:pPr>
        <w:rPr>
          <w:noProof/>
        </w:rPr>
      </w:pPr>
      <w:hyperlink r:id="rId22" w:tgtFrame="_blank" w:history="1"/>
      <w:r>
        <w:rPr>
          <w:noProof/>
          <w:lang w:val="en-GB" w:eastAsia="en-GB"/>
        </w:rPr>
        <w:drawing>
          <wp:inline distT="0" distB="0" distL="0" distR="0">
            <wp:extent cx="246380" cy="151130"/>
            <wp:effectExtent l="0" t="0" r="1270" b="1270"/>
            <wp:docPr id="8" name="Picture 8" descr="Amazon.com : European Union (EU) Flag - 3 foot by 5 foot Polyester (New) :  Garden &amp; Outdoor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 : European Union (EU) Flag - 3 foot by 5 foot Polyester (New) :  Garden &amp; Outdoor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5784850" cy="3464456"/>
            <wp:effectExtent l="0" t="0" r="635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985" cy="3472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Text1"/>
        <w:numPr>
          <w:ilvl w:val="0"/>
          <w:numId w:val="0"/>
        </w:numPr>
        <w:rPr>
          <w:i/>
          <w:noProof/>
        </w:rPr>
      </w:pPr>
      <w:r>
        <w:rPr>
          <w:noProof/>
        </w:rPr>
        <w:t xml:space="preserve">* </w:t>
      </w:r>
      <w:r>
        <w:rPr>
          <w:i/>
          <w:noProof/>
        </w:rPr>
        <w:t>Ez a táblázat a 3.2. táblázatban olvasható adatokon alapul.</w:t>
      </w:r>
      <w:r>
        <w:rPr>
          <w:noProof/>
        </w:rPr>
        <w:t xml:space="preserve"> </w:t>
      </w:r>
      <w:r>
        <w:rPr>
          <w:i/>
          <w:noProof/>
        </w:rPr>
        <w:t>A nők és férfiak esetében differenciált nyugdíjkorhatárral rendelkező országok esetében a fenti táblázat a legnagyobb értéket tartalmazza.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fenti ábra az uniós tagállamok központi kormányzatában dolgozó tisztviselőkre vonatkozó minimális, rendes és maximális nyugdíjkorhatár alakulását mutatja 2014 és 2018 között.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Eltérés figyelhető meg, mivel egyes tagállamoknál nincs minimális nyugdíjkorhatár, míg más tagállamokban nincs különbség a központi szolgálatok tisztviselőire vonatkozó maximális nyugdíjkorhatár és rendes nyugdíjkorhatár között.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Ennek figyelembevételével bár ez az adatgyűjtés hasznos információkat tartalmaz a tagállamok közszolgálatainál alkalmazott nyugdíjkorhatárokkal kapcsolatban, az esetleges összehasonlításokat óvatosan kell kezelni.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2014-es értékelés azt mutatja, hogy egy olyan tagállam volt, amelyben a rendes nyugdíjkorhatár az uniós személyzetre vonatkozó 66 éves rendes nyugdíjkorhatárnál magasabb volt, és hogy a rendes nyugdíjkorhatár az összes tagállam esetében 58–67 év között mozgott.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2018-as értékelés azt mutatja, hogy három olyan tagállam volt, amelyben a rendes nyugdíjkorhatár az uniós személyzetre vonatkozó rendes nyugdíjkorhatárnál magasabb volt, és hogy a rendes nyugdíjkorhatár az összes tagállam esetében 59–67 év között mozgott.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fentiek figyelembevételével a következő észrevételek fogalmazhatók meg:</w:t>
      </w:r>
    </w:p>
    <w:p>
      <w:pPr>
        <w:pStyle w:val="Text1"/>
        <w:numPr>
          <w:ilvl w:val="0"/>
          <w:numId w:val="10"/>
        </w:numPr>
        <w:rPr>
          <w:noProof/>
        </w:rPr>
      </w:pPr>
      <w:r>
        <w:rPr>
          <w:noProof/>
        </w:rPr>
        <w:t>Az uniós személyzetre vonatkozó jelenlegi maximális nyugdíjkorhatár (70 év) megfelel a tagállamok központi közszolgálatainál alkalmazott legmagasabb korhatárnak.</w:t>
      </w:r>
    </w:p>
    <w:p>
      <w:pPr>
        <w:pStyle w:val="Text1"/>
        <w:numPr>
          <w:ilvl w:val="0"/>
          <w:numId w:val="10"/>
        </w:numPr>
        <w:rPr>
          <w:noProof/>
        </w:rPr>
      </w:pPr>
      <w:r>
        <w:rPr>
          <w:noProof/>
        </w:rPr>
        <w:t>Az uniós személyzetre vonatkozó jelenlegi minimális nyugdíjkorhatár (58 év) alacsonyabb, mint a válaszadó tagállamok központi közszolgálatainál alkalmazott átlagos minimális nyugdíjkorhatár (59,4 év)</w:t>
      </w:r>
      <w:r>
        <w:rPr>
          <w:rStyle w:val="FootnoteReference"/>
          <w:noProof/>
          <w:lang w:val="en-US"/>
        </w:rPr>
        <w:footnoteReference w:id="6"/>
      </w:r>
      <w:r>
        <w:rPr>
          <w:noProof/>
        </w:rPr>
        <w:t>.</w:t>
      </w:r>
    </w:p>
    <w:p>
      <w:pPr>
        <w:pStyle w:val="Text1"/>
        <w:numPr>
          <w:ilvl w:val="0"/>
          <w:numId w:val="10"/>
        </w:numPr>
        <w:rPr>
          <w:noProof/>
        </w:rPr>
      </w:pPr>
      <w:r>
        <w:rPr>
          <w:noProof/>
        </w:rPr>
        <w:t>Az uniós személyzetre vonatkozó rendes nyugdíjkorhatár 2004 és 2014 között lezajlott, 60 évről 66 évre történő emelését követően a tagállamokban felzárkózási hatás volt megfigyelhető.</w:t>
      </w:r>
    </w:p>
    <w:p>
      <w:pPr>
        <w:pStyle w:val="Text1"/>
        <w:numPr>
          <w:ilvl w:val="0"/>
          <w:numId w:val="10"/>
        </w:numPr>
        <w:rPr>
          <w:noProof/>
        </w:rPr>
      </w:pPr>
      <w:r>
        <w:rPr>
          <w:noProof/>
        </w:rPr>
        <w:t>A tagállamok között a referencia-időszakban tartós különbségek mutatkoztak.</w:t>
      </w:r>
    </w:p>
    <w:p>
      <w:pPr>
        <w:pStyle w:val="Text1"/>
        <w:numPr>
          <w:ilvl w:val="0"/>
          <w:numId w:val="10"/>
        </w:numPr>
        <w:rPr>
          <w:noProof/>
        </w:rPr>
      </w:pPr>
      <w:r>
        <w:rPr>
          <w:noProof/>
        </w:rPr>
        <w:t>2014 és 2018 között a válaszadó tagállamok körében az átlagos rendes nyugdíjkorhatár kevesebb mint egy évvel emelkedett.</w:t>
      </w:r>
    </w:p>
    <w:p>
      <w:pPr>
        <w:pStyle w:val="Text1"/>
        <w:numPr>
          <w:ilvl w:val="0"/>
          <w:numId w:val="10"/>
        </w:numPr>
        <w:rPr>
          <w:noProof/>
        </w:rPr>
      </w:pPr>
      <w:r>
        <w:rPr>
          <w:noProof/>
        </w:rPr>
        <w:t>2018-ban a válaszadó tagállamok 89 %-ában a rendes nyugdíjkorhatár megegyezett az uniós személyzetre vonatkozó rendes nyugdíjkorhatárral vagy alacsonyabb volt annál.</w:t>
      </w:r>
    </w:p>
    <w:p>
      <w:pPr>
        <w:pStyle w:val="Text1"/>
        <w:numPr>
          <w:ilvl w:val="0"/>
          <w:numId w:val="10"/>
        </w:numPr>
        <w:rPr>
          <w:noProof/>
        </w:rPr>
      </w:pPr>
      <w:r>
        <w:rPr>
          <w:noProof/>
        </w:rPr>
        <w:t>A 2014-es reform óta a hivatali személyzetre vonatkozó, a személyzeti szabályzat 77. cikke szerinti rendes nyugdíjkorhatár a tagállamok központi közszolgálataira vonatkozó nyugdíjkorhatárokkal összevetve a legmagasabbak közé tartozik.</w:t>
      </w:r>
    </w:p>
    <w:p>
      <w:pPr>
        <w:pStyle w:val="Heading1"/>
        <w:numPr>
          <w:ilvl w:val="0"/>
          <w:numId w:val="3"/>
        </w:numPr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Az intézmények köztisztviselői körében várható élettartam alakulása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Az uniós intézmények személyzetére vonatkozó várható élettartam alakulásának értékelése a személyzeti szabályzat XII. mellékletében megállapított demográfiai paramétereken alapul. Ugyanezeket a paramétereket használják az uniós tisztviselők nyugdíjrendszerének évenként és ötévenként elvégzett biztosításmatematikai értékeléséhez.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Az Eurostat évente gyűjti ezeket a demográfiai paramétereket a rendszerben résztvevők – aktív szolgálatban lévő személyzet és nyugdíjasok – populációjának észrevételei alapján. Ezeket az információkat azoktól az intézményektől és ügynökségektől kapja, amelyek személyzete tagja a nyugdíjrendszernek.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Az intézményeknél dolgozó tisztviselők és más alkalmazottak várható élettartamának értékelése az Eurostat által meghatározott, az uniós tisztviselők nyugdíjrendszerének biztosításmatematikai értékeléséhez szolgáló élettartam-táblázaton alapul. Az élettartam-táblázat a rendszer tagjainak teljes populációjára vonatkozó jellemzőket tükrözi, és így a rendszer szempontjából teljes mértékben releváns populáción alapul, ami megakadályozza az esetleges torzító hatást. A halandósági tapasztalatokat tükröző élettartam-táblázatokat ötévente kell frissíteni, hogy a legfrissebb halandósági megfigyeléseket is tükrözzék</w:t>
      </w:r>
      <w:r>
        <w:rPr>
          <w:rStyle w:val="FootnoteReference"/>
          <w:noProof/>
          <w:lang w:val="en-US"/>
        </w:rPr>
        <w:footnoteReference w:id="7"/>
      </w:r>
      <w:r>
        <w:rPr>
          <w:noProof/>
        </w:rPr>
        <w:t>.</w:t>
      </w:r>
    </w:p>
    <w:p>
      <w:pPr>
        <w:pStyle w:val="Heading2"/>
        <w:numPr>
          <w:ilvl w:val="1"/>
          <w:numId w:val="3"/>
        </w:numPr>
        <w:tabs>
          <w:tab w:val="clear" w:pos="850"/>
          <w:tab w:val="num" w:pos="1202"/>
        </w:tabs>
        <w:spacing w:before="0" w:after="240"/>
        <w:ind w:left="1202" w:hanging="720"/>
        <w:rPr>
          <w:noProof/>
        </w:rPr>
      </w:pPr>
      <w:r>
        <w:rPr>
          <w:noProof/>
        </w:rPr>
        <w:t>Módszertani szempontok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Az Eurostat mind 2013-ra, mind pedig 2018-ra vonatkozóan a várható élettartam-táblázatokat használta az uniós tisztviselők nyugdíjrendszerének ötéves értékeléséhez. E táblázatokat a személyzeti szabályzat XII. melléklete 13. cikkének (2) bekezdése értelmében kijelölt külső biztosításmatematikusok hagyták jóvá.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várható élettartam-táblázatok az életkor és a vizsgált év alapján egyaránt faktorálják a halálozási rátákat. E táblázatok figyelembe veszik a halandóságban várható jövőbeli változásokat oly módon, hogy egy meghatározott populáció esetében annak teljes élettartama során a halandóság megfigyelt és előre jelzett változásait figyelembe veszik</w:t>
      </w:r>
      <w:r>
        <w:rPr>
          <w:rStyle w:val="FootnoteReference"/>
          <w:noProof/>
          <w:lang w:val="en-US"/>
        </w:rPr>
        <w:footnoteReference w:id="8"/>
      </w:r>
      <w:r>
        <w:rPr>
          <w:noProof/>
        </w:rPr>
        <w:t>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várható élettartam-táblázatok használata minősül a bevált biztosításmatematikai gyakorlatnak, összevetve az olyan időszaki élettartam-táblázatokkal, amelyek egyetlen év (vagy évcsoport) halálozási rátáját használják, és azt feltételezik, hogy e ráták az adott személy hátralévő életében végig érvényesek maradnak. A várható élettartam-táblázatokkal ellentétben az időszaki élettartam-táblázatok a halálozási rátában később bekövetkező változásokat egyáltalán nem veszik figyelembe</w:t>
      </w:r>
      <w:r>
        <w:rPr>
          <w:rStyle w:val="FootnoteReference"/>
          <w:noProof/>
          <w:lang w:val="en-US"/>
        </w:rPr>
        <w:footnoteReference w:id="9"/>
      </w:r>
      <w:r>
        <w:rPr>
          <w:noProof/>
        </w:rPr>
        <w:t>. Ezért a választott módszertan nagyobb várhatóélettartam-növekedést eredményez, mint az időszaki élettartam-táblázatokon alapuló megközelítés.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Az Eurostat által kidolgozott várható uniós élettartam-táblázatok (EULT) a várható élettartam folyamatos növekedésének 20 éves időtartam vonatkozásában megfigyelt tendenciáját tükrözik az uniós tisztviselők populációjára vonatkozó nyugdíjrendszer halálozási rátájának alakulása alapján. Ez a táblázat az uniós tisztviselők nyugdíjrendszerének tagjai körében megfigyelt mortalitási jelenségeken alapul, így elkerülhetők az esetleges külső eltérések.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várható élettartam-tábla használata megfelel a bevált biztosításmatematikai gyakorlatnak. A várható élettartamot az uniós tisztviselők nyugdíjrendszerének értékelése tükrözi. Ennek alapján a nyugdíjjárulék mértékét évente kell kiigazítani, hogy a rendszer egyensúlyban legyen.</w:t>
      </w:r>
    </w:p>
    <w:p>
      <w:pPr>
        <w:pStyle w:val="Heading2"/>
        <w:numPr>
          <w:ilvl w:val="1"/>
          <w:numId w:val="3"/>
        </w:numPr>
        <w:tabs>
          <w:tab w:val="clear" w:pos="850"/>
          <w:tab w:val="num" w:pos="1202"/>
        </w:tabs>
        <w:spacing w:before="0" w:after="240"/>
        <w:ind w:left="1202" w:hanging="720"/>
        <w:rPr>
          <w:noProof/>
        </w:rPr>
      </w:pPr>
      <w:r>
        <w:rPr>
          <w:noProof/>
        </w:rPr>
        <w:t>Az uniós tisztviselők 2013-as és 2018-as várható élettartamának összehasonlítása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férfiak és nők halálozási rátája eltér egymástól. Következésképpen a 2013-as és 2018-as biztosításmatematikai élettartam-táblázatokat is külön-külön kell kiszámítani, ami megfelel a bevált biztosításmatematikai gyakorlatnak.</w:t>
      </w:r>
    </w:p>
    <w:p>
      <w:pPr>
        <w:pStyle w:val="Text1"/>
        <w:numPr>
          <w:ilvl w:val="0"/>
          <w:numId w:val="0"/>
        </w:numPr>
        <w:ind w:left="708" w:firstLine="708"/>
        <w:rPr>
          <w:noProof/>
        </w:rPr>
      </w:pPr>
      <w:r>
        <w:rPr>
          <w:noProof/>
          <w:u w:val="single"/>
        </w:rPr>
        <w:t>Férfiak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u w:val="single"/>
        </w:rPr>
        <w:t>Nők</w:t>
      </w:r>
      <w:r>
        <w:rPr>
          <w:noProof/>
        </w:rPr>
        <w:tab/>
      </w:r>
      <w:r>
        <w:rPr>
          <w:noProof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1023"/>
        <w:gridCol w:w="1022"/>
        <w:gridCol w:w="1115"/>
        <w:gridCol w:w="956"/>
        <w:gridCol w:w="1005"/>
        <w:gridCol w:w="1023"/>
        <w:gridCol w:w="1023"/>
        <w:gridCol w:w="1115"/>
      </w:tblGrid>
      <w:tr>
        <w:trPr>
          <w:trHeight w:val="1060"/>
        </w:trPr>
        <w:tc>
          <w:tcPr>
            <w:tcW w:w="1023" w:type="dxa"/>
            <w:shd w:val="clear" w:color="auto" w:fill="D9D9D9" w:themeFill="background1" w:themeFillShade="D9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Életkor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>
            <w:pPr>
              <w:spacing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Várható</w:t>
            </w:r>
          </w:p>
          <w:p>
            <w:pPr>
              <w:spacing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élettartam</w:t>
            </w:r>
          </w:p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2013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>
            <w:pPr>
              <w:spacing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Várható</w:t>
            </w:r>
          </w:p>
          <w:p>
            <w:pPr>
              <w:spacing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élettartam</w:t>
            </w:r>
          </w:p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2018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spacing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Várható élettartam</w:t>
            </w:r>
          </w:p>
          <w:p>
            <w:pPr>
              <w:spacing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emelkedése</w:t>
            </w:r>
          </w:p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(2014–2018)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Életkor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>
            <w:pPr>
              <w:spacing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Várható</w:t>
            </w:r>
          </w:p>
          <w:p>
            <w:pPr>
              <w:spacing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élettartam</w:t>
            </w:r>
          </w:p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2013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>
            <w:pPr>
              <w:spacing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Várható</w:t>
            </w:r>
          </w:p>
          <w:p>
            <w:pPr>
              <w:spacing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élettartam</w:t>
            </w:r>
          </w:p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2018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>
            <w:pPr>
              <w:spacing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Várható élettartam</w:t>
            </w:r>
          </w:p>
          <w:p>
            <w:pPr>
              <w:spacing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emelkedése</w:t>
            </w:r>
          </w:p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(2014–2018)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18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65,7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65,8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0,078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18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67,8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68,3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0,559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19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64,8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64,8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0,078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19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66,8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67,3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0,559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20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63,8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63,8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0,078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20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65,8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66,3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0,559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21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62,8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62,9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0,078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21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64,8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65,4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0,559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22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61,8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61,9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0,078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22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63,8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64,4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0,559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23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60,8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60,9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0,078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23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62,8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63,4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0,559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24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59,8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59,9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0,078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t>24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61,8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62,4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0,559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25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58,8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58,9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0,078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25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60,8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61,4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0,559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26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57,9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57,9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0,078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26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59,8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60,4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0,559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27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56,9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57,0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0,078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27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58,9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59,4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0,559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28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55,9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56,0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0,078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28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57,9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58,4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0,560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29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54,9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55,0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0,078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29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56,9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57,4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0,560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30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53,9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54,0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0,078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30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55,9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56,4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0,560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31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52,9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53,0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0,078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31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54,9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55,5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0,560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32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51,9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52,0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0,078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32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53,9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54,5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0,560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33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51,0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51,0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0,078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33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52,9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53,5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0,560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34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50,0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50,1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0,078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34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51,9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52,5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0,560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35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49,0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49,1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0,078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35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50,9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51,5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0,560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36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48,0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48,1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0,078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36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50,0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50,5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0,560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37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47,0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47,1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0,078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37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49,0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49,5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0,560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38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46,0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46,1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0,078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38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48,0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48,5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0,560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39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45,1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45,1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0,079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39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47,0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47,6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0,560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44,1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44,2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0,079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46,0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46,6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0,560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41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43,1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43,2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0,079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41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45,0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45,6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0,560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42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42,1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42,2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0,079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42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44,1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44,6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0,560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43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41,2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41,2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0,079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43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43,1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43,6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0,561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44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40,2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40,3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0,080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44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42,1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42,7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0,561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45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39,2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39,3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0,081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45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41,1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41,7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0,562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46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38,3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38,3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0,082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46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40,1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40,7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0,563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47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37,3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37,4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0,083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47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39,2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39,7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0,564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48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36,3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36,4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0,084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48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38,2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38,8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0,566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49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35,4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35,5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0,086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49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37,2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37,8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0,568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34,4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34,5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0,087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36,3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36,9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0,570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51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33,5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33,6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0,090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51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35,3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35,9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0,573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52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32,5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32,6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0,092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52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34,4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34,9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0,577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53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31,6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31,7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0,096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53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33,4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34,0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0,582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54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30,6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30,7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0,100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54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32,5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33,0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0,588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55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29,7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29,8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0,105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55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31,5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32,1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0,596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56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28,8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28,9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0,112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56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30,6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31,2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0,605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57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27,8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28,0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0,120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57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29,6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30,2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0,616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58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26,9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27,0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0,129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58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28,7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29,3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0,629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59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26,0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26,1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0,138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59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27,8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28,4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0,645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60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25,1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25,2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0,146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60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26,8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27,5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0,659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61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24,2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24,3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0,155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61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25,9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26,6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0,672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62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23,3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23,5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0,163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62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25,0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25,7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0,682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63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22,4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22,6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0,172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63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24,1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24,8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0,690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64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21,5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21,7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0,179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64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23,2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23,9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0,695</w:t>
            </w:r>
          </w:p>
        </w:tc>
      </w:tr>
      <w:t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65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20,7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20,8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0,184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65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22,3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23,0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0,697</w:t>
            </w:r>
          </w:p>
        </w:tc>
      </w:tr>
      <w:tr>
        <w:trPr>
          <w:trHeight w:val="54"/>
        </w:trPr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66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19,8</w:t>
            </w:r>
          </w:p>
        </w:tc>
        <w:tc>
          <w:tcPr>
            <w:tcW w:w="1023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20,0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0,183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66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21,5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22,2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pStyle w:val="Text1"/>
              <w:numPr>
                <w:ilvl w:val="0"/>
                <w:numId w:val="0"/>
              </w:numPr>
              <w:spacing w:before="0" w:after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0,696</w:t>
            </w:r>
          </w:p>
        </w:tc>
      </w:tr>
    </w:tbl>
    <w:p>
      <w:pPr>
        <w:pStyle w:val="Text1"/>
        <w:numPr>
          <w:ilvl w:val="0"/>
          <w:numId w:val="0"/>
        </w:numPr>
        <w:rPr>
          <w:noProof/>
          <w:lang w:val="en-US"/>
        </w:rPr>
      </w:pP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személyzet aktív státuszú (18 és 66 év közötti</w:t>
      </w:r>
      <w:r>
        <w:rPr>
          <w:noProof/>
          <w:vertAlign w:val="superscript"/>
          <w:lang w:val="en-US"/>
        </w:rPr>
        <w:footnoteReference w:id="10"/>
      </w:r>
      <w:r>
        <w:rPr>
          <w:noProof/>
        </w:rPr>
        <w:t>) tagjainak 2013-as és 2018-as várható élettartamának összevetése a várható élettartam korlátozott mértékű emelkedését mutatja.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2018-as élettartam-táblázat a férfiak esetében a várható élettartam igen korlátozott mértékű, a fiatalabb aktív korúak esetében 0,078 éves (28 napos), a rendes nyugdíjkorhatárt betöltöttek esetében pedig 0,184 éves (2 hónapos és 6 napos) növekedését mutatja.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2018-as élettartam-táblázat a nők esetében a várható élettartam korlátozott mértékű, a fiatalabb aktív korúak esetében 0,559 éves (6 hónapos és 24 napos), a nyugdíjkorhatárt betöltöttek esetében pedig 0,697 éves (8 hónapos és 14 napos) növekedését mutatja.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Átlagosan az uniós élettartam-táblázat alakulása az intézmények személyzetének körében a várható élettartam korlátozott mértékű, fiatalabb korban 4 hónapos, a rendes nyugdíjkorhatárt betöltöttek esetében pedig 5 hónapos növekedését mutatja.</w:t>
      </w:r>
    </w:p>
    <w:p>
      <w:pPr>
        <w:pStyle w:val="Heading1"/>
        <w:numPr>
          <w:ilvl w:val="0"/>
          <w:numId w:val="3"/>
        </w:numPr>
        <w:rPr>
          <w:noProof/>
        </w:rPr>
      </w:pPr>
      <w:bookmarkStart w:id="4" w:name="_Toc197163709"/>
      <w:r>
        <w:rPr>
          <w:noProof/>
        </w:rPr>
        <w:t>A tagállamokban bekövetkezett fejlemények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Az e jelentés 3. és 4. pontjában látható értékelés mellett a Bizottság a tagállamok nyugdíjrendszereiben bekövetkezett fejleményeket is vizsgálta.</w:t>
      </w:r>
    </w:p>
    <w:p>
      <w:pPr>
        <w:pStyle w:val="Heading2"/>
        <w:numPr>
          <w:ilvl w:val="1"/>
          <w:numId w:val="3"/>
        </w:numPr>
        <w:tabs>
          <w:tab w:val="clear" w:pos="850"/>
          <w:tab w:val="num" w:pos="1202"/>
        </w:tabs>
        <w:spacing w:before="0" w:after="240"/>
        <w:ind w:left="1202" w:hanging="720"/>
        <w:rPr>
          <w:noProof/>
        </w:rPr>
      </w:pPr>
      <w:r>
        <w:rPr>
          <w:noProof/>
        </w:rPr>
        <w:t>A nyugdíjkorhatár módosítása a várható élettartam alakulásának ismeretében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legtöbb tagállamban a nyugdíjkorhatárt a várható élettartamban bekövetkezett fejleményekre figyelemmel rendszeresen vagy alkalmanként frissítik.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válaszadó tagállamok által a 83. cikk szerinti munkacsoport keretében szolgáltatott információk alapján a tagállamok körében különböző módszereket sikerült azonosítani, amelyek révén a várható élettartam alakulásának figyelembevételével a nyugdíjkorhatár frissítésének gyakorlatát végzik.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5760085" cy="4208780"/>
            <wp:effectExtent l="0" t="0" r="12065" b="127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>
      <w:pPr>
        <w:pStyle w:val="Heading2"/>
        <w:numPr>
          <w:ilvl w:val="1"/>
          <w:numId w:val="3"/>
        </w:numPr>
        <w:tabs>
          <w:tab w:val="clear" w:pos="850"/>
          <w:tab w:val="num" w:pos="1202"/>
        </w:tabs>
        <w:spacing w:before="0" w:after="240"/>
        <w:ind w:left="1202" w:hanging="720"/>
        <w:rPr>
          <w:noProof/>
        </w:rPr>
      </w:pPr>
      <w:r>
        <w:rPr>
          <w:noProof/>
        </w:rPr>
        <w:t>A tagállamok nyugdíjrendszereiben megfigyelt fejlemények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A pénzügyi világválság kezdetén számos ország hozott olyan intézkedéseket, amelyek célja a nyugdíjrendszerek pénzügyi fenntarthatóságának javítása volt. A nyugdíjak megfelelőségéről szóló 2015-ös és 2018-as jelentésben megfigyelt, a válság és a válság utáni reformok mintázatával összhangban a nyugdíjak javuló fenntarthatósága a referencia-időszakban továbbra is a nyugdíjreformok középpontjában állt. Ez főként a nyugdíj időtartamának a várható élettartamhoz igazítása révén történt. A különböző tagállamok ugyanakkor ezt más kiindulópontból végezték, eltérő mértékű ambícióval, és a nemek is eltérő hangsúlyt kaptak</w:t>
      </w:r>
      <w:r>
        <w:rPr>
          <w:rStyle w:val="FootnoteReference"/>
          <w:noProof/>
          <w:lang w:val="en-US"/>
        </w:rPr>
        <w:footnoteReference w:id="11"/>
      </w:r>
      <w:r>
        <w:rPr>
          <w:noProof/>
        </w:rPr>
        <w:t>. 2020-ban a tagállamok jelentős többségében a nyugdíjkorhatár alacsonyabb, mint az uniós személyzetre vonatkozó nyugdíjkorhatár.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Ezenkívül néhány újabb nyugdíjreform a nyugdíjfolyósításhoz teljesítendő, életkorra vonatkozó követelmények enyhítésére, valamint a nyugellátás növelésére és az alapnyugdíjat is magában foglaló nyugellátás jogosultsági körének bővítésére összpontosított</w:t>
      </w:r>
      <w:r>
        <w:rPr>
          <w:rStyle w:val="FootnoteReference"/>
          <w:noProof/>
          <w:lang w:val="en-US"/>
        </w:rPr>
        <w:footnoteReference w:id="12"/>
      </w:r>
      <w:r>
        <w:rPr>
          <w:noProof/>
        </w:rPr>
        <w:t>. Egyes esetekben a jogszabályba foglalt reformok hatását felfüggesztették vagy elhalasztották (pl. „a nyugdíjak átértékelési indexének” alkalmazása és a fenntarthatósági tényező), vagy az előnyugdíjazásra irányuló új átmeneti lehetőségeket teremtettek</w:t>
      </w:r>
      <w:r>
        <w:rPr>
          <w:rStyle w:val="FootnoteReference"/>
          <w:noProof/>
          <w:lang w:val="en-US"/>
        </w:rPr>
        <w:footnoteReference w:id="13"/>
      </w:r>
      <w:r>
        <w:rPr>
          <w:noProof/>
        </w:rPr>
        <w:t>. Más esetekben a 2008–2012 közötti pénzügyi válsággal összefüggő reformlendület a közelmúltban elmúlt, és számos tagállam vissza is vonta a jogszabályba iktatott reformokat, egyes esetekben pedig újból bevezették a nőkre és férfiakra vonatkozó alacsonyabb nyugdíjkorhatárokat.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Ráadásul a tagállamok többsége által bejelentett hosszú távú előrejelzések legkorábban 2030 előtt nem számítanak a nyugdíjkorhatár 66 év fölé emelésére</w:t>
      </w:r>
      <w:r>
        <w:rPr>
          <w:rStyle w:val="FootnoteReference"/>
          <w:noProof/>
          <w:lang w:val="en-US"/>
        </w:rPr>
        <w:footnoteReference w:id="14"/>
      </w:r>
      <w:r>
        <w:rPr>
          <w:noProof/>
        </w:rPr>
        <w:t>.</w:t>
      </w:r>
    </w:p>
    <w:p>
      <w:pPr>
        <w:pStyle w:val="Text1"/>
        <w:numPr>
          <w:ilvl w:val="0"/>
          <w:numId w:val="0"/>
        </w:numPr>
        <w:rPr>
          <w:noProof/>
        </w:rPr>
      </w:pPr>
      <w:r>
        <w:rPr>
          <w:noProof/>
        </w:rPr>
        <w:t>Végezetül úgy tűnik, hogy a közelmúltban számos tagállamban fogadtak el a munkával töltött hosszabb életszakasz és a nyugdíjba történő átmenet megkönnyítésére irányuló rugalmas nyugdíjazási szabályokat, beleértve a munkavégzésből a teljes nyugdíjba történő átmenet rugalmas formáit</w:t>
      </w:r>
      <w:r>
        <w:rPr>
          <w:rStyle w:val="FootnoteReference"/>
          <w:noProof/>
          <w:lang w:val="en-US"/>
        </w:rPr>
        <w:footnoteReference w:id="15"/>
      </w:r>
      <w:r>
        <w:rPr>
          <w:noProof/>
        </w:rPr>
        <w:t>.</w:t>
      </w:r>
    </w:p>
    <w:p>
      <w:pPr>
        <w:pStyle w:val="Heading1"/>
        <w:rPr>
          <w:noProof/>
        </w:rPr>
      </w:pPr>
      <w:r>
        <w:rPr>
          <w:noProof/>
        </w:rPr>
        <w:t>Következtetések</w:t>
      </w:r>
    </w:p>
    <w:bookmarkEnd w:id="4"/>
    <w:p>
      <w:pPr>
        <w:pStyle w:val="Text1"/>
        <w:numPr>
          <w:ilvl w:val="0"/>
          <w:numId w:val="9"/>
        </w:numPr>
        <w:rPr>
          <w:noProof/>
        </w:rPr>
      </w:pPr>
      <w:r>
        <w:rPr>
          <w:noProof/>
        </w:rPr>
        <w:t>2014 óta néhány tagállam megemelte a központi tisztviselőkre vonatkozó rendes nyugdíjkorhatárt. Mégis 2018 végén a válaszadó tagállamok 89 %-ában a rendes nyugdíjkorhatár megegyezett az uniós személyzetre vonatkozó, jogszabályban előírt 66 éves nyugdíjkorhatárral, vagy alacsonyabb volt annál.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bevált biztosításmatematikai gyakorlatnak megfelelő módszertanon alapuló uniós élettartam-táblázatok alakulása az intézmények személyzetének körében a referencia-időszakban a várható élettartam igen korlátozott mértékű növekedését mutatja.</w:t>
      </w:r>
    </w:p>
    <w:p>
      <w:pPr>
        <w:pStyle w:val="Text1"/>
        <w:numPr>
          <w:ilvl w:val="0"/>
          <w:numId w:val="9"/>
        </w:numPr>
        <w:rPr>
          <w:noProof/>
        </w:rPr>
      </w:pPr>
      <w:r>
        <w:rPr>
          <w:noProof/>
        </w:rPr>
        <w:t>Figyelembe véve a nemzeti központi közszolgálatoknál alkalmazott rendes nyugdíjkorhatár megfigyelt alakulását és az uniós személyzet várható élettartamának korlátozott mértékű növekedését, az uniós személyzetre vonatkozó jelenlegi, 66 éves nyugdíjkorhatár indokoltnak minősül, és megfelel a tagállamok nemzeti közszolgálatainál alkalmazott legmagasabb korhatárnak.</w:t>
      </w:r>
    </w:p>
    <w:p>
      <w:pPr>
        <w:pStyle w:val="Text1"/>
        <w:numPr>
          <w:ilvl w:val="0"/>
          <w:numId w:val="9"/>
        </w:numPr>
        <w:rPr>
          <w:noProof/>
        </w:rPr>
      </w:pPr>
      <w:r>
        <w:rPr>
          <w:noProof/>
        </w:rPr>
        <w:t>A fenti értékelést a tagállamokban bekövetkezett fejlemények elemzése is megerősíti. Az uniós személyzetre vonatkozó nyugdíjkorhatár a tagállami nemzeti nyugdíjrendszerekben érvényben lévő korhatárok között továbbra is a legmagasabbak között van. Ezenfelül a legutóbbi fejlemények néhány, a rendes nyugdíjkorhatár emelésére irányuló korábbi döntés visszavonásának tendenciáját mutatják.</w:t>
      </w:r>
    </w:p>
    <w:p>
      <w:pPr>
        <w:pStyle w:val="Text1"/>
        <w:numPr>
          <w:ilvl w:val="0"/>
          <w:numId w:val="9"/>
        </w:numPr>
        <w:rPr>
          <w:noProof/>
        </w:rPr>
      </w:pPr>
      <w:r>
        <w:rPr>
          <w:noProof/>
        </w:rPr>
        <w:t>Ezért a jelen pillanatban nincs ok a személyzeti szabályzat 77. cikkében megállapított, jogszabályban előírt 66 éves nyugdíjkorhatár módosítására irányuló javaslat benyújtására.</w:t>
      </w:r>
    </w:p>
    <w:sectPr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134" w:right="1418" w:bottom="1134" w:left="1418" w:header="709" w:footer="709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018B94B" w16cex:dateUtc="2020-11-09T07:18:09.85Z"/>
  <w16cex:commentExtensible w16cex:durableId="01EE5134" w16cex:dateUtc="2020-11-09T07:18:36.073Z"/>
  <w16cex:commentExtensible w16cex:durableId="494D4824" w16cex:dateUtc="2020-11-09T07:31:57.508Z"/>
  <w16cex:commentExtensible w16cex:durableId="225B80B2" w16cex:dateUtc="2020-11-09T07:35:52.398Z"/>
  <w16cex:commentExtensible w16cex:durableId="0B22E38A" w16cex:dateUtc="2020-11-09T08:57:18.86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4815B3F" w16cid:durableId="7C9C7DCC"/>
  <w16cid:commentId w16cid:paraId="4DF589C7" w16cid:durableId="63BAB1F7"/>
  <w16cid:commentId w16cid:paraId="60999D82" w16cid:durableId="7D2C2547"/>
  <w16cid:commentId w16cid:paraId="2F7FE835" w16cid:durableId="33863232"/>
  <w16cid:commentId w16cid:paraId="58FBF725" w16cid:durableId="771C21D0"/>
  <w16cid:commentId w16cid:paraId="017D8FE2" w16cid:durableId="4AA6C5A8"/>
  <w16cid:commentId w16cid:paraId="55AB911C" w16cid:durableId="5018B94B"/>
  <w16cid:commentId w16cid:paraId="45E33EF7" w16cid:durableId="01EE5134"/>
  <w16cid:commentId w16cid:paraId="202D7A36" w16cid:durableId="494D4824"/>
  <w16cid:commentId w16cid:paraId="75D45674" w16cid:durableId="225B80B2"/>
  <w16cid:commentId w16cid:paraId="473E660B" w16cid:durableId="0B22E38A"/>
  <w16cid:commentId w16cid:paraId="581658B4" w16cid:durableId="642B58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HU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/>
        <w:b/>
        <w:sz w:val="48"/>
      </w:rPr>
      <w:t>HU</w:t>
    </w:r>
    <w:r>
      <w:rPr>
        <w:rFonts w:ascii="Arial" w:hAnsi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/>
        <w:b/>
        <w:sz w:val="48"/>
      </w:rPr>
      <w:t>HU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1023/2013/EU, Euratom rendelete (2013. október 22.).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Lásd különösen az F-105/05. sz., Wils kontra Parlament ügyben hozott ítélet 85. pontját és a T-439/09. sz., Purvis kontra Parlament ügyben hozott ítélet 45. pontját.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A Bizottság jelentése az Európai Parlamentnek és a Tanácsnak a személyzeti szabályzat XII. mellékletéről, COM(2018) 829 final.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A személyzeti szabályzat VIII. mellékletének 9. cikke értelmében a nyugdíj összege 3,5 %-kal csökken minden, a rendes nyugdíjkorhatár és a tényleges nyugdíjba vonulás között eltelt év után.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Amennyiben a tagállamok által megadott adatok zárójelben szerepelnek (azaz a minimális nyugdíjkorhatár 56 és 60 év között van), az ábrán a legnagyobb érték szerepel.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Megjegyzendő, hogy 2014 óta az előnyugdíjazás mindig jelentős pénzügyi szankcióval jár, mivel az érintett nyugdíj összege 3,5 %-kal csökken minden, a rendes nyugdíjkorhatár és a tényleges nyugdíjba vonulás között eltelt év után.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A személyzeti szabályzat XII. mellékletének 9. cikke.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Például 2018-ban a 65 éves korban várható élettartam a 2018-ban a 65 éves életkornál megfigyelt halálozási ráta, a 2019-ben a 66 éves életkorban várható halálozási ráta, 2020-ban a 67 éves életkorban várható halálozási ráta – és így tovább – alapján frissülne, ami így előre jelezné a halandósági mintában a jövőben bekövetkező változásokat.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Az időszaki élettartam-táblázat tehát azon további évek átlagos száma, ahány évet az adott személy élne, ha az adott területre és időszakra vonatkozó életkor-specifikus halálozási ráta vonatkoznak rá élete hátralévő részében. Bár e táblázatok tartalmazzák ugyan a tényt, hogy a halálozási ráta az életkor emelkedésével növekszik, nem tükrözik azt, hogy idővel hogyan alakul a halálozási ráta. Ebben az esetben a jövőbeli halálozási ráta a feltételezések szerint pontosan megegyezik a ma megfigyelt halálozási rátával.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Megjegyzendő, hogy a személyzeti szabályzat 52. cikke értelmében (ha a szolgálat érdekei indokolják) 67 éves korig és (kivételes jelleggel) 70 éves korig is lehet dolgozni.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 xml:space="preserve">Európai Bizottság és a szociális védelemmel foglalkozó bizottság, </w:t>
      </w:r>
      <w:r>
        <w:rPr>
          <w:i/>
          <w:iCs/>
        </w:rPr>
        <w:t>A nyugdíjak megfelelőségéről szóló 2018-as jelentés</w:t>
      </w:r>
      <w:r>
        <w:t>, 101–102. o.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OECD,</w:t>
      </w:r>
      <w:r>
        <w:rPr>
          <w:i/>
          <w:iCs/>
        </w:rPr>
        <w:t xml:space="preserve"> Pensions at a Glance 2019</w:t>
      </w:r>
      <w:r>
        <w:t>. Az Európai Számvevőszék 15/2019. sz., „A 2014-es személyzeti reformcsomag végrehajtása a Bizottságnál – Nagy megtakarítások, de nem következmények nélkül” című különjelentéséről szóló tanácsi következtetésekben (2020. június 8., 8635/20.) a Tanács felkérte a Bizottságot, hogy a tagállamok nyugdíjrendszereivel kapcsolatos naprakész, összehasonlítható adatok segítségével kövesse nyomon a tényleges nyugdíjkorhatár alakulását, az OECD „Pension at a glance” című tanulmányának figyelembevételével.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  <w:t xml:space="preserve">Európai Bizottság és Gazdaságpolitikai Bizottság: </w:t>
      </w:r>
      <w:r>
        <w:rPr>
          <w:i/>
          <w:iCs/>
        </w:rPr>
        <w:t>Az idősödésről szóló 2021-es jelentés</w:t>
      </w:r>
      <w:r>
        <w:t>, a jelentés alapjául szolgáló feltételezések és előrejelzési módszerek, 35. o.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ab/>
        <w:t xml:space="preserve">Európai Bizottság és a szociális védelemmel foglalkozó bizottság, </w:t>
      </w:r>
      <w:r>
        <w:rPr>
          <w:i/>
          <w:iCs/>
        </w:rPr>
        <w:t>A nyugdíjak megfelelőségéről szóló 2018-as jelentés</w:t>
      </w:r>
      <w:r>
        <w:t>, 126. o., 10. táblázat.</w:t>
      </w:r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ab/>
        <w:t xml:space="preserve">Európai Bizottság és a szociális védelemmel foglalkozó bizottság, </w:t>
      </w:r>
      <w:r>
        <w:rPr>
          <w:i/>
          <w:iCs/>
        </w:rPr>
        <w:t>A nyugdíjak megfelelőségéről szóló 2018-as jelentés</w:t>
      </w:r>
      <w:r>
        <w:t>, 103. 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024F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320486"/>
    <w:multiLevelType w:val="hybridMultilevel"/>
    <w:tmpl w:val="C3B4620E"/>
    <w:name w:val="List Bullet__1"/>
    <w:lvl w:ilvl="0" w:tplc="62D86A76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BBE60D98">
      <w:numFmt w:val="decimal"/>
      <w:lvlText w:val=""/>
      <w:lvlJc w:val="left"/>
    </w:lvl>
    <w:lvl w:ilvl="2" w:tplc="E8582114">
      <w:numFmt w:val="decimal"/>
      <w:lvlText w:val=""/>
      <w:lvlJc w:val="left"/>
    </w:lvl>
    <w:lvl w:ilvl="3" w:tplc="86F4C7D6">
      <w:numFmt w:val="decimal"/>
      <w:lvlText w:val=""/>
      <w:lvlJc w:val="left"/>
    </w:lvl>
    <w:lvl w:ilvl="4" w:tplc="10D41558">
      <w:numFmt w:val="decimal"/>
      <w:lvlText w:val=""/>
      <w:lvlJc w:val="left"/>
    </w:lvl>
    <w:lvl w:ilvl="5" w:tplc="30B28252">
      <w:numFmt w:val="decimal"/>
      <w:lvlText w:val=""/>
      <w:lvlJc w:val="left"/>
    </w:lvl>
    <w:lvl w:ilvl="6" w:tplc="152EF93C">
      <w:numFmt w:val="decimal"/>
      <w:lvlText w:val=""/>
      <w:lvlJc w:val="left"/>
    </w:lvl>
    <w:lvl w:ilvl="7" w:tplc="1A1E46E4">
      <w:numFmt w:val="decimal"/>
      <w:lvlText w:val=""/>
      <w:lvlJc w:val="left"/>
    </w:lvl>
    <w:lvl w:ilvl="8" w:tplc="1D4C761A">
      <w:numFmt w:val="decimal"/>
      <w:lvlText w:val=""/>
      <w:lvlJc w:val="left"/>
    </w:lvl>
  </w:abstractNum>
  <w:abstractNum w:abstractNumId="2">
    <w:nsid w:val="23FD5BBE"/>
    <w:multiLevelType w:val="hybridMultilevel"/>
    <w:tmpl w:val="53E03D46"/>
    <w:lvl w:ilvl="0" w:tplc="1B18B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762B3"/>
    <w:multiLevelType w:val="hybridMultilevel"/>
    <w:tmpl w:val="6ECC2390"/>
    <w:lvl w:ilvl="0" w:tplc="B6403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1264B"/>
    <w:multiLevelType w:val="hybridMultilevel"/>
    <w:tmpl w:val="FBE88142"/>
    <w:lvl w:ilvl="0" w:tplc="CC185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F29F3"/>
    <w:multiLevelType w:val="hybridMultilevel"/>
    <w:tmpl w:val="E432F000"/>
    <w:lvl w:ilvl="0" w:tplc="E3FCE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071B7"/>
    <w:multiLevelType w:val="hybridMultilevel"/>
    <w:tmpl w:val="F1342230"/>
    <w:lvl w:ilvl="0" w:tplc="220EB492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B74B4"/>
    <w:multiLevelType w:val="multilevel"/>
    <w:tmpl w:val="B518EDC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70C385B"/>
    <w:multiLevelType w:val="hybridMultilevel"/>
    <w:tmpl w:val="919A40D6"/>
    <w:lvl w:ilvl="0" w:tplc="AB42927A">
      <w:start w:val="1"/>
      <w:numFmt w:val="decimal"/>
      <w:lvlText w:val="%1."/>
      <w:lvlJc w:val="left"/>
      <w:pPr>
        <w:ind w:left="720" w:hanging="360"/>
      </w:pPr>
    </w:lvl>
    <w:lvl w:ilvl="1" w:tplc="E1CA91B4">
      <w:start w:val="1"/>
      <w:numFmt w:val="lowerLetter"/>
      <w:lvlText w:val="%2."/>
      <w:lvlJc w:val="left"/>
      <w:pPr>
        <w:ind w:left="1440" w:hanging="360"/>
      </w:pPr>
    </w:lvl>
    <w:lvl w:ilvl="2" w:tplc="3832371A">
      <w:start w:val="1"/>
      <w:numFmt w:val="lowerRoman"/>
      <w:lvlText w:val="%3."/>
      <w:lvlJc w:val="right"/>
      <w:pPr>
        <w:ind w:left="2160" w:hanging="180"/>
      </w:pPr>
    </w:lvl>
    <w:lvl w:ilvl="3" w:tplc="5CD4B5B4">
      <w:start w:val="1"/>
      <w:numFmt w:val="decimal"/>
      <w:lvlText w:val="%4."/>
      <w:lvlJc w:val="left"/>
      <w:pPr>
        <w:ind w:left="2880" w:hanging="360"/>
      </w:pPr>
    </w:lvl>
    <w:lvl w:ilvl="4" w:tplc="66B8007A">
      <w:start w:val="1"/>
      <w:numFmt w:val="lowerLetter"/>
      <w:lvlText w:val="%5."/>
      <w:lvlJc w:val="left"/>
      <w:pPr>
        <w:ind w:left="3600" w:hanging="360"/>
      </w:pPr>
    </w:lvl>
    <w:lvl w:ilvl="5" w:tplc="B3764476">
      <w:start w:val="1"/>
      <w:numFmt w:val="lowerRoman"/>
      <w:lvlText w:val="%6."/>
      <w:lvlJc w:val="right"/>
      <w:pPr>
        <w:ind w:left="4320" w:hanging="180"/>
      </w:pPr>
    </w:lvl>
    <w:lvl w:ilvl="6" w:tplc="EC9484B0">
      <w:start w:val="1"/>
      <w:numFmt w:val="decimal"/>
      <w:lvlText w:val="%7."/>
      <w:lvlJc w:val="left"/>
      <w:pPr>
        <w:ind w:left="5040" w:hanging="360"/>
      </w:pPr>
    </w:lvl>
    <w:lvl w:ilvl="7" w:tplc="C3088BB4">
      <w:start w:val="1"/>
      <w:numFmt w:val="lowerLetter"/>
      <w:lvlText w:val="%8."/>
      <w:lvlJc w:val="left"/>
      <w:pPr>
        <w:ind w:left="5760" w:hanging="360"/>
      </w:pPr>
    </w:lvl>
    <w:lvl w:ilvl="8" w:tplc="103E6D0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07BA3"/>
    <w:multiLevelType w:val="hybridMultilevel"/>
    <w:tmpl w:val="FFF2A4AE"/>
    <w:lvl w:ilvl="0" w:tplc="28E40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4E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A2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81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C1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65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26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86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2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B0D41"/>
    <w:multiLevelType w:val="hybridMultilevel"/>
    <w:tmpl w:val="7644A8C0"/>
    <w:lvl w:ilvl="0" w:tplc="D4B4B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8042C"/>
    <w:multiLevelType w:val="hybridMultilevel"/>
    <w:tmpl w:val="CCF20C06"/>
    <w:name w:val="List Dash 2__2"/>
    <w:lvl w:ilvl="0" w:tplc="E0B4E274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  <w:lvl w:ilvl="1" w:tplc="176019DC">
      <w:numFmt w:val="decimal"/>
      <w:lvlText w:val=""/>
      <w:lvlJc w:val="left"/>
    </w:lvl>
    <w:lvl w:ilvl="2" w:tplc="7CAC78F2">
      <w:numFmt w:val="decimal"/>
      <w:lvlText w:val=""/>
      <w:lvlJc w:val="left"/>
    </w:lvl>
    <w:lvl w:ilvl="3" w:tplc="65B2CAAC">
      <w:numFmt w:val="decimal"/>
      <w:lvlText w:val=""/>
      <w:lvlJc w:val="left"/>
    </w:lvl>
    <w:lvl w:ilvl="4" w:tplc="B442E8BE">
      <w:numFmt w:val="decimal"/>
      <w:lvlText w:val=""/>
      <w:lvlJc w:val="left"/>
    </w:lvl>
    <w:lvl w:ilvl="5" w:tplc="6FDA64DA">
      <w:numFmt w:val="decimal"/>
      <w:lvlText w:val=""/>
      <w:lvlJc w:val="left"/>
    </w:lvl>
    <w:lvl w:ilvl="6" w:tplc="88E8BC38">
      <w:numFmt w:val="decimal"/>
      <w:lvlText w:val=""/>
      <w:lvlJc w:val="left"/>
    </w:lvl>
    <w:lvl w:ilvl="7" w:tplc="3BFC9FC2">
      <w:numFmt w:val="decimal"/>
      <w:lvlText w:val=""/>
      <w:lvlJc w:val="left"/>
    </w:lvl>
    <w:lvl w:ilvl="8" w:tplc="714032EE">
      <w:numFmt w:val="decimal"/>
      <w:lvlText w:val=""/>
      <w:lvlJc w:val="left"/>
    </w:lvl>
  </w:abstractNum>
  <w:abstractNum w:abstractNumId="12">
    <w:nsid w:val="713C5876"/>
    <w:multiLevelType w:val="hybridMultilevel"/>
    <w:tmpl w:val="69102960"/>
    <w:lvl w:ilvl="0" w:tplc="D6CAC5FC">
      <w:numFmt w:val="bullet"/>
      <w:pStyle w:val="Text1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3">
    <w:nsid w:val="71EC29D1"/>
    <w:multiLevelType w:val="hybridMultilevel"/>
    <w:tmpl w:val="E81C1E06"/>
    <w:lvl w:ilvl="0" w:tplc="DFB0EB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D5598"/>
    <w:multiLevelType w:val="hybridMultilevel"/>
    <w:tmpl w:val="7D943080"/>
    <w:lvl w:ilvl="0" w:tplc="F0126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96D36"/>
    <w:multiLevelType w:val="hybridMultilevel"/>
    <w:tmpl w:val="BE983CE4"/>
    <w:name w:val="List Bullet 3__2"/>
    <w:lvl w:ilvl="0" w:tplc="6DB2A594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 w:tplc="C2DE406C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 w:tplc="C3C02466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 w:tplc="CB0C2488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 w:tplc="DA94226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5ED6BBF0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8A6CE43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C150C3B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838AB85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1"/>
  </w:num>
  <w:num w:numId="5">
    <w:abstractNumId w:val="15"/>
  </w:num>
  <w:num w:numId="6">
    <w:abstractNumId w:val="12"/>
  </w:num>
  <w:num w:numId="7">
    <w:abstractNumId w:val="0"/>
  </w:num>
  <w:num w:numId="8">
    <w:abstractNumId w:val="1"/>
  </w:num>
  <w:num w:numId="9">
    <w:abstractNumId w:val="13"/>
  </w:num>
  <w:num w:numId="10">
    <w:abstractNumId w:val="3"/>
  </w:num>
  <w:num w:numId="11">
    <w:abstractNumId w:val="4"/>
  </w:num>
  <w:num w:numId="12">
    <w:abstractNumId w:val="2"/>
  </w:num>
  <w:num w:numId="13">
    <w:abstractNumId w:val="10"/>
  </w:num>
  <w:num w:numId="14">
    <w:abstractNumId w:val="5"/>
  </w:num>
  <w:num w:numId="15">
    <w:abstractNumId w:val="14"/>
  </w:num>
  <w:num w:numId="16">
    <w:abstractNumId w:val="7"/>
  </w:num>
  <w:num w:numId="17">
    <w:abstractNumId w:val="6"/>
  </w:num>
  <w:num w:numId="18">
    <w:abstractNumId w:val="7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FA0E3F6E-AFB0-4133-9E64-2E138BFC434C"/>
    <w:docVar w:name="LW_COVERPAGE_TYPE" w:val="1"/>
    <w:docVar w:name="LW_CROSSREFERENCE" w:val="&lt;UNUSED&gt;"/>
    <w:docVar w:name="LW_DocType" w:val="NORMAL"/>
    <w:docVar w:name="LW_EMISSION" w:val="2021.3.2."/>
    <w:docVar w:name="LW_EMISSION_ISODATE" w:val="2021-03-02"/>
    <w:docVar w:name="LW_EMISSION_LOCATION" w:val="BRX"/>
    <w:docVar w:name="LW_EMISSION_PREFIX" w:val="Brüsszel, "/>
    <w:docVar w:name="LW_EMISSION_SUFFIX" w:val=" "/>
    <w:docVar w:name="LW_ID_DOCTYPE_NONLW" w:val="CP-006"/>
    <w:docVar w:name="LW_LANGUE" w:val="HU"/>
    <w:docVar w:name="LW_LEVEL_OF_SENSITIVITY" w:val="Standard treatment"/>
    <w:docVar w:name="LW_NOM.INST" w:val="EURÓPAI BIZOTTSÁG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1) 9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a tisztvisel\u337?k személyzeti szabályzatának 77. cikke alapján"/>
    <w:docVar w:name="LW_TYPE.DOC.CP" w:val="A BIZOTTSÁG JELENTÉSE AZ EURÓPAI PARLAMENTNEK ÉS A TANÁCSNAK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Text1"/>
    <w:link w:val="Heading1Char"/>
    <w:uiPriority w:val="1"/>
    <w:qFormat/>
    <w:pPr>
      <w:keepNext/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32"/>
      <w:lang w:eastAsia="de-D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de-DE"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6"/>
      <w:lang w:eastAsia="de-DE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de-D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mallCaps/>
      <w:sz w:val="24"/>
      <w:szCs w:val="32"/>
      <w:lang w:val="hu-HU" w:eastAsia="de-DE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iCs/>
      <w:sz w:val="24"/>
      <w:szCs w:val="28"/>
      <w:lang w:val="hu-HU" w:eastAsia="de-DE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Cs/>
      <w:i/>
      <w:sz w:val="24"/>
      <w:szCs w:val="26"/>
      <w:lang w:val="hu-HU" w:eastAsia="de-DE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Cs/>
      <w:sz w:val="24"/>
      <w:szCs w:val="28"/>
      <w:lang w:val="hu-HU" w:eastAsia="de-DE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  <w:lang w:val="hu-HU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lang w:val="hu-HU"/>
    </w:rPr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lang w:val="hu-HU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Text1">
    <w:name w:val="Text 1"/>
    <w:basedOn w:val="Normal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3">
    <w:name w:val="Text 3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val="hu-HU" w:eastAsia="de-DE"/>
    </w:rPr>
  </w:style>
  <w:style w:type="character" w:styleId="FootnoteReference">
    <w:name w:val="footnote reference"/>
    <w:rPr>
      <w:rFonts w:ascii="Times New Roman" w:hAnsi="Times New Roman"/>
      <w:sz w:val="20"/>
      <w:vertAlign w:val="superscript"/>
    </w:rPr>
  </w:style>
  <w:style w:type="paragraph" w:customStyle="1" w:styleId="ListDash1">
    <w:name w:val="List Dash 1"/>
    <w:basedOn w:val="Normal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1">
    <w:name w:val="List Number 1"/>
    <w:basedOn w:val="Text1"/>
    <w:pPr>
      <w:numPr>
        <w:numId w:val="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5"/>
      </w:numPr>
    </w:pPr>
  </w:style>
  <w:style w:type="paragraph" w:customStyle="1" w:styleId="Annexetitreglobale">
    <w:name w:val="Annexe titre (global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paragraph" w:customStyle="1" w:styleId="Rfrenceinterne">
    <w:name w:val="Référence interne"/>
    <w:basedOn w:val="Normal"/>
    <w:next w:val="Normal"/>
    <w:link w:val="RfrenceinterneChar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customStyle="1" w:styleId="Prliminairetitre">
    <w:name w:val="Préliminaire titre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unhideWhenUsed/>
    <w:pPr>
      <w:ind w:left="283" w:hanging="283"/>
      <w:contextualSpacing/>
    </w:pPr>
  </w:style>
  <w:style w:type="paragraph" w:styleId="ListBullet">
    <w:name w:val="List Bullet"/>
    <w:basedOn w:val="Normal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hu-HU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RfrenceinterneChar">
    <w:name w:val="Référence interne Char"/>
    <w:basedOn w:val="DefaultParagraphFont"/>
    <w:link w:val="Rfrenceinterne"/>
    <w:rPr>
      <w:rFonts w:ascii="Times New Roman" w:eastAsia="Times New Roman" w:hAnsi="Times New Roman" w:cs="Times New Roman"/>
      <w:b/>
      <w:sz w:val="24"/>
      <w:szCs w:val="24"/>
      <w:lang w:val="hu-HU" w:eastAsia="de-DE"/>
    </w:rPr>
  </w:style>
  <w:style w:type="character" w:customStyle="1" w:styleId="HeaderSensitivityRightChar">
    <w:name w:val="Header Sensitivity Right Char"/>
    <w:basedOn w:val="RfrenceinterneChar"/>
    <w:link w:val="HeaderSensitivityRight"/>
    <w:rPr>
      <w:rFonts w:ascii="Times New Roman" w:eastAsia="Times New Roman" w:hAnsi="Times New Roman" w:cs="Times New Roman"/>
      <w:b w:val="0"/>
      <w:sz w:val="28"/>
      <w:szCs w:val="24"/>
      <w:lang w:val="hu-HU" w:eastAsia="de-DE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Text1"/>
    <w:link w:val="Heading1Char"/>
    <w:uiPriority w:val="1"/>
    <w:qFormat/>
    <w:pPr>
      <w:keepNext/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32"/>
      <w:lang w:eastAsia="de-D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de-DE"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6"/>
      <w:lang w:eastAsia="de-DE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de-D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mallCaps/>
      <w:sz w:val="24"/>
      <w:szCs w:val="32"/>
      <w:lang w:val="hu-HU" w:eastAsia="de-DE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iCs/>
      <w:sz w:val="24"/>
      <w:szCs w:val="28"/>
      <w:lang w:val="hu-HU" w:eastAsia="de-DE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Cs/>
      <w:i/>
      <w:sz w:val="24"/>
      <w:szCs w:val="26"/>
      <w:lang w:val="hu-HU" w:eastAsia="de-DE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Cs/>
      <w:sz w:val="24"/>
      <w:szCs w:val="28"/>
      <w:lang w:val="hu-HU" w:eastAsia="de-DE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  <w:lang w:val="hu-HU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lang w:val="hu-HU"/>
    </w:rPr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lang w:val="hu-HU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Text1">
    <w:name w:val="Text 1"/>
    <w:basedOn w:val="Normal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3">
    <w:name w:val="Text 3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val="hu-HU" w:eastAsia="de-DE"/>
    </w:rPr>
  </w:style>
  <w:style w:type="character" w:styleId="FootnoteReference">
    <w:name w:val="footnote reference"/>
    <w:rPr>
      <w:rFonts w:ascii="Times New Roman" w:hAnsi="Times New Roman"/>
      <w:sz w:val="20"/>
      <w:vertAlign w:val="superscript"/>
    </w:rPr>
  </w:style>
  <w:style w:type="paragraph" w:customStyle="1" w:styleId="ListDash1">
    <w:name w:val="List Dash 1"/>
    <w:basedOn w:val="Normal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1">
    <w:name w:val="List Number 1"/>
    <w:basedOn w:val="Text1"/>
    <w:pPr>
      <w:numPr>
        <w:numId w:val="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5"/>
      </w:numPr>
    </w:pPr>
  </w:style>
  <w:style w:type="paragraph" w:customStyle="1" w:styleId="Annexetitreglobale">
    <w:name w:val="Annexe titre (global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paragraph" w:customStyle="1" w:styleId="Rfrenceinterne">
    <w:name w:val="Référence interne"/>
    <w:basedOn w:val="Normal"/>
    <w:next w:val="Normal"/>
    <w:link w:val="RfrenceinterneChar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customStyle="1" w:styleId="Prliminairetitre">
    <w:name w:val="Préliminaire titre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unhideWhenUsed/>
    <w:pPr>
      <w:ind w:left="283" w:hanging="283"/>
      <w:contextualSpacing/>
    </w:pPr>
  </w:style>
  <w:style w:type="paragraph" w:styleId="ListBullet">
    <w:name w:val="List Bullet"/>
    <w:basedOn w:val="Normal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hu-HU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RfrenceinterneChar">
    <w:name w:val="Référence interne Char"/>
    <w:basedOn w:val="DefaultParagraphFont"/>
    <w:link w:val="Rfrenceinterne"/>
    <w:rPr>
      <w:rFonts w:ascii="Times New Roman" w:eastAsia="Times New Roman" w:hAnsi="Times New Roman" w:cs="Times New Roman"/>
      <w:b/>
      <w:sz w:val="24"/>
      <w:szCs w:val="24"/>
      <w:lang w:val="hu-HU" w:eastAsia="de-DE"/>
    </w:rPr>
  </w:style>
  <w:style w:type="character" w:customStyle="1" w:styleId="HeaderSensitivityRightChar">
    <w:name w:val="Header Sensitivity Right Char"/>
    <w:basedOn w:val="RfrenceinterneChar"/>
    <w:link w:val="HeaderSensitivityRight"/>
    <w:rPr>
      <w:rFonts w:ascii="Times New Roman" w:eastAsia="Times New Roman" w:hAnsi="Times New Roman" w:cs="Times New Roman"/>
      <w:b w:val="0"/>
      <w:sz w:val="28"/>
      <w:szCs w:val="24"/>
      <w:lang w:val="hu-HU" w:eastAsia="de-DE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3.jpeg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ww.google.com/url?sa=i&amp;url=https://www.amazon.com/European-Union-EU-Flag-Polyester/dp/B000K62UEI&amp;psig=AOvVaw0bnLH6L1hx6mVPcKP0b9IN&amp;ust=1600348737485000&amp;source=images&amp;cd=vfe&amp;ved=0CAIQjRxqFwoTCIDkpeLh7esCFQAAAAAdAAAAABAN" TargetMode="External"/><Relationship Id="rId25" Type="http://schemas.openxmlformats.org/officeDocument/2006/relationships/chart" Target="charts/chart1.xml"/><Relationship Id="rId33" Type="http://schemas.openxmlformats.org/officeDocument/2006/relationships/theme" Target="theme/theme1.xml"/><Relationship Id="R252835e2fb2d450e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5.jpe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8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7.jpeg"/><Relationship Id="rId28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yperlink" Target="https://www.google.com/url?sa=i&amp;url=https%3A%2F%2Fwww.amazon.com%2FEuropean-Union-EU-Flag-Polyester%2Fdp%2FB000K62UEI&amp;psig=AOvVaw0bnLH6L1hx6mVPcKP0b9IN&amp;ust=1600348737485000&amp;source=images&amp;cd=vfe&amp;ved=0CAIQjRxqFwoTCIDkpeLh7esCFQAAAAAdAAAAABAN" TargetMode="External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8333163682414636" Type="http://schemas.microsoft.com/office/2016/09/relationships/commentsIds" Target="commentsId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\\dossiers.dgt.cec.eu.int\dossiers\HR\HR-2021-80002\HR-2021-80002-00-00-HU-SRC-00.2021020510210549991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800" b="0" i="0" baseline="0"/>
              <a:t>A köztisztviselők nyugdíjkorhatárának frissítése a várható élettartam alakulásának ismeretében – 2018-as helyzet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'5,1'!$B$1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'5,1'!$A$2:$A$5</c:f>
              <c:strCache>
                <c:ptCount val="4"/>
                <c:pt idx="0">
                  <c:v>Nincs adat:RO</c:v>
                </c:pt>
                <c:pt idx="1">
                  <c:v>Nincs frissítés: AT, BG, CZ, DE, EE, ES, HU, LU, LV, SE, </c:v>
                </c:pt>
                <c:pt idx="2">
                  <c:v>Tervezett frissítés:BE, FR, HR, IE, LT, MT, PL, SI</c:v>
                </c:pt>
                <c:pt idx="3">
                  <c:v>Rendszeres frissítés:CY, DK, EL, FI, IT, NL, PT, SK</c:v>
                </c:pt>
              </c:strCache>
            </c:strRef>
          </c:cat>
          <c:val>
            <c:numRef>
              <c:f>'5,1'!$B$2:$B$5</c:f>
              <c:numCache>
                <c:formatCode>General</c:formatCode>
                <c:ptCount val="4"/>
                <c:pt idx="0">
                  <c:v>1</c:v>
                </c:pt>
                <c:pt idx="1">
                  <c:v>10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8D-4BE9-B2C9-99F43A7AE8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622144"/>
        <c:axId val="81624064"/>
      </c:barChart>
      <c:catAx>
        <c:axId val="816221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u-HU"/>
                  <a:t>A frissítés gyakorisága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624064"/>
        <c:crosses val="autoZero"/>
        <c:auto val="1"/>
        <c:lblAlgn val="ctr"/>
        <c:lblOffset val="100"/>
        <c:noMultiLvlLbl val="0"/>
      </c:catAx>
      <c:valAx>
        <c:axId val="8162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u-HU"/>
                  <a:t>Uniós tagállamok száma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622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9CB603A-642E-4A4F-AA3E-D10D29B3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2542</Words>
  <Characters>17595</Characters>
  <Application>Microsoft Office Word</Application>
  <DocSecurity>0</DocSecurity>
  <Lines>733</Lines>
  <Paragraphs>559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2021-01-22T10:04:00Z</dcterms:created>
  <dcterms:modified xsi:type="dcterms:W3CDTF">2021-02-23T09:04:00Z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Last edited using">
    <vt:lpwstr>LW 7.0, Build 20190717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PTemplateID">
    <vt:lpwstr>CP-006</vt:lpwstr>
  </property>
</Properties>
</file>