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DFFF794-1BF6-4817-8F05-A8E297CE0743" style="width:450.5pt;height:389.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2018/0207 (COD)</w:t>
      </w:r>
    </w:p>
    <w:p>
      <w:pPr>
        <w:pStyle w:val="Typedudocument"/>
        <w:rPr>
          <w:noProof/>
        </w:rPr>
      </w:pPr>
      <w:r>
        <w:rPr>
          <w:noProof/>
        </w:rPr>
        <w:t>MEDDELELSE FRA KOMMISSIONEN TIL EUROPA-PARLAMENTET</w:t>
      </w:r>
      <w:r>
        <w:rPr>
          <w:noProof/>
        </w:rPr>
        <w:br/>
      </w:r>
      <w:r>
        <w:rPr>
          <w:noProof/>
        </w:rPr>
        <w:br/>
        <w:t>i henhold til artikel 294, stk. 6, i traktaten om Den Europæiske Unions funktionsmåde</w:t>
      </w:r>
      <w:r>
        <w:rPr>
          <w:noProof/>
        </w:rPr>
        <w:br/>
      </w:r>
      <w:r>
        <w:rPr>
          <w:noProof/>
        </w:rPr>
        <w:br/>
        <w:t>vedrørende</w:t>
      </w:r>
    </w:p>
    <w:p>
      <w:pPr>
        <w:pStyle w:val="Titreobjet"/>
        <w:rPr>
          <w:noProof/>
        </w:rPr>
      </w:pPr>
      <w:r>
        <w:rPr>
          <w:noProof/>
        </w:rPr>
        <w:t>Rådets holdning med henblik på vedtagelse af Europa-Parlamentets og Rådets forordning om oprettelse af for programmet rettigheder og værdier (2021-2027) og om ophævelse af forordning (EU) nr. 390/2014</w:t>
      </w:r>
    </w:p>
    <w:p>
      <w:pPr>
        <w:pStyle w:val="ManualHeading1"/>
        <w:rPr>
          <w:noProof/>
          <w:sz w:val="22"/>
        </w:rPr>
      </w:pPr>
      <w:r>
        <w:rPr>
          <w:noProof/>
        </w:rPr>
        <w:t>1.</w:t>
      </w:r>
      <w:r>
        <w:rPr>
          <w:noProof/>
        </w:rPr>
        <w:tab/>
        <w:t>Baggrund</w:t>
      </w:r>
    </w:p>
    <w:tbl>
      <w:tblPr>
        <w:tblW w:w="9606" w:type="dxa"/>
        <w:tblLayout w:type="fixed"/>
        <w:tblLook w:val="0000" w:firstRow="0" w:lastRow="0" w:firstColumn="0" w:lastColumn="0" w:noHBand="0" w:noVBand="0"/>
      </w:tblPr>
      <w:tblGrid>
        <w:gridCol w:w="7479"/>
        <w:gridCol w:w="2127"/>
      </w:tblGrid>
      <w:tr>
        <w:tc>
          <w:tcPr>
            <w:tcW w:w="7479" w:type="dxa"/>
          </w:tcPr>
          <w:p>
            <w:pPr>
              <w:jc w:val="left"/>
              <w:rPr>
                <w:noProof/>
              </w:rPr>
            </w:pPr>
            <w:r>
              <w:rPr>
                <w:noProof/>
              </w:rPr>
              <w:t>Forslag fremsendt til Europa-Parlamentet og Rådet (dokument COM(2018) 0383):</w:t>
            </w:r>
          </w:p>
        </w:tc>
        <w:tc>
          <w:tcPr>
            <w:tcW w:w="2127" w:type="dxa"/>
          </w:tcPr>
          <w:p>
            <w:pPr>
              <w:jc w:val="left"/>
              <w:rPr>
                <w:noProof/>
              </w:rPr>
            </w:pPr>
            <w:r>
              <w:rPr>
                <w:noProof/>
              </w:rPr>
              <w:t>30. maj 2018</w:t>
            </w:r>
          </w:p>
        </w:tc>
      </w:tr>
      <w:tr>
        <w:tc>
          <w:tcPr>
            <w:tcW w:w="7479" w:type="dxa"/>
          </w:tcPr>
          <w:p>
            <w:pPr>
              <w:rPr>
                <w:noProof/>
                <w:szCs w:val="21"/>
              </w:rPr>
            </w:pPr>
            <w:r>
              <w:rPr>
                <w:noProof/>
              </w:rPr>
              <w:t xml:space="preserve">Regionsudvalgets udtalelse om forslaget vedtaget: </w:t>
            </w:r>
          </w:p>
        </w:tc>
        <w:tc>
          <w:tcPr>
            <w:tcW w:w="2127" w:type="dxa"/>
          </w:tcPr>
          <w:p>
            <w:pPr>
              <w:jc w:val="left"/>
              <w:rPr>
                <w:noProof/>
              </w:rPr>
            </w:pPr>
            <w:r>
              <w:rPr>
                <w:noProof/>
              </w:rPr>
              <w:t>10. oktober 2018</w:t>
            </w:r>
          </w:p>
        </w:tc>
      </w:tr>
      <w:tr>
        <w:tc>
          <w:tcPr>
            <w:tcW w:w="7479" w:type="dxa"/>
          </w:tcPr>
          <w:p>
            <w:pPr>
              <w:rPr>
                <w:noProof/>
              </w:rPr>
            </w:pPr>
            <w:r>
              <w:rPr>
                <w:noProof/>
              </w:rPr>
              <w:t>Det Europæiske Økonomiske og Sociale Udvalgs udtalelse om forslaget vedtaget:</w:t>
            </w:r>
          </w:p>
        </w:tc>
        <w:tc>
          <w:tcPr>
            <w:tcW w:w="2127" w:type="dxa"/>
          </w:tcPr>
          <w:p>
            <w:pPr>
              <w:jc w:val="left"/>
              <w:rPr>
                <w:noProof/>
              </w:rPr>
            </w:pPr>
            <w:r>
              <w:rPr>
                <w:noProof/>
              </w:rPr>
              <w:t>18. oktober 2018</w:t>
            </w:r>
          </w:p>
        </w:tc>
      </w:tr>
      <w:tr>
        <w:tc>
          <w:tcPr>
            <w:tcW w:w="7479" w:type="dxa"/>
          </w:tcPr>
          <w:p>
            <w:pPr>
              <w:rPr>
                <w:noProof/>
                <w:szCs w:val="24"/>
              </w:rPr>
            </w:pPr>
            <w:r>
              <w:rPr>
                <w:noProof/>
              </w:rPr>
              <w:t>Delvist forhandlingsmandat, som efterfølgende blev udvidet, fra De Faste Repræsentanters Komité vedtaget:</w:t>
            </w:r>
          </w:p>
        </w:tc>
        <w:tc>
          <w:tcPr>
            <w:tcW w:w="2127" w:type="dxa"/>
          </w:tcPr>
          <w:p>
            <w:pPr>
              <w:jc w:val="left"/>
              <w:rPr>
                <w:noProof/>
              </w:rPr>
            </w:pPr>
            <w:r>
              <w:rPr>
                <w:noProof/>
              </w:rPr>
              <w:t>19. december 2018</w:t>
            </w:r>
          </w:p>
          <w:p>
            <w:pPr>
              <w:jc w:val="left"/>
              <w:rPr>
                <w:noProof/>
              </w:rPr>
            </w:pPr>
            <w:r>
              <w:rPr>
                <w:noProof/>
              </w:rPr>
              <w:t>20. februar 2019</w:t>
            </w:r>
          </w:p>
        </w:tc>
      </w:tr>
      <w:tr>
        <w:tc>
          <w:tcPr>
            <w:tcW w:w="7479" w:type="dxa"/>
          </w:tcPr>
          <w:p>
            <w:pPr>
              <w:rPr>
                <w:noProof/>
              </w:rPr>
            </w:pPr>
            <w:r>
              <w:rPr>
                <w:noProof/>
              </w:rPr>
              <w:t>Trepartsmøder:</w:t>
            </w:r>
          </w:p>
        </w:tc>
        <w:tc>
          <w:tcPr>
            <w:tcW w:w="2127" w:type="dxa"/>
          </w:tcPr>
          <w:p>
            <w:pPr>
              <w:jc w:val="left"/>
              <w:rPr>
                <w:noProof/>
              </w:rPr>
            </w:pPr>
            <w:r>
              <w:rPr>
                <w:noProof/>
              </w:rPr>
              <w:t>22. januar 2019, 5. februar 2019, 20. februar 2019 og 6. marts 2019</w:t>
            </w:r>
          </w:p>
        </w:tc>
      </w:tr>
      <w:tr>
        <w:tc>
          <w:tcPr>
            <w:tcW w:w="7479" w:type="dxa"/>
          </w:tcPr>
          <w:p>
            <w:pPr>
              <w:jc w:val="left"/>
              <w:rPr>
                <w:noProof/>
              </w:rPr>
            </w:pPr>
            <w:r>
              <w:rPr>
                <w:noProof/>
              </w:rPr>
              <w:t>De Faste Repræsentanters Komités bekræftelse af den fælles forståelse, der var opnået med Europa-Parlamentet på det fjerde trepartsmøde:</w:t>
            </w:r>
          </w:p>
        </w:tc>
        <w:tc>
          <w:tcPr>
            <w:tcW w:w="2127" w:type="dxa"/>
          </w:tcPr>
          <w:p>
            <w:pPr>
              <w:jc w:val="left"/>
              <w:rPr>
                <w:noProof/>
              </w:rPr>
            </w:pPr>
            <w:r>
              <w:rPr>
                <w:noProof/>
              </w:rPr>
              <w:t>13. marts 2019</w:t>
            </w:r>
          </w:p>
        </w:tc>
      </w:tr>
      <w:tr>
        <w:tc>
          <w:tcPr>
            <w:tcW w:w="7479" w:type="dxa"/>
          </w:tcPr>
          <w:p>
            <w:pPr>
              <w:jc w:val="left"/>
              <w:rPr>
                <w:noProof/>
              </w:rPr>
            </w:pPr>
            <w:r>
              <w:rPr>
                <w:noProof/>
              </w:rPr>
              <w:t>Europa-Parlamentets bekræftelse af den fælles forståelse med vedtagelsen af sin lovgivningsmæssige beslutning (førstebehandling):</w:t>
            </w:r>
          </w:p>
        </w:tc>
        <w:tc>
          <w:tcPr>
            <w:tcW w:w="2127" w:type="dxa"/>
          </w:tcPr>
          <w:p>
            <w:pPr>
              <w:jc w:val="left"/>
              <w:rPr>
                <w:noProof/>
              </w:rPr>
            </w:pPr>
            <w:r>
              <w:rPr>
                <w:noProof/>
              </w:rPr>
              <w:t>17. april 2019</w:t>
            </w:r>
          </w:p>
        </w:tc>
      </w:tr>
      <w:tr>
        <w:tc>
          <w:tcPr>
            <w:tcW w:w="7479" w:type="dxa"/>
          </w:tcPr>
          <w:p>
            <w:pPr>
              <w:rPr>
                <w:noProof/>
                <w:szCs w:val="24"/>
              </w:rPr>
            </w:pPr>
            <w:r>
              <w:rPr>
                <w:noProof/>
              </w:rPr>
              <w:t>Enighed i Rådet om en generel indstilling opnået:</w:t>
            </w:r>
          </w:p>
        </w:tc>
        <w:tc>
          <w:tcPr>
            <w:tcW w:w="2127" w:type="dxa"/>
          </w:tcPr>
          <w:p>
            <w:pPr>
              <w:jc w:val="left"/>
              <w:rPr>
                <w:noProof/>
              </w:rPr>
            </w:pPr>
            <w:r>
              <w:rPr>
                <w:noProof/>
              </w:rPr>
              <w:t>2. december 2020</w:t>
            </w:r>
          </w:p>
        </w:tc>
      </w:tr>
      <w:tr>
        <w:tc>
          <w:tcPr>
            <w:tcW w:w="7479" w:type="dxa"/>
          </w:tcPr>
          <w:p>
            <w:pPr>
              <w:rPr>
                <w:noProof/>
              </w:rPr>
            </w:pPr>
            <w:r>
              <w:rPr>
                <w:noProof/>
              </w:rPr>
              <w:t>Trepartsmøder:</w:t>
            </w:r>
          </w:p>
        </w:tc>
        <w:tc>
          <w:tcPr>
            <w:tcW w:w="2127" w:type="dxa"/>
          </w:tcPr>
          <w:p>
            <w:pPr>
              <w:jc w:val="left"/>
              <w:rPr>
                <w:noProof/>
                <w:highlight w:val="yellow"/>
              </w:rPr>
            </w:pPr>
            <w:r>
              <w:rPr>
                <w:noProof/>
              </w:rPr>
              <w:t>10. og 17. december 2020</w:t>
            </w:r>
          </w:p>
        </w:tc>
      </w:tr>
      <w:tr>
        <w:tc>
          <w:tcPr>
            <w:tcW w:w="7479" w:type="dxa"/>
          </w:tcPr>
          <w:p>
            <w:pPr>
              <w:rPr>
                <w:noProof/>
              </w:rPr>
            </w:pPr>
            <w:r>
              <w:rPr>
                <w:noProof/>
              </w:rPr>
              <w:t xml:space="preserve">LIBE-udvalgets skrivelse til formanden for De Faste Repræsentanters Komité (2. afdeling), som bekræftede Europa-Parlamentets enighed om resultatet af de interinstitutionelle forhandlinger: </w:t>
            </w:r>
          </w:p>
        </w:tc>
        <w:tc>
          <w:tcPr>
            <w:tcW w:w="2127" w:type="dxa"/>
          </w:tcPr>
          <w:p>
            <w:pPr>
              <w:jc w:val="left"/>
              <w:rPr>
                <w:noProof/>
                <w:highlight w:val="yellow"/>
              </w:rPr>
            </w:pPr>
            <w:r>
              <w:rPr>
                <w:noProof/>
              </w:rPr>
              <w:t>4. februar 2021</w:t>
            </w:r>
          </w:p>
        </w:tc>
      </w:tr>
      <w:tr>
        <w:tc>
          <w:tcPr>
            <w:tcW w:w="7479" w:type="dxa"/>
          </w:tcPr>
          <w:p>
            <w:pPr>
              <w:rPr>
                <w:noProof/>
              </w:rPr>
            </w:pPr>
            <w:r>
              <w:rPr>
                <w:noProof/>
              </w:rPr>
              <w:t xml:space="preserve">De Faste Repræsentanters Komités politiske enighed om kompromisteksten: </w:t>
            </w:r>
          </w:p>
        </w:tc>
        <w:tc>
          <w:tcPr>
            <w:tcW w:w="2127" w:type="dxa"/>
          </w:tcPr>
          <w:p>
            <w:pPr>
              <w:jc w:val="left"/>
              <w:rPr>
                <w:noProof/>
                <w:highlight w:val="yellow"/>
              </w:rPr>
            </w:pPr>
            <w:r>
              <w:rPr>
                <w:noProof/>
              </w:rPr>
              <w:t>17. februar 2021</w:t>
            </w:r>
          </w:p>
        </w:tc>
      </w:tr>
      <w:tr>
        <w:tc>
          <w:tcPr>
            <w:tcW w:w="7479" w:type="dxa"/>
          </w:tcPr>
          <w:p>
            <w:pPr>
              <w:rPr>
                <w:noProof/>
              </w:rPr>
            </w:pPr>
            <w:r>
              <w:rPr>
                <w:noProof/>
              </w:rPr>
              <w:t xml:space="preserve">Rådets førstebehandlingsholdning vedtaget: </w:t>
            </w:r>
          </w:p>
        </w:tc>
        <w:tc>
          <w:tcPr>
            <w:tcW w:w="2127" w:type="dxa"/>
          </w:tcPr>
          <w:p>
            <w:pPr>
              <w:jc w:val="left"/>
              <w:rPr>
                <w:noProof/>
                <w:highlight w:val="yellow"/>
              </w:rPr>
            </w:pPr>
            <w:r>
              <w:rPr>
                <w:noProof/>
              </w:rPr>
              <w:t xml:space="preserve">19. april 2021 </w:t>
            </w:r>
          </w:p>
        </w:tc>
      </w:tr>
    </w:tbl>
    <w:p>
      <w:pPr>
        <w:pStyle w:val="ManualHeading1"/>
        <w:rPr>
          <w:noProof/>
          <w:szCs w:val="24"/>
        </w:rPr>
      </w:pPr>
      <w:r>
        <w:rPr>
          <w:noProof/>
        </w:rPr>
        <w:lastRenderedPageBreak/>
        <w:t>2.</w:t>
      </w:r>
      <w:r>
        <w:rPr>
          <w:noProof/>
        </w:rPr>
        <w:tab/>
        <w:t>Formålet med Kommissionens forslag</w:t>
      </w:r>
    </w:p>
    <w:p>
      <w:pPr>
        <w:rPr>
          <w:noProof/>
          <w:szCs w:val="20"/>
        </w:rPr>
      </w:pPr>
      <w:r>
        <w:rPr>
          <w:noProof/>
        </w:rPr>
        <w:t>Programmet er et af finansieringsinstrumenterne under den flerårige finansielle ramme 2021-2027. Programmet for rettigheder og værdier bidrager til beskyttelse og fremme af de rettigheder og værdier, der er nedfældet i EU-traktaterne og i EU's charter om grundlæggende rettigheder med henblik på at bevare og yderligere udvikle åbne, rettighedsbaserede, demokratiske, lige og inklusive samfund baseret på retsstatsprincippet. Programmet skal yde finansiel støtte til civilsamfundsorganisationer, der er aktive på lokalt, regionalt og tværnationalt plan i forbindelse med fremme af EU's værdier og rettigheder. Det skal øge bevidstheden om ligestilling og ikkeforskelsbehandling, børns rettigheder, databeskyttelse, EU-borgerrettigheder og om den fælles europæiske historie. Det vil bidrage til arbejdet for kønsmainstreaming og mainstreaming af ikkeforskelsbehandling. Det vil bidrage til forebyggelse af og bekæmpe alle former for kønsbaseret mod kvinder samt alle former for vold mod børn og andre udsatte grupper. Det vil støtte borgernes deltagelse i EU's demokratiske liv. Kommissionen har foreslået et samlet budget på 641 705 000 EUR i løbende priser.</w:t>
      </w:r>
    </w:p>
    <w:p>
      <w:pPr>
        <w:rPr>
          <w:rFonts w:eastAsia="Times New Roman"/>
          <w:noProof/>
          <w:szCs w:val="20"/>
        </w:rPr>
      </w:pPr>
      <w:r>
        <w:rPr>
          <w:noProof/>
        </w:rPr>
        <w:t>Programmet vil støtte civilsamfundsorganisationer, europæiske netværk, offentlige myndigheder, herunder ligestillings- og menneskerettighedsorganisationer, lokale myndigheder, akademiske/forskningsinstitutioner og tænketanke. Det vil bl.a. finansiere aktiviteter, som:</w:t>
      </w:r>
    </w:p>
    <w:p>
      <w:pPr>
        <w:rPr>
          <w:noProof/>
        </w:rPr>
      </w:pPr>
      <w:r>
        <w:rPr>
          <w:noProof/>
        </w:rPr>
        <w:t>•</w:t>
      </w:r>
      <w:r>
        <w:rPr>
          <w:noProof/>
        </w:rPr>
        <w:tab/>
        <w:t>øger bevidstheden om de rettigheder, værdier og principper, der ligger til grund for EU, og bevidstheden om EU's kultur og historie</w:t>
      </w:r>
    </w:p>
    <w:p>
      <w:pPr>
        <w:rPr>
          <w:noProof/>
        </w:rPr>
      </w:pPr>
      <w:r>
        <w:rPr>
          <w:noProof/>
        </w:rPr>
        <w:t>•</w:t>
      </w:r>
      <w:r>
        <w:rPr>
          <w:noProof/>
        </w:rPr>
        <w:tab/>
        <w:t>øger kendskabet til EU-lovgivning og -politikker og til forhindringer, der kan forhindre udøvelsen af rettigheder</w:t>
      </w:r>
    </w:p>
    <w:p>
      <w:pPr>
        <w:rPr>
          <w:noProof/>
        </w:rPr>
      </w:pPr>
      <w:r>
        <w:rPr>
          <w:noProof/>
        </w:rPr>
        <w:t>•</w:t>
      </w:r>
      <w:r>
        <w:rPr>
          <w:noProof/>
        </w:rPr>
        <w:tab/>
        <w:t>øger evnen til at agere med henblik på bedre gennemførelse af EU's lovgivning og -politikker i medlemsstaterne</w:t>
      </w:r>
    </w:p>
    <w:p>
      <w:pPr>
        <w:rPr>
          <w:noProof/>
        </w:rPr>
      </w:pPr>
      <w:r>
        <w:rPr>
          <w:noProof/>
        </w:rPr>
        <w:t>•</w:t>
      </w:r>
      <w:r>
        <w:rPr>
          <w:noProof/>
        </w:rPr>
        <w:tab/>
        <w:t>fremmer samarbejdet over landegrænser, udveksling af holdninger og debat, forbedring af gensidig viden og gensidig forståelse og forøger den gensidige tillid.</w:t>
      </w:r>
    </w:p>
    <w:p>
      <w:pPr>
        <w:pStyle w:val="ManualHeading1"/>
        <w:rPr>
          <w:noProof/>
        </w:rPr>
      </w:pPr>
      <w:r>
        <w:rPr>
          <w:noProof/>
        </w:rPr>
        <w:t>3.</w:t>
      </w:r>
      <w:r>
        <w:rPr>
          <w:noProof/>
        </w:rPr>
        <w:tab/>
        <w:t>Bemærkninger til Rådets holdning</w:t>
      </w:r>
    </w:p>
    <w:p>
      <w:pPr>
        <w:widowControl w:val="0"/>
        <w:rPr>
          <w:noProof/>
        </w:rPr>
      </w:pPr>
      <w:r>
        <w:rPr>
          <w:noProof/>
        </w:rPr>
        <w:t xml:space="preserve">Rådets holdning afspejler den aftale, der er opnået enighed om på trepartsmøderne. I forhold til Kommissionens forslag omfatter de vigtigste ændringer: </w:t>
      </w:r>
    </w:p>
    <w:p>
      <w:pPr>
        <w:pStyle w:val="Tiret0"/>
        <w:numPr>
          <w:ilvl w:val="0"/>
          <w:numId w:val="1"/>
        </w:numPr>
        <w:rPr>
          <w:noProof/>
        </w:rPr>
      </w:pPr>
      <w:r>
        <w:rPr>
          <w:i/>
          <w:noProof/>
        </w:rPr>
        <w:t>Titel</w:t>
      </w:r>
      <w:r>
        <w:rPr>
          <w:noProof/>
        </w:rPr>
        <w:t>: Titlen blev ændret til: "Programmet for borgere, rettigheder, ligestilling og værdier.</w:t>
      </w:r>
    </w:p>
    <w:p>
      <w:pPr>
        <w:pStyle w:val="Tiret0"/>
        <w:numPr>
          <w:ilvl w:val="0"/>
          <w:numId w:val="1"/>
        </w:numPr>
        <w:rPr>
          <w:noProof/>
        </w:rPr>
      </w:pPr>
      <w:r>
        <w:rPr>
          <w:i/>
          <w:noProof/>
        </w:rPr>
        <w:t>Specifikke målsætninger</w:t>
      </w:r>
      <w:r>
        <w:rPr>
          <w:noProof/>
        </w:rPr>
        <w:t>: Yderligere uddybning af de foreslåede tre indsatsområder (ligestilling og rettigheder, borgerengagement og -deltagelse, Daphne) og særligt udpegning af eksempler på grupper, der er udsat for risiko for vold.</w:t>
      </w:r>
    </w:p>
    <w:p>
      <w:pPr>
        <w:pStyle w:val="Tiret0"/>
        <w:numPr>
          <w:ilvl w:val="0"/>
          <w:numId w:val="1"/>
        </w:numPr>
        <w:rPr>
          <w:noProof/>
        </w:rPr>
      </w:pPr>
      <w:r>
        <w:rPr>
          <w:i/>
          <w:noProof/>
        </w:rPr>
        <w:t>Nyt indsatsområde:</w:t>
      </w:r>
      <w:r>
        <w:rPr>
          <w:noProof/>
        </w:rPr>
        <w:t xml:space="preserve"> Tilføjelse af et fjerde indsatsområde (Unionens værdier), som navnlig har til formål at støtte civilsamfundsorganisationer, der er aktive i forbindelse med fremme af Unionens værdier, demokrati og retsstatsprincippet. Disse elementer er af afgørende betydning for opbygningen af borgernes tillid til Unionen og sikringen af gensidig tillid mellem medlemsstaterne. Ved at fremme rettigheder og værdier vil programmet bidrage til opbygning af en mere demokratisk Union, respekt for retsstatsprincippet og demokratisk dialog, gennemsigtighed og god forvaltningspraksis.</w:t>
      </w:r>
    </w:p>
    <w:p>
      <w:pPr>
        <w:pStyle w:val="Tiret0"/>
        <w:numPr>
          <w:ilvl w:val="0"/>
          <w:numId w:val="1"/>
        </w:numPr>
        <w:rPr>
          <w:noProof/>
        </w:rPr>
      </w:pPr>
      <w:r>
        <w:rPr>
          <w:i/>
          <w:noProof/>
        </w:rPr>
        <w:lastRenderedPageBreak/>
        <w:t>Yderligere midler:</w:t>
      </w:r>
      <w:r>
        <w:rPr>
          <w:noProof/>
        </w:rPr>
        <w:t xml:space="preserve"> Der er tildelt 800 000 000 EUR i 2018-priser i supplerende midler som følge af den programspecifikke justering omhandlet i artikel 5 i og bilag II til Rådets forordning (EU, Euratom) 2020/2093 (FFR-forordningen).</w:t>
      </w:r>
    </w:p>
    <w:p>
      <w:pPr>
        <w:pStyle w:val="Tiret0"/>
        <w:rPr>
          <w:noProof/>
        </w:rPr>
      </w:pPr>
      <w:r>
        <w:rPr>
          <w:i/>
          <w:noProof/>
        </w:rPr>
        <w:t>Øremærkning af midler:</w:t>
      </w:r>
      <w:r>
        <w:rPr>
          <w:noProof/>
        </w:rPr>
        <w:t xml:space="preserve"> Der er indført øremærkning af midlerne pr. indsatsområde og inden for det enkelte indsatsområde samt indført en fleksibilitetsmargen. En betydelig del af budgettet (finansieringsrammen og de supplerende midler) er tildelt til indsatsområdet EU's værdier. Ekstrafinansieringen i form af de supplerende midler sikrer, at indsatsområdet EU's værdier er tilstrækkeligt finansieret, og at den korrekte gennemførelse af de tre andre indsatsområder ikke undermineres.</w:t>
      </w:r>
    </w:p>
    <w:p>
      <w:pPr>
        <w:pStyle w:val="Tiret0"/>
        <w:numPr>
          <w:ilvl w:val="0"/>
          <w:numId w:val="1"/>
        </w:numPr>
        <w:rPr>
          <w:noProof/>
        </w:rPr>
      </w:pPr>
      <w:r>
        <w:rPr>
          <w:i/>
          <w:noProof/>
        </w:rPr>
        <w:t>Fælles erklæring</w:t>
      </w:r>
      <w:r>
        <w:rPr>
          <w:noProof/>
        </w:rPr>
        <w:t>: Den fælles erklæring fra Europa-Parlamentet og Rådet opfordrer Kommissionen til at træffe alle passende foranstaltninger for at indsatsområdet EU's værdier modtager betydelig finansiering allerede i 2021.</w:t>
      </w:r>
    </w:p>
    <w:p>
      <w:pPr>
        <w:pStyle w:val="Tiret0"/>
        <w:numPr>
          <w:ilvl w:val="0"/>
          <w:numId w:val="1"/>
        </w:numPr>
        <w:rPr>
          <w:noProof/>
        </w:rPr>
      </w:pPr>
      <w:r>
        <w:rPr>
          <w:i/>
          <w:noProof/>
        </w:rPr>
        <w:t>Støtteberettigede enheder:</w:t>
      </w:r>
      <w:r>
        <w:rPr>
          <w:noProof/>
        </w:rPr>
        <w:t xml:space="preserve"> Enheder fra tredjelande kan ikke deltage i det nye indsatsområde (EU's værdier) under henvisning til, at aktiviteterne på dette indsatsområde bør have fokus på medlemsstaterne.</w:t>
      </w:r>
    </w:p>
    <w:p>
      <w:pPr>
        <w:pStyle w:val="Tiret0"/>
        <w:numPr>
          <w:ilvl w:val="0"/>
          <w:numId w:val="1"/>
        </w:numPr>
        <w:rPr>
          <w:noProof/>
        </w:rPr>
      </w:pPr>
      <w:r>
        <w:rPr>
          <w:i/>
          <w:noProof/>
        </w:rPr>
        <w:t>Programkontaktpunkter</w:t>
      </w:r>
      <w:r>
        <w:rPr>
          <w:noProof/>
        </w:rPr>
        <w:t>: Der er indarbejdet en sårskilt artikel herom.</w:t>
      </w:r>
    </w:p>
    <w:p>
      <w:pPr>
        <w:pStyle w:val="Tiret0"/>
        <w:numPr>
          <w:ilvl w:val="0"/>
          <w:numId w:val="1"/>
        </w:numPr>
        <w:rPr>
          <w:noProof/>
        </w:rPr>
      </w:pPr>
      <w:r>
        <w:rPr>
          <w:i/>
          <w:noProof/>
        </w:rPr>
        <w:t>Dialog med civilsamfundet</w:t>
      </w:r>
      <w:r>
        <w:rPr>
          <w:noProof/>
        </w:rPr>
        <w:t>: Der er tilføjet en "Gruppe for Civil Dialog" (et diskussionsforum for interessenter) i form af en sårskilt artikel og en særskilt betragtning.</w:t>
      </w:r>
    </w:p>
    <w:p>
      <w:pPr>
        <w:pStyle w:val="Tiret0"/>
        <w:numPr>
          <w:ilvl w:val="0"/>
          <w:numId w:val="1"/>
        </w:numPr>
        <w:rPr>
          <w:noProof/>
        </w:rPr>
      </w:pPr>
      <w:r>
        <w:rPr>
          <w:i/>
          <w:noProof/>
        </w:rPr>
        <w:t>Ligestillingsperspektivet</w:t>
      </w:r>
      <w:r>
        <w:rPr>
          <w:noProof/>
        </w:rPr>
        <w:t>: Betragtningen herom er blevet styrket, der er tilføjet kønsopdelte data til indikatorerne, og den foreløbige og endelige evaluering skal omfatte ligestillingsperspektivet.</w:t>
      </w:r>
    </w:p>
    <w:p>
      <w:pPr>
        <w:pStyle w:val="Tiret0"/>
        <w:numPr>
          <w:ilvl w:val="0"/>
          <w:numId w:val="1"/>
        </w:numPr>
        <w:rPr>
          <w:noProof/>
        </w:rPr>
      </w:pPr>
      <w:r>
        <w:rPr>
          <w:i/>
          <w:noProof/>
        </w:rPr>
        <w:t>Aktiviteter, der skal finansieres</w:t>
      </w:r>
      <w:r>
        <w:rPr>
          <w:noProof/>
        </w:rPr>
        <w:t>: Yderligere uddybet.</w:t>
      </w:r>
    </w:p>
    <w:p>
      <w:pPr>
        <w:pStyle w:val="Tiret0"/>
        <w:numPr>
          <w:ilvl w:val="0"/>
          <w:numId w:val="1"/>
        </w:numPr>
        <w:rPr>
          <w:noProof/>
        </w:rPr>
      </w:pPr>
      <w:r>
        <w:rPr>
          <w:i/>
          <w:noProof/>
        </w:rPr>
        <w:t>Udvalgsprocedure</w:t>
      </w:r>
      <w:r>
        <w:rPr>
          <w:noProof/>
        </w:rPr>
        <w:t>: Undersøgelsesproceduren er valgt frem for rådgivningsproceduren. Selv om Kommissionens oprindelige forslag ikke indeholdt undersøgelsesproceduren, var det den procedure, der var indeholdt i forordning (EU) nr. 1381/2013 om oprettelse af et program for rettigheder, ligestilling og unionsborgerskab for perioden 2014 til 2020.</w:t>
      </w:r>
    </w:p>
    <w:p>
      <w:pPr>
        <w:widowControl w:val="0"/>
        <w:rPr>
          <w:noProof/>
        </w:rPr>
      </w:pPr>
      <w:r>
        <w:rPr>
          <w:noProof/>
        </w:rPr>
        <w:t xml:space="preserve">Den opnåede aftale om øremærkning af midler gør programgennemførelsen mere kompleks, men bibeholder imidlertid den grad af fleksibilitet, som Kommissionen ønskede at bevare for programmet. </w:t>
      </w:r>
    </w:p>
    <w:p>
      <w:pPr>
        <w:widowControl w:val="0"/>
        <w:rPr>
          <w:noProof/>
        </w:rPr>
      </w:pPr>
      <w:r>
        <w:rPr>
          <w:noProof/>
        </w:rPr>
        <w:t xml:space="preserve">Kommissionen er derfor af den opfattelse, at den aftale, der er opnået enighed om, bibeholder målene i det oprindelige forslag. </w:t>
      </w:r>
    </w:p>
    <w:p>
      <w:pPr>
        <w:pStyle w:val="ManualHeading1"/>
        <w:rPr>
          <w:noProof/>
        </w:rPr>
      </w:pPr>
      <w:r>
        <w:rPr>
          <w:noProof/>
        </w:rPr>
        <w:t>4.</w:t>
      </w:r>
      <w:r>
        <w:rPr>
          <w:noProof/>
        </w:rPr>
        <w:tab/>
        <w:t>Konklusion</w:t>
      </w:r>
    </w:p>
    <w:p>
      <w:pPr>
        <w:keepNext/>
        <w:rPr>
          <w:noProof/>
        </w:rPr>
      </w:pPr>
      <w:r>
        <w:rPr>
          <w:noProof/>
        </w:rPr>
        <w:t>Kommissionen accepterer Rådets holdning.</w:t>
      </w:r>
    </w:p>
    <w:p>
      <w:pPr>
        <w:keepNext/>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DA</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DA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20C1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C4F2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7E4C1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C279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A69D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5AC5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E6DC64"/>
    <w:lvl w:ilvl="0">
      <w:start w:val="1"/>
      <w:numFmt w:val="decimal"/>
      <w:pStyle w:val="ListNumber"/>
      <w:lvlText w:val="%1."/>
      <w:lvlJc w:val="left"/>
      <w:pPr>
        <w:tabs>
          <w:tab w:val="num" w:pos="360"/>
        </w:tabs>
        <w:ind w:left="360" w:hanging="360"/>
      </w:pPr>
    </w:lvl>
  </w:abstractNum>
  <w:abstractNum w:abstractNumId="7">
    <w:nsid w:val="FFFFFF89"/>
    <w:multiLevelType w:val="singleLevel"/>
    <w:tmpl w:val="CEF66D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22 09:13: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DFFF794-1BF6-4817-8F05-A8E297CE0743"/>
    <w:docVar w:name="LW_COVERPAGE_TYPE" w:val="1"/>
    <w:docVar w:name="LW_CROSSREFERENCE" w:val="&lt;UNUSED&gt;"/>
    <w:docVar w:name="LW_DocType" w:val="COM"/>
    <w:docVar w:name="LW_EMISSION" w:val="23.4.2021"/>
    <w:docVar w:name="LW_EMISSION_ISODATE" w:val="2021-04-23"/>
    <w:docVar w:name="LW_EMISSION_LOCATION" w:val="BRX"/>
    <w:docVar w:name="LW_EMISSION_PREFIX" w:val="Bruxelles, den "/>
    <w:docVar w:name="LW_EMISSION_SUFFIX" w:val=" "/>
    <w:docVar w:name="LW_ID_DOCMODEL" w:val="SJ-028"/>
    <w:docVar w:name="LW_ID_DOCSTRUCTURE" w:val="COM/PL/CODEC"/>
    <w:docVar w:name="LW_ID_DOCTYPE" w:val="SJ-028"/>
    <w:docVar w:name="LW_INTERETEEE.CP" w:val="&lt;UNUSED&g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207"/>
    <w:docVar w:name="LW_REF.II.NEW.CP_YEAR" w:val="2018"/>
    <w:docVar w:name="LW_REF.INST.NEW" w:val="COM"/>
    <w:docVar w:name="LW_REF.INST.NEW_ADOPTED" w:val="final"/>
    <w:docVar w:name="LW_REF.INST.NEW_TEXT" w:val="(2021)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ådets holdning med henblik på vedtagelse af Europa-Parlamentets og Rådets forordning om oprettelse af for programmet rettigheder og værdier (2021-2027) og om ophævelse af forordning (EU) nr. 390/2014"/>
    <w:docVar w:name="LW_TYPE.DOC.CP" w:val="MEDDELELSE FRA KOMMISSIONEN TIL EUROPA-PARLAMENTET_x000b__x000b_i henhold til artikel 294, stk. 6, i traktaten om Den Europæiske Unions funktionsmåde_x000b__x000b_vedrørend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a-D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a-DK"/>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a-D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B0B7-B5C0-428C-AF78-FEB34024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926</Words>
  <Characters>6152</Characters>
  <Application>Microsoft Office Word</Application>
  <DocSecurity>0</DocSecurity>
  <Lines>128</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2021-04-19T07:03:00Z</dcterms:created>
  <dcterms:modified xsi:type="dcterms:W3CDTF">2021-04-22T07:13:00Z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