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453AA5C-2932-4BA8-A329-B38458804C44" style="width:450.7pt;height:333.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
        </w:numPr>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 xml:space="preserve">WPROWADZENIE </w:t>
      </w:r>
    </w:p>
    <w:p>
      <w:pPr>
        <w:rPr>
          <w:rFonts w:ascii="Times New Roman" w:hAnsi="Times New Roman" w:cs="Times New Roman"/>
          <w:b/>
          <w:noProof/>
          <w:sz w:val="24"/>
          <w:szCs w:val="24"/>
        </w:rPr>
      </w:pPr>
      <w:r>
        <w:rPr>
          <w:rFonts w:ascii="Times New Roman" w:hAnsi="Times New Roman"/>
          <w:b/>
          <w:noProof/>
          <w:sz w:val="24"/>
          <w:szCs w:val="24"/>
        </w:rPr>
        <w:t>1.1 Konwencja lugańska</w:t>
      </w:r>
    </w:p>
    <w:p>
      <w:pPr>
        <w:jc w:val="both"/>
        <w:rPr>
          <w:rFonts w:ascii="Times New Roman" w:hAnsi="Times New Roman" w:cs="Times New Roman"/>
          <w:noProof/>
          <w:sz w:val="24"/>
          <w:szCs w:val="24"/>
        </w:rPr>
      </w:pPr>
      <w:r>
        <w:rPr>
          <w:rFonts w:ascii="Times New Roman" w:hAnsi="Times New Roman"/>
          <w:noProof/>
          <w:sz w:val="24"/>
          <w:szCs w:val="24"/>
        </w:rPr>
        <w:t>Konwencja z 2007 r. o jurysdykcji i uznawaniu oraz wykonywaniu orzeczeń sądowych w sprawach cywilnych i handlowych („konwencja lugańska”)</w:t>
      </w:r>
      <w:r>
        <w:rPr>
          <w:noProof/>
          <w:vertAlign w:val="superscript"/>
        </w:rPr>
        <w:footnoteReference w:id="1"/>
      </w:r>
      <w:r>
        <w:rPr>
          <w:rFonts w:ascii="Times New Roman" w:hAnsi="Times New Roman"/>
          <w:noProof/>
          <w:sz w:val="24"/>
          <w:szCs w:val="24"/>
        </w:rPr>
        <w:t xml:space="preserve"> została zawarta między Unią Europejską, Danią jako samodzielną stroną i trzema z czterech członków Europejskiego Stowarzyszenia Wolnego Handlu (Szwajcarią, Norwegią i Islandią, zwanymi dalej „państwami EFTA”)</w:t>
      </w:r>
      <w:r>
        <w:rPr>
          <w:noProof/>
          <w:vertAlign w:val="superscript"/>
        </w:rPr>
        <w:footnoteReference w:id="2"/>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W Unii obszar jurysdykcji oraz uznawania i wykonywania orzeczeń sądowych w sprawach cywilnych i handlowych jest regulowany rozporządzeniem (UE) nr 1215/2012 (rozporządzenie Bruksela Ia, wersja przekształcona). Konwencja lugańska odzwierciedla wcześniejsze prawo Unii w tej dziedzinie (rozporządzenie Rady (WE) nr 44/2001). </w:t>
      </w:r>
    </w:p>
    <w:p>
      <w:pPr>
        <w:jc w:val="both"/>
        <w:rPr>
          <w:rFonts w:ascii="Times New Roman" w:hAnsi="Times New Roman" w:cs="Times New Roman"/>
          <w:noProof/>
          <w:sz w:val="24"/>
          <w:szCs w:val="24"/>
        </w:rPr>
      </w:pPr>
      <w:r>
        <w:rPr>
          <w:rFonts w:ascii="Times New Roman" w:hAnsi="Times New Roman"/>
          <w:noProof/>
          <w:sz w:val="24"/>
          <w:szCs w:val="24"/>
        </w:rPr>
        <w:t>Konwencja lugańska jest „podwójną konwencją”, regulującą zarówno jurysdykcję międzynarodową (tj. kwestię, czy sąd jest właściwy do rozpoznania sprawy transgranicznej), jak i uznawanie i wykonywanie zagranicznych orzeczeń sądowych w sprawach cywilnych i handlowych.</w:t>
      </w:r>
    </w:p>
    <w:p>
      <w:pPr>
        <w:jc w:val="both"/>
        <w:rPr>
          <w:rFonts w:ascii="Times New Roman" w:hAnsi="Times New Roman" w:cs="Times New Roman"/>
          <w:noProof/>
          <w:sz w:val="24"/>
          <w:szCs w:val="24"/>
        </w:rPr>
      </w:pPr>
      <w:r>
        <w:rPr>
          <w:rFonts w:ascii="Times New Roman" w:hAnsi="Times New Roman"/>
          <w:noProof/>
          <w:sz w:val="24"/>
          <w:szCs w:val="24"/>
        </w:rPr>
        <w:t>Konwencja jest otwarta dla przyszłych członków EFTA i państw członkowskich UE w odniesieniu do niektórych ich terytoriów pozaeuropejskich. Zgodnie z art. 70–72 konwencji lugańskiej przystąpienie do konwencji każdego innego państwa wymaga złożenia u depozytariusza wniosku, który przekazywany jest umawiającym się stronom. Umawiające się strony starają się wyrazić zgodę najpóźniej w ciągu jednego roku od przekazania stosownego wezwania przez depozytariusza</w:t>
      </w:r>
      <w:r>
        <w:rPr>
          <w:noProof/>
          <w:vertAlign w:val="superscript"/>
        </w:rPr>
        <w:footnoteReference w:id="3"/>
      </w:r>
      <w:r>
        <w:rPr>
          <w:rFonts w:ascii="Times New Roman" w:hAnsi="Times New Roman"/>
          <w:noProof/>
          <w:sz w:val="24"/>
          <w:szCs w:val="24"/>
        </w:rPr>
        <w:t>. Jedynie w przypadku jednomyślnej zgody umawiających się stron depozytariusz zaprasza to państwo do przystąpienia do konwencji lugańskiej. Po złożeniu dokumentu przystąpienia umawiające się strony nadal mogą zgłosić sprzeciw w określonym terminie. Konwencja wchodzi w życie jedynie między państwem przystępującym a tymi umawiającymi się stronami, które nie wniosły sprzeciwu przed pierwszym dniem trzeciego miesiąca następującego po złożeniu dokumentu przystąpienia.</w:t>
      </w:r>
    </w:p>
    <w:p>
      <w:pPr>
        <w:jc w:val="both"/>
        <w:rPr>
          <w:rFonts w:ascii="Times New Roman" w:hAnsi="Times New Roman" w:cs="Times New Roman"/>
          <w:noProof/>
          <w:sz w:val="24"/>
          <w:szCs w:val="24"/>
        </w:rPr>
      </w:pPr>
      <w:r>
        <w:rPr>
          <w:rFonts w:ascii="Times New Roman" w:hAnsi="Times New Roman"/>
          <w:noProof/>
          <w:sz w:val="24"/>
          <w:szCs w:val="24"/>
        </w:rPr>
        <w:t xml:space="preserve">Kompetencje zewnętrzne do zawarcia konwencji lugańskiej z 2007 r., a tym samym do wyrażenia zgody na przystąpienie nowej strony i wniesienia sprzeciwu wobec wejścia w życie konwencji między Unią a nową stroną, leżą wyłącznie w gestii Unii Europejskiej. </w:t>
      </w:r>
    </w:p>
    <w:p>
      <w:pPr>
        <w:rPr>
          <w:rFonts w:ascii="Times New Roman" w:hAnsi="Times New Roman" w:cs="Times New Roman"/>
          <w:b/>
          <w:noProof/>
          <w:sz w:val="24"/>
          <w:szCs w:val="24"/>
        </w:rPr>
      </w:pPr>
      <w:r>
        <w:rPr>
          <w:rFonts w:ascii="Times New Roman" w:hAnsi="Times New Roman"/>
          <w:b/>
          <w:noProof/>
          <w:sz w:val="24"/>
          <w:szCs w:val="24"/>
        </w:rPr>
        <w:t xml:space="preserve">1.2 Wniosek Zjednoczonego Królestwa </w:t>
      </w:r>
    </w:p>
    <w:p>
      <w:pPr>
        <w:jc w:val="both"/>
        <w:rPr>
          <w:rFonts w:ascii="Times New Roman" w:hAnsi="Times New Roman" w:cs="Times New Roman"/>
          <w:noProof/>
          <w:sz w:val="24"/>
          <w:szCs w:val="24"/>
        </w:rPr>
      </w:pPr>
      <w:r>
        <w:rPr>
          <w:rFonts w:ascii="Times New Roman" w:hAnsi="Times New Roman"/>
          <w:noProof/>
          <w:sz w:val="24"/>
          <w:szCs w:val="24"/>
        </w:rPr>
        <w:t xml:space="preserve">Konwencja lugańska miała zastosowanie do Zjednoczonego Królestwa Wielkiej Brytanii i Irlandii Północnej („Zjednoczone Królestwo”) do dnia 31 stycznia 2020 r. w związku z członkostwem tego państwa w UE. UE powiadomiła pozostałe strony konwencji lugańskiej, że w okresie przejściowym, który zakończył się w dniu 31 grudnia 2020 r., Zjednoczone </w:t>
      </w:r>
      <w:r>
        <w:rPr>
          <w:rFonts w:ascii="Times New Roman" w:hAnsi="Times New Roman"/>
          <w:noProof/>
          <w:sz w:val="24"/>
          <w:szCs w:val="24"/>
        </w:rPr>
        <w:lastRenderedPageBreak/>
        <w:t>Królestwo ma być traktowane jak państwo członkowskie do celów umów międzynarodowych, których Unia była stroną, w tym konwencji lugańskiej</w:t>
      </w:r>
      <w:r>
        <w:rPr>
          <w:rStyle w:val="FootnoteReference"/>
          <w:rFonts w:ascii="Times New Roman" w:hAnsi="Times New Roman" w:cs="Times New Roman"/>
          <w:b w:val="0"/>
          <w:iCs/>
          <w:noProof/>
          <w:sz w:val="24"/>
          <w:szCs w:val="24"/>
        </w:rPr>
        <w:footnoteReference w:id="4"/>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W dniu 8 kwietnia 2020 r. Zjednoczone Królestwo złożyło wniosek o przystąpienie do konwencji lugańskiej z 2007 r. jako samodzielna strona. Wniosek ten został złożony u depozytariusza konwencji lugańskiej</w:t>
      </w:r>
      <w:r>
        <w:rPr>
          <w:rStyle w:val="FootnoteReference"/>
          <w:rFonts w:ascii="Times New Roman" w:hAnsi="Times New Roman" w:cs="Times New Roman"/>
          <w:b w:val="0"/>
          <w:noProof/>
          <w:sz w:val="24"/>
          <w:szCs w:val="24"/>
        </w:rPr>
        <w:footnoteReference w:id="5"/>
      </w:r>
      <w:r>
        <w:rPr>
          <w:rFonts w:ascii="Times New Roman" w:hAnsi="Times New Roman"/>
          <w:noProof/>
          <w:sz w:val="24"/>
          <w:szCs w:val="24"/>
        </w:rPr>
        <w:t>. Zjednoczone Królestwo zaproponowało rozszerzenie zakresu stosowania konwencji na Gibraltar</w:t>
      </w:r>
      <w:r>
        <w:rPr>
          <w:rStyle w:val="FootnoteReference"/>
          <w:rFonts w:ascii="Times New Roman" w:hAnsi="Times New Roman" w:cs="Times New Roman"/>
          <w:b w:val="0"/>
          <w:noProof/>
          <w:sz w:val="24"/>
          <w:szCs w:val="24"/>
        </w:rPr>
        <w:footnoteReference w:id="6"/>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Pismem z dnia 14 kwietnia 2020 r. depozytariusz oficjalnie przekazał wniosek i związane z nim informacje umawiającym się stronom konwencji lugańskiej, w tym Unii Europejskiej, reprezentowanej przez Komisję Europejską.</w:t>
      </w:r>
    </w:p>
    <w:p>
      <w:pPr>
        <w:jc w:val="both"/>
        <w:rPr>
          <w:rFonts w:ascii="Times New Roman" w:hAnsi="Times New Roman" w:cs="Times New Roman"/>
          <w:noProof/>
          <w:sz w:val="24"/>
          <w:szCs w:val="24"/>
        </w:rPr>
      </w:pPr>
    </w:p>
    <w:p>
      <w:pPr>
        <w:pStyle w:val="ListParagraph"/>
        <w:numPr>
          <w:ilvl w:val="0"/>
          <w:numId w:val="1"/>
        </w:numPr>
        <w:spacing w:line="240" w:lineRule="auto"/>
        <w:jc w:val="both"/>
        <w:rPr>
          <w:rFonts w:ascii="Times New Roman" w:hAnsi="Times New Roman" w:cs="Times New Roman"/>
          <w:b/>
          <w:iCs/>
          <w:noProof/>
          <w:sz w:val="24"/>
          <w:szCs w:val="24"/>
        </w:rPr>
      </w:pPr>
      <w:r>
        <w:rPr>
          <w:rFonts w:ascii="Times New Roman" w:hAnsi="Times New Roman"/>
          <w:b/>
          <w:iCs/>
          <w:noProof/>
          <w:sz w:val="24"/>
          <w:szCs w:val="24"/>
        </w:rPr>
        <w:t xml:space="preserve">ANALIZA KOMISJI </w:t>
      </w:r>
    </w:p>
    <w:p>
      <w:pPr>
        <w:jc w:val="both"/>
        <w:rPr>
          <w:rFonts w:ascii="Times New Roman" w:hAnsi="Times New Roman" w:cs="Times New Roman"/>
          <w:noProof/>
          <w:sz w:val="24"/>
          <w:szCs w:val="24"/>
        </w:rPr>
      </w:pPr>
      <w:r>
        <w:rPr>
          <w:rFonts w:ascii="Times New Roman" w:hAnsi="Times New Roman"/>
          <w:noProof/>
          <w:sz w:val="24"/>
          <w:szCs w:val="24"/>
        </w:rPr>
        <w:t>Ze względu na charakter konwencji lugańskiej (zob. sekcja 2.1 poniżej) oraz istniejące ramy współpracy sądowej z państwami trzecimi (zob. sekcja 2.2 poniżej), Komisja uważa, że UE nie powinna wyrazić zgody na przystąpienie Zjednoczonego Królestwa do konwencji lugańskiej.</w:t>
      </w:r>
    </w:p>
    <w:p>
      <w:pPr>
        <w:rPr>
          <w:rFonts w:ascii="Times New Roman" w:hAnsi="Times New Roman" w:cs="Times New Roman"/>
          <w:b/>
          <w:noProof/>
          <w:sz w:val="24"/>
          <w:szCs w:val="24"/>
        </w:rPr>
      </w:pPr>
      <w:r>
        <w:rPr>
          <w:rFonts w:ascii="Times New Roman" w:hAnsi="Times New Roman"/>
          <w:b/>
          <w:noProof/>
          <w:sz w:val="24"/>
          <w:szCs w:val="24"/>
        </w:rPr>
        <w:t xml:space="preserve">2.1 Charakter konwencji lugańskiej </w:t>
      </w:r>
    </w:p>
    <w:p>
      <w:pPr>
        <w:jc w:val="both"/>
        <w:rPr>
          <w:rFonts w:ascii="Times New Roman" w:hAnsi="Times New Roman" w:cs="Times New Roman"/>
          <w:iCs/>
          <w:noProof/>
          <w:sz w:val="24"/>
          <w:szCs w:val="24"/>
        </w:rPr>
      </w:pPr>
      <w:r>
        <w:rPr>
          <w:rFonts w:ascii="Times New Roman" w:hAnsi="Times New Roman"/>
          <w:noProof/>
          <w:sz w:val="24"/>
          <w:szCs w:val="24"/>
        </w:rPr>
        <w:t>Konwencja lugańska odzwierciedla unijne przepisy dotyczące jurysdykcji międzynarodowej i jej quasi-automatyczny system uznawania i wykonywania orzeczeń sądowych w sprawach cywilnych i handlowych</w:t>
      </w:r>
      <w:r>
        <w:rPr>
          <w:rFonts w:ascii="Times New Roman" w:hAnsi="Times New Roman" w:cs="Times New Roman"/>
          <w:noProof/>
          <w:sz w:val="24"/>
          <w:szCs w:val="24"/>
          <w:vertAlign w:val="superscript"/>
        </w:rPr>
        <w:footnoteReference w:id="7"/>
      </w:r>
      <w:r>
        <w:rPr>
          <w:rFonts w:ascii="Times New Roman" w:hAnsi="Times New Roman"/>
          <w:noProof/>
          <w:sz w:val="24"/>
          <w:szCs w:val="24"/>
        </w:rPr>
        <w:t xml:space="preserve"> wobec państw EFTA. Rozszerza ona zatem korzyści płynące z unijnych ram uznawania i wykonywania orzeczeń na te państwa, a także na państwa członkowskie UE w odniesieniu do państw EFTA.</w:t>
      </w:r>
      <w:r>
        <w:rPr>
          <w:rFonts w:ascii="Times New Roman" w:hAnsi="Times New Roman"/>
          <w:iCs/>
          <w:noProof/>
          <w:sz w:val="24"/>
          <w:szCs w:val="24"/>
        </w:rPr>
        <w:t xml:space="preserve"> W</w:t>
      </w:r>
      <w:r>
        <w:rPr>
          <w:rFonts w:ascii="Times New Roman" w:hAnsi="Times New Roman"/>
          <w:noProof/>
          <w:sz w:val="24"/>
          <w:szCs w:val="24"/>
        </w:rPr>
        <w:t> </w:t>
      </w:r>
      <w:r>
        <w:rPr>
          <w:rFonts w:ascii="Times New Roman" w:hAnsi="Times New Roman"/>
          <w:iCs/>
          <w:noProof/>
          <w:sz w:val="24"/>
          <w:szCs w:val="24"/>
        </w:rPr>
        <w:t>rezultacie znacznie ułatwia ona dostęp orzeczeń cywilnych państw EFTA do unijnej przestrzeni sprawiedliwości w sprawach cywilnych i handlowych oraz odwrotnie.</w:t>
      </w:r>
    </w:p>
    <w:p>
      <w:pPr>
        <w:jc w:val="both"/>
        <w:rPr>
          <w:rFonts w:ascii="Times New Roman" w:hAnsi="Times New Roman" w:cs="Times New Roman"/>
          <w:noProof/>
          <w:sz w:val="24"/>
          <w:szCs w:val="24"/>
        </w:rPr>
      </w:pPr>
      <w:r>
        <w:rPr>
          <w:rFonts w:ascii="Times New Roman" w:hAnsi="Times New Roman"/>
          <w:noProof/>
          <w:sz w:val="24"/>
          <w:szCs w:val="24"/>
        </w:rPr>
        <w:t xml:space="preserve">Konwencja lugańska stanowi zasadniczy element wspólnej przestrzeni sprawiedliwości i jest </w:t>
      </w:r>
      <w:r>
        <w:rPr>
          <w:rFonts w:ascii="Times New Roman" w:hAnsi="Times New Roman"/>
          <w:b/>
          <w:noProof/>
          <w:sz w:val="24"/>
          <w:szCs w:val="24"/>
        </w:rPr>
        <w:t>środkiem wspomagającym stosunki gospodarcze UE z państwami EFTA/EOG</w:t>
      </w:r>
      <w:r>
        <w:rPr>
          <w:rFonts w:ascii="Times New Roman" w:hAnsi="Times New Roman"/>
          <w:noProof/>
          <w:sz w:val="24"/>
          <w:szCs w:val="24"/>
        </w:rPr>
        <w:t>. Stosunki te z Norwegią i Islandią opierają się na Porozumieniu EOG</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które skupia państwa członkowskie UE oraz państwa EFTA/EOG</w:t>
      </w:r>
      <w:r>
        <w:rPr>
          <w:rStyle w:val="FootnoteReference"/>
          <w:rFonts w:ascii="Times New Roman" w:hAnsi="Times New Roman" w:cs="Times New Roman"/>
          <w:b w:val="0"/>
          <w:noProof/>
          <w:sz w:val="24"/>
          <w:szCs w:val="24"/>
        </w:rPr>
        <w:footnoteReference w:id="9"/>
      </w:r>
      <w:r>
        <w:rPr>
          <w:rFonts w:ascii="Times New Roman" w:hAnsi="Times New Roman"/>
          <w:noProof/>
          <w:sz w:val="24"/>
          <w:szCs w:val="24"/>
        </w:rPr>
        <w:t xml:space="preserve"> na rynku wewnętrznym. </w:t>
      </w:r>
      <w:r>
        <w:rPr>
          <w:rFonts w:ascii="Times New Roman" w:hAnsi="Times New Roman"/>
          <w:noProof/>
          <w:sz w:val="24"/>
          <w:szCs w:val="24"/>
          <w:shd w:val="clear" w:color="auto" w:fill="FFFFFF"/>
        </w:rPr>
        <w:t>Stosunki gospodarcze i handlowe Szwajcarii z UE reguluje szereg umów dwustronnych, w których Szwajcaria zgodziła się przejąć niektóre aspekty prawodawstwa UE w zamian za dostęp do części jednolitego rynku UE.</w:t>
      </w:r>
      <w:r>
        <w:rPr>
          <w:rFonts w:ascii="Arial" w:hAnsi="Arial"/>
          <w:noProof/>
          <w:color w:val="555555"/>
          <w:sz w:val="19"/>
          <w:szCs w:val="19"/>
          <w:shd w:val="clear" w:color="auto" w:fill="FFFFFF"/>
        </w:rPr>
        <w:t xml:space="preserve"> </w:t>
      </w:r>
      <w:r>
        <w:rPr>
          <w:rFonts w:ascii="Times New Roman" w:hAnsi="Times New Roman"/>
          <w:noProof/>
          <w:sz w:val="24"/>
          <w:szCs w:val="24"/>
        </w:rPr>
        <w:t xml:space="preserve">Wszystkie obecne umawiające się strony reprezentują ten kontekst. </w:t>
      </w:r>
      <w:r>
        <w:rPr>
          <w:rFonts w:ascii="Times New Roman" w:hAnsi="Times New Roman"/>
          <w:noProof/>
          <w:sz w:val="24"/>
          <w:szCs w:val="24"/>
        </w:rPr>
        <w:lastRenderedPageBreak/>
        <w:t xml:space="preserve">Kraje te uczestniczą, przynajmniej częściowo, w rynku wewnętrznym UE, obejmującym swobodny przepływ towarów, usług, kapitału i osób. </w:t>
      </w:r>
    </w:p>
    <w:p>
      <w:pPr>
        <w:jc w:val="both"/>
        <w:rPr>
          <w:rFonts w:ascii="Times New Roman" w:hAnsi="Times New Roman" w:cs="Times New Roman"/>
          <w:noProof/>
          <w:sz w:val="24"/>
          <w:szCs w:val="24"/>
        </w:rPr>
      </w:pPr>
      <w:r>
        <w:rPr>
          <w:rFonts w:ascii="Times New Roman" w:hAnsi="Times New Roman"/>
          <w:noProof/>
          <w:sz w:val="24"/>
          <w:szCs w:val="24"/>
        </w:rPr>
        <w:t xml:space="preserve">Konwencja lugańska wspiera zatem stosunki UE z państwami trzecimi, które są </w:t>
      </w:r>
      <w:r>
        <w:rPr>
          <w:rFonts w:ascii="Times New Roman" w:hAnsi="Times New Roman"/>
          <w:b/>
          <w:noProof/>
          <w:sz w:val="24"/>
          <w:szCs w:val="24"/>
        </w:rPr>
        <w:t>szczególnie blisko zintegrowane regulacyjnie z UE</w:t>
      </w:r>
      <w:r>
        <w:rPr>
          <w:rFonts w:ascii="Times New Roman" w:hAnsi="Times New Roman"/>
          <w:noProof/>
          <w:sz w:val="24"/>
          <w:szCs w:val="24"/>
        </w:rPr>
        <w:t>, w tym poprzez dostosowanie do (pewnych części) dorobku prawnego UE. Chociaż konwencja jest co do zasady otwarta na przystąpienie „jakiegokolwiek innego państwa” na zaproszenie depozytariusza za jednomyślną zgodą umawiających się stron (zob. powyżej), nie stanowi ona odpowiednich ogólnych ram współpracy sądowej z żadnym konkretnym państwem trzecim. Nie jest ona skierowana do wszystkich państw trzecich, czego ilustracją jest fakt, że od 1988 r. (a więc od czasu zawarcia pierwszej konwencji z Lugano) jedynie Polska przystąpiła do konwencji jako państwo trzecie, ale w ramach dążenia do przystąpienia do UE. Oprócz państw EFTA/EOG żadne inne państwa trzecie nie są stronami konwencji niż państwa EFTA/EOG. Od dnia 1 stycznia 2021 r. Zjednoczone Królestwo jest państwem trzecim, które zawarło „zwykłą” umowę o wolnym handlu, ułatwiającą handel, ale niezawierającą postanowień dotyczących podstawowych wolności i polityki rynku wewnętrznego. Konwencja opiera się na wysokim poziomie wzajemnego zaufania między umawiającymi się stronami i stanowi istotną cechę wspólnej przestrzeni sprawiedliwości, współmierną do wysokiego stopnia wzajemnych powiązań gospodarczych w oparciu o stosowanie czterech swobód.</w:t>
      </w:r>
    </w:p>
    <w:p>
      <w:pPr>
        <w:rPr>
          <w:rFonts w:ascii="Times New Roman" w:hAnsi="Times New Roman" w:cs="Times New Roman"/>
          <w:b/>
          <w:noProof/>
          <w:sz w:val="24"/>
          <w:szCs w:val="24"/>
        </w:rPr>
      </w:pPr>
      <w:r>
        <w:rPr>
          <w:rFonts w:ascii="Times New Roman" w:hAnsi="Times New Roman"/>
          <w:b/>
          <w:noProof/>
          <w:sz w:val="24"/>
          <w:szCs w:val="24"/>
        </w:rPr>
        <w:t>2.2 Ramy współpracy UE w dziedzinie wymiaru sprawiedliwości w sprawach cywilnych z państwami trzecimi</w:t>
      </w:r>
    </w:p>
    <w:p>
      <w:pPr>
        <w:jc w:val="both"/>
        <w:rPr>
          <w:rFonts w:ascii="Times New Roman" w:hAnsi="Times New Roman" w:cs="Times New Roman"/>
          <w:noProof/>
          <w:sz w:val="24"/>
          <w:szCs w:val="24"/>
        </w:rPr>
      </w:pPr>
      <w:r>
        <w:rPr>
          <w:rFonts w:ascii="Times New Roman" w:hAnsi="Times New Roman"/>
          <w:noProof/>
          <w:sz w:val="24"/>
          <w:szCs w:val="24"/>
        </w:rPr>
        <w:t>Zgodnie z wieloletnim podejściem UE odpowiednie ramy współpracy z państwami trzecimi w dziedzinie współpracy sądowej w sprawach cywilnych zostały określone w wielostronnych konwencjach haskich, tj. w Konwencji o umowach dotyczących właściwości sądu z 2005 r.</w:t>
      </w:r>
      <w:r>
        <w:rPr>
          <w:rStyle w:val="FootnoteReference"/>
          <w:rFonts w:ascii="Times New Roman" w:hAnsi="Times New Roman" w:cs="Times New Roman"/>
          <w:b w:val="0"/>
          <w:noProof/>
          <w:sz w:val="24"/>
          <w:szCs w:val="24"/>
        </w:rPr>
        <w:footnoteReference w:id="10"/>
      </w:r>
      <w:r>
        <w:rPr>
          <w:rFonts w:ascii="Times New Roman" w:hAnsi="Times New Roman"/>
          <w:noProof/>
          <w:sz w:val="24"/>
          <w:szCs w:val="24"/>
        </w:rPr>
        <w:t xml:space="preserve"> i w Konwencji z 2019 r. o uznawaniu i wykonywaniu zagranicznych orzeczeń w sprawach cywilnych i handlowych</w:t>
      </w:r>
      <w:r>
        <w:rPr>
          <w:rFonts w:ascii="Times New Roman" w:hAnsi="Times New Roman" w:cs="Times New Roman"/>
          <w:noProof/>
          <w:sz w:val="24"/>
          <w:szCs w:val="24"/>
          <w:vertAlign w:val="superscript"/>
        </w:rPr>
        <w:footnoteReference w:id="11"/>
      </w:r>
      <w:r>
        <w:rPr>
          <w:rFonts w:ascii="Times New Roman" w:hAnsi="Times New Roman"/>
          <w:noProof/>
          <w:sz w:val="24"/>
          <w:szCs w:val="24"/>
        </w:rPr>
        <w:t>. UE zawarła Konwencję o umowach dotyczących właściwości sądu z 2005 r.</w:t>
      </w:r>
      <w:r>
        <w:rPr>
          <w:rFonts w:ascii="Times New Roman" w:hAnsi="Times New Roman" w:cs="Times New Roman"/>
          <w:noProof/>
          <w:sz w:val="24"/>
          <w:szCs w:val="24"/>
          <w:vertAlign w:val="superscript"/>
        </w:rPr>
        <w:footnoteReference w:id="12"/>
      </w:r>
      <w:r>
        <w:rPr>
          <w:rFonts w:ascii="Times New Roman" w:hAnsi="Times New Roman"/>
          <w:noProof/>
          <w:sz w:val="24"/>
          <w:szCs w:val="24"/>
        </w:rPr>
        <w:t xml:space="preserve"> w 2014 r. Konwencja haska z 2005 r. o umowach dotyczących właściwości sądu jest również „podwójną konwencją”, ale ma zastosowanie wyłącznie w przypadku, gdy strony dokonały wyłącznego umownego wyboru sądu w sprawach cywilnych i handlowych. Konwencja haska z 2019 r. o uznawaniu i wykonywaniu zagranicznych orzeczeń w sprawach cywilnych i handlowych jest zwykłą konwencją regulującą jedynie uznawanie i wykonywanie orzeczeń. Nie reguluje ona bezpośredniej jurysdykcji sądów. </w:t>
      </w:r>
    </w:p>
    <w:p>
      <w:pPr>
        <w:spacing w:after="0"/>
        <w:jc w:val="both"/>
        <w:rPr>
          <w:rFonts w:ascii="Times New Roman" w:hAnsi="Times New Roman" w:cs="Times New Roman"/>
          <w:noProof/>
          <w:sz w:val="24"/>
          <w:szCs w:val="24"/>
        </w:rPr>
      </w:pPr>
      <w:r>
        <w:rPr>
          <w:rFonts w:ascii="Times New Roman" w:hAnsi="Times New Roman"/>
          <w:noProof/>
          <w:sz w:val="24"/>
          <w:szCs w:val="24"/>
        </w:rPr>
        <w:t>Zgodnie z tym podejściem deklaracja polityczna w sprawie ram przyszłych stosunków między Unią Europejską a Zjednoczonym Królestwem z dnia 17 października 2019 r. odnosi się do ram konwencji haskich</w:t>
      </w:r>
      <w:r>
        <w:rPr>
          <w:rStyle w:val="FootnoteReference"/>
          <w:rFonts w:ascii="Times New Roman" w:hAnsi="Times New Roman" w:cs="Times New Roman"/>
          <w:b w:val="0"/>
          <w:noProof/>
          <w:sz w:val="24"/>
          <w:szCs w:val="24"/>
        </w:rPr>
        <w:footnoteReference w:id="13"/>
      </w:r>
      <w:r>
        <w:rPr>
          <w:rFonts w:ascii="Times New Roman" w:hAnsi="Times New Roman"/>
          <w:noProof/>
          <w:sz w:val="24"/>
          <w:szCs w:val="24"/>
        </w:rPr>
        <w:t>; opcja przystąpienia Zjednoczonego Królestwa do konwencji lugańskiej nie została wymieniona ani w deklaracji politycznej, ani w żadnym innym wspólnym dokumencie UE i Zjednoczonego Królestwa dotyczącym ram przyszłych stosunków. Nie jest ona również wymieniona w Umowie o handlu i współpracy między Unią Europejską i Europejską Wspólnotą Energii Atomowej, z jednej strony, a Zjednoczonym Królestwem, z drugiej strony, która została uzgodniona w dniu 24 grudnia 2020 r. i jest tymczasowo stosowana od dnia 1 stycznia 2021 r.</w:t>
      </w:r>
      <w:r>
        <w:rPr>
          <w:rStyle w:val="FootnoteReference"/>
          <w:rFonts w:ascii="Times New Roman" w:hAnsi="Times New Roman" w:cs="Times New Roman"/>
          <w:b w:val="0"/>
          <w:noProof/>
          <w:sz w:val="24"/>
          <w:szCs w:val="24"/>
        </w:rPr>
        <w:footnoteReference w:id="14"/>
      </w:r>
    </w:p>
    <w:p>
      <w:pPr>
        <w:jc w:val="both"/>
        <w:rPr>
          <w:rFonts w:ascii="Times New Roman" w:hAnsi="Times New Roman" w:cs="Times New Roman"/>
          <w:noProof/>
          <w:sz w:val="24"/>
          <w:szCs w:val="24"/>
        </w:rPr>
      </w:pPr>
      <w:r>
        <w:rPr>
          <w:noProof/>
        </w:rPr>
        <w:t xml:space="preserve"> </w:t>
      </w:r>
      <w:r>
        <w:rPr>
          <w:noProof/>
        </w:rPr>
        <w:br/>
      </w:r>
      <w:r>
        <w:rPr>
          <w:rFonts w:ascii="Times New Roman" w:hAnsi="Times New Roman"/>
          <w:iCs/>
          <w:noProof/>
          <w:sz w:val="24"/>
          <w:szCs w:val="24"/>
        </w:rPr>
        <w:t>Przed zakończeniem okresu przejściowego Konwencja o umowach dotyczących właściwości sądu z 2005 miała zastosowanie w Zjednoczonym Królestwie na podstawie jego członkostwa w UE, a następnie na podstawie okresu przejściowego przewidzianego w umowie o wystąpieniu. Od dnia 1 stycznia 2021 r. Zjednoczone Królestwo jest samodzielną stroną</w:t>
      </w:r>
      <w:r>
        <w:rPr>
          <w:rStyle w:val="FootnoteReference"/>
          <w:rFonts w:ascii="Times New Roman" w:hAnsi="Times New Roman" w:cs="Times New Roman"/>
          <w:b w:val="0"/>
          <w:iCs/>
          <w:noProof/>
          <w:sz w:val="24"/>
          <w:szCs w:val="24"/>
        </w:rPr>
        <w:footnoteReference w:id="15"/>
      </w:r>
      <w:r>
        <w:rPr>
          <w:rFonts w:ascii="Times New Roman" w:hAnsi="Times New Roman"/>
          <w:iCs/>
          <w:noProof/>
          <w:sz w:val="24"/>
          <w:szCs w:val="24"/>
        </w:rPr>
        <w:t xml:space="preserve"> tej konwencji</w:t>
      </w:r>
      <w:r>
        <w:rPr>
          <w:rFonts w:ascii="Times New Roman" w:hAnsi="Times New Roman" w:cs="Times New Roman"/>
          <w:iCs/>
          <w:noProof/>
          <w:sz w:val="24"/>
          <w:szCs w:val="24"/>
          <w:vertAlign w:val="superscript"/>
        </w:rPr>
        <w:footnoteReference w:id="16"/>
      </w:r>
      <w:r>
        <w:rPr>
          <w:rFonts w:ascii="Times New Roman" w:hAnsi="Times New Roman"/>
          <w:iCs/>
          <w:noProof/>
          <w:sz w:val="24"/>
          <w:szCs w:val="24"/>
        </w:rPr>
        <w:t xml:space="preserve">. Konwencja ta reguluje zatem objęte jej zakresem stosunki między UE a Zjednoczonym Królestwem. Komisja zamierza zaproponować w najbliższej przyszłości zawarcie przez UE konwencji haskiej z 2019 r. o uznawaniu i wykonywaniu zagranicznych orzeczeń w sprawach cywilnych i handlowych. W przypadku przystąpienia Zjednoczonego Królestwa do tej konwencji właśnie ona stanowiłaby podstawę przyszłej współpracy sądowej z UE. </w:t>
      </w:r>
    </w:p>
    <w:p>
      <w:pPr>
        <w:spacing w:after="120" w:line="240" w:lineRule="auto"/>
        <w:ind w:left="-68"/>
        <w:jc w:val="both"/>
        <w:rPr>
          <w:rFonts w:ascii="Times New Roman" w:hAnsi="Times New Roman" w:cs="Times New Roman"/>
          <w:iCs/>
          <w:noProof/>
          <w:sz w:val="24"/>
          <w:szCs w:val="24"/>
        </w:rPr>
      </w:pPr>
      <w:r>
        <w:rPr>
          <w:rFonts w:ascii="Times New Roman" w:hAnsi="Times New Roman"/>
          <w:iCs/>
          <w:noProof/>
          <w:sz w:val="24"/>
          <w:szCs w:val="24"/>
        </w:rPr>
        <w:t xml:space="preserve"> </w:t>
      </w:r>
    </w:p>
    <w:p>
      <w:pPr>
        <w:pStyle w:val="ListParagraph"/>
        <w:numPr>
          <w:ilvl w:val="0"/>
          <w:numId w:val="1"/>
        </w:numPr>
        <w:rPr>
          <w:rFonts w:ascii="Times New Roman" w:hAnsi="Times New Roman" w:cs="Times New Roman"/>
          <w:b/>
          <w:noProof/>
          <w:sz w:val="24"/>
          <w:szCs w:val="24"/>
        </w:rPr>
      </w:pPr>
      <w:r>
        <w:rPr>
          <w:rFonts w:ascii="Times New Roman" w:hAnsi="Times New Roman"/>
          <w:b/>
          <w:noProof/>
          <w:sz w:val="24"/>
          <w:szCs w:val="24"/>
        </w:rPr>
        <w:t>WNIOSKI</w:t>
      </w:r>
    </w:p>
    <w:p>
      <w:pPr>
        <w:jc w:val="both"/>
        <w:rPr>
          <w:rFonts w:ascii="Times New Roman" w:hAnsi="Times New Roman" w:cs="Times New Roman"/>
          <w:noProof/>
          <w:sz w:val="24"/>
          <w:szCs w:val="24"/>
        </w:rPr>
      </w:pPr>
      <w:r>
        <w:rPr>
          <w:rFonts w:ascii="Times New Roman" w:hAnsi="Times New Roman"/>
          <w:noProof/>
          <w:sz w:val="24"/>
          <w:szCs w:val="24"/>
        </w:rPr>
        <w:t>W świetle powyższych ustaleń Komisja jest zdania, że Unia Europejska nie powinna wyrażać zgody na przystąpienie Zjednoczonego Królestwa do konwencji lugańskiej z 2007 r. Dla Unii Europejskiej konwencja lugańska stanowi środek wspomagający rynek wewnętrzny i odnosi się do kontekstu UE-EFTA/EOG. W odniesieniu do wszystkich pozostałych państw trzecich spójna polityka Unii Europejskiej polega na promowaniu współpracy w ramach wielostronnych konwencji haskich. Zjednoczone Królestwo jest państwem trzecim, które nie ma specjalnego związku z rynkiem wewnętrznym. Nie ma zatem powodu, aby Unia Europejska odchodziła w odniesieniu do Zjednoczonego Królestwa od swojego podejścia ogólnego. W związku z tym ramy przyszłej współpracy między Unią Europejską a Zjednoczonym Królestwem w dziedzinie współpracy sądowej w sprawach cywilnych powinny opierać się na konwencjach haskich.</w:t>
      </w:r>
    </w:p>
    <w:p>
      <w:pPr>
        <w:jc w:val="both"/>
        <w:rPr>
          <w:rFonts w:ascii="Times New Roman" w:hAnsi="Times New Roman" w:cs="Times New Roman"/>
          <w:noProof/>
          <w:sz w:val="24"/>
          <w:szCs w:val="24"/>
        </w:rPr>
      </w:pPr>
      <w:r>
        <w:rPr>
          <w:rFonts w:ascii="Times New Roman" w:hAnsi="Times New Roman"/>
          <w:noProof/>
          <w:sz w:val="24"/>
          <w:szCs w:val="24"/>
        </w:rPr>
        <w:t>Zainteresowane strony, a w szczególności specjaliści zajmujący się transgranicznymi sprawami umownymi z udziałem Unii Europejskiej, powinni brać to pod uwagę przy wyborze jurysdykcji międzynarodowej</w:t>
      </w:r>
      <w:r>
        <w:rPr>
          <w:rFonts w:ascii="Times New Roman" w:hAnsi="Times New Roman" w:cs="Times New Roman"/>
          <w:noProof/>
          <w:vertAlign w:val="superscript"/>
        </w:rPr>
        <w:footnoteReference w:id="17"/>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W niniejszym komunikacie Komisja informuje Parlament Europejski i Radę o swojej ocenie i daje im możliwość wyrażenia swoich opinii, zanim poinformuje depozytariusza konwencji lugańskiej. </w:t>
      </w:r>
    </w:p>
    <w:p>
      <w:pPr>
        <w:pStyle w:val="ListParagraph"/>
        <w:ind w:left="360"/>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9302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180" w:hanging="180"/>
        <w:rPr>
          <w:szCs w:val="24"/>
        </w:rPr>
      </w:pPr>
      <w:r>
        <w:rPr>
          <w:rStyle w:val="FootnoteReference"/>
          <w:b w:val="0"/>
        </w:rPr>
        <w:footnoteRef/>
      </w:r>
      <w:r>
        <w:rPr>
          <w:b/>
        </w:rPr>
        <w:t xml:space="preserve"> </w:t>
      </w:r>
      <w:r>
        <w:rPr>
          <w:sz w:val="20"/>
        </w:rPr>
        <w:t>Jej poprzedniczką była konwencja lugańska z 1988 r.</w:t>
      </w:r>
    </w:p>
  </w:footnote>
  <w:footnote w:id="2">
    <w:p>
      <w:pPr>
        <w:pStyle w:val="FootnoteText"/>
        <w:ind w:left="180" w:hanging="180"/>
        <w:rPr>
          <w:szCs w:val="24"/>
        </w:rPr>
      </w:pPr>
      <w:r>
        <w:rPr>
          <w:rStyle w:val="FootnoteReference"/>
          <w:b w:val="0"/>
          <w:szCs w:val="24"/>
        </w:rPr>
        <w:footnoteRef/>
      </w:r>
      <w:r>
        <w:rPr>
          <w:b/>
          <w:szCs w:val="24"/>
        </w:rPr>
        <w:t xml:space="preserve"> </w:t>
      </w:r>
      <w:r>
        <w:t xml:space="preserve">Liechtenstein nie jest stroną konwencji lugańskiej. </w:t>
      </w:r>
    </w:p>
  </w:footnote>
  <w:footnote w:id="3">
    <w:p>
      <w:pPr>
        <w:pStyle w:val="FootnoteText"/>
        <w:ind w:left="180" w:hanging="180"/>
        <w:rPr>
          <w:sz w:val="20"/>
        </w:rPr>
      </w:pPr>
      <w:r>
        <w:rPr>
          <w:rStyle w:val="FootnoteReference"/>
          <w:b w:val="0"/>
          <w:szCs w:val="24"/>
        </w:rPr>
        <w:footnoteRef/>
      </w:r>
      <w:r>
        <w:rPr>
          <w:b/>
          <w:szCs w:val="24"/>
        </w:rPr>
        <w:t xml:space="preserve"> </w:t>
      </w:r>
      <w:r>
        <w:rPr>
          <w:sz w:val="20"/>
        </w:rPr>
        <w:t xml:space="preserve">Nie jest to wiążący termin. </w:t>
      </w:r>
    </w:p>
  </w:footnote>
  <w:footnote w:id="4">
    <w:p>
      <w:pPr>
        <w:pStyle w:val="FootnoteText"/>
        <w:ind w:left="180" w:hanging="180"/>
        <w:rPr>
          <w:szCs w:val="24"/>
        </w:rPr>
      </w:pPr>
      <w:r>
        <w:rPr>
          <w:rStyle w:val="FootnoteReference"/>
          <w:b w:val="0"/>
          <w:szCs w:val="24"/>
        </w:rPr>
        <w:footnoteRef/>
      </w:r>
      <w:r>
        <w:t xml:space="preserve"> Por. art. 129 ust. 1 Umowy o wystąpieniu Zjednoczonego Królestwa Wielkiej Brytanii i Irlandii Północnej z Unii Europejskiej i Europejskiej Wspólnoty Energii Atomowej.</w:t>
      </w:r>
    </w:p>
  </w:footnote>
  <w:footnote w:id="5">
    <w:p>
      <w:pPr>
        <w:pStyle w:val="FootnoteText"/>
        <w:ind w:left="180" w:hanging="180"/>
        <w:rPr>
          <w:sz w:val="20"/>
        </w:rPr>
      </w:pPr>
      <w:r>
        <w:rPr>
          <w:rStyle w:val="FootnoteReference"/>
          <w:b w:val="0"/>
          <w:sz w:val="20"/>
        </w:rPr>
        <w:footnoteRef/>
      </w:r>
      <w:r>
        <w:rPr>
          <w:sz w:val="20"/>
        </w:rPr>
        <w:t xml:space="preserve"> Szwajcarska Rada Związkowa</w:t>
      </w:r>
    </w:p>
  </w:footnote>
  <w:footnote w:id="6">
    <w:p>
      <w:pPr>
        <w:pStyle w:val="FootnoteText"/>
        <w:ind w:left="180" w:hanging="180"/>
        <w:rPr>
          <w:sz w:val="20"/>
        </w:rPr>
      </w:pPr>
      <w:r>
        <w:rPr>
          <w:rStyle w:val="FootnoteReference"/>
          <w:b w:val="0"/>
          <w:sz w:val="20"/>
        </w:rPr>
        <w:footnoteRef/>
      </w:r>
      <w:r>
        <w:rPr>
          <w:sz w:val="20"/>
        </w:rPr>
        <w:t xml:space="preserve"> Podczas członkostwa Zjednoczonego Królestwa w UE konwencja lugańska miała zastosowanie do Gibraltaru. </w:t>
      </w:r>
    </w:p>
  </w:footnote>
  <w:footnote w:id="7">
    <w:p>
      <w:pPr>
        <w:pStyle w:val="FootnoteText"/>
        <w:ind w:left="180" w:hanging="180"/>
        <w:rPr>
          <w:sz w:val="20"/>
        </w:rPr>
      </w:pPr>
      <w:r>
        <w:rPr>
          <w:rStyle w:val="FootnoteReference"/>
          <w:b w:val="0"/>
          <w:sz w:val="20"/>
        </w:rPr>
        <w:footnoteRef/>
      </w:r>
      <w:r>
        <w:rPr>
          <w:sz w:val="20"/>
        </w:rPr>
        <w:t xml:space="preserve"> Nie odzwierciedla ona najnowszego stanu prawa UE wynikającego z rozporządzenia (UE) nr 1215/2012, w którym całkowicie zniesiono konieczność wszczęcia postępowania o stwierdzenie wykonalności zagranicznego orzeczenia.</w:t>
      </w:r>
    </w:p>
  </w:footnote>
  <w:footnote w:id="8">
    <w:p>
      <w:pPr>
        <w:pStyle w:val="FootnoteText"/>
        <w:ind w:left="180" w:hanging="180"/>
        <w:rPr>
          <w:sz w:val="20"/>
        </w:rPr>
      </w:pPr>
      <w:r>
        <w:rPr>
          <w:rStyle w:val="FootnoteReference"/>
          <w:b w:val="0"/>
          <w:sz w:val="20"/>
        </w:rPr>
        <w:footnoteRef/>
      </w:r>
      <w:r>
        <w:rPr>
          <w:sz w:val="20"/>
        </w:rPr>
        <w:t xml:space="preserve"> Porozumienie o Europejskim Obszarze Gospodarczym, które weszło w życie dnia 1 stycznia 1994 r. </w:t>
      </w:r>
    </w:p>
  </w:footnote>
  <w:footnote w:id="9">
    <w:p>
      <w:pPr>
        <w:pStyle w:val="FootnoteText"/>
        <w:ind w:left="180" w:hanging="180"/>
        <w:rPr>
          <w:sz w:val="20"/>
        </w:rPr>
      </w:pPr>
      <w:r>
        <w:rPr>
          <w:rStyle w:val="FootnoteReference"/>
          <w:b w:val="0"/>
          <w:sz w:val="20"/>
        </w:rPr>
        <w:footnoteRef/>
      </w:r>
      <w:r>
        <w:rPr>
          <w:sz w:val="20"/>
        </w:rPr>
        <w:t xml:space="preserve"> Islandia, Liechtenstein i Norwegia.</w:t>
      </w:r>
    </w:p>
  </w:footnote>
  <w:footnote w:id="10">
    <w:p>
      <w:pPr>
        <w:pStyle w:val="FootnoteText"/>
        <w:ind w:left="270" w:hanging="270"/>
        <w:rPr>
          <w:sz w:val="20"/>
        </w:rPr>
      </w:pPr>
      <w:r>
        <w:rPr>
          <w:rStyle w:val="FootnoteReference"/>
          <w:b w:val="0"/>
          <w:sz w:val="20"/>
        </w:rPr>
        <w:footnoteRef/>
      </w:r>
      <w:r>
        <w:rPr>
          <w:sz w:val="20"/>
        </w:rPr>
        <w:t xml:space="preserve"> Konwencja haska z dnia 30 czerwca 2005 r. o umowach dotyczących właściwości sądu</w:t>
      </w:r>
    </w:p>
  </w:footnote>
  <w:footnote w:id="11">
    <w:p>
      <w:pPr>
        <w:pStyle w:val="FootnoteText"/>
        <w:ind w:left="270" w:hanging="270"/>
        <w:rPr>
          <w:sz w:val="20"/>
        </w:rPr>
      </w:pPr>
      <w:r>
        <w:rPr>
          <w:rStyle w:val="FootnoteReference"/>
          <w:b w:val="0"/>
          <w:sz w:val="20"/>
        </w:rPr>
        <w:footnoteRef/>
      </w:r>
      <w:r>
        <w:rPr>
          <w:sz w:val="20"/>
        </w:rPr>
        <w:t xml:space="preserve"> Konwencja z dnia 2 lipca 2019 r. o uznawaniu i wykonywaniu zagranicznych orzeczeń w sprawach cywilnych i handlowych Podejście wielostronne powtórzono na przykład w konkluzjach Rady w sprawie przyszłości współpracy w dziedzinie wymiaru sprawiedliwości w sprawach cywilnych (Rady ds. Wymiaru Sprawiedliwości i Spraw Wewnętrznych) w grudniu 2019 r. podczas prezydencji fińskiej (2019/C 419/02, Dz.U. C 419 z 12.12.2019, s. 6). Jeśli chodzi o multilateralizm, zob. wspólny komunikat do Parlamentu Europejskiego i Rady w sprawie wzmocnienia wkładu UE w multilateralizm oparty na zasadach (JOIN(2021) 3 final z 17.2.2021). </w:t>
      </w:r>
    </w:p>
  </w:footnote>
  <w:footnote w:id="12">
    <w:p>
      <w:pPr>
        <w:pStyle w:val="FootnoteText"/>
        <w:ind w:left="270" w:hanging="270"/>
        <w:rPr>
          <w:sz w:val="22"/>
          <w:szCs w:val="22"/>
        </w:rPr>
      </w:pPr>
      <w:r>
        <w:rPr>
          <w:rStyle w:val="FootnoteReference"/>
          <w:b w:val="0"/>
          <w:sz w:val="20"/>
        </w:rPr>
        <w:footnoteRef/>
      </w:r>
      <w:r>
        <w:rPr>
          <w:sz w:val="20"/>
        </w:rPr>
        <w:t xml:space="preserve"> Decyzja Rady 2014/887/UE z 4 grudnia 2014 r. w sprawie zatwierdzenia, w imieniu Unii Europejskiej, Konwencji haskiej z 30 czerwca 2005 r. o umowach dotyczących właściwości sądu, Dz.U. L 353 z 10.12.2014, s. 5.</w:t>
      </w:r>
    </w:p>
  </w:footnote>
  <w:footnote w:id="13">
    <w:p>
      <w:pPr>
        <w:pStyle w:val="FootnoteText"/>
      </w:pPr>
      <w:r>
        <w:rPr>
          <w:rStyle w:val="FootnoteReference"/>
          <w:b w:val="0"/>
        </w:rPr>
        <w:footnoteRef/>
      </w:r>
      <w:r>
        <w:rPr>
          <w:b/>
        </w:rPr>
        <w:t xml:space="preserve"> </w:t>
      </w:r>
      <w:r>
        <w:rPr>
          <w:sz w:val="20"/>
        </w:rPr>
        <w:t>Dz.U. C 34 z 31.1.2020, s. 1.</w:t>
      </w:r>
      <w:r>
        <w:t xml:space="preserve"> </w:t>
      </w:r>
    </w:p>
  </w:footnote>
  <w:footnote w:id="14">
    <w:p>
      <w:pPr>
        <w:pStyle w:val="FootnoteText"/>
        <w:ind w:left="270" w:hanging="270"/>
        <w:rPr>
          <w:sz w:val="20"/>
        </w:rPr>
      </w:pPr>
      <w:r>
        <w:rPr>
          <w:rStyle w:val="FootnoteReference"/>
          <w:b w:val="0"/>
          <w:sz w:val="20"/>
        </w:rPr>
        <w:footnoteRef/>
      </w:r>
      <w:r>
        <w:rPr>
          <w:sz w:val="20"/>
        </w:rPr>
        <w:t xml:space="preserve"> Dz.U. L 444 z 31.12.2020, s. 14.</w:t>
      </w:r>
    </w:p>
  </w:footnote>
  <w:footnote w:id="15">
    <w:p>
      <w:pPr>
        <w:pStyle w:val="FootnoteText"/>
        <w:ind w:left="270" w:hanging="270"/>
        <w:rPr>
          <w:sz w:val="20"/>
        </w:rPr>
      </w:pPr>
      <w:r>
        <w:rPr>
          <w:rStyle w:val="FootnoteReference"/>
          <w:b w:val="0"/>
          <w:sz w:val="20"/>
        </w:rPr>
        <w:footnoteRef/>
      </w:r>
      <w:r>
        <w:rPr>
          <w:sz w:val="20"/>
        </w:rPr>
        <w:t xml:space="preserve"> Zjednoczone Królestwo rozszerzyło przystąpienie na Gibraltar.</w:t>
      </w:r>
    </w:p>
  </w:footnote>
  <w:footnote w:id="16">
    <w:p>
      <w:pPr>
        <w:pStyle w:val="FootnoteText"/>
        <w:ind w:left="270" w:hanging="270"/>
        <w:rPr>
          <w:sz w:val="20"/>
        </w:rPr>
      </w:pPr>
      <w:r>
        <w:rPr>
          <w:rStyle w:val="FootnoteReference"/>
          <w:b w:val="0"/>
          <w:sz w:val="20"/>
        </w:rPr>
        <w:footnoteRef/>
      </w:r>
      <w:r>
        <w:rPr>
          <w:sz w:val="20"/>
        </w:rPr>
        <w:t xml:space="preserve"> Konwencja haska o umowach dotyczących właściwości sądu z 2005 r. ma zastosowanie wyłącznie wtedy, gdy strony zawarły klauzulę dotyczącą jurysdykcji wyłącznej, ale nie w przypadku wyboru klauzuli asymetrycznej lub niewyłącznej lub braku klauzuli dotyczącej właściwości sądu.</w:t>
      </w:r>
    </w:p>
  </w:footnote>
  <w:footnote w:id="17">
    <w:p>
      <w:pPr>
        <w:pStyle w:val="FootnoteText"/>
        <w:ind w:left="270" w:hanging="270"/>
      </w:pPr>
      <w:r>
        <w:rPr>
          <w:rStyle w:val="FootnoteReference"/>
          <w:b w:val="0"/>
          <w:sz w:val="20"/>
        </w:rPr>
        <w:footnoteRef/>
      </w:r>
      <w:r>
        <w:rPr>
          <w:sz w:val="20"/>
        </w:rPr>
        <w:t xml:space="preserve"> Zob. zawiadomienie dla zainteresowanych stron dotyczące wystąpienia Zjednoczonego Królestwa z UE oraz przepisów UE w dziedzinie wymiaru sprawiedliwości w sprawach cywilnych i prawa prywatnego międzynarodowego, opublikowane 18 stycznia 2019 r., zaktualizowane w dniu 27 sierpnia 2020 r. i dostępne pod adresem:       https://ec.europa.eu/info/sites/info/files/file_import/civil_justice_pl_0.pdf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0074D"/>
    <w:multiLevelType w:val="hybridMultilevel"/>
    <w:tmpl w:val="720EEF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453AA5C-2932-4BA8-A329-B38458804C44"/>
    <w:docVar w:name="LW_COVERPAGE_TYPE" w:val="1"/>
    <w:docVar w:name="LW_CROSSREFERENCE" w:val="&lt;UNUSED&gt;"/>
    <w:docVar w:name="LW_DocType" w:val="NORMAL"/>
    <w:docVar w:name="LW_EMISSION" w:val="4.5.2021"/>
    <w:docVar w:name="LW_EMISSION_ISODATE" w:val="2021-05-04"/>
    <w:docVar w:name="LW_EMISSION_LOCATION" w:val="BRX"/>
    <w:docVar w:name="LW_EMISSION_PREFIX" w:val="Bruksela, dnia "/>
    <w:docVar w:name="LW_EMISSION_SUFFIX" w:val=" r."/>
    <w:docVar w:name="LW_ID_DOCTYPE_NONLW" w:val="CP-012"/>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1) 2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Calibri CE&gt;Ocena wniosku Zjednoczonego Królestwa Wielkiej Brytanii i Irlandii Pó\u322?nocnej o przyst\u261?pienie do konwencji luga\u324?skiej.&lt;/FMT&gt;_x000d__x000b__x000d__x000b_"/>
    <w:docVar w:name="LW_TYPE.DOC.CP" w:val="KOMUNIKAT KOMISJI DO PARLAMENTU EUROPEJSKIEGO I RADY"/>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fn,o,f"/>
    <w:basedOn w:val="Normal"/>
    <w:link w:val="FootnoteTextChar"/>
    <w:uiPriority w:val="99"/>
    <w:unhideWhenUsed/>
    <w:qFormat/>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fn Char"/>
    <w:basedOn w:val="DefaultParagraphFont"/>
    <w:link w:val="FootnoteText"/>
    <w:uiPriority w:val="99"/>
    <w:rPr>
      <w:rFonts w:ascii="Times New Roman" w:hAnsi="Times New Roman" w:cs="Times New Roman"/>
      <w:sz w:val="24"/>
      <w:szCs w:val="20"/>
    </w:rPr>
  </w:style>
  <w:style w:type="character" w:styleId="FootnoteReference">
    <w:name w:val="footnote reference"/>
    <w:aliases w:val="EN Footnote Reference,Times 10 Point,Exposant 3 Point,Footnote symbol,Footnote reference number,note TESI,stylish,Footnote Reference Superscript,BVI fnr,number,Voetnootverwijzing,SUPERS,Ref,de nota al pie,Footnote sign,callout"/>
    <w:basedOn w:val="DefaultParagraphFont"/>
    <w:uiPriority w:val="99"/>
    <w:unhideWhenUsed/>
    <w:qFormat/>
    <w:rPr>
      <w:b/>
      <w:bdr w:val="none" w:sz="0" w:space="0" w:color="auto"/>
      <w:shd w:val="clear" w:color="auto" w:fill="auto"/>
      <w:vertAlign w:val="superscript"/>
    </w:rPr>
  </w:style>
  <w:style w:type="paragraph" w:customStyle="1" w:styleId="Titreobjet">
    <w:name w:val="Titre objet"/>
    <w:basedOn w:val="Normal"/>
    <w:next w:val="Normal"/>
    <w:pPr>
      <w:spacing w:before="360" w:after="360" w:line="360" w:lineRule="auto"/>
      <w:jc w:val="center"/>
    </w:pPr>
    <w:rPr>
      <w:rFonts w:ascii="Times New Roman" w:hAnsi="Times New Roman" w:cs="Times New Roman"/>
      <w:b/>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M Footnotes,Fußnotentextf,Footnote,Fußnote,Char Char Car,Note de bas de page Car Car Car Car Car Car Car Car Car Car,Note de bas de page Car Car Car Car,Note de bas de page Car Car Car Car Car Car Car Car Car,ft,Footnote Text Char1,fn,o,f"/>
    <w:basedOn w:val="Normal"/>
    <w:link w:val="FootnoteTextChar"/>
    <w:uiPriority w:val="99"/>
    <w:unhideWhenUsed/>
    <w:qFormat/>
    <w:pPr>
      <w:spacing w:after="0" w:line="240" w:lineRule="auto"/>
      <w:ind w:left="720" w:hanging="720"/>
    </w:pPr>
    <w:rPr>
      <w:rFonts w:ascii="Times New Roman" w:hAnsi="Times New Roman" w:cs="Times New Roman"/>
      <w:sz w:val="24"/>
      <w:szCs w:val="20"/>
    </w:rPr>
  </w:style>
  <w:style w:type="character" w:customStyle="1" w:styleId="FootnoteTextChar">
    <w:name w:val="Footnote Text Char"/>
    <w:aliases w:val="M Footnotes Char,Fußnotentextf Char,Footnote Char,Fußnote Char,Char Char Car Char,Note de bas de page Car Car Car Car Car Car Car Car Car Car Char,Note de bas de page Car Car Car Car Char,ft Char,Footnote Text Char1 Char,fn Char"/>
    <w:basedOn w:val="DefaultParagraphFont"/>
    <w:link w:val="FootnoteText"/>
    <w:uiPriority w:val="99"/>
    <w:rPr>
      <w:rFonts w:ascii="Times New Roman" w:hAnsi="Times New Roman" w:cs="Times New Roman"/>
      <w:sz w:val="24"/>
      <w:szCs w:val="20"/>
    </w:rPr>
  </w:style>
  <w:style w:type="character" w:styleId="FootnoteReference">
    <w:name w:val="footnote reference"/>
    <w:aliases w:val="EN Footnote Reference,Times 10 Point,Exposant 3 Point,Footnote symbol,Footnote reference number,note TESI,stylish,Footnote Reference Superscript,BVI fnr,number,Voetnootverwijzing,SUPERS,Ref,de nota al pie,Footnote sign,callout"/>
    <w:basedOn w:val="DefaultParagraphFont"/>
    <w:uiPriority w:val="99"/>
    <w:unhideWhenUsed/>
    <w:qFormat/>
    <w:rPr>
      <w:b/>
      <w:bdr w:val="none" w:sz="0" w:space="0" w:color="auto"/>
      <w:shd w:val="clear" w:color="auto" w:fill="auto"/>
      <w:vertAlign w:val="superscript"/>
    </w:rPr>
  </w:style>
  <w:style w:type="paragraph" w:customStyle="1" w:styleId="Titreobjet">
    <w:name w:val="Titre objet"/>
    <w:basedOn w:val="Normal"/>
    <w:next w:val="Normal"/>
    <w:pPr>
      <w:spacing w:before="360" w:after="360" w:line="360" w:lineRule="auto"/>
      <w:jc w:val="center"/>
    </w:pPr>
    <w:rPr>
      <w:rFonts w:ascii="Times New Roman" w:hAnsi="Times New Roman" w:cs="Times New Roman"/>
      <w:b/>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1C94D-0483-4FAF-A882-DE5223B8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1333</Words>
  <Characters>8563</Characters>
  <Application>Microsoft Office Word</Application>
  <DocSecurity>0</DocSecurity>
  <Lines>138</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16</cp:revision>
  <dcterms:created xsi:type="dcterms:W3CDTF">2021-04-26T13:37:00Z</dcterms:created>
  <dcterms:modified xsi:type="dcterms:W3CDTF">2021-05-04T09:17:00Z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CP-012</vt:lpwstr>
  </property>
  <property fmtid="{D5CDD505-2E9C-101B-9397-08002B2CF9AE}" pid="7" name="Last edited using">
    <vt:lpwstr>LW 7.0.1, Build 20190916</vt:lpwstr>
  </property>
  <property fmtid="{D5CDD505-2E9C-101B-9397-08002B2CF9AE}" pid="8" name="Created using">
    <vt:lpwstr>LW 7.0, Build 20190717</vt:lpwstr>
  </property>
</Properties>
</file>