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F4CBF1B-5CAC-449F-A717-70B706D7AB9E" style="width:455.25pt;height:549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240" w:line="257"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ZAŁĄCZNIK 1 – WYKAZ DZIAŁAŃ </w:t>
      </w:r>
    </w:p>
    <w:tbl>
      <w:tblPr>
        <w:tblStyle w:val="TableGrid"/>
        <w:tblW w:w="9581" w:type="dxa"/>
        <w:jc w:val="center"/>
        <w:tblInd w:w="0" w:type="dxa"/>
        <w:tblLayout w:type="fixed"/>
        <w:tblLook w:val="04A0" w:firstRow="1" w:lastRow="0" w:firstColumn="1" w:lastColumn="0" w:noHBand="0" w:noVBand="1"/>
      </w:tblPr>
      <w:tblGrid>
        <w:gridCol w:w="1418"/>
        <w:gridCol w:w="6404"/>
        <w:gridCol w:w="1759"/>
      </w:tblGrid>
      <w:tr>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rPr>
            </w:pPr>
            <w:r>
              <w:rPr>
                <w:rFonts w:ascii="Times New Roman" w:hAnsi="Times New Roman"/>
                <w:noProof/>
                <w:sz w:val="24"/>
                <w:szCs w:val="24"/>
              </w:rPr>
              <w:t>Nr</w:t>
            </w:r>
          </w:p>
        </w:tc>
        <w:tc>
          <w:tcPr>
            <w:tcW w:w="6404"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DZIAŁANIA</w:t>
            </w:r>
          </w:p>
        </w:tc>
        <w:tc>
          <w:tcPr>
            <w:tcW w:w="175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Harmonogram</w:t>
            </w:r>
          </w:p>
        </w:tc>
      </w:tr>
      <w:tr>
        <w:trPr>
          <w:jc w:val="center"/>
        </w:trPr>
        <w:tc>
          <w:tcPr>
            <w:tcW w:w="95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keepNext/>
              <w:spacing w:after="0" w:line="240" w:lineRule="auto"/>
              <w:jc w:val="center"/>
              <w:rPr>
                <w:rFonts w:ascii="Times New Roman Bold" w:hAnsi="Times New Roman Bold" w:cs="Times New Roman"/>
                <w:b/>
                <w:bCs/>
                <w:smallCaps/>
                <w:noProof/>
                <w:sz w:val="24"/>
                <w:szCs w:val="24"/>
              </w:rPr>
            </w:pPr>
            <w:r>
              <w:rPr>
                <w:rFonts w:ascii="Times New Roman Bold" w:hAnsi="Times New Roman Bold"/>
                <w:b/>
                <w:bCs/>
                <w:smallCaps/>
                <w:noProof/>
                <w:sz w:val="24"/>
                <w:szCs w:val="24"/>
              </w:rPr>
              <w:t>Poprawa naszego zdrowia i samopoczucia</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hAnsi="Times New Roman" w:cs="Times New Roman"/>
                <w:b/>
                <w:i/>
                <w:noProof/>
                <w:sz w:val="24"/>
                <w:szCs w:val="24"/>
              </w:rPr>
            </w:pPr>
            <w:r>
              <w:rPr>
                <w:rFonts w:ascii="Times New Roman" w:hAnsi="Times New Roman"/>
                <w:b/>
                <w:i/>
                <w:noProof/>
                <w:sz w:val="24"/>
                <w:szCs w:val="24"/>
              </w:rPr>
              <w:t>Inicjatywa przewodnia 1</w:t>
            </w: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rPr>
                <w:b/>
                <w:bCs/>
                <w:noProof/>
              </w:rPr>
            </w:pPr>
            <w:r>
              <w:rPr>
                <w:b/>
                <w:bCs/>
                <w:noProof/>
              </w:rPr>
              <w:t xml:space="preserve">Zmniejszenie nierówności w zakresie zdrowia dzięki eliminacji zanieczyszczeń </w:t>
            </w:r>
            <w:r>
              <w:rPr>
                <w:noProof/>
              </w:rPr>
              <w:t>Regularne wprowadzanie danych dotyczących monitorowania realizacji i perspektyw zerowego poziomu emisji zanieczyszczeń do rejestru nierówności w przeciwdziałaniu nowotworom i Atlasu demograficznego.</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hAnsi="Times New Roman" w:cs="Times New Roman"/>
                <w:b/>
                <w:i/>
                <w:noProof/>
                <w:sz w:val="24"/>
                <w:szCs w:val="24"/>
              </w:rPr>
            </w:pPr>
            <w:r>
              <w:rPr>
                <w:rFonts w:ascii="Times New Roman" w:hAnsi="Times New Roman"/>
                <w:b/>
                <w:i/>
                <w:noProof/>
                <w:sz w:val="24"/>
                <w:szCs w:val="24"/>
              </w:rPr>
              <w:t>Inicjatywa przewodnia 2</w:t>
            </w: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rPr>
                <w:noProof/>
              </w:rPr>
            </w:pPr>
            <w:r>
              <w:rPr>
                <w:b/>
                <w:bCs/>
                <w:noProof/>
              </w:rPr>
              <w:t>Wspieranie działań na rzecz eliminacji zanieczyszczeń w miastach</w:t>
            </w:r>
            <w:r>
              <w:rPr>
                <w:noProof/>
              </w:rPr>
              <w:t xml:space="preserve"> </w:t>
            </w:r>
            <w:r>
              <w:rPr>
                <w:noProof/>
              </w:rPr>
              <w:br/>
              <w:t xml:space="preserve">W ramach nadchodzącego Europejskiego Roku Zielonych Miast, w synergii z proponowaną w ramach programu „Horyzont Europa” misją „Neutralne dla klimatu i inteligentne miasta”, z przeglądem pakietu na rzecz mobilności w miastach, Porozumieniem Burmistrzów i inicjatywą dotyczącą nowego europejskiego Bauhausu, określenie kluczowych potrzeb w zakresie zazieleniania miast i innowacji, aby zapobiegać zanieczyszczeniu, w tym zanieczyszczeniu w pomieszczeniach.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jc w:val="both"/>
              <w:rPr>
                <w:noProof/>
              </w:rPr>
            </w:pPr>
            <w:r>
              <w:rPr>
                <w:noProof/>
              </w:rPr>
              <w:t xml:space="preserve">Zmiana </w:t>
            </w:r>
            <w:r>
              <w:rPr>
                <w:b/>
                <w:bCs/>
                <w:noProof/>
              </w:rPr>
              <w:t>dyrektyw w sprawie jakości powietrza</w:t>
            </w:r>
            <w:r>
              <w:rPr>
                <w:noProof/>
              </w:rPr>
              <w:t xml:space="preserve">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jc w:val="both"/>
              <w:rPr>
                <w:noProof/>
              </w:rPr>
            </w:pPr>
            <w:r>
              <w:rPr>
                <w:noProof/>
              </w:rPr>
              <w:t xml:space="preserve">Wprowadzenie bardziej rygorystycznych </w:t>
            </w:r>
            <w:r>
              <w:rPr>
                <w:b/>
                <w:bCs/>
                <w:noProof/>
              </w:rPr>
              <w:t>limitów emisji dla pojazdów silnikowych</w:t>
            </w:r>
            <w:r>
              <w:rPr>
                <w:noProof/>
              </w:rPr>
              <w:t xml:space="preserve"> (</w:t>
            </w:r>
            <w:r>
              <w:rPr>
                <w:b/>
                <w:bCs/>
                <w:noProof/>
              </w:rPr>
              <w:t>Euro 7</w:t>
            </w:r>
            <w:r>
              <w:rPr>
                <w:noProof/>
              </w:rPr>
              <w:t>)</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jc w:val="both"/>
              <w:rPr>
                <w:noProof/>
              </w:rPr>
            </w:pPr>
            <w:r>
              <w:rPr>
                <w:noProof/>
              </w:rPr>
              <w:t xml:space="preserve">Ograniczenie </w:t>
            </w:r>
            <w:r>
              <w:rPr>
                <w:b/>
                <w:bCs/>
                <w:noProof/>
              </w:rPr>
              <w:t>emisji do powietrza i emisji hałasu z transportu</w:t>
            </w:r>
            <w:r>
              <w:rPr>
                <w:noProof/>
              </w:rPr>
              <w:t xml:space="preserve"> u źródła poprzez aktualizację, w stosownych przypadkach, unijnych lub międzynarodowych ram regulacyjnych</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jc w:val="both"/>
              <w:rPr>
                <w:noProof/>
              </w:rPr>
            </w:pPr>
            <w:r>
              <w:rPr>
                <w:noProof/>
              </w:rPr>
              <w:t xml:space="preserve">Sprawozdanie z wdrażania </w:t>
            </w:r>
            <w:r>
              <w:rPr>
                <w:b/>
                <w:noProof/>
              </w:rPr>
              <w:t>dyrektywy w sprawie hałasu w środowisku</w:t>
            </w:r>
            <w:r>
              <w:rPr>
                <w:noProof/>
              </w:rPr>
              <w:t xml:space="preserve">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jc w:val="both"/>
              <w:rPr>
                <w:noProof/>
              </w:rPr>
            </w:pPr>
            <w:r>
              <w:rPr>
                <w:noProof/>
              </w:rPr>
              <w:t xml:space="preserve">Działania następcze w związku z oceną </w:t>
            </w:r>
            <w:r>
              <w:rPr>
                <w:b/>
                <w:bCs/>
                <w:noProof/>
              </w:rPr>
              <w:t>dyrektywy w sprawie hałasu zewnętrznego</w:t>
            </w:r>
            <w:r>
              <w:rPr>
                <w:noProof/>
              </w:rPr>
              <w:t>.</w:t>
            </w:r>
          </w:p>
        </w:tc>
        <w:tc>
          <w:tcPr>
            <w:tcW w:w="1759" w:type="dxa"/>
            <w:tcBorders>
              <w:top w:val="single" w:sz="4" w:space="0" w:color="auto"/>
              <w:left w:val="single" w:sz="4" w:space="0" w:color="auto"/>
              <w:bottom w:val="single" w:sz="4" w:space="0" w:color="auto"/>
              <w:right w:val="single" w:sz="4" w:space="0" w:color="auto"/>
            </w:tcBorders>
            <w:vAlign w:val="center"/>
          </w:tcPr>
          <w:p>
            <w:pPr>
              <w:spacing w:before="100" w:beforeAutospacing="1" w:after="100" w:afterAutospacing="1" w:line="240" w:lineRule="auto"/>
              <w:jc w:val="center"/>
              <w:rPr>
                <w:rFonts w:ascii="Times New Roman" w:hAnsi="Times New Roman" w:cs="Times New Roman"/>
                <w:noProof/>
                <w:sz w:val="24"/>
                <w:szCs w:val="24"/>
              </w:rPr>
            </w:pPr>
            <w:r>
              <w:rPr>
                <w:rFonts w:ascii="Times New Roman" w:hAnsi="Times New Roman"/>
                <w:noProof/>
                <w:sz w:val="24"/>
                <w:szCs w:val="24"/>
              </w:rPr>
              <w:t>2022/2023</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vAlign w:val="center"/>
          </w:tcPr>
          <w:p>
            <w:pPr>
              <w:spacing w:before="100" w:beforeAutospacing="1" w:after="100" w:afterAutospacing="1" w:line="240" w:lineRule="auto"/>
              <w:rPr>
                <w:noProof/>
              </w:rPr>
            </w:pPr>
            <w:r>
              <w:rPr>
                <w:rFonts w:ascii="Times New Roman" w:hAnsi="Times New Roman"/>
                <w:noProof/>
                <w:sz w:val="24"/>
                <w:szCs w:val="24"/>
              </w:rPr>
              <w:t xml:space="preserve">Ocena scenariuszy i wariantów strategicznych mających na celu </w:t>
            </w:r>
            <w:r>
              <w:rPr>
                <w:rFonts w:ascii="Times New Roman" w:hAnsi="Times New Roman"/>
                <w:b/>
                <w:bCs/>
                <w:noProof/>
                <w:sz w:val="24"/>
                <w:szCs w:val="24"/>
              </w:rPr>
              <w:t>poprawę jakości powietrza w pomieszczeniach oraz, w stosownych przypadkach, zaproponowanie środków legislacyjnych</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2023</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jc w:val="both"/>
              <w:rPr>
                <w:noProof/>
              </w:rPr>
            </w:pPr>
            <w:r>
              <w:rPr>
                <w:noProof/>
              </w:rPr>
              <w:t xml:space="preserve">Przegląd i, w razie potrzeby, zmiana </w:t>
            </w:r>
            <w:r>
              <w:rPr>
                <w:b/>
                <w:bCs/>
                <w:noProof/>
              </w:rPr>
              <w:t>dyrektywy dotyczącej jakości wody w kąpieliskach</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jc w:val="both"/>
              <w:rPr>
                <w:noProof/>
              </w:rPr>
            </w:pPr>
            <w:r>
              <w:rPr>
                <w:noProof/>
              </w:rPr>
              <w:t xml:space="preserve">Wsparcie wdrożenia </w:t>
            </w:r>
            <w:r>
              <w:rPr>
                <w:b/>
                <w:bCs/>
                <w:noProof/>
              </w:rPr>
              <w:t xml:space="preserve">nowej dyrektywy w sprawie wody pitnej </w:t>
            </w:r>
            <w:r>
              <w:rPr>
                <w:noProof/>
              </w:rPr>
              <w:t>i</w:t>
            </w:r>
            <w:r>
              <w:rPr>
                <w:b/>
                <w:bCs/>
                <w:noProof/>
              </w:rPr>
              <w:t> </w:t>
            </w:r>
            <w:r>
              <w:rPr>
                <w:noProof/>
              </w:rPr>
              <w:t>przyjęcie odpowiednich aktów wykonawczych i delegowanych</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jc w:val="both"/>
              <w:rPr>
                <w:noProof/>
              </w:rPr>
            </w:pPr>
            <w:r>
              <w:rPr>
                <w:noProof/>
              </w:rPr>
              <w:t xml:space="preserve">Przegląd i, w razie potrzeby, zmiana </w:t>
            </w:r>
            <w:r>
              <w:rPr>
                <w:b/>
                <w:bCs/>
                <w:noProof/>
              </w:rPr>
              <w:t>dyrektywy w sprawie efektywności energetycznej</w:t>
            </w:r>
            <w:r>
              <w:rPr>
                <w:noProof/>
              </w:rPr>
              <w:t>,</w:t>
            </w:r>
            <w:r>
              <w:rPr>
                <w:b/>
                <w:bCs/>
                <w:noProof/>
              </w:rPr>
              <w:t xml:space="preserve"> dyrektywy w sprawie odnawialnych źródeł energii </w:t>
            </w:r>
            <w:r>
              <w:rPr>
                <w:noProof/>
              </w:rPr>
              <w:t xml:space="preserve">oraz </w:t>
            </w:r>
            <w:r>
              <w:rPr>
                <w:b/>
                <w:bCs/>
                <w:noProof/>
              </w:rPr>
              <w:t>wymogów dotyczących ekoprojektu i etykietowania energetycznego urządzeń do ogrzewania</w:t>
            </w:r>
            <w:r>
              <w:rPr>
                <w:noProof/>
              </w:rPr>
              <w:t xml:space="preserve">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w:t>
            </w:r>
          </w:p>
        </w:tc>
      </w:tr>
      <w:tr>
        <w:trPr>
          <w:jc w:val="center"/>
        </w:trPr>
        <w:tc>
          <w:tcPr>
            <w:tcW w:w="95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pStyle w:val="ListParagraph"/>
              <w:keepNext/>
              <w:spacing w:after="0" w:line="240" w:lineRule="auto"/>
              <w:ind w:left="0"/>
              <w:contextualSpacing w:val="0"/>
              <w:jc w:val="center"/>
              <w:rPr>
                <w:rFonts w:ascii="Times New Roman Bold" w:hAnsi="Times New Roman Bold" w:cs="Times New Roman"/>
                <w:b/>
                <w:smallCaps/>
                <w:noProof/>
                <w:sz w:val="24"/>
                <w:szCs w:val="24"/>
              </w:rPr>
            </w:pPr>
            <w:r>
              <w:rPr>
                <w:rFonts w:ascii="Times New Roman Bold" w:hAnsi="Times New Roman Bold"/>
                <w:b/>
                <w:smallCaps/>
                <w:noProof/>
                <w:sz w:val="24"/>
                <w:szCs w:val="24"/>
              </w:rPr>
              <w:t>Życie z poszanowaniem ograniczeń naszej planety</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hAnsi="Times New Roman" w:cs="Times New Roman"/>
                <w:b/>
                <w:i/>
                <w:noProof/>
                <w:sz w:val="24"/>
                <w:szCs w:val="24"/>
              </w:rPr>
            </w:pPr>
            <w:r>
              <w:rPr>
                <w:rFonts w:ascii="Times New Roman" w:hAnsi="Times New Roman"/>
                <w:b/>
                <w:i/>
                <w:noProof/>
                <w:sz w:val="24"/>
                <w:szCs w:val="24"/>
              </w:rPr>
              <w:t>Inicjatywa przewodnia 3</w:t>
            </w: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rPr>
                <w:b/>
                <w:bCs/>
                <w:noProof/>
              </w:rPr>
            </w:pPr>
            <w:r>
              <w:rPr>
                <w:b/>
                <w:bCs/>
                <w:noProof/>
              </w:rPr>
              <w:t>Promowanie eliminacji zanieczyszczeń we wszystkich regionach</w:t>
            </w:r>
            <w:r>
              <w:rPr>
                <w:noProof/>
              </w:rPr>
              <w:br/>
              <w:t xml:space="preserve">We współpracy z Komitetem Regionów przedstawienie tablicy wyników ekologiczności regionów UE, której celem jest pomiar w szczególności starań na rzecz osiągnięcia celów związanych </w:t>
            </w:r>
            <w:r>
              <w:rPr>
                <w:noProof/>
              </w:rPr>
              <w:lastRenderedPageBreak/>
              <w:t xml:space="preserve">z zanieczyszczeniem.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lastRenderedPageBreak/>
              <w:t>2024</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jc w:val="both"/>
              <w:rPr>
                <w:noProof/>
              </w:rPr>
            </w:pPr>
            <w:r>
              <w:rPr>
                <w:noProof/>
              </w:rPr>
              <w:t xml:space="preserve">Zmiana </w:t>
            </w:r>
            <w:r>
              <w:rPr>
                <w:b/>
                <w:bCs/>
                <w:noProof/>
              </w:rPr>
              <w:t>dyrektywy w sprawie środowiskowych norm jakości</w:t>
            </w:r>
            <w:r>
              <w:rPr>
                <w:noProof/>
              </w:rPr>
              <w:t xml:space="preserve"> i </w:t>
            </w:r>
            <w:r>
              <w:rPr>
                <w:b/>
                <w:bCs/>
                <w:noProof/>
              </w:rPr>
              <w:t>dyrektywy w sprawie ochrony wód podziemnych</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jc w:val="both"/>
              <w:rPr>
                <w:noProof/>
              </w:rPr>
            </w:pPr>
            <w:r>
              <w:rPr>
                <w:noProof/>
              </w:rPr>
              <w:t>Przegląd i, w razie potrzeby, zmiana</w:t>
            </w:r>
            <w:r>
              <w:rPr>
                <w:b/>
                <w:bCs/>
                <w:noProof/>
              </w:rPr>
              <w:t xml:space="preserve"> dyrektywy ramowej w sprawie strategii morskiej</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jc w:val="both"/>
              <w:rPr>
                <w:noProof/>
              </w:rPr>
            </w:pPr>
            <w:r>
              <w:rPr>
                <w:noProof/>
              </w:rPr>
              <w:t>Redukcja</w:t>
            </w:r>
            <w:r>
              <w:rPr>
                <w:b/>
                <w:bCs/>
                <w:noProof/>
              </w:rPr>
              <w:t xml:space="preserve"> hałasu podwodnego</w:t>
            </w:r>
            <w:r>
              <w:rPr>
                <w:noProof/>
              </w:rPr>
              <w:t xml:space="preserve"> i </w:t>
            </w:r>
            <w:r>
              <w:rPr>
                <w:b/>
                <w:bCs/>
                <w:noProof/>
              </w:rPr>
              <w:t xml:space="preserve">odpadów morskich </w:t>
            </w:r>
            <w:r>
              <w:rPr>
                <w:noProof/>
              </w:rPr>
              <w:t>dzięki unijnym wartościom progowym, które mają zostać ustalone w </w:t>
            </w:r>
            <w:r>
              <w:rPr>
                <w:b/>
                <w:bCs/>
                <w:noProof/>
              </w:rPr>
              <w:t>dyrektywie ramowej w sprawie strategii morskiej</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jc w:val="both"/>
              <w:rPr>
                <w:noProof/>
              </w:rPr>
            </w:pPr>
            <w:r>
              <w:rPr>
                <w:noProof/>
              </w:rPr>
              <w:t>Zmiana</w:t>
            </w:r>
            <w:r>
              <w:rPr>
                <w:b/>
                <w:bCs/>
                <w:noProof/>
              </w:rPr>
              <w:t xml:space="preserve"> dyrektywy dotyczącej oczyszczania ścieków komunalnych</w:t>
            </w:r>
            <w:r>
              <w:rPr>
                <w:noProof/>
              </w:rPr>
              <w:t xml:space="preserve"> w synergii z przeglądem dyrektywy w sprawie emisji przemysłowych i oceną dyrektywy w sprawie osadów ściekowych</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jc w:val="both"/>
              <w:rPr>
                <w:b/>
                <w:bCs/>
                <w:noProof/>
              </w:rPr>
            </w:pPr>
            <w:r>
              <w:rPr>
                <w:noProof/>
              </w:rPr>
              <w:t xml:space="preserve">Wsparcie wdrażania </w:t>
            </w:r>
            <w:r>
              <w:rPr>
                <w:b/>
                <w:bCs/>
                <w:noProof/>
              </w:rPr>
              <w:t>strategicznych wytycznych dotyczących bardziej zrównoważonej i konkurencyjnej akwakultury w UE</w:t>
            </w:r>
            <w:r>
              <w:rPr>
                <w:noProof/>
              </w:rPr>
              <w:t xml:space="preserve"> – aspekty efektywności środowiskowej</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2022–2023</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spacing w:before="0" w:beforeAutospacing="0" w:after="0" w:afterAutospacing="0"/>
              <w:jc w:val="both"/>
              <w:rPr>
                <w:noProof/>
              </w:rPr>
            </w:pPr>
            <w:r>
              <w:rPr>
                <w:b/>
                <w:bCs/>
                <w:noProof/>
              </w:rPr>
              <w:t>Identyfikacja i remediacja terenów zanieczyszczonych</w:t>
            </w:r>
            <w:r>
              <w:rPr>
                <w:noProof/>
              </w:rPr>
              <w:t xml:space="preserve"> poprzez: </w:t>
            </w:r>
          </w:p>
          <w:p>
            <w:pPr>
              <w:pStyle w:val="NormalWeb"/>
              <w:numPr>
                <w:ilvl w:val="0"/>
                <w:numId w:val="8"/>
              </w:numPr>
              <w:spacing w:before="0" w:beforeAutospacing="0"/>
              <w:ind w:left="252" w:hanging="252"/>
              <w:jc w:val="both"/>
              <w:rPr>
                <w:noProof/>
              </w:rPr>
            </w:pPr>
            <w:r>
              <w:rPr>
                <w:noProof/>
              </w:rPr>
              <w:t xml:space="preserve">sporządzenie </w:t>
            </w:r>
            <w:r>
              <w:rPr>
                <w:b/>
                <w:bCs/>
                <w:noProof/>
              </w:rPr>
              <w:t>unijnej priorytetowej listy zagrożeń dotyczących zanieczyszczenia gleby</w:t>
            </w:r>
            <w:r>
              <w:rPr>
                <w:noProof/>
              </w:rPr>
              <w:t xml:space="preserve"> i wprowadzenie modułu zerowego poziomu emisji zanieczyszczeń do przyszłego badania LUCAS;</w:t>
            </w:r>
          </w:p>
          <w:p>
            <w:pPr>
              <w:pStyle w:val="NormalWeb"/>
              <w:numPr>
                <w:ilvl w:val="0"/>
                <w:numId w:val="8"/>
              </w:numPr>
              <w:ind w:left="252" w:hanging="252"/>
              <w:jc w:val="both"/>
              <w:rPr>
                <w:noProof/>
              </w:rPr>
            </w:pPr>
            <w:r>
              <w:rPr>
                <w:noProof/>
              </w:rPr>
              <w:t xml:space="preserve">badanie najlepszych praktyk i opracowanie wytycznych dotyczących </w:t>
            </w:r>
            <w:r>
              <w:rPr>
                <w:b/>
                <w:bCs/>
                <w:noProof/>
              </w:rPr>
              <w:t>paszportu bezpiecznego, zrównoważonego i objętego obiegiem zamkniętym użytkowania wydobytych gleb</w:t>
            </w:r>
            <w:r>
              <w:rPr>
                <w:noProof/>
              </w:rPr>
              <w:t>;</w:t>
            </w:r>
          </w:p>
          <w:p>
            <w:pPr>
              <w:pStyle w:val="NormalWeb"/>
              <w:numPr>
                <w:ilvl w:val="0"/>
                <w:numId w:val="8"/>
              </w:numPr>
              <w:spacing w:after="0" w:afterAutospacing="0"/>
              <w:ind w:left="252" w:hanging="252"/>
              <w:jc w:val="both"/>
              <w:rPr>
                <w:noProof/>
              </w:rPr>
            </w:pPr>
            <w:r>
              <w:rPr>
                <w:noProof/>
              </w:rPr>
              <w:t xml:space="preserve">ułatwianie publicznych i prywatnych opcji finansowania w zakresie </w:t>
            </w:r>
            <w:r>
              <w:rPr>
                <w:b/>
                <w:bCs/>
                <w:noProof/>
              </w:rPr>
              <w:t>identyfikacji, badania i rekultywacji zanieczyszczonych gleb</w:t>
            </w:r>
            <w:r>
              <w:rPr>
                <w:noProof/>
              </w:rPr>
              <w:t xml:space="preserve"> i propagowanie wiedzy na ich temat.</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w:t>
            </w:r>
          </w:p>
          <w:p>
            <w:pPr>
              <w:spacing w:after="0" w:line="240" w:lineRule="auto"/>
              <w:jc w:val="center"/>
              <w:rPr>
                <w:rFonts w:ascii="Times New Roman" w:hAnsi="Times New Roman" w:cs="Times New Roman"/>
                <w:noProof/>
                <w:sz w:val="24"/>
                <w:szCs w:val="24"/>
              </w:rPr>
            </w:pPr>
          </w:p>
          <w:p>
            <w:pPr>
              <w:spacing w:after="0" w:line="240" w:lineRule="auto"/>
              <w:jc w:val="center"/>
              <w:rPr>
                <w:rFonts w:ascii="Times New Roman" w:hAnsi="Times New Roman" w:cs="Times New Roman"/>
                <w:noProof/>
                <w:sz w:val="24"/>
                <w:szCs w:val="24"/>
              </w:rPr>
            </w:pPr>
          </w:p>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2024</w:t>
            </w:r>
          </w:p>
          <w:p>
            <w:pPr>
              <w:spacing w:after="0" w:line="240" w:lineRule="auto"/>
              <w:jc w:val="center"/>
              <w:rPr>
                <w:rFonts w:ascii="Times New Roman" w:hAnsi="Times New Roman" w:cs="Times New Roman"/>
                <w:noProof/>
                <w:sz w:val="24"/>
                <w:szCs w:val="24"/>
              </w:rPr>
            </w:pPr>
          </w:p>
          <w:p>
            <w:pPr>
              <w:spacing w:after="0" w:line="240" w:lineRule="auto"/>
              <w:jc w:val="center"/>
              <w:rPr>
                <w:rFonts w:ascii="Times New Roman" w:hAnsi="Times New Roman" w:cs="Times New Roman"/>
                <w:noProof/>
                <w:sz w:val="24"/>
                <w:szCs w:val="24"/>
              </w:rPr>
            </w:pPr>
          </w:p>
          <w:p>
            <w:pPr>
              <w:spacing w:after="0" w:line="240" w:lineRule="auto"/>
              <w:jc w:val="center"/>
              <w:rPr>
                <w:rFonts w:ascii="Times New Roman" w:hAnsi="Times New Roman" w:cs="Times New Roman"/>
                <w:noProof/>
                <w:sz w:val="24"/>
                <w:szCs w:val="24"/>
              </w:rPr>
            </w:pPr>
          </w:p>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2024</w:t>
            </w:r>
          </w:p>
        </w:tc>
      </w:tr>
      <w:tr>
        <w:trPr>
          <w:jc w:val="center"/>
        </w:trPr>
        <w:tc>
          <w:tcPr>
            <w:tcW w:w="95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pPr>
              <w:keepNext/>
              <w:spacing w:after="0" w:line="240" w:lineRule="auto"/>
              <w:jc w:val="center"/>
              <w:rPr>
                <w:rFonts w:ascii="Times New Roman Bold" w:hAnsi="Times New Roman Bold" w:cs="Times New Roman"/>
                <w:b/>
                <w:bCs/>
                <w:smallCaps/>
                <w:noProof/>
                <w:sz w:val="24"/>
                <w:szCs w:val="24"/>
              </w:rPr>
            </w:pPr>
            <w:r>
              <w:rPr>
                <w:noProof/>
              </w:rPr>
              <w:br w:type="page"/>
            </w:r>
            <w:r>
              <w:rPr>
                <w:noProof/>
              </w:rPr>
              <w:br w:type="page"/>
            </w:r>
            <w:r>
              <w:rPr>
                <w:rFonts w:ascii="Times New Roman Bold" w:hAnsi="Times New Roman Bold"/>
                <w:b/>
                <w:bCs/>
                <w:smallCaps/>
                <w:noProof/>
                <w:sz w:val="24"/>
                <w:szCs w:val="24"/>
              </w:rPr>
              <w:t>Eliminacja zanieczyszczeń z produkcji i konsumpcji</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hAnsi="Times New Roman" w:cs="Times New Roman"/>
                <w:b/>
                <w:bCs/>
                <w:i/>
                <w:iCs/>
                <w:noProof/>
                <w:sz w:val="24"/>
                <w:szCs w:val="24"/>
              </w:rPr>
            </w:pPr>
            <w:r>
              <w:rPr>
                <w:rFonts w:ascii="Times New Roman" w:hAnsi="Times New Roman"/>
                <w:b/>
                <w:bCs/>
                <w:i/>
                <w:iCs/>
                <w:noProof/>
                <w:sz w:val="24"/>
                <w:szCs w:val="24"/>
              </w:rPr>
              <w:t>Inicjatywa przewodnia 4</w:t>
            </w:r>
          </w:p>
        </w:tc>
        <w:tc>
          <w:tcPr>
            <w:tcW w:w="6404" w:type="dxa"/>
            <w:tcBorders>
              <w:top w:val="single" w:sz="4" w:space="0" w:color="auto"/>
              <w:left w:val="single" w:sz="4" w:space="0" w:color="auto"/>
              <w:bottom w:val="single" w:sz="4" w:space="0" w:color="auto"/>
              <w:right w:val="single" w:sz="4" w:space="0" w:color="auto"/>
            </w:tcBorders>
            <w:vAlign w:val="center"/>
          </w:tcPr>
          <w:p>
            <w:pPr>
              <w:pStyle w:val="paragraph"/>
              <w:keepNext/>
              <w:textAlignment w:val="baseline"/>
              <w:rPr>
                <w:b/>
                <w:bCs/>
                <w:noProof/>
              </w:rPr>
            </w:pPr>
            <w:r>
              <w:rPr>
                <w:b/>
                <w:bCs/>
                <w:noProof/>
              </w:rPr>
              <w:t>Ułatwianie wyborów prowadzących do eliminacji zanieczyszczeń</w:t>
            </w:r>
            <w:r>
              <w:rPr>
                <w:noProof/>
              </w:rPr>
              <w:br/>
              <w:t>Zachęcanie podmiotów gospodarczych z sektora publicznego i prywatnego do podejmowania „zobowiązań do eliminacji zanieczyszczeń” w celu propagowania najlepszych dostępnych opcji, które umożliwiają zbliżenie się do poziomu „zero odpadów” i wiążą się z najmniejszym zanieczyszczeniem.</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paragraph"/>
              <w:keepNext/>
              <w:jc w:val="both"/>
              <w:textAlignment w:val="baseline"/>
              <w:rPr>
                <w:noProof/>
                <w:sz w:val="22"/>
                <w:szCs w:val="22"/>
              </w:rPr>
            </w:pPr>
            <w:r>
              <w:rPr>
                <w:noProof/>
              </w:rPr>
              <w:t>Przegląd</w:t>
            </w:r>
            <w:r>
              <w:rPr>
                <w:b/>
                <w:bCs/>
                <w:noProof/>
              </w:rPr>
              <w:t xml:space="preserve"> </w:t>
            </w:r>
            <w:r>
              <w:rPr>
                <w:rStyle w:val="normaltextrun"/>
                <w:b/>
                <w:bCs/>
                <w:noProof/>
              </w:rPr>
              <w:t>dyrektywy w sprawie emisji przemysłowych</w:t>
            </w:r>
            <w:r>
              <w:rPr>
                <w:rStyle w:val="normaltextrun"/>
                <w:noProof/>
              </w:rPr>
              <w:t xml:space="preserve"> i </w:t>
            </w:r>
            <w:r>
              <w:rPr>
                <w:rStyle w:val="normaltextrun"/>
                <w:b/>
                <w:bCs/>
                <w:noProof/>
              </w:rPr>
              <w:t>rozporządzenia w sprawie europejskiego PRTR</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vAlign w:val="center"/>
          </w:tcPr>
          <w:p>
            <w:pPr>
              <w:spacing w:before="100" w:beforeAutospacing="1" w:after="100" w:afterAutospacing="1" w:line="240" w:lineRule="auto"/>
              <w:jc w:val="both"/>
              <w:rPr>
                <w:rFonts w:ascii="Times New Roman" w:eastAsia="Times New Roman" w:hAnsi="Times New Roman" w:cs="Times New Roman"/>
                <w:noProof/>
                <w:sz w:val="24"/>
                <w:szCs w:val="24"/>
              </w:rPr>
            </w:pPr>
            <w:r>
              <w:rPr>
                <w:rStyle w:val="normaltextrun"/>
                <w:rFonts w:ascii="Times New Roman" w:hAnsi="Times New Roman"/>
                <w:b/>
                <w:bCs/>
                <w:noProof/>
                <w:sz w:val="24"/>
                <w:szCs w:val="24"/>
              </w:rPr>
              <w:t>Zalecenia</w:t>
            </w:r>
            <w:r>
              <w:rPr>
                <w:rStyle w:val="normaltextrun"/>
                <w:rFonts w:ascii="Times New Roman" w:hAnsi="Times New Roman"/>
                <w:noProof/>
                <w:sz w:val="24"/>
                <w:szCs w:val="24"/>
              </w:rPr>
              <w:t xml:space="preserve"> na podstawie oceny adekwatności </w:t>
            </w:r>
            <w:r>
              <w:rPr>
                <w:rStyle w:val="normaltextrun"/>
                <w:rFonts w:ascii="Times New Roman" w:hAnsi="Times New Roman"/>
                <w:b/>
                <w:bCs/>
                <w:noProof/>
                <w:sz w:val="24"/>
                <w:szCs w:val="24"/>
              </w:rPr>
              <w:t>wdrażania zasady „zanieczyszczający płaci”</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2024</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paragraph"/>
              <w:jc w:val="both"/>
              <w:textAlignment w:val="baseline"/>
              <w:rPr>
                <w:noProof/>
              </w:rPr>
            </w:pPr>
            <w:r>
              <w:rPr>
                <w:rStyle w:val="normaltextrun"/>
                <w:noProof/>
              </w:rPr>
              <w:t>Przegląd</w:t>
            </w:r>
            <w:r>
              <w:rPr>
                <w:rStyle w:val="normaltextrun"/>
                <w:b/>
                <w:bCs/>
                <w:noProof/>
              </w:rPr>
              <w:t xml:space="preserve"> rozporządzenia w sprawie rtęci</w:t>
            </w:r>
            <w:r>
              <w:rPr>
                <w:rStyle w:val="normaltextrun"/>
                <w:noProof/>
              </w:rPr>
              <w:t xml:space="preserve">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Wsparcie </w:t>
            </w:r>
            <w:r>
              <w:rPr>
                <w:rFonts w:ascii="Times New Roman" w:hAnsi="Times New Roman"/>
                <w:b/>
                <w:bCs/>
                <w:noProof/>
                <w:sz w:val="24"/>
                <w:szCs w:val="24"/>
              </w:rPr>
              <w:t xml:space="preserve">międzynarodowych prac nad najlepszymi dostępnymi technikami (BAT), w tym nad nowymi i powstającymi technologiami, w celu redukcji emisji przemysłowych </w:t>
            </w:r>
            <w:r>
              <w:rPr>
                <w:rFonts w:ascii="Times New Roman" w:hAnsi="Times New Roman"/>
                <w:noProof/>
                <w:sz w:val="24"/>
                <w:szCs w:val="24"/>
              </w:rPr>
              <w:t>oraz nad przeglądem protokołu kijowskiego w celu zwiększenia publicznego dostępu do informacji na temat tych emisji</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w:t>
            </w:r>
          </w:p>
        </w:tc>
      </w:tr>
      <w:tr>
        <w:trPr>
          <w:jc w:val="center"/>
        </w:trPr>
        <w:tc>
          <w:tcPr>
            <w:tcW w:w="95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keepNext/>
              <w:spacing w:after="0" w:line="240" w:lineRule="auto"/>
              <w:jc w:val="center"/>
              <w:rPr>
                <w:rFonts w:ascii="Times New Roman Bold" w:hAnsi="Times New Roman Bold" w:cs="Times New Roman"/>
                <w:b/>
                <w:bCs/>
                <w:smallCaps/>
                <w:noProof/>
                <w:sz w:val="24"/>
                <w:szCs w:val="24"/>
              </w:rPr>
            </w:pPr>
            <w:r>
              <w:rPr>
                <w:rFonts w:ascii="Times New Roman Bold" w:hAnsi="Times New Roman Bold"/>
                <w:b/>
                <w:bCs/>
                <w:smallCaps/>
                <w:noProof/>
                <w:sz w:val="24"/>
                <w:szCs w:val="24"/>
              </w:rPr>
              <w:t>Zapewnienie ściślejszego wdrażania i egzekwowania</w:t>
            </w:r>
          </w:p>
        </w:tc>
      </w:tr>
      <w:tr>
        <w:trPr>
          <w:trHeight w:val="1133"/>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hAnsi="Times New Roman" w:cs="Times New Roman"/>
                <w:b/>
                <w:bCs/>
                <w:i/>
                <w:iCs/>
                <w:noProof/>
                <w:sz w:val="24"/>
                <w:szCs w:val="24"/>
              </w:rPr>
            </w:pPr>
            <w:r>
              <w:rPr>
                <w:rFonts w:ascii="Times New Roman" w:hAnsi="Times New Roman"/>
                <w:b/>
                <w:bCs/>
                <w:i/>
                <w:iCs/>
                <w:noProof/>
                <w:sz w:val="24"/>
                <w:szCs w:val="24"/>
              </w:rPr>
              <w:t>Inicjatywa przewodnia 5</w:t>
            </w: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rPr>
                <w:noProof/>
              </w:rPr>
            </w:pPr>
            <w:r>
              <w:rPr>
                <w:b/>
                <w:bCs/>
                <w:noProof/>
              </w:rPr>
              <w:t xml:space="preserve">Wspólne egzekwowanie przepisów dotyczących eliminacji zanieczyszczeń </w:t>
            </w:r>
            <w:r>
              <w:rPr>
                <w:noProof/>
              </w:rPr>
              <w:br/>
              <w:t xml:space="preserve">Nawiązanie współpracy między organami ds. ochrony środowiska i innymi organami odpowiedzialnymi za egzekwowanie przepisów w celu zainicjowania wymiany najlepszych praktyk i zachęcenia państw członkowskich do opracowania międzysektorowych działań na rzecz przestrzegania przepisów, zgodnie z podejściem zerowej tolerancji do zanieczyszczeń na szczeblu krajowym i transgranicznym.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spacing w:before="0" w:beforeAutospacing="0" w:after="0" w:afterAutospacing="0"/>
              <w:jc w:val="both"/>
              <w:rPr>
                <w:noProof/>
              </w:rPr>
            </w:pPr>
            <w:r>
              <w:rPr>
                <w:noProof/>
              </w:rPr>
              <w:t xml:space="preserve">Zmiana dyrektywy w sprawie </w:t>
            </w:r>
            <w:r>
              <w:rPr>
                <w:b/>
                <w:bCs/>
                <w:noProof/>
              </w:rPr>
              <w:t>przestępstw przeciwko środowisku</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spacing w:before="0" w:beforeAutospacing="0" w:after="0" w:afterAutospacing="0"/>
              <w:jc w:val="both"/>
              <w:rPr>
                <w:noProof/>
              </w:rPr>
            </w:pPr>
            <w:r>
              <w:rPr>
                <w:noProof/>
              </w:rPr>
              <w:t xml:space="preserve">Ocena adekwatności </w:t>
            </w:r>
            <w:r>
              <w:rPr>
                <w:b/>
                <w:bCs/>
                <w:noProof/>
              </w:rPr>
              <w:t>dyrektywy w sprawie odpowiedzialności za środowisko</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2023</w:t>
            </w:r>
          </w:p>
        </w:tc>
      </w:tr>
      <w:tr>
        <w:trPr>
          <w:jc w:val="center"/>
        </w:trPr>
        <w:tc>
          <w:tcPr>
            <w:tcW w:w="95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pPr>
              <w:keepNext/>
              <w:spacing w:after="0" w:line="240" w:lineRule="auto"/>
              <w:jc w:val="center"/>
              <w:rPr>
                <w:rFonts w:ascii="Times New Roman Bold" w:hAnsi="Times New Roman Bold" w:cs="Times New Roman"/>
                <w:b/>
                <w:bCs/>
                <w:smallCaps/>
                <w:noProof/>
                <w:sz w:val="24"/>
                <w:szCs w:val="24"/>
              </w:rPr>
            </w:pPr>
            <w:r>
              <w:rPr>
                <w:noProof/>
              </w:rPr>
              <w:br w:type="page"/>
            </w:r>
            <w:r>
              <w:rPr>
                <w:rFonts w:ascii="Times New Roman Bold" w:hAnsi="Times New Roman Bold"/>
                <w:b/>
                <w:bCs/>
                <w:smallCaps/>
                <w:noProof/>
                <w:sz w:val="24"/>
                <w:szCs w:val="24"/>
              </w:rPr>
              <w:t>Wspieranie zmian w całym społeczeństwie na rzecz eliminacji zanieczyszczeń</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hAnsi="Times New Roman" w:cs="Times New Roman"/>
                <w:b/>
                <w:bCs/>
                <w:i/>
                <w:iCs/>
                <w:noProof/>
                <w:sz w:val="24"/>
                <w:szCs w:val="24"/>
              </w:rPr>
            </w:pPr>
            <w:r>
              <w:rPr>
                <w:rFonts w:ascii="Times New Roman" w:hAnsi="Times New Roman"/>
                <w:b/>
                <w:bCs/>
                <w:i/>
                <w:iCs/>
                <w:noProof/>
                <w:sz w:val="24"/>
                <w:szCs w:val="24"/>
              </w:rPr>
              <w:t>Inicjatywa przewodnia 6</w:t>
            </w:r>
          </w:p>
        </w:tc>
        <w:tc>
          <w:tcPr>
            <w:tcW w:w="6404" w:type="dxa"/>
            <w:tcBorders>
              <w:top w:val="single" w:sz="4" w:space="0" w:color="auto"/>
              <w:left w:val="single" w:sz="4" w:space="0" w:color="auto"/>
              <w:bottom w:val="single" w:sz="4" w:space="0" w:color="auto"/>
              <w:right w:val="single" w:sz="4" w:space="0" w:color="auto"/>
            </w:tcBorders>
            <w:vAlign w:val="center"/>
          </w:tcPr>
          <w:p>
            <w:pPr>
              <w:spacing w:before="100" w:beforeAutospacing="1" w:after="100" w:afterAutospacing="1" w:line="240" w:lineRule="auto"/>
              <w:rPr>
                <w:rFonts w:ascii="Times New Roman" w:hAnsi="Times New Roman" w:cs="Times New Roman"/>
                <w:noProof/>
                <w:sz w:val="24"/>
                <w:szCs w:val="24"/>
              </w:rPr>
            </w:pPr>
            <w:r>
              <w:rPr>
                <w:rFonts w:ascii="Times New Roman" w:hAnsi="Times New Roman"/>
                <w:b/>
                <w:bCs/>
                <w:noProof/>
                <w:sz w:val="24"/>
                <w:szCs w:val="24"/>
              </w:rPr>
              <w:t xml:space="preserve">Prezentacja rozwiązań w zakresie zerowego poziomu emisji zanieczyszczeń dla budynków </w:t>
            </w:r>
            <w:r>
              <w:rPr>
                <w:noProof/>
              </w:rPr>
              <w:br/>
            </w:r>
            <w:r>
              <w:rPr>
                <w:rFonts w:ascii="Times New Roman" w:hAnsi="Times New Roman"/>
                <w:noProof/>
                <w:sz w:val="24"/>
                <w:szCs w:val="24"/>
              </w:rPr>
              <w:t xml:space="preserve">Zaprezentowanie – na przykładzie inicjatyw „Fala renowacji” i „nowy europejski Bauhaus” – w jaki sposób projekty budowlane i wykorzystanie lokalnych cyfrowych bliźniaków mogą przyczynić się do osiągnięcia celów dotyczących zerowego poziomu emisji zanieczyszczeń.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hAnsi="Times New Roman" w:cs="Times New Roman"/>
                <w:b/>
                <w:bCs/>
                <w:i/>
                <w:iCs/>
                <w:noProof/>
                <w:sz w:val="24"/>
                <w:szCs w:val="24"/>
              </w:rPr>
            </w:pPr>
            <w:r>
              <w:rPr>
                <w:rFonts w:ascii="Times New Roman" w:hAnsi="Times New Roman"/>
                <w:b/>
                <w:bCs/>
                <w:i/>
                <w:iCs/>
                <w:noProof/>
                <w:sz w:val="24"/>
                <w:szCs w:val="24"/>
              </w:rPr>
              <w:t>Inicjatywa przewodnia 7</w:t>
            </w:r>
          </w:p>
        </w:tc>
        <w:tc>
          <w:tcPr>
            <w:tcW w:w="6404" w:type="dxa"/>
            <w:tcBorders>
              <w:top w:val="single" w:sz="4" w:space="0" w:color="auto"/>
              <w:left w:val="single" w:sz="4" w:space="0" w:color="auto"/>
              <w:bottom w:val="single" w:sz="4" w:space="0" w:color="auto"/>
              <w:right w:val="single" w:sz="4" w:space="0" w:color="auto"/>
            </w:tcBorders>
            <w:vAlign w:val="center"/>
          </w:tcPr>
          <w:p>
            <w:pPr>
              <w:spacing w:before="100" w:beforeAutospacing="1" w:after="100" w:afterAutospacing="1" w:line="240" w:lineRule="auto"/>
              <w:rPr>
                <w:rFonts w:ascii="Times New Roman" w:hAnsi="Times New Roman" w:cs="Times New Roman"/>
                <w:b/>
                <w:bCs/>
                <w:noProof/>
                <w:sz w:val="24"/>
                <w:szCs w:val="24"/>
              </w:rPr>
            </w:pPr>
            <w:r>
              <w:rPr>
                <w:rFonts w:ascii="Times New Roman" w:hAnsi="Times New Roman"/>
                <w:b/>
                <w:bCs/>
                <w:noProof/>
                <w:sz w:val="24"/>
                <w:szCs w:val="24"/>
              </w:rPr>
              <w:t>Żywe laboratoria na rzecz ekologicznych rozwiązań cyfrowych i inteligentnej eliminacji zanieczyszczeń</w:t>
            </w:r>
            <w:r>
              <w:rPr>
                <w:noProof/>
              </w:rPr>
              <w:br/>
            </w:r>
            <w:r>
              <w:rPr>
                <w:rFonts w:ascii="Times New Roman" w:hAnsi="Times New Roman"/>
                <w:noProof/>
                <w:sz w:val="24"/>
                <w:szCs w:val="24"/>
              </w:rPr>
              <w:t>Uruchomienie sieci żywych laboratoriów na rzecz ekologicznych rozwiązań cyfrowych i inteligentnej eliminacji zanieczyszczeń w celu wsparcia rozwoju lokalnych działań na rzecz ekologicznej i cyfrowej transformacji.</w:t>
            </w:r>
            <w:r>
              <w:rPr>
                <w:noProof/>
                <w:sz w:val="24"/>
                <w:szCs w:val="24"/>
              </w:rPr>
              <w:t xml:space="preserve">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spacing w:before="100" w:beforeAutospacing="1" w:after="100" w:afterAutospacing="1" w:line="240" w:lineRule="auto"/>
              <w:jc w:val="both"/>
              <w:rPr>
                <w:noProof/>
              </w:rPr>
            </w:pPr>
            <w:r>
              <w:rPr>
                <w:rFonts w:ascii="Times New Roman" w:hAnsi="Times New Roman"/>
                <w:noProof/>
                <w:sz w:val="24"/>
                <w:szCs w:val="24"/>
              </w:rPr>
              <w:t xml:space="preserve">Budowanie zdolności i poszerzanie wiedzy na temat praktyk powodujących mniejsze zanieczyszczenie poprzez </w:t>
            </w:r>
            <w:r>
              <w:rPr>
                <w:rFonts w:ascii="Times New Roman" w:hAnsi="Times New Roman"/>
                <w:b/>
                <w:bCs/>
                <w:noProof/>
                <w:sz w:val="24"/>
                <w:szCs w:val="24"/>
              </w:rPr>
              <w:t>krajowe usługi doradcze dla rolników</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2023</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Opracowanie i udostępnienie w formacie cyfrowym wszystkich głównych </w:t>
            </w:r>
            <w:r>
              <w:rPr>
                <w:rFonts w:ascii="Times New Roman" w:hAnsi="Times New Roman"/>
                <w:b/>
                <w:bCs/>
                <w:noProof/>
                <w:sz w:val="24"/>
                <w:szCs w:val="24"/>
              </w:rPr>
              <w:t>obowiązków dotyczących gospodarki składnikami odżywczymi</w:t>
            </w:r>
            <w:r>
              <w:rPr>
                <w:rFonts w:ascii="Times New Roman" w:hAnsi="Times New Roman"/>
                <w:noProof/>
                <w:sz w:val="24"/>
                <w:szCs w:val="24"/>
              </w:rPr>
              <w:t xml:space="preserve"> wynikających z prawa UE w celu ograniczenia śladu środowiskowego działalności rolniczej</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2023</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spacing w:before="100" w:beforeAutospacing="1" w:after="100" w:afterAutospacing="1" w:line="240" w:lineRule="auto"/>
              <w:jc w:val="both"/>
              <w:rPr>
                <w:rStyle w:val="normaltextrun"/>
                <w:rFonts w:ascii="Times New Roman" w:hAnsi="Times New Roman" w:cs="Times New Roman"/>
                <w:noProof/>
                <w:sz w:val="24"/>
                <w:szCs w:val="24"/>
              </w:rPr>
            </w:pPr>
            <w:r>
              <w:rPr>
                <w:rFonts w:ascii="Times New Roman" w:hAnsi="Times New Roman"/>
                <w:noProof/>
                <w:sz w:val="24"/>
                <w:szCs w:val="24"/>
              </w:rPr>
              <w:t xml:space="preserve">Opracowanie </w:t>
            </w:r>
            <w:r>
              <w:rPr>
                <w:rFonts w:ascii="Times New Roman" w:hAnsi="Times New Roman"/>
                <w:b/>
                <w:bCs/>
                <w:noProof/>
                <w:sz w:val="24"/>
                <w:szCs w:val="24"/>
              </w:rPr>
              <w:t xml:space="preserve">informacji na temat eliminacji zanieczyszczeń </w:t>
            </w:r>
            <w:r>
              <w:rPr>
                <w:rFonts w:ascii="Times New Roman" w:hAnsi="Times New Roman"/>
                <w:noProof/>
                <w:sz w:val="24"/>
                <w:szCs w:val="24"/>
              </w:rPr>
              <w:t>na potrzeby</w:t>
            </w:r>
            <w:r>
              <w:rPr>
                <w:rFonts w:ascii="Times New Roman" w:hAnsi="Times New Roman"/>
                <w:b/>
                <w:bCs/>
                <w:noProof/>
                <w:sz w:val="24"/>
                <w:szCs w:val="24"/>
              </w:rPr>
              <w:t xml:space="preserve"> przestrzeni danych Europejskiego Zielonego Ładu</w:t>
            </w:r>
            <w:r>
              <w:rPr>
                <w:rFonts w:ascii="Times New Roman" w:hAnsi="Times New Roman"/>
                <w:noProof/>
                <w:sz w:val="24"/>
                <w:szCs w:val="24"/>
              </w:rPr>
              <w:t>, aby poprawić dostępność danych</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2023</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Uruchomienie inicjatywy </w:t>
            </w:r>
            <w:r>
              <w:rPr>
                <w:rFonts w:ascii="Times New Roman" w:hAnsi="Times New Roman"/>
                <w:b/>
                <w:bCs/>
                <w:noProof/>
                <w:sz w:val="24"/>
                <w:szCs w:val="24"/>
              </w:rPr>
              <w:t xml:space="preserve">„Kierunek Ziemia </w:t>
            </w:r>
            <w:r>
              <w:rPr>
                <w:rFonts w:ascii="Times New Roman" w:hAnsi="Times New Roman"/>
                <w:noProof/>
                <w:sz w:val="24"/>
                <w:szCs w:val="24"/>
              </w:rPr>
              <w:t>“w celu opracowania cyfrowego modelu Ziemi o bardzo dużej precyzji z wykorzystaniem danych programu Copernicus jako kluczowego elementu składowego do monitorowania stanu powietrza, wód słodkich, mórz i gleby</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2024</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spacing w:before="0" w:beforeAutospacing="0" w:after="0" w:afterAutospacing="0"/>
              <w:jc w:val="both"/>
              <w:rPr>
                <w:noProof/>
              </w:rPr>
            </w:pPr>
            <w:r>
              <w:rPr>
                <w:noProof/>
              </w:rPr>
              <w:t xml:space="preserve">Udoskonalenie </w:t>
            </w:r>
            <w:r>
              <w:rPr>
                <w:b/>
                <w:bCs/>
                <w:noProof/>
              </w:rPr>
              <w:t>szkoleń i wsparcia edukacyjnego w zakresie zagrożeń dla środowiska</w:t>
            </w:r>
            <w:r>
              <w:rPr>
                <w:noProof/>
              </w:rPr>
              <w:t>, z uwzględnieniem produktów leczniczych, poprzez</w:t>
            </w:r>
          </w:p>
          <w:p>
            <w:pPr>
              <w:pStyle w:val="NormalWeb"/>
              <w:numPr>
                <w:ilvl w:val="0"/>
                <w:numId w:val="20"/>
              </w:numPr>
              <w:spacing w:before="0" w:beforeAutospacing="0" w:after="0" w:afterAutospacing="0"/>
              <w:jc w:val="both"/>
              <w:rPr>
                <w:noProof/>
              </w:rPr>
            </w:pPr>
            <w:r>
              <w:rPr>
                <w:b/>
                <w:bCs/>
                <w:noProof/>
              </w:rPr>
              <w:t>dostosowane do potrzeb unijne moduły szkoleniowe dla pracowników służby zdrowia i innych pracowników sektora opieki społecznej</w:t>
            </w:r>
            <w:r>
              <w:rPr>
                <w:noProof/>
              </w:rPr>
              <w:t xml:space="preserve"> </w:t>
            </w:r>
          </w:p>
          <w:p>
            <w:pPr>
              <w:pStyle w:val="NormalWeb"/>
              <w:numPr>
                <w:ilvl w:val="0"/>
                <w:numId w:val="20"/>
              </w:numPr>
              <w:spacing w:before="0" w:beforeAutospacing="0" w:after="0" w:afterAutospacing="0"/>
              <w:jc w:val="both"/>
              <w:rPr>
                <w:noProof/>
              </w:rPr>
            </w:pPr>
            <w:r>
              <w:rPr>
                <w:noProof/>
              </w:rPr>
              <w:t xml:space="preserve">wytyczne dla pracowników </w:t>
            </w:r>
            <w:r>
              <w:rPr>
                <w:b/>
                <w:bCs/>
                <w:noProof/>
              </w:rPr>
              <w:t xml:space="preserve">służby zdrowia </w:t>
            </w:r>
            <w:r>
              <w:rPr>
                <w:noProof/>
              </w:rPr>
              <w:t xml:space="preserve">dotyczące </w:t>
            </w:r>
            <w:r>
              <w:rPr>
                <w:b/>
                <w:bCs/>
                <w:noProof/>
              </w:rPr>
              <w:t xml:space="preserve">rozważnego stosowania </w:t>
            </w:r>
            <w:r>
              <w:rPr>
                <w:noProof/>
              </w:rPr>
              <w:t xml:space="preserve">produktów leczniczych oraz wspieranie włączania aspektów środowiskowych do </w:t>
            </w:r>
            <w:r>
              <w:rPr>
                <w:b/>
                <w:bCs/>
                <w:noProof/>
              </w:rPr>
              <w:t xml:space="preserve">programów szkoleń </w:t>
            </w:r>
            <w:r>
              <w:rPr>
                <w:noProof/>
              </w:rPr>
              <w:t>i</w:t>
            </w:r>
            <w:r>
              <w:rPr>
                <w:b/>
                <w:bCs/>
                <w:noProof/>
              </w:rPr>
              <w:t> programów doskonalenia zawodowego</w:t>
            </w:r>
          </w:p>
          <w:p>
            <w:pPr>
              <w:pStyle w:val="NormalWeb"/>
              <w:numPr>
                <w:ilvl w:val="0"/>
                <w:numId w:val="20"/>
              </w:numPr>
              <w:spacing w:before="0" w:beforeAutospacing="0" w:after="0" w:afterAutospacing="0"/>
              <w:jc w:val="both"/>
              <w:rPr>
                <w:noProof/>
              </w:rPr>
            </w:pPr>
            <w:r>
              <w:rPr>
                <w:noProof/>
              </w:rPr>
              <w:t xml:space="preserve">szkolenia i wsparcie edukacyjne dla </w:t>
            </w:r>
            <w:r>
              <w:rPr>
                <w:b/>
                <w:bCs/>
                <w:noProof/>
              </w:rPr>
              <w:t>specjalistów i podmiotów gospodarczych świadomych wyzwań związanych z klimatem, środowiskiem i zdrowiem</w:t>
            </w:r>
            <w:r>
              <w:rPr>
                <w:noProof/>
              </w:rPr>
              <w:t>.</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w:t>
            </w:r>
          </w:p>
        </w:tc>
      </w:tr>
      <w:tr>
        <w:trPr>
          <w:jc w:val="center"/>
        </w:trPr>
        <w:tc>
          <w:tcPr>
            <w:tcW w:w="95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pPr>
              <w:keepNext/>
              <w:spacing w:after="0" w:line="240" w:lineRule="auto"/>
              <w:jc w:val="center"/>
              <w:rPr>
                <w:rFonts w:ascii="Times New Roman Bold" w:hAnsi="Times New Roman Bold" w:cs="Times New Roman"/>
                <w:b/>
                <w:bCs/>
                <w:smallCaps/>
                <w:noProof/>
                <w:sz w:val="24"/>
                <w:szCs w:val="24"/>
              </w:rPr>
            </w:pPr>
            <w:r>
              <w:rPr>
                <w:rFonts w:ascii="Times New Roman Bold" w:hAnsi="Times New Roman Bold"/>
                <w:b/>
                <w:bCs/>
                <w:smallCaps/>
                <w:noProof/>
                <w:sz w:val="24"/>
                <w:szCs w:val="24"/>
              </w:rPr>
              <w:t xml:space="preserve">Promowanie ogólnoświatowych zmian na rzecz eliminacji zanieczyszczeń </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hAnsi="Times New Roman" w:cs="Times New Roman"/>
                <w:b/>
                <w:bCs/>
                <w:i/>
                <w:iCs/>
                <w:noProof/>
                <w:sz w:val="24"/>
                <w:szCs w:val="24"/>
              </w:rPr>
            </w:pPr>
            <w:r>
              <w:rPr>
                <w:rFonts w:ascii="Times New Roman" w:hAnsi="Times New Roman"/>
                <w:b/>
                <w:bCs/>
                <w:i/>
                <w:iCs/>
                <w:noProof/>
                <w:sz w:val="24"/>
                <w:szCs w:val="24"/>
              </w:rPr>
              <w:t>Inicjatywa przewodnia 8</w:t>
            </w: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rPr>
                <w:noProof/>
              </w:rPr>
            </w:pPr>
            <w:r>
              <w:rPr>
                <w:b/>
                <w:bCs/>
                <w:noProof/>
              </w:rPr>
              <w:t>Zmniejszenie zewnętrznego śladu zanieczyszczeniowego UE</w:t>
            </w:r>
            <w:r>
              <w:rPr>
                <w:noProof/>
              </w:rPr>
              <w:br/>
              <w:t>Propagowanie eliminacji zanieczyszczeń na skalę globalną na wszystkich odpowiednich forach międzynarodowych oraz współpraca z państwami członkowskimi UE i zainteresowanymi stronami.</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Rozszerzanie </w:t>
            </w:r>
            <w:r>
              <w:rPr>
                <w:rFonts w:ascii="Times New Roman" w:hAnsi="Times New Roman"/>
                <w:b/>
                <w:bCs/>
                <w:noProof/>
                <w:sz w:val="24"/>
                <w:szCs w:val="24"/>
              </w:rPr>
              <w:t>współpracy międzynarodowej w zakresie polityki dotyczącej czystej sadzy</w:t>
            </w:r>
            <w:r>
              <w:rPr>
                <w:rFonts w:ascii="Times New Roman" w:hAnsi="Times New Roman"/>
                <w:noProof/>
                <w:sz w:val="24"/>
                <w:szCs w:val="24"/>
              </w:rPr>
              <w:t xml:space="preserve"> w celu ograniczenia skutków zmiany klimatu i poprawy jakości powietrza.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Wspieranie </w:t>
            </w:r>
            <w:r>
              <w:rPr>
                <w:rFonts w:ascii="Times New Roman" w:hAnsi="Times New Roman"/>
                <w:b/>
                <w:bCs/>
                <w:noProof/>
                <w:sz w:val="24"/>
                <w:szCs w:val="24"/>
              </w:rPr>
              <w:t>globalnych działań w zakresie wywozu pojazdów wycofanych z eksploatacji i pojazdów używanych</w:t>
            </w:r>
            <w:r>
              <w:rPr>
                <w:rFonts w:ascii="Times New Roman" w:hAnsi="Times New Roman"/>
                <w:noProof/>
                <w:sz w:val="24"/>
                <w:szCs w:val="24"/>
              </w:rPr>
              <w:t xml:space="preserve">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2021/2022</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Wspieranie inicjatyw mających na celu </w:t>
            </w:r>
            <w:r>
              <w:rPr>
                <w:rFonts w:ascii="Times New Roman" w:hAnsi="Times New Roman"/>
                <w:b/>
                <w:bCs/>
                <w:noProof/>
                <w:sz w:val="24"/>
                <w:szCs w:val="24"/>
              </w:rPr>
              <w:t>lepsze monitorowanie międzynarodowego handlu zużytym sprzętem elektrycznym i elektronicznym</w:t>
            </w:r>
            <w:r>
              <w:rPr>
                <w:rFonts w:ascii="Times New Roman" w:hAnsi="Times New Roman"/>
                <w:noProof/>
                <w:sz w:val="24"/>
                <w:szCs w:val="24"/>
              </w:rPr>
              <w:t xml:space="preserve"> (WEEE) i </w:t>
            </w:r>
            <w:r>
              <w:rPr>
                <w:rFonts w:ascii="Times New Roman" w:hAnsi="Times New Roman"/>
                <w:b/>
                <w:bCs/>
                <w:noProof/>
                <w:sz w:val="24"/>
                <w:szCs w:val="24"/>
              </w:rPr>
              <w:t>zużytymi bateriami</w:t>
            </w:r>
            <w:r>
              <w:rPr>
                <w:rFonts w:ascii="Times New Roman" w:hAnsi="Times New Roman"/>
                <w:noProof/>
                <w:sz w:val="24"/>
                <w:szCs w:val="24"/>
              </w:rPr>
              <w:t xml:space="preserve"> oraz zarządzanie nimi</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Wsparcie</w:t>
            </w:r>
            <w:r>
              <w:rPr>
                <w:rFonts w:ascii="Times New Roman" w:hAnsi="Times New Roman"/>
                <w:b/>
                <w:bCs/>
                <w:noProof/>
                <w:sz w:val="24"/>
                <w:szCs w:val="24"/>
              </w:rPr>
              <w:t xml:space="preserve"> globalnej inicjatywy na rzecz położenia kresu nieformalnemu recyklingowi</w:t>
            </w:r>
            <w:r>
              <w:rPr>
                <w:rFonts w:ascii="Times New Roman" w:hAnsi="Times New Roman"/>
                <w:noProof/>
                <w:sz w:val="24"/>
                <w:szCs w:val="24"/>
              </w:rPr>
              <w:t xml:space="preserve"> </w:t>
            </w:r>
            <w:r>
              <w:rPr>
                <w:rFonts w:ascii="Times New Roman" w:hAnsi="Times New Roman"/>
                <w:b/>
                <w:bCs/>
                <w:noProof/>
                <w:sz w:val="24"/>
                <w:szCs w:val="24"/>
              </w:rPr>
              <w:t xml:space="preserve">zużytych baterii kwasowo-ołowiowych </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2021/2022</w:t>
            </w:r>
          </w:p>
        </w:tc>
      </w:tr>
      <w:tr>
        <w:trPr>
          <w:jc w:val="center"/>
        </w:trPr>
        <w:tc>
          <w:tcPr>
            <w:tcW w:w="95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pPr>
              <w:keepNext/>
              <w:spacing w:after="0" w:line="240" w:lineRule="auto"/>
              <w:jc w:val="center"/>
              <w:rPr>
                <w:rFonts w:ascii="Times New Roman Bold" w:hAnsi="Times New Roman Bold" w:cs="Times New Roman"/>
                <w:b/>
                <w:smallCaps/>
                <w:noProof/>
                <w:sz w:val="24"/>
                <w:szCs w:val="24"/>
              </w:rPr>
            </w:pPr>
            <w:r>
              <w:rPr>
                <w:rFonts w:ascii="Times New Roman Bold" w:hAnsi="Times New Roman Bold"/>
                <w:b/>
                <w:smallCaps/>
                <w:noProof/>
                <w:sz w:val="24"/>
                <w:szCs w:val="24"/>
              </w:rPr>
              <w:t>Śledzenie postępów, przewidywanie tendencji i włączenie eliminacji zanieczyszczeń do głównego nurtu polityki</w:t>
            </w:r>
          </w:p>
        </w:tc>
      </w:tr>
      <w:tr>
        <w:trPr>
          <w:trHeight w:val="979"/>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spacing w:after="0" w:line="240" w:lineRule="auto"/>
              <w:rPr>
                <w:rFonts w:ascii="Times New Roman" w:hAnsi="Times New Roman" w:cs="Times New Roman"/>
                <w:b/>
                <w:bCs/>
                <w:i/>
                <w:iCs/>
                <w:noProof/>
                <w:sz w:val="24"/>
                <w:szCs w:val="24"/>
              </w:rPr>
            </w:pPr>
            <w:r>
              <w:rPr>
                <w:rFonts w:ascii="Times New Roman" w:hAnsi="Times New Roman"/>
                <w:b/>
                <w:bCs/>
                <w:i/>
                <w:iCs/>
                <w:noProof/>
                <w:sz w:val="24"/>
                <w:szCs w:val="24"/>
              </w:rPr>
              <w:t>Inicjatywa przewodnia 9</w:t>
            </w:r>
          </w:p>
        </w:tc>
        <w:tc>
          <w:tcPr>
            <w:tcW w:w="6404" w:type="dxa"/>
            <w:tcBorders>
              <w:top w:val="single" w:sz="4" w:space="0" w:color="auto"/>
              <w:left w:val="single" w:sz="4" w:space="0" w:color="auto"/>
              <w:bottom w:val="single" w:sz="4" w:space="0" w:color="auto"/>
              <w:right w:val="single" w:sz="4" w:space="0" w:color="auto"/>
            </w:tcBorders>
            <w:vAlign w:val="center"/>
          </w:tcPr>
          <w:p>
            <w:pPr>
              <w:spacing w:before="100" w:beforeAutospacing="1" w:after="100" w:afterAutospacing="1"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Konsolidacja unijnych centrów wiedzy na temat eliminacji zanieczyszczeń</w:t>
            </w:r>
            <w:r>
              <w:rPr>
                <w:noProof/>
              </w:rPr>
              <w:br/>
            </w:r>
            <w:r>
              <w:rPr>
                <w:rFonts w:ascii="Times New Roman" w:hAnsi="Times New Roman"/>
                <w:noProof/>
                <w:sz w:val="24"/>
                <w:szCs w:val="24"/>
              </w:rPr>
              <w:t>Konsolidacja roli Europejskiej Agencji Środowiska (EEA) i Wspólnego Centrum Badawczego (JRC) jako unijnych centrów doskonałości i wiedzy na temat eliminacji zanieczyszczeń.</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w:t>
            </w:r>
          </w:p>
        </w:tc>
      </w:tr>
      <w:tr>
        <w:trPr>
          <w:trHeight w:val="483"/>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jc w:val="both"/>
              <w:rPr>
                <w:noProof/>
              </w:rPr>
            </w:pPr>
            <w:r>
              <w:rPr>
                <w:b/>
                <w:bCs/>
                <w:noProof/>
              </w:rPr>
              <w:t>Sprawozdania dotyczące monitorowania realizacji i perspektyw zerowego poziomu emisji zanieczyszczeń</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 i 2024</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tcPr>
          <w:p>
            <w:pPr>
              <w:pStyle w:val="NormalWeb"/>
              <w:jc w:val="both"/>
              <w:rPr>
                <w:noProof/>
              </w:rPr>
            </w:pPr>
            <w:r>
              <w:rPr>
                <w:noProof/>
              </w:rPr>
              <w:t>Opracowanie „</w:t>
            </w:r>
            <w:r>
              <w:rPr>
                <w:b/>
                <w:bCs/>
                <w:noProof/>
              </w:rPr>
              <w:t>Europejskiego Atlasu Środowiska i Zdrowia</w:t>
            </w:r>
            <w:r>
              <w:rPr>
                <w:noProof/>
              </w:rPr>
              <w:t>”</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2023/2024</w:t>
            </w:r>
          </w:p>
        </w:tc>
      </w:tr>
      <w:tr>
        <w:trPr>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pStyle w:val="ListParagraph"/>
              <w:numPr>
                <w:ilvl w:val="0"/>
                <w:numId w:val="18"/>
              </w:numPr>
              <w:spacing w:after="0" w:line="240" w:lineRule="auto"/>
              <w:jc w:val="center"/>
              <w:rPr>
                <w:rFonts w:ascii="Times New Roman" w:hAnsi="Times New Roman" w:cs="Times New Roman"/>
                <w:noProof/>
                <w:sz w:val="24"/>
                <w:szCs w:val="24"/>
              </w:rPr>
            </w:pPr>
          </w:p>
        </w:tc>
        <w:tc>
          <w:tcPr>
            <w:tcW w:w="6404" w:type="dxa"/>
            <w:tcBorders>
              <w:top w:val="single" w:sz="4" w:space="0" w:color="auto"/>
              <w:left w:val="single" w:sz="4" w:space="0" w:color="auto"/>
              <w:bottom w:val="single" w:sz="4" w:space="0" w:color="auto"/>
              <w:right w:val="single" w:sz="4" w:space="0" w:color="auto"/>
            </w:tcBorders>
            <w:vAlign w:val="center"/>
          </w:tcPr>
          <w:p>
            <w:pPr>
              <w:pStyle w:val="NormalWeb"/>
              <w:jc w:val="both"/>
              <w:rPr>
                <w:noProof/>
              </w:rPr>
            </w:pPr>
            <w:r>
              <w:rPr>
                <w:noProof/>
              </w:rPr>
              <w:t xml:space="preserve">Uruchomienie </w:t>
            </w:r>
            <w:r>
              <w:rPr>
                <w:b/>
                <w:bCs/>
                <w:noProof/>
              </w:rPr>
              <w:t>platformy zainteresowanych stron na rzecz eliminacji zanieczyszczeń</w:t>
            </w:r>
            <w:r>
              <w:rPr>
                <w:noProof/>
              </w:rPr>
              <w:t xml:space="preserve"> (w tym centrów tematycznych zajmujących się np. rozwiązaniami cyfrowymi, technologiami w zakresie czystego powietrza, zanieczyszczeniem gleby)</w:t>
            </w:r>
          </w:p>
        </w:tc>
        <w:tc>
          <w:tcPr>
            <w:tcW w:w="175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od 2021</w:t>
            </w:r>
          </w:p>
        </w:tc>
      </w:tr>
    </w:tbl>
    <w:p>
      <w:pPr>
        <w:ind w:right="708"/>
        <w:jc w:val="both"/>
        <w:rPr>
          <w:rFonts w:ascii="Times New Roman" w:hAnsi="Times New Roman" w:cs="Times New Roman"/>
          <w:i/>
          <w:iCs/>
          <w:noProof/>
          <w:sz w:val="24"/>
          <w:szCs w:val="24"/>
        </w:rPr>
      </w:pPr>
      <w:r>
        <w:rPr>
          <w:rFonts w:ascii="Times New Roman" w:hAnsi="Times New Roman"/>
          <w:i/>
          <w:iCs/>
          <w:noProof/>
          <w:sz w:val="24"/>
          <w:szCs w:val="24"/>
        </w:rPr>
        <w:t>Oprócz wymienionych działań zasadnicze znaczenie dla realizacji zerowego poziomu emisji zanieczyszczeń będzie miało wiele działań na rzecz „eliminacji zanieczyszczeń”, które zostały już zaplanowane w ramach Europejskiego Zielonego Ładu i innych inicjatyw</w:t>
      </w:r>
      <w:r>
        <w:rPr>
          <w:rFonts w:ascii="Times New Roman" w:hAnsi="Times New Roman" w:cs="Times New Roman"/>
          <w:i/>
          <w:iCs/>
          <w:noProof/>
          <w:sz w:val="20"/>
          <w:szCs w:val="20"/>
          <w:vertAlign w:val="superscript"/>
        </w:rPr>
        <w:footnoteReference w:id="2"/>
      </w:r>
      <w:r>
        <w:rPr>
          <w:rFonts w:ascii="Times New Roman" w:hAnsi="Times New Roman"/>
          <w:i/>
          <w:iCs/>
          <w:noProof/>
          <w:sz w:val="24"/>
          <w:szCs w:val="24"/>
        </w:rPr>
        <w:t>.</w:t>
      </w:r>
    </w:p>
    <w:p>
      <w:pPr>
        <w:spacing w:after="200" w:line="276" w:lineRule="auto"/>
        <w:rPr>
          <w:rFonts w:ascii="Times New Roman" w:hAnsi="Times New Roman" w:cs="Times New Roman"/>
          <w:b/>
          <w:noProof/>
          <w:sz w:val="24"/>
          <w:szCs w:val="24"/>
        </w:rPr>
      </w:pPr>
      <w:r>
        <w:rPr>
          <w:noProof/>
        </w:rPr>
        <w:br w:type="page"/>
      </w:r>
      <w:r>
        <w:rPr>
          <w:rFonts w:ascii="Times New Roman" w:hAnsi="Times New Roman"/>
          <w:b/>
          <w:noProof/>
          <w:sz w:val="24"/>
          <w:szCs w:val="24"/>
        </w:rPr>
        <w:t>ZAŁĄCZNIK 2</w:t>
      </w:r>
    </w:p>
    <w:p>
      <w:pPr>
        <w:spacing w:after="120" w:line="264" w:lineRule="auto"/>
        <w:jc w:val="center"/>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Wyjaśnienia dotyczące celów określonych w planie działania na rzecz eliminacji zanieczyszczeń</w:t>
      </w:r>
    </w:p>
    <w:p>
      <w:pPr>
        <w:spacing w:after="120" w:line="264"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Cel 1:</w:t>
      </w:r>
      <w:r>
        <w:rPr>
          <w:rFonts w:ascii="Times New Roman" w:hAnsi="Times New Roman"/>
          <w:b/>
          <w:bCs/>
          <w:smallCaps/>
          <w:noProof/>
          <w:sz w:val="24"/>
          <w:szCs w:val="24"/>
        </w:rPr>
        <w:t xml:space="preserve"> </w:t>
      </w:r>
      <w:r>
        <w:rPr>
          <w:rFonts w:ascii="Times New Roman" w:hAnsi="Times New Roman"/>
          <w:b/>
          <w:bCs/>
          <w:noProof/>
          <w:sz w:val="24"/>
          <w:szCs w:val="24"/>
        </w:rPr>
        <w:t>Do 2030 r. UE powinna ograniczyć o ponad 55 % skutki zanieczyszczenia powietrza dla zdrowia (przedwczesne zgony)</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Podstawa:</w:t>
      </w:r>
      <w:r>
        <w:rPr>
          <w:rFonts w:ascii="Times New Roman" w:hAnsi="Times New Roman"/>
          <w:noProof/>
          <w:sz w:val="24"/>
          <w:szCs w:val="24"/>
        </w:rPr>
        <w:t xml:space="preserve"> dyrektywa w sprawie krajowych poziomów emisji (UE) 2016/2284</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Opis</w:t>
      </w:r>
      <w:r>
        <w:rPr>
          <w:rFonts w:ascii="Times New Roman" w:hAnsi="Times New Roman"/>
          <w:noProof/>
          <w:sz w:val="24"/>
          <w:szCs w:val="24"/>
        </w:rPr>
        <w:t>: prognozuje się osiągnięcie redukcji poprzez ograniczenie emisji pyłu drobnego (PM</w:t>
      </w:r>
      <w:r>
        <w:rPr>
          <w:rFonts w:ascii="Times New Roman" w:hAnsi="Times New Roman"/>
          <w:noProof/>
          <w:sz w:val="24"/>
          <w:szCs w:val="24"/>
          <w:vertAlign w:val="subscript"/>
        </w:rPr>
        <w:t>2,5</w:t>
      </w:r>
      <w:r>
        <w:rPr>
          <w:rFonts w:ascii="Times New Roman" w:hAnsi="Times New Roman"/>
          <w:noProof/>
          <w:sz w:val="24"/>
          <w:szCs w:val="24"/>
        </w:rPr>
        <w:t>), jeżeli wszystkie państwa członkowskie wprowadzą wszystkie środki zapowiedziane w ich pierwszych krajowych programach ograniczania zanieczyszczenia powietrza (art. 6 dyrektywy (UE) 2016/2284), aby osiągnąć cele dyrektywy, oraz przy pełnym wdrożeniu innych odpowiednich przepisów (w tym w szczególności polityki energetycznej i klimatycznej). Ograniczenie emisji zanieczyszczeń powietrza innych niż PM</w:t>
      </w:r>
      <w:r>
        <w:rPr>
          <w:rFonts w:ascii="Times New Roman" w:hAnsi="Times New Roman"/>
          <w:noProof/>
          <w:sz w:val="24"/>
          <w:szCs w:val="24"/>
          <w:vertAlign w:val="subscript"/>
        </w:rPr>
        <w:t>2,5</w:t>
      </w:r>
      <w:r>
        <w:rPr>
          <w:rFonts w:ascii="Times New Roman" w:hAnsi="Times New Roman"/>
          <w:noProof/>
          <w:sz w:val="24"/>
          <w:szCs w:val="24"/>
        </w:rPr>
        <w:t xml:space="preserve"> (które są również objęte zakresem dyrektywy NEC) przyniesie dodatkowe pozytywne skutki dla zdrowia.</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Rok odniesienia:</w:t>
      </w:r>
      <w:r>
        <w:rPr>
          <w:rFonts w:ascii="Times New Roman" w:hAnsi="Times New Roman"/>
          <w:noProof/>
          <w:sz w:val="24"/>
          <w:szCs w:val="24"/>
        </w:rPr>
        <w:t xml:space="preserve"> 2005</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Baza dowodowa:</w:t>
      </w:r>
      <w:r>
        <w:rPr>
          <w:rFonts w:ascii="Times New Roman" w:hAnsi="Times New Roman"/>
          <w:noProof/>
          <w:sz w:val="24"/>
          <w:szCs w:val="24"/>
        </w:rPr>
        <w:t xml:space="preserve"> druga prognoza w sprawie czystego powietrza</w:t>
      </w:r>
      <w:r>
        <w:rPr>
          <w:rFonts w:ascii="Times New Roman" w:eastAsia="Times New Roman" w:hAnsi="Times New Roman" w:cs="Times New Roman"/>
          <w:noProof/>
          <w:sz w:val="24"/>
          <w:szCs w:val="24"/>
          <w:vertAlign w:val="superscript"/>
          <w:lang w:eastAsia="fr-BE"/>
        </w:rPr>
        <w:footnoteReference w:id="3"/>
      </w:r>
      <w:r>
        <w:rPr>
          <w:rFonts w:ascii="Times New Roman" w:hAnsi="Times New Roman"/>
          <w:noProof/>
          <w:sz w:val="24"/>
          <w:szCs w:val="24"/>
        </w:rPr>
        <w:t xml:space="preserve"> i badanie stanowiące jej podstawę</w:t>
      </w:r>
      <w:r>
        <w:rPr>
          <w:rFonts w:ascii="Times New Roman" w:eastAsia="Times New Roman" w:hAnsi="Times New Roman" w:cs="Times New Roman"/>
          <w:noProof/>
          <w:sz w:val="24"/>
          <w:szCs w:val="24"/>
          <w:vertAlign w:val="superscript"/>
          <w:lang w:eastAsia="fr-BE"/>
        </w:rPr>
        <w:footnoteReference w:id="4"/>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Monitorowanie:</w:t>
      </w:r>
      <w:r>
        <w:rPr>
          <w:rFonts w:ascii="Times New Roman" w:hAnsi="Times New Roman"/>
          <w:noProof/>
          <w:sz w:val="24"/>
          <w:szCs w:val="24"/>
        </w:rPr>
        <w:t xml:space="preserve"> aktualizacja prognozy w sprawie czystego powietrza poprzez ramy monitorowania realizacji i perspektyw zerowego poziomu emisji zanieczyszczeń</w:t>
      </w:r>
      <w:r>
        <w:rPr>
          <w:rFonts w:ascii="Times New Roman" w:eastAsia="Times New Roman" w:hAnsi="Times New Roman" w:cs="Times New Roman"/>
          <w:noProof/>
          <w:sz w:val="24"/>
          <w:szCs w:val="24"/>
          <w:vertAlign w:val="superscript"/>
          <w:lang w:eastAsia="fr-BE"/>
        </w:rPr>
        <w:footnoteReference w:id="5"/>
      </w:r>
    </w:p>
    <w:p>
      <w:pPr>
        <w:spacing w:after="12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Cel 2:</w:t>
      </w:r>
      <w:r>
        <w:rPr>
          <w:rFonts w:ascii="Times New Roman" w:hAnsi="Times New Roman"/>
          <w:b/>
          <w:bCs/>
          <w:smallCaps/>
          <w:noProof/>
          <w:sz w:val="24"/>
          <w:szCs w:val="24"/>
        </w:rPr>
        <w:t xml:space="preserve"> </w:t>
      </w:r>
      <w:r>
        <w:rPr>
          <w:rFonts w:ascii="Times New Roman" w:hAnsi="Times New Roman"/>
          <w:b/>
          <w:bCs/>
          <w:noProof/>
          <w:sz w:val="24"/>
          <w:szCs w:val="24"/>
        </w:rPr>
        <w:t>Do 2030 r. UE powinna ograniczyć o 30 % udział osób długotrwale narażonych na hałas komunikacyjny</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Podstawa:</w:t>
      </w:r>
      <w:r>
        <w:rPr>
          <w:rFonts w:ascii="Times New Roman" w:hAnsi="Times New Roman"/>
          <w:noProof/>
          <w:sz w:val="24"/>
          <w:szCs w:val="24"/>
        </w:rPr>
        <w:t xml:space="preserve"> dyrektywa 2002/49/WE w sprawie hałasu w środowisku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Opis:</w:t>
      </w:r>
      <w:r>
        <w:rPr>
          <w:rFonts w:ascii="Times New Roman" w:hAnsi="Times New Roman"/>
          <w:noProof/>
          <w:sz w:val="24"/>
          <w:szCs w:val="24"/>
        </w:rPr>
        <w:t xml:space="preserve"> podstawę wyznaczonego celu stanowi badanie Komisji z 2021 r. zawierające analizę oficjalnych danych państw członkowskich dotyczących narażenia na hałas (art. 7 dyrektywy w sprawie hałasu w środowisku), krajowych planów działania w zakresie hałasu na lata 2018–2024 (art. 8 dyrektywy w sprawie hałasu w środowisku) oraz prognoz EEA z 2020 r. dotyczących hałasu w środowisku w Europie</w:t>
      </w:r>
      <w:r>
        <w:rPr>
          <w:rFonts w:ascii="Times New Roman" w:eastAsia="Times New Roman" w:hAnsi="Times New Roman" w:cs="Times New Roman"/>
          <w:noProof/>
          <w:sz w:val="24"/>
          <w:szCs w:val="24"/>
          <w:vertAlign w:val="superscript"/>
          <w:lang w:eastAsia="fr-BE"/>
        </w:rPr>
        <w:footnoteReference w:id="6"/>
      </w:r>
      <w:r>
        <w:rPr>
          <w:rFonts w:ascii="Times New Roman" w:hAnsi="Times New Roman"/>
          <w:noProof/>
          <w:sz w:val="24"/>
          <w:szCs w:val="24"/>
        </w:rPr>
        <w:t>. W badaniu określono ilościowo ograniczenie występowania problemów zdrowotnych związanych z hałasem dzięki wdrożeniu opłacalnych środków, w tym rozwiązań, które są już dostępne na rynku. Niektóre z nich wynikają z konkretnych ograniczeń hałasu obowiązujących na mocy prawa Unii (np. w odniesieniu do opon</w:t>
      </w:r>
      <w:r>
        <w:rPr>
          <w:rFonts w:ascii="Times New Roman" w:eastAsia="Times New Roman" w:hAnsi="Times New Roman" w:cs="Times New Roman"/>
          <w:noProof/>
          <w:sz w:val="24"/>
          <w:szCs w:val="24"/>
          <w:vertAlign w:val="superscript"/>
          <w:lang w:eastAsia="fr-BE"/>
        </w:rPr>
        <w:footnoteReference w:id="7"/>
      </w:r>
      <w:r>
        <w:rPr>
          <w:rFonts w:ascii="Times New Roman" w:hAnsi="Times New Roman"/>
          <w:noProof/>
          <w:sz w:val="24"/>
          <w:szCs w:val="24"/>
        </w:rPr>
        <w:t>, pojazdów drogowych</w:t>
      </w:r>
      <w:r>
        <w:rPr>
          <w:rFonts w:ascii="Times New Roman" w:eastAsia="Times New Roman" w:hAnsi="Times New Roman" w:cs="Times New Roman"/>
          <w:noProof/>
          <w:sz w:val="24"/>
          <w:szCs w:val="24"/>
          <w:vertAlign w:val="superscript"/>
          <w:lang w:eastAsia="fr-BE"/>
        </w:rPr>
        <w:footnoteReference w:id="8"/>
      </w:r>
      <w:r>
        <w:rPr>
          <w:rFonts w:ascii="Times New Roman" w:hAnsi="Times New Roman"/>
          <w:noProof/>
          <w:sz w:val="24"/>
          <w:szCs w:val="24"/>
        </w:rPr>
        <w:t>, cichych wagonów towarowych</w:t>
      </w:r>
      <w:r>
        <w:rPr>
          <w:rFonts w:ascii="Times New Roman" w:eastAsia="Times New Roman" w:hAnsi="Times New Roman" w:cs="Times New Roman"/>
          <w:noProof/>
          <w:sz w:val="24"/>
          <w:szCs w:val="24"/>
          <w:vertAlign w:val="superscript"/>
          <w:lang w:eastAsia="fr-BE"/>
        </w:rPr>
        <w:footnoteReference w:id="9"/>
      </w:r>
      <w:r>
        <w:rPr>
          <w:rFonts w:ascii="Times New Roman" w:hAnsi="Times New Roman"/>
          <w:noProof/>
          <w:sz w:val="24"/>
          <w:szCs w:val="24"/>
        </w:rPr>
        <w:t>), podczas gdy inne (np. w odniesieniu do cichszych nawierzchni drogowych, gładkich i cichszych szyn, ram czasowych i procedur dotyczących lotów) wymagają wprowadzenia środków na szczeblu krajowym/lokalnym na podstawie dyrektywy w sprawie hałasu w środowisku w powiązaniu z innym odnośnymi przepisami unijnymi</w:t>
      </w:r>
      <w:r>
        <w:rPr>
          <w:rFonts w:ascii="Times New Roman" w:eastAsia="Times New Roman" w:hAnsi="Times New Roman" w:cs="Times New Roman"/>
          <w:noProof/>
          <w:sz w:val="24"/>
          <w:szCs w:val="24"/>
          <w:vertAlign w:val="superscript"/>
          <w:lang w:eastAsia="fr-BE"/>
        </w:rPr>
        <w:footnoteReference w:id="10"/>
      </w:r>
      <w:r>
        <w:rPr>
          <w:rFonts w:ascii="Times New Roman" w:hAnsi="Times New Roman"/>
          <w:noProof/>
          <w:sz w:val="24"/>
          <w:szCs w:val="24"/>
        </w:rPr>
        <w:t xml:space="preserve">: ogólną koordynację i określenie poziomu ambicji tych ostatnich pozostawia się w gestii odpowiednich władz krajowych/lokalnych. Ogólnie ocena różnych scenariuszy łączących środki dotyczące dróg, kolei i portów lotniczych wykazała, że w porównaniu z 2017 r. oczekiwane ograniczenie występowania problemów zdrowotnych związanych z hałasem do 2030 r. wynosi od 15 % do 45 %, przy czym najniższy wynik jest efektem wdrożenia kilku środków związanych z konkretnymi limitami hałasu obowiązującymi na mocy prawa Unii, a najwyższy – z połączenia pierwszego scenariusza z bardziej zdecydowanymi środkami na szczeblu lokalnym. W związku z tym proponuje się, aby jako realistyczny cel przyjąć ograniczenie hałasu o 30 % do 2030 r., które jest możliwe do osiągnięcia głównie dzięki lepszemu wdrażaniu odpowiedniego prawa Unii i mocnemu wsparciu miejskich i regionalnych działań na rzecz eliminacji hałasu.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Rok odniesienia:</w:t>
      </w:r>
      <w:r>
        <w:rPr>
          <w:rFonts w:ascii="Times New Roman" w:hAnsi="Times New Roman"/>
          <w:noProof/>
          <w:sz w:val="24"/>
          <w:szCs w:val="24"/>
        </w:rPr>
        <w:t xml:space="preserve"> 2017</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Baza dowodowa:</w:t>
      </w:r>
      <w:r>
        <w:rPr>
          <w:rFonts w:ascii="Times New Roman" w:hAnsi="Times New Roman"/>
          <w:noProof/>
          <w:sz w:val="24"/>
          <w:szCs w:val="24"/>
        </w:rPr>
        <w:t xml:space="preserve"> badanie UE (2021) „Assessment of potential health benefits of noise abatement measures in the EU” [„Ocena potencjalnych korzyści dla zdrowia wynikających z zastosowania środków w zakresie redukcji hałasu w UE”]</w:t>
      </w:r>
      <w:r>
        <w:rPr>
          <w:rFonts w:ascii="Times New Roman" w:eastAsia="Times New Roman" w:hAnsi="Times New Roman" w:cs="Times New Roman"/>
          <w:noProof/>
          <w:sz w:val="24"/>
          <w:szCs w:val="24"/>
          <w:vertAlign w:val="superscript"/>
          <w:lang w:eastAsia="fr-BE"/>
        </w:rPr>
        <w:footnoteReference w:id="11"/>
      </w:r>
      <w:r>
        <w:rPr>
          <w:rFonts w:ascii="Times New Roman" w:hAnsi="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Monitorowanie:</w:t>
      </w:r>
      <w:r>
        <w:rPr>
          <w:rFonts w:ascii="Times New Roman" w:hAnsi="Times New Roman"/>
          <w:noProof/>
          <w:sz w:val="24"/>
          <w:szCs w:val="24"/>
        </w:rPr>
        <w:t xml:space="preserve"> aktualizacja regularnej oceny prowadzonej przez EEA (najnowsze sprawozdanie EEA nr 22/2019</w:t>
      </w:r>
      <w:r>
        <w:rPr>
          <w:rFonts w:ascii="Times New Roman" w:eastAsia="Times New Roman" w:hAnsi="Times New Roman" w:cs="Times New Roman"/>
          <w:noProof/>
          <w:sz w:val="24"/>
          <w:szCs w:val="24"/>
          <w:vertAlign w:val="superscript"/>
          <w:lang w:eastAsia="fr-BE"/>
        </w:rPr>
        <w:footnoteReference w:id="12"/>
      </w:r>
      <w:r>
        <w:rPr>
          <w:rFonts w:ascii="Times New Roman" w:hAnsi="Times New Roman"/>
          <w:noProof/>
          <w:sz w:val="24"/>
          <w:szCs w:val="24"/>
        </w:rPr>
        <w:t>), którą należy włączyć do ram monitorowania realizacji i perspektyw zerowego poziomu emisji zanieczyszczeń</w:t>
      </w:r>
      <w:r>
        <w:rPr>
          <w:rFonts w:ascii="Times New Roman" w:eastAsia="Times New Roman" w:hAnsi="Times New Roman" w:cs="Times New Roman"/>
          <w:noProof/>
          <w:sz w:val="24"/>
          <w:szCs w:val="24"/>
          <w:vertAlign w:val="superscript"/>
          <w:lang w:eastAsia="fr-BE"/>
        </w:rPr>
        <w:footnoteReference w:id="13"/>
      </w:r>
    </w:p>
    <w:p>
      <w:pPr>
        <w:spacing w:after="12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Cel 3:</w:t>
      </w:r>
      <w:r>
        <w:rPr>
          <w:rFonts w:ascii="Times New Roman" w:hAnsi="Times New Roman"/>
          <w:b/>
          <w:bCs/>
          <w:smallCaps/>
          <w:noProof/>
          <w:sz w:val="24"/>
          <w:szCs w:val="24"/>
        </w:rPr>
        <w:t xml:space="preserve"> </w:t>
      </w:r>
      <w:r>
        <w:rPr>
          <w:rFonts w:ascii="Times New Roman" w:hAnsi="Times New Roman"/>
          <w:b/>
          <w:bCs/>
          <w:noProof/>
          <w:sz w:val="24"/>
          <w:szCs w:val="24"/>
        </w:rPr>
        <w:t>Do 2030 r. UE powinna ograniczyć o 25 % liczbę ekosystemów w UE, w których zanieczyszczenie powietrza zagraża różnorodności biologicznej</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Podstawa:</w:t>
      </w:r>
      <w:r>
        <w:rPr>
          <w:rFonts w:ascii="Times New Roman" w:hAnsi="Times New Roman"/>
          <w:noProof/>
          <w:sz w:val="24"/>
          <w:szCs w:val="24"/>
        </w:rPr>
        <w:t xml:space="preserve"> dyrektywa w sprawie krajowych poziomów emisji (UE) 2016/2284</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Opis:</w:t>
      </w:r>
      <w:r>
        <w:rPr>
          <w:rFonts w:ascii="Times New Roman" w:hAnsi="Times New Roman"/>
          <w:noProof/>
          <w:sz w:val="24"/>
          <w:szCs w:val="24"/>
        </w:rPr>
        <w:t xml:space="preserve"> w ramach drugiej prognozy w sprawie czystego powietrza oraz badania stanowiącego jej podstawę obliczono, że przy pełnym wdrożeniu wszystkich środków zapowiedzianych przez państwa członkowskie w ich pierwszych krajowych programach ograniczania zanieczyszczenia powietrza (art. 6 dyrektywy (UE) 2016/2284) możliwe jest zmniejszenie do 2030 r. o 20 % w porównaniu z 2005 r. obszarów ekosystemów mierzonych jako obszary, na których przekroczono „ładunki krytyczne” depozycji azotu.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Szacunki te nie uwzględniają dodatkowych środków koniecznych do osiągnięcia ograniczenia o 50 % utraty składników odżywczych, określonych zarówno w strategii „Od pola do stołu”, jak i w unijnej strategii na rzecz bioróżnorodności 2030, oraz celów w zakresie odbudowy zasobów przyrodniczych określonych w unijnej strategii na rzecz bioróżnorodności 2030. W związku z tym proponuje się, aby jako realistyczny cel przyjąć ograniczenie o 25 % w porównaniu z 2005 r., które jest możliwe do osiągnięcia dzięki wdrożeniu środków już zapowiedzianych przez państwa członkowskie w ich pierwszych krajowych programach ograniczania zanieczyszczenia powietrza w połączeniu z wdrożeniem dodatkowych środków niezbędnych do osiągnięcia celów określonych w strategii „Od pola do stołu” i unijnej strategii na rzecz bioróżnorodności 2030.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Rok odniesienia:</w:t>
      </w:r>
      <w:r>
        <w:rPr>
          <w:rFonts w:ascii="Times New Roman" w:hAnsi="Times New Roman"/>
          <w:noProof/>
          <w:sz w:val="24"/>
          <w:szCs w:val="24"/>
        </w:rPr>
        <w:t xml:space="preserve"> 2005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Baza dowodowa:</w:t>
      </w:r>
      <w:r>
        <w:rPr>
          <w:rFonts w:ascii="Times New Roman" w:hAnsi="Times New Roman"/>
          <w:noProof/>
          <w:sz w:val="24"/>
          <w:szCs w:val="24"/>
        </w:rPr>
        <w:t xml:space="preserve"> druga prognoza w sprawie czystego powietrza</w:t>
      </w:r>
      <w:r>
        <w:rPr>
          <w:rFonts w:ascii="Times New Roman" w:eastAsia="Times New Roman" w:hAnsi="Times New Roman" w:cs="Times New Roman"/>
          <w:noProof/>
          <w:sz w:val="24"/>
          <w:szCs w:val="24"/>
          <w:vertAlign w:val="superscript"/>
          <w:lang w:eastAsia="fr-BE"/>
        </w:rPr>
        <w:footnoteReference w:id="14"/>
      </w:r>
      <w:r>
        <w:rPr>
          <w:rFonts w:ascii="Times New Roman" w:hAnsi="Times New Roman"/>
          <w:noProof/>
          <w:sz w:val="24"/>
          <w:szCs w:val="24"/>
        </w:rPr>
        <w:t xml:space="preserve"> i badanie stanowiące jej podstawę (w szczególności tabela 3.12)</w:t>
      </w:r>
      <w:r>
        <w:rPr>
          <w:rFonts w:ascii="Times New Roman" w:eastAsia="Times New Roman" w:hAnsi="Times New Roman" w:cs="Times New Roman"/>
          <w:noProof/>
          <w:sz w:val="24"/>
          <w:szCs w:val="24"/>
          <w:vertAlign w:val="superscript"/>
          <w:lang w:eastAsia="fr-BE"/>
        </w:rPr>
        <w:footnoteReference w:id="15"/>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Monitorowanie:</w:t>
      </w:r>
      <w:r>
        <w:rPr>
          <w:rFonts w:ascii="Times New Roman" w:hAnsi="Times New Roman"/>
          <w:noProof/>
          <w:sz w:val="24"/>
          <w:szCs w:val="24"/>
        </w:rPr>
        <w:t xml:space="preserve"> aktualizacja prognozy w sprawie czystego powietrza poprzez ramy monitorowania realizacji i perspektyw zerowego poziomu emisji zanieczyszczeń</w:t>
      </w:r>
      <w:r>
        <w:rPr>
          <w:rFonts w:ascii="Times New Roman" w:eastAsia="Times New Roman" w:hAnsi="Times New Roman" w:cs="Times New Roman"/>
          <w:noProof/>
          <w:sz w:val="24"/>
          <w:szCs w:val="24"/>
          <w:vertAlign w:val="superscript"/>
          <w:lang w:eastAsia="fr-BE"/>
        </w:rPr>
        <w:footnoteReference w:id="16"/>
      </w:r>
    </w:p>
    <w:p>
      <w:pPr>
        <w:spacing w:after="12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Cel 4:</w:t>
      </w:r>
      <w:r>
        <w:rPr>
          <w:rFonts w:ascii="Times New Roman" w:hAnsi="Times New Roman"/>
          <w:b/>
          <w:bCs/>
          <w:smallCaps/>
          <w:noProof/>
          <w:sz w:val="24"/>
          <w:szCs w:val="24"/>
        </w:rPr>
        <w:t xml:space="preserve"> </w:t>
      </w:r>
      <w:r>
        <w:rPr>
          <w:rFonts w:ascii="Times New Roman" w:hAnsi="Times New Roman"/>
          <w:b/>
          <w:bCs/>
          <w:noProof/>
          <w:sz w:val="24"/>
          <w:szCs w:val="24"/>
        </w:rPr>
        <w:t>Do 2030 r. UE powinna ograniczyć o 50 % utratę składników odżywczych, stosowanie pestycydów chemicznych i związane z nimi ryzyko, stosowanie bardziej niebezpiecznych pestycydów, a także sprzedaż środków przeciwdrobnoustrojowych przeznaczonych dla zwierząt gospodarskich i akwakultury</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Podstawa:</w:t>
      </w:r>
      <w:r>
        <w:rPr>
          <w:rFonts w:ascii="Times New Roman" w:hAnsi="Times New Roman"/>
          <w:noProof/>
          <w:sz w:val="24"/>
          <w:szCs w:val="24"/>
        </w:rPr>
        <w:t xml:space="preserve"> w unijnej strategii na rzecz bioróżnorodności 2030</w:t>
      </w:r>
      <w:r>
        <w:rPr>
          <w:rFonts w:ascii="Times New Roman" w:eastAsia="Times New Roman" w:hAnsi="Times New Roman" w:cs="Times New Roman"/>
          <w:noProof/>
          <w:sz w:val="24"/>
          <w:szCs w:val="24"/>
          <w:vertAlign w:val="superscript"/>
          <w:lang w:eastAsia="fr-BE"/>
        </w:rPr>
        <w:footnoteReference w:id="17"/>
      </w:r>
      <w:r>
        <w:rPr>
          <w:rFonts w:ascii="Times New Roman" w:hAnsi="Times New Roman"/>
          <w:noProof/>
          <w:sz w:val="24"/>
          <w:szCs w:val="24"/>
        </w:rPr>
        <w:t xml:space="preserve"> i w strategii „Od pola do stołu”</w:t>
      </w:r>
      <w:r>
        <w:rPr>
          <w:rFonts w:ascii="Times New Roman" w:eastAsia="Times New Roman" w:hAnsi="Times New Roman" w:cs="Times New Roman"/>
          <w:noProof/>
          <w:sz w:val="24"/>
          <w:szCs w:val="24"/>
          <w:vertAlign w:val="superscript"/>
          <w:lang w:eastAsia="fr-BE"/>
        </w:rPr>
        <w:footnoteReference w:id="18"/>
      </w:r>
      <w:r>
        <w:rPr>
          <w:rFonts w:ascii="Times New Roman" w:hAnsi="Times New Roman"/>
          <w:noProof/>
          <w:sz w:val="24"/>
          <w:szCs w:val="24"/>
        </w:rPr>
        <w:t xml:space="preserve"> określono następujące cele: </w:t>
      </w:r>
    </w:p>
    <w:p>
      <w:pPr>
        <w:numPr>
          <w:ilvl w:val="0"/>
          <w:numId w:val="25"/>
        </w:num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ograniczenie utraty składników odżywczych o 50 % do 2030 r. Osiągnięcie tego celu pozwoli zapewnić, aby żyzność gleb nie ulegała pogorszeniu, i doprowadzi do ograniczenia stosowania nawozów o co najmniej 20 %; </w:t>
      </w:r>
    </w:p>
    <w:p>
      <w:pPr>
        <w:numPr>
          <w:ilvl w:val="0"/>
          <w:numId w:val="25"/>
        </w:num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szCs w:val="24"/>
        </w:rPr>
        <w:t>zmniejszenie ogólnego stosowania i ryzyka dotyczącego pestycydów chemicznych o 50 % oraz stosowania bardziej niebezpiecznych spośród pestycydów o 50 % do 2030 r.;</w:t>
      </w:r>
    </w:p>
    <w:p>
      <w:pPr>
        <w:numPr>
          <w:ilvl w:val="0"/>
          <w:numId w:val="25"/>
        </w:num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zmniejszenie całkowitej unijnej sprzedaży środków przeciwdrobnoustrojowych przeznaczonych dla zwierząt gospodarskich i akwakultury o 50 % do 2030 r.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Opis:</w:t>
      </w:r>
      <w:r>
        <w:rPr>
          <w:rFonts w:ascii="Times New Roman" w:hAnsi="Times New Roman"/>
          <w:noProof/>
          <w:sz w:val="24"/>
          <w:szCs w:val="24"/>
        </w:rPr>
        <w:t xml:space="preserve"> </w:t>
      </w:r>
    </w:p>
    <w:p>
      <w:pPr>
        <w:spacing w:after="0" w:line="240" w:lineRule="auto"/>
        <w:jc w:val="both"/>
        <w:rPr>
          <w:rFonts w:ascii="Times New Roman" w:eastAsia="Times New Roman" w:hAnsi="Times New Roman" w:cs="Times New Roman"/>
          <w:noProof/>
          <w:szCs w:val="20"/>
        </w:rPr>
      </w:pPr>
      <w:r>
        <w:rPr>
          <w:rFonts w:ascii="Times New Roman" w:hAnsi="Times New Roman"/>
          <w:i/>
          <w:noProof/>
          <w:sz w:val="24"/>
          <w:szCs w:val="24"/>
        </w:rPr>
        <w:t>Składniki odżywcze</w:t>
      </w:r>
      <w:r>
        <w:rPr>
          <w:rFonts w:ascii="Times New Roman" w:hAnsi="Times New Roman"/>
          <w:noProof/>
          <w:sz w:val="24"/>
          <w:szCs w:val="24"/>
        </w:rPr>
        <w:t>: Cel ten będzie można osiągnąć dzięki pełnemu wdrażaniu i egzekwowaniu odpowiedniego prawodawstwa w zakresie środowiska i klimatu, identyfikowaniu możliwości zmniejszania ładunków substancji biogennych wspólnie z państwami członkowskimi, stosowaniu zrównoważonego nawożenia i zrównoważonemu gospodarowaniu składnikami odżywczymi</w:t>
      </w:r>
      <w:r>
        <w:rPr>
          <w:rFonts w:ascii="Times New Roman" w:hAnsi="Times New Roman"/>
          <w:noProof/>
          <w:szCs w:val="20"/>
        </w:rPr>
        <w:t>,</w:t>
      </w:r>
      <w:r>
        <w:rPr>
          <w:rFonts w:ascii="Times New Roman" w:hAnsi="Times New Roman"/>
          <w:noProof/>
          <w:sz w:val="24"/>
          <w:szCs w:val="24"/>
        </w:rPr>
        <w:t xml:space="preserve"> stymulowaniu rynków odzyskanych składników odżywczych</w:t>
      </w:r>
      <w:r>
        <w:rPr>
          <w:rFonts w:ascii="Times New Roman" w:hAnsi="Times New Roman"/>
          <w:noProof/>
          <w:szCs w:val="20"/>
        </w:rPr>
        <w:t xml:space="preserve"> </w:t>
      </w:r>
      <w:r>
        <w:rPr>
          <w:rFonts w:ascii="Times New Roman" w:hAnsi="Times New Roman"/>
          <w:noProof/>
          <w:sz w:val="24"/>
          <w:szCs w:val="24"/>
        </w:rPr>
        <w:t>oraz lepszemu zarządzaniu azotem i fosforem w całym ich cyklu życia</w:t>
      </w:r>
      <w:r>
        <w:rPr>
          <w:rFonts w:ascii="Times New Roman" w:hAnsi="Times New Roman"/>
          <w:noProof/>
          <w:szCs w:val="20"/>
        </w:rPr>
        <w:t>.</w:t>
      </w:r>
    </w:p>
    <w:p>
      <w:pPr>
        <w:spacing w:after="0" w:line="240" w:lineRule="auto"/>
        <w:jc w:val="both"/>
        <w:rPr>
          <w:rFonts w:ascii="Times New Roman" w:eastAsia="Times New Roman" w:hAnsi="Times New Roman" w:cs="Times New Roman"/>
          <w:noProof/>
          <w:sz w:val="24"/>
          <w:szCs w:val="24"/>
          <w:lang w:eastAsia="fr-BE"/>
        </w:rPr>
      </w:pPr>
    </w:p>
    <w:p>
      <w:pPr>
        <w:spacing w:after="120" w:line="240" w:lineRule="auto"/>
        <w:jc w:val="both"/>
        <w:rPr>
          <w:rFonts w:ascii="Times New Roman" w:eastAsia="Times New Roman" w:hAnsi="Times New Roman" w:cs="Times New Roman"/>
          <w:noProof/>
          <w:sz w:val="24"/>
          <w:szCs w:val="24"/>
        </w:rPr>
      </w:pPr>
      <w:r>
        <w:rPr>
          <w:rFonts w:ascii="Times New Roman" w:hAnsi="Times New Roman"/>
          <w:i/>
          <w:noProof/>
          <w:sz w:val="24"/>
          <w:szCs w:val="24"/>
        </w:rPr>
        <w:t>Pestycydy</w:t>
      </w:r>
      <w:r>
        <w:rPr>
          <w:rFonts w:ascii="Times New Roman" w:hAnsi="Times New Roman"/>
          <w:noProof/>
          <w:sz w:val="24"/>
          <w:szCs w:val="24"/>
        </w:rPr>
        <w:t>: Cel ten będzie można osiągnąć w kilku etapach, w szczególności poprzez przegląd dyrektywy w sprawie zrównoważonego stosowania pestycydów, wnioski dotyczące bardziej rygorystycznych przepisów w zakresie integrowanej ochrony roślin, a także propagowanie powszechniejszego stosowanie alternatywnych sposobów ochrony zbiorów przed agrofagami i chorobami. Cel obejmuje redukcję o 50 % trzech aspektów: stosowania pestycydów chemicznych, stosowania najbardziej szkodliwych pestycydów oraz ryzyka związanego z ich stosowaniem.</w:t>
      </w:r>
    </w:p>
    <w:p>
      <w:pPr>
        <w:spacing w:after="120" w:line="240" w:lineRule="auto"/>
        <w:jc w:val="both"/>
        <w:rPr>
          <w:rFonts w:ascii="Times New Roman" w:eastAsia="Times New Roman" w:hAnsi="Times New Roman" w:cs="Times New Roman"/>
          <w:noProof/>
          <w:sz w:val="24"/>
          <w:szCs w:val="24"/>
        </w:rPr>
      </w:pPr>
      <w:r>
        <w:rPr>
          <w:rFonts w:ascii="Times New Roman" w:hAnsi="Times New Roman"/>
          <w:i/>
          <w:noProof/>
          <w:sz w:val="24"/>
          <w:szCs w:val="24"/>
        </w:rPr>
        <w:t>Środki przeciwdrobnoustrojowe</w:t>
      </w:r>
      <w:r>
        <w:rPr>
          <w:rFonts w:ascii="Times New Roman" w:hAnsi="Times New Roman"/>
          <w:noProof/>
          <w:sz w:val="24"/>
          <w:szCs w:val="24"/>
        </w:rPr>
        <w:t>: Nowe rozporządzenia w sprawie weterynaryjnych produktów leczniczych i paszy leczniczej zapewniają szeroki zakres środków mających pomóc w osiągnięciu tego celu i propagowaniu podejścia „Jedno zdrowie”.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Rok odniesienia</w:t>
      </w:r>
      <w:r>
        <w:rPr>
          <w:rFonts w:ascii="Times New Roman" w:hAnsi="Times New Roman"/>
          <w:noProof/>
          <w:sz w:val="24"/>
          <w:szCs w:val="24"/>
        </w:rPr>
        <w:t xml:space="preserve">: porównanie z latami 2012–2015 (składniki odżywcze), 2011–2017 (pestycydy) i 2018 (środki przeciwdrobnoustrojowe)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Baza dowodowa:</w:t>
      </w:r>
      <w:r>
        <w:rPr>
          <w:rFonts w:ascii="Times New Roman" w:hAnsi="Times New Roman"/>
          <w:noProof/>
          <w:sz w:val="24"/>
          <w:szCs w:val="24"/>
        </w:rPr>
        <w:t xml:space="preserve"> strategia na rzecz bioróżnorodności i strategia „Od pola do stołu”, załącznik I do Zaleceń dla państw członkowskich w sprawie ich planów strategicznych dotyczących wspólnej polityki rolnej</w:t>
      </w:r>
      <w:r>
        <w:rPr>
          <w:rFonts w:ascii="Times New Roman" w:eastAsia="Times New Roman" w:hAnsi="Times New Roman" w:cs="Times New Roman"/>
          <w:noProof/>
          <w:sz w:val="24"/>
          <w:szCs w:val="24"/>
          <w:vertAlign w:val="superscript"/>
          <w:lang w:eastAsia="fr-BE"/>
        </w:rPr>
        <w:footnoteReference w:id="19"/>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Monitorowanie:</w:t>
      </w:r>
      <w:r>
        <w:rPr>
          <w:rFonts w:ascii="Times New Roman" w:hAnsi="Times New Roman"/>
          <w:noProof/>
          <w:sz w:val="24"/>
          <w:szCs w:val="24"/>
        </w:rPr>
        <w:t xml:space="preserve"> wskaźniki dotyczące określonych ilościowo celów Zielonego Ładu</w:t>
      </w:r>
      <w:r>
        <w:rPr>
          <w:rFonts w:ascii="Times New Roman" w:eastAsia="Times New Roman" w:hAnsi="Times New Roman" w:cs="Times New Roman"/>
          <w:noProof/>
          <w:sz w:val="24"/>
          <w:szCs w:val="24"/>
          <w:vertAlign w:val="superscript"/>
          <w:lang w:eastAsia="fr-BE"/>
        </w:rPr>
        <w:footnoteReference w:id="20"/>
      </w:r>
      <w:r>
        <w:rPr>
          <w:rFonts w:ascii="Times New Roman" w:hAnsi="Times New Roman"/>
          <w:noProof/>
          <w:sz w:val="24"/>
          <w:szCs w:val="24"/>
        </w:rPr>
        <w:t>, które należy włączyć do ram monitorowania realizacji i perspektyw zerowego poziomu emisji zanieczyszczeń</w:t>
      </w:r>
      <w:r>
        <w:rPr>
          <w:rFonts w:ascii="Times New Roman" w:eastAsia="Times New Roman" w:hAnsi="Times New Roman" w:cs="Times New Roman"/>
          <w:noProof/>
          <w:sz w:val="24"/>
          <w:szCs w:val="24"/>
          <w:vertAlign w:val="superscript"/>
          <w:lang w:eastAsia="fr-BE"/>
        </w:rPr>
        <w:footnoteReference w:id="21"/>
      </w:r>
    </w:p>
    <w:p>
      <w:pPr>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Cel 5:</w:t>
      </w:r>
      <w:r>
        <w:rPr>
          <w:rFonts w:ascii="Times New Roman" w:hAnsi="Times New Roman"/>
          <w:b/>
          <w:bCs/>
          <w:smallCaps/>
          <w:noProof/>
          <w:sz w:val="24"/>
          <w:szCs w:val="24"/>
        </w:rPr>
        <w:t xml:space="preserve"> </w:t>
      </w:r>
      <w:r>
        <w:rPr>
          <w:rFonts w:ascii="Times New Roman" w:hAnsi="Times New Roman"/>
          <w:b/>
          <w:bCs/>
          <w:noProof/>
          <w:sz w:val="24"/>
          <w:szCs w:val="24"/>
        </w:rPr>
        <w:t>Do 2030 r. UE powinna ograniczyć o 50 % ilość plastikowych odpadów w morzu oraz o 30 % ilość mikrodrobin plastiku uwalnianych do środowiska</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Podstawa:</w:t>
      </w:r>
      <w:r>
        <w:rPr>
          <w:rFonts w:ascii="Times New Roman" w:hAnsi="Times New Roman"/>
          <w:noProof/>
          <w:sz w:val="24"/>
          <w:szCs w:val="24"/>
        </w:rPr>
        <w:t xml:space="preserve"> dyrektywa (UE) 2019/904 w sprawie zmniejszenia wpływu niektórych produktów z tworzyw sztucznych na środowisko („dyrektywa w sprawie tworzyw sztucznych jednorazowego użytku”) oraz dyrektywa ramowa w sprawie strategii morskiej 2008/56/WE, prawodawstwo dotyczące chemikaliów (REACH)</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Opis:</w:t>
      </w:r>
      <w:r>
        <w:rPr>
          <w:rFonts w:ascii="Times New Roman" w:hAnsi="Times New Roman"/>
          <w:noProof/>
          <w:sz w:val="24"/>
          <w:szCs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hAnsi="Times New Roman"/>
          <w:i/>
          <w:noProof/>
          <w:sz w:val="24"/>
          <w:szCs w:val="24"/>
        </w:rPr>
        <w:t>Odpady plastikowe w morzu</w:t>
      </w:r>
      <w:r>
        <w:rPr>
          <w:rFonts w:ascii="Times New Roman" w:hAnsi="Times New Roman"/>
          <w:noProof/>
          <w:sz w:val="24"/>
          <w:szCs w:val="24"/>
        </w:rPr>
        <w:t xml:space="preserve">: Osiągnięcie celu redukcji o 50 % do 2030 roku będzie wymagało zmian w konsumpcji związanych z właściwym wdrażaniem obowiązującego (głównie dyrektywa ramowa w sprawie odpadów) i nowego (głównie dyrektywa w sprawie tworzyw sztucznych jednorazowego użytku) prawa Unii. Jako wskaźnik postępów posłuży monitorowanie ilości odpadów znajdujących się plażach, zgodnie z wymogami dyrektywy ramowej w sprawie strategii morskiej. Cel ten zostanie zatem osiągnięty poprzez połączenie środków przewidzianych w celu ograniczenia zużycia i odpadów plastikowych oraz wspierania czystszej gospodarki o bardziej zamkniętym obiegu. </w:t>
      </w:r>
    </w:p>
    <w:p>
      <w:pPr>
        <w:spacing w:after="120" w:line="240" w:lineRule="auto"/>
        <w:jc w:val="both"/>
        <w:rPr>
          <w:rFonts w:ascii="Times New Roman" w:eastAsia="Times New Roman" w:hAnsi="Times New Roman" w:cs="Times New Roman"/>
          <w:noProof/>
          <w:sz w:val="24"/>
          <w:szCs w:val="24"/>
        </w:rPr>
      </w:pPr>
      <w:r>
        <w:rPr>
          <w:rFonts w:ascii="Times New Roman" w:hAnsi="Times New Roman"/>
          <w:i/>
          <w:noProof/>
          <w:sz w:val="24"/>
          <w:szCs w:val="24"/>
        </w:rPr>
        <w:t>Mikrodrobiny plastiku</w:t>
      </w:r>
      <w:r>
        <w:rPr>
          <w:rFonts w:ascii="Times New Roman" w:hAnsi="Times New Roman"/>
          <w:noProof/>
          <w:sz w:val="24"/>
          <w:szCs w:val="24"/>
        </w:rPr>
        <w:t>: Jak wynika z badania przeprowadzonego przez Komisję w 2018 r.</w:t>
      </w:r>
      <w:r>
        <w:rPr>
          <w:rFonts w:ascii="Times New Roman" w:eastAsia="Times New Roman" w:hAnsi="Times New Roman" w:cs="Times New Roman"/>
          <w:noProof/>
          <w:sz w:val="24"/>
          <w:szCs w:val="24"/>
          <w:vertAlign w:val="superscript"/>
          <w:lang w:eastAsia="fr-BE"/>
        </w:rPr>
        <w:footnoteReference w:id="22"/>
      </w:r>
      <w:r>
        <w:rPr>
          <w:rFonts w:ascii="Times New Roman" w:hAnsi="Times New Roman"/>
          <w:noProof/>
          <w:sz w:val="24"/>
          <w:szCs w:val="24"/>
        </w:rPr>
        <w:t>, ograniczenie o 30 % do 2035 r. emisji mikrodrobin plastiku do wód powierzchniowych jest wykonalne pod warunkiem wdrożenia zestawu środków mających na celu eliminowanie mikrodrobin plastiku pochodzących z granulatów, opon i tekstyliów. Ponadto Europejska Agencja Chemikaliów (</w:t>
      </w:r>
      <w:hyperlink r:id="rId19">
        <w:r>
          <w:rPr>
            <w:rFonts w:ascii="Times New Roman" w:hAnsi="Times New Roman"/>
            <w:noProof/>
            <w:sz w:val="24"/>
            <w:szCs w:val="24"/>
          </w:rPr>
          <w:t>ECHA</w:t>
        </w:r>
      </w:hyperlink>
      <w:r>
        <w:rPr>
          <w:rFonts w:ascii="Times New Roman" w:hAnsi="Times New Roman"/>
          <w:noProof/>
          <w:sz w:val="24"/>
          <w:szCs w:val="24"/>
        </w:rPr>
        <w:t>) przeprowadziła analizę, z której wynika, że w przypadku zastosowania odpowiednich środków zapobiegawczych na podstawie rozporządzenia REACH w odniesieniu do stosowania mikrodrobin plastiku celowo dodawanych do produktów (np. kosmetyków, detergentów) możliwe jest również ograniczenie emisji mikrodrobin plastiku o 60 % w ciągu najbliższych 20 lat. Proponuje się zatem, aby jako realistyczny cel przyjąć ograniczenie o 30 % do 2030 r., które jest możliwe do osiągnięcia głównie dzięki właściwej realizacji planu działania UE dotyczącego gospodarki o obiegu zamkniętym z 2020 r.</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Rok odniesienia</w:t>
      </w:r>
      <w:r>
        <w:rPr>
          <w:rFonts w:ascii="Times New Roman" w:hAnsi="Times New Roman"/>
          <w:noProof/>
          <w:sz w:val="24"/>
          <w:szCs w:val="24"/>
        </w:rPr>
        <w:t>: 2016</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Baza dowodowa:</w:t>
      </w:r>
      <w:r>
        <w:rPr>
          <w:rFonts w:ascii="Times New Roman" w:hAnsi="Times New Roman"/>
          <w:noProof/>
          <w:sz w:val="24"/>
          <w:szCs w:val="24"/>
        </w:rPr>
        <w:t xml:space="preserve"> ocena skutków</w:t>
      </w:r>
      <w:r>
        <w:rPr>
          <w:rFonts w:ascii="Times New Roman" w:eastAsia="Times New Roman" w:hAnsi="Times New Roman" w:cs="Times New Roman"/>
          <w:noProof/>
          <w:sz w:val="24"/>
          <w:szCs w:val="24"/>
          <w:vertAlign w:val="superscript"/>
          <w:lang w:eastAsia="fr-BE"/>
        </w:rPr>
        <w:footnoteReference w:id="23"/>
      </w:r>
      <w:r>
        <w:rPr>
          <w:rFonts w:ascii="Times New Roman" w:hAnsi="Times New Roman"/>
          <w:noProof/>
          <w:sz w:val="24"/>
          <w:szCs w:val="24"/>
        </w:rPr>
        <w:t xml:space="preserve"> wniosku dotyczącego (obecnej) dyrektywy (UE) 2019/904 (odpady plastikowe) oraz sprawozdania Europejskiej Agencji Chemikaliów (mikrodrobiny plastiku)</w:t>
      </w:r>
      <w:r>
        <w:rPr>
          <w:rFonts w:ascii="Times New Roman" w:eastAsia="Times New Roman" w:hAnsi="Times New Roman" w:cs="Times New Roman"/>
          <w:noProof/>
          <w:sz w:val="24"/>
          <w:szCs w:val="24"/>
          <w:vertAlign w:val="superscript"/>
          <w:lang w:eastAsia="fr-BE"/>
        </w:rPr>
        <w:footnoteReference w:id="24"/>
      </w:r>
      <w:r>
        <w:rPr>
          <w:rFonts w:ascii="Times New Roman" w:hAnsi="Times New Roman"/>
          <w:noProof/>
          <w:sz w:val="24"/>
          <w:szCs w:val="24"/>
        </w:rPr>
        <w:t>, a także badania stanowiące podstawę</w:t>
      </w:r>
      <w:r>
        <w:rPr>
          <w:rFonts w:ascii="Times New Roman" w:eastAsia="Times New Roman" w:hAnsi="Times New Roman" w:cs="Times New Roman"/>
          <w:noProof/>
          <w:sz w:val="24"/>
          <w:szCs w:val="24"/>
          <w:vertAlign w:val="superscript"/>
          <w:lang w:eastAsia="fr-BE"/>
        </w:rPr>
        <w:footnoteReference w:id="25"/>
      </w:r>
      <w:r>
        <w:rPr>
          <w:rFonts w:ascii="Times New Roman" w:hAnsi="Times New Roman"/>
          <w:noProof/>
          <w:sz w:val="24"/>
          <w:szCs w:val="24"/>
        </w:rPr>
        <w:t xml:space="preserve"> oceny skutków dyrektywy w sprawie tworzyw sztucznych jednorazowego użytku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Monitorowanie:</w:t>
      </w:r>
      <w:r>
        <w:rPr>
          <w:rFonts w:ascii="Times New Roman" w:hAnsi="Times New Roman"/>
          <w:noProof/>
          <w:sz w:val="24"/>
          <w:szCs w:val="24"/>
        </w:rPr>
        <w:t xml:space="preserve"> w dyrektywie ramowej w sprawie strategii morskiej nałożono na państwa członkowskie wymóg regularnego monitorowania ilości odpadów znajdujących się na plażach. Na tej podstawie opracowano unijne wskaźniki ilości odpadów na plażach nadmorskich</w:t>
      </w:r>
      <w:r>
        <w:rPr>
          <w:rFonts w:ascii="Times New Roman" w:eastAsia="Times New Roman" w:hAnsi="Times New Roman" w:cs="Times New Roman"/>
          <w:noProof/>
          <w:sz w:val="24"/>
          <w:szCs w:val="24"/>
          <w:vertAlign w:val="superscript"/>
          <w:lang w:eastAsia="fr-BE"/>
        </w:rPr>
        <w:footnoteReference w:id="26"/>
      </w:r>
      <w:r>
        <w:rPr>
          <w:rFonts w:ascii="Times New Roman" w:hAnsi="Times New Roman"/>
          <w:noProof/>
          <w:sz w:val="24"/>
          <w:szCs w:val="24"/>
        </w:rPr>
        <w:t xml:space="preserve"> Monitorowanie dyrektywy ramowej w sprawie strategii morskiej (przy wsparciu sieci EMODNET</w:t>
      </w:r>
      <w:r>
        <w:rPr>
          <w:rFonts w:ascii="Times New Roman" w:eastAsia="Times New Roman" w:hAnsi="Times New Roman" w:cs="Times New Roman"/>
          <w:noProof/>
          <w:sz w:val="24"/>
          <w:szCs w:val="24"/>
          <w:vertAlign w:val="superscript"/>
          <w:lang w:eastAsia="fr-BE"/>
        </w:rPr>
        <w:footnoteReference w:id="27"/>
      </w:r>
      <w:r>
        <w:rPr>
          <w:rFonts w:ascii="Times New Roman" w:hAnsi="Times New Roman"/>
          <w:noProof/>
          <w:sz w:val="24"/>
          <w:szCs w:val="24"/>
        </w:rPr>
        <w:t>) zostanie włączone do ram monitorowania realizacji i perspektyw zerowego poziomu emisji zanieczyszczeń</w:t>
      </w:r>
      <w:r>
        <w:rPr>
          <w:rFonts w:ascii="Times New Roman" w:eastAsia="Times New Roman" w:hAnsi="Times New Roman" w:cs="Times New Roman"/>
          <w:noProof/>
          <w:sz w:val="24"/>
          <w:szCs w:val="24"/>
          <w:vertAlign w:val="superscript"/>
          <w:lang w:eastAsia="fr-BE"/>
        </w:rPr>
        <w:footnoteReference w:id="28"/>
      </w:r>
      <w:r>
        <w:rPr>
          <w:rFonts w:ascii="Times New Roman" w:hAnsi="Times New Roman"/>
          <w:noProof/>
          <w:sz w:val="24"/>
          <w:szCs w:val="24"/>
        </w:rPr>
        <w:t>.</w:t>
      </w:r>
    </w:p>
    <w:p>
      <w:pPr>
        <w:spacing w:after="12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Cel 6:</w:t>
      </w:r>
      <w:r>
        <w:rPr>
          <w:rFonts w:ascii="Times New Roman" w:hAnsi="Times New Roman"/>
          <w:b/>
          <w:bCs/>
          <w:smallCaps/>
          <w:noProof/>
          <w:sz w:val="24"/>
          <w:szCs w:val="24"/>
        </w:rPr>
        <w:t xml:space="preserve"> </w:t>
      </w:r>
      <w:r>
        <w:rPr>
          <w:rFonts w:ascii="Times New Roman" w:hAnsi="Times New Roman"/>
          <w:b/>
          <w:bCs/>
          <w:noProof/>
          <w:sz w:val="24"/>
          <w:szCs w:val="24"/>
        </w:rPr>
        <w:t>Do 2030 r. UE powinna w znacznym stopniu ograniczyć całkowitą ilość wytwarzanych odpadów i ograniczyć o 50 % ilość resztkowych odpadów komunalnych</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Podstawa:</w:t>
      </w:r>
      <w:r>
        <w:rPr>
          <w:rFonts w:ascii="Times New Roman" w:hAnsi="Times New Roman"/>
          <w:noProof/>
          <w:sz w:val="24"/>
          <w:szCs w:val="24"/>
        </w:rPr>
        <w:t xml:space="preserve"> plan działania UE dotyczący gospodarki o obiegu zamkniętym</w:t>
      </w:r>
      <w:r>
        <w:rPr>
          <w:rFonts w:ascii="Times New Roman" w:eastAsia="Times New Roman" w:hAnsi="Times New Roman" w:cs="Times New Roman"/>
          <w:noProof/>
          <w:sz w:val="24"/>
          <w:szCs w:val="24"/>
          <w:vertAlign w:val="superscript"/>
          <w:lang w:eastAsia="fr-BE"/>
        </w:rPr>
        <w:footnoteReference w:id="29"/>
      </w:r>
      <w:r>
        <w:rPr>
          <w:rFonts w:ascii="Times New Roman" w:hAnsi="Times New Roman"/>
          <w:noProof/>
          <w:sz w:val="24"/>
          <w:szCs w:val="24"/>
        </w:rPr>
        <w:t xml:space="preserve"> i dyrektywa ramowa w sprawie odpadów 2008/98/WE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Opis:</w:t>
      </w:r>
      <w:r>
        <w:rPr>
          <w:rFonts w:ascii="Times New Roman" w:hAnsi="Times New Roman"/>
          <w:noProof/>
          <w:sz w:val="24"/>
          <w:szCs w:val="24"/>
        </w:rPr>
        <w:t xml:space="preserve"> ambitny cel dotyczący całkowitej ilości wytwarzanych odpadów oraz ilości resztkowych odpadów komunalnych na mieszkańca w UE, zwiększających się systematycznie od 2014 r. Komisja zamierza udoskonalić hierarchię postępowania z odpadami określoną w art. 4 dyrektywy 2008/98/WE, w którym wprowadzono kolejność priorytetów zapobiegania powstawaniu odpadów, proponując cele dotyczące ograniczenia ilości odpadów oraz inne środki zapobiegania powstawaniu odpadów w kontekście zaplanowanego na 2023 r. przeglądu dyrektywy 2008/98/WE.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Rok odniesienia:</w:t>
      </w:r>
      <w:r>
        <w:rPr>
          <w:rFonts w:ascii="Times New Roman" w:hAnsi="Times New Roman"/>
          <w:noProof/>
          <w:sz w:val="24"/>
          <w:szCs w:val="24"/>
        </w:rPr>
        <w:t xml:space="preserve"> należy określić</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Baza dowodowa</w:t>
      </w:r>
      <w:r>
        <w:rPr>
          <w:rFonts w:ascii="Times New Roman" w:hAnsi="Times New Roman"/>
          <w:noProof/>
          <w:sz w:val="24"/>
          <w:szCs w:val="24"/>
        </w:rPr>
        <w:t>: baza danych Eurostatu na temat odpadów</w:t>
      </w:r>
      <w:r>
        <w:rPr>
          <w:rFonts w:ascii="Times New Roman" w:eastAsia="Times New Roman" w:hAnsi="Times New Roman" w:cs="Times New Roman"/>
          <w:noProof/>
          <w:szCs w:val="20"/>
          <w:vertAlign w:val="superscript"/>
          <w:lang w:eastAsia="fr-BE"/>
        </w:rPr>
        <w:footnoteReference w:id="30"/>
      </w:r>
      <w:r>
        <w:rPr>
          <w:rFonts w:ascii="Times New Roman" w:hAnsi="Times New Roman"/>
          <w:noProof/>
          <w:szCs w:val="20"/>
        </w:rPr>
        <w:t xml:space="preserve">, sprawozdania EEA </w:t>
      </w:r>
      <w:r>
        <w:rPr>
          <w:rFonts w:ascii="Times New Roman" w:hAnsi="Times New Roman"/>
          <w:noProof/>
          <w:sz w:val="24"/>
          <w:szCs w:val="24"/>
        </w:rPr>
        <w:t>na temat programów zapobiegania powstawaniu odpadów</w:t>
      </w:r>
      <w:r>
        <w:rPr>
          <w:rFonts w:ascii="Times New Roman" w:eastAsia="Times New Roman" w:hAnsi="Times New Roman" w:cs="Times New Roman"/>
          <w:noProof/>
          <w:sz w:val="24"/>
          <w:szCs w:val="24"/>
          <w:vertAlign w:val="superscript"/>
          <w:lang w:eastAsia="fr-BE"/>
        </w:rPr>
        <w:footnoteReference w:id="31"/>
      </w:r>
      <w:r>
        <w:rPr>
          <w:rFonts w:ascii="Times New Roman" w:hAnsi="Times New Roman"/>
          <w:noProof/>
          <w:sz w:val="24"/>
          <w:szCs w:val="24"/>
        </w:rPr>
        <w:t xml:space="preserve"> oraz dane dotyczące ponownego wykorzystania przekazane przez państwa członkowskie zgodnie z art. 37 ust. 3 dyrektywy ramowej w sprawie odpadów</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u w:val="single"/>
        </w:rPr>
        <w:t>Monitorowanie:</w:t>
      </w:r>
      <w:r>
        <w:rPr>
          <w:rFonts w:ascii="Times New Roman" w:hAnsi="Times New Roman"/>
          <w:noProof/>
          <w:sz w:val="24"/>
          <w:szCs w:val="24"/>
        </w:rPr>
        <w:t xml:space="preserve"> wskaźniki na podstawie bazy danych Eurostatu na temat odpadów</w:t>
      </w:r>
      <w:r>
        <w:rPr>
          <w:rFonts w:ascii="Times New Roman" w:eastAsia="Times New Roman" w:hAnsi="Times New Roman" w:cs="Times New Roman"/>
          <w:noProof/>
          <w:sz w:val="24"/>
          <w:szCs w:val="24"/>
          <w:vertAlign w:val="superscript"/>
          <w:lang w:eastAsia="fr-BE"/>
        </w:rPr>
        <w:footnoteReference w:id="32"/>
      </w:r>
      <w:r>
        <w:rPr>
          <w:rFonts w:ascii="Times New Roman" w:hAnsi="Times New Roman"/>
          <w:noProof/>
          <w:sz w:val="24"/>
          <w:szCs w:val="24"/>
        </w:rPr>
        <w:t xml:space="preserve"> oraz ram monitorowania gospodarki o obiegu zamkniętym</w:t>
      </w:r>
      <w:r>
        <w:rPr>
          <w:rFonts w:ascii="Times New Roman" w:eastAsia="Times New Roman" w:hAnsi="Times New Roman" w:cs="Times New Roman"/>
          <w:noProof/>
          <w:sz w:val="24"/>
          <w:szCs w:val="24"/>
          <w:vertAlign w:val="superscript"/>
          <w:lang w:eastAsia="fr-BE"/>
        </w:rPr>
        <w:footnoteReference w:id="33"/>
      </w:r>
      <w:r>
        <w:rPr>
          <w:rFonts w:ascii="Times New Roman" w:hAnsi="Times New Roman"/>
          <w:noProof/>
          <w:sz w:val="24"/>
          <w:szCs w:val="24"/>
        </w:rPr>
        <w:t>, które należy włączyć do ram monitorowania realizacji i perspektyw zerowego poziomu emisji zanieczyszczeń</w:t>
      </w:r>
      <w:r>
        <w:rPr>
          <w:rFonts w:ascii="Times New Roman" w:eastAsia="Times New Roman" w:hAnsi="Times New Roman" w:cs="Times New Roman"/>
          <w:noProof/>
          <w:sz w:val="24"/>
          <w:szCs w:val="24"/>
          <w:vertAlign w:val="superscript"/>
          <w:lang w:eastAsia="fr-BE"/>
        </w:rPr>
        <w:footnoteReference w:id="34"/>
      </w:r>
      <w:r>
        <w:rPr>
          <w:rFonts w:ascii="Times New Roman" w:hAnsi="Times New Roman"/>
          <w:noProof/>
          <w:sz w:val="24"/>
          <w:szCs w:val="24"/>
        </w:rPr>
        <w:t xml:space="preserve"> </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7535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jc w:val="both"/>
        <w:rPr>
          <w:rFonts w:ascii="Times New Roman" w:eastAsia="Times New Roman" w:hAnsi="Times New Roman" w:cs="Times New Roman"/>
          <w:sz w:val="20"/>
          <w:szCs w:val="20"/>
        </w:rPr>
      </w:pPr>
      <w:r>
        <w:rPr>
          <w:rFonts w:ascii="Times New Roman Bold" w:eastAsia="Times New Roman Bold" w:hAnsi="Times New Roman Bold" w:cs="Times New Roman Bold"/>
          <w:sz w:val="20"/>
          <w:szCs w:val="20"/>
          <w:vertAlign w:val="superscript"/>
        </w:rPr>
        <w:footnoteRef/>
      </w:r>
      <w:r>
        <w:t xml:space="preserve"> </w:t>
      </w:r>
      <w:r>
        <w:rPr>
          <w:rFonts w:ascii="Times New Roman" w:hAnsi="Times New Roman"/>
          <w:sz w:val="20"/>
          <w:szCs w:val="20"/>
        </w:rPr>
        <w:t>Zob. w szczególności wykazy działań w załącznikach do następujących inicjatyw (niewyczerpujący wykaz):</w:t>
      </w:r>
      <w:r>
        <w:t xml:space="preserve"> </w:t>
      </w:r>
      <w:r>
        <w:rPr>
          <w:rFonts w:ascii="Times New Roman" w:hAnsi="Times New Roman"/>
          <w:sz w:val="20"/>
          <w:szCs w:val="20"/>
        </w:rPr>
        <w:t>COM(2020) 98, COM(2020) 102, COM(2020) 299, COM(2020) 301, COM(2020) 380, COM(2020) 381, COM(2020) 562, COM(2020) 662, COM(2020) 663, COM(2020) 667, COM(2020) 696, COM(2020) 741, COM(2020) 761, COM(2020) 788, COM(2020)789, COM(2021) 44, COM(2021) 66, COM(2021) 82 oraz JOIN(2021) 3.</w:t>
      </w:r>
    </w:p>
    <w:p/>
  </w:footnote>
  <w:footnote w:id="3">
    <w:p>
      <w:pPr>
        <w:pStyle w:val="FootnoteText"/>
        <w:tabs>
          <w:tab w:val="left" w:pos="1276"/>
        </w:tabs>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1" w:history="1">
        <w:r>
          <w:rPr>
            <w:rStyle w:val="FootnoteReference"/>
            <w:rFonts w:ascii="Times New Roman" w:hAnsi="Times New Roman"/>
            <w:vertAlign w:val="baseline"/>
          </w:rPr>
          <w:t>COM(2021) 3.</w:t>
        </w:r>
      </w:hyperlink>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FootnoteReference"/>
            <w:rFonts w:ascii="Times New Roman" w:hAnsi="Times New Roman"/>
            <w:vertAlign w:val="baseline"/>
          </w:rPr>
          <w:t>https://ec.europa.eu/environment/air/pdf/CAO2-MAIN-final-21Dec20.pdf</w:t>
        </w:r>
      </w:hyperlink>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SWD(2021) 141.</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https://www.eea.europa.eu/publications/environmental-noise-in-europe</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https://eur-lex.europa.eu/legal-content/PL/TXT/?uri=CELEX%3A32009R0661</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https://eur-lex.europa.eu/legal-content/PL/TXT/?uri=CELEX%3A32014R0540</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https://eur-lex.europa.eu/legal-content/PL/TXT/?uri=CELEX%3A32019R0774</w:t>
      </w:r>
    </w:p>
  </w:footnote>
  <w:footnote w:id="10">
    <w:p>
      <w:pPr>
        <w:pStyle w:val="FootnoteText"/>
      </w:pPr>
      <w:r>
        <w:rPr>
          <w:rStyle w:val="FootnoteReference"/>
          <w:rFonts w:ascii="Times New Roman" w:hAnsi="Times New Roman" w:cs="Times New Roman"/>
        </w:rPr>
        <w:footnoteRef/>
      </w:r>
      <w:r>
        <w:rPr>
          <w:rFonts w:ascii="Times New Roman" w:hAnsi="Times New Roman"/>
        </w:rPr>
        <w:t xml:space="preserve"> https://eur-lex.europa.eu/legal-content/PL/TXT/?uri=CELEX%3A32014R0598</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FootnoteReference"/>
          <w:rFonts w:ascii="Times New Roman" w:hAnsi="Times New Roman"/>
          <w:vertAlign w:val="baseline"/>
        </w:rPr>
        <w:t>ISBN 978-92-76-30696-2, DOI: 10,2779/24566</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color w:val="auto"/>
            <w:u w:val="none"/>
          </w:rPr>
          <w:t>https://www.eea.europa.eu/publications/environmental-noise-in-europe</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SWD(2021) 141.</w:t>
      </w:r>
    </w:p>
  </w:footnote>
  <w:footnote w:id="14">
    <w:p>
      <w:pPr>
        <w:pStyle w:val="FootnoteText"/>
        <w:tabs>
          <w:tab w:val="left" w:pos="1276"/>
        </w:tabs>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vertAlign w:val="baseline"/>
        </w:rPr>
        <w:t xml:space="preserve"> </w:t>
      </w:r>
      <w:hyperlink r:id="rId4" w:history="1">
        <w:r>
          <w:rPr>
            <w:rStyle w:val="FootnoteReference"/>
            <w:rFonts w:ascii="Times New Roman" w:hAnsi="Times New Roman"/>
            <w:vertAlign w:val="baseline"/>
          </w:rPr>
          <w:t>COM(2021) 3.</w:t>
        </w:r>
      </w:hyperlink>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FootnoteReference"/>
            <w:rFonts w:ascii="Times New Roman" w:hAnsi="Times New Roman"/>
            <w:vertAlign w:val="baseline"/>
          </w:rPr>
          <w:t>https://ec.europa.eu/environment/air/pdf/CAO2-MAIN-final-21Dec20.pdf</w:t>
        </w:r>
      </w:hyperlink>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SWD(2021) 141.</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380. </w:t>
      </w:r>
    </w:p>
  </w:footnote>
  <w:footnote w:id="18">
    <w:p>
      <w:pPr>
        <w:pStyle w:val="FootnoteText"/>
      </w:pPr>
      <w:r>
        <w:rPr>
          <w:rStyle w:val="FootnoteReference"/>
          <w:rFonts w:ascii="Times New Roman" w:hAnsi="Times New Roman" w:cs="Times New Roman"/>
        </w:rPr>
        <w:footnoteRef/>
      </w:r>
      <w:r>
        <w:rPr>
          <w:rFonts w:ascii="Times New Roman" w:hAnsi="Times New Roman"/>
        </w:rPr>
        <w:t xml:space="preserve"> COM(2020) 381.</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Cs w:val="18"/>
        </w:rPr>
        <w:t>COM(2020) 846, załącznik 1.</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Cs w:val="18"/>
        </w:rPr>
        <w:t>COM(2020) 846, załącznik 1.</w:t>
      </w:r>
    </w:p>
  </w:footnote>
  <w:footnote w:id="21">
    <w:p>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Cs w:val="18"/>
        </w:rPr>
        <w:t>SWD(2021) 141.</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hyperlink r:id="rId6" w:history="1">
        <w:r>
          <w:rPr>
            <w:rStyle w:val="Hyperlink"/>
            <w:rFonts w:ascii="Times New Roman" w:hAnsi="Times New Roman"/>
          </w:rPr>
          <w:t>https://ec.europa.eu/environment/marine/good-environmental-status/descriptor-10/pdf/microplastics_final_report_v5_full.pdf</w:t>
        </w:r>
      </w:hyperlink>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SWD(2018) 254.</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https://echa.europa.eu/hot-topics/microplastics</w:t>
        </w:r>
      </w:hyperlink>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hyperlink r:id="rId8" w:history="1">
        <w:r>
          <w:rPr>
            <w:rStyle w:val="Hyperlink"/>
            <w:rFonts w:ascii="Times New Roman" w:hAnsi="Times New Roman"/>
          </w:rPr>
          <w:t>https://ec.europa.eu/environment/pdf/waste/Study_sups.pdf</w:t>
        </w:r>
      </w:hyperlink>
      <w:r>
        <w:rPr>
          <w:rStyle w:val="Hyperlink"/>
          <w:rFonts w:ascii="Times New Roman" w:hAnsi="Times New Roman"/>
        </w:rPr>
        <w:t>;</w:t>
      </w:r>
      <w:r>
        <w:rPr>
          <w:rFonts w:ascii="Times New Roman" w:hAnsi="Times New Roman"/>
        </w:rPr>
        <w:t xml:space="preserve"> </w:t>
      </w:r>
      <w:hyperlink r:id="rId9" w:history="1">
        <w:r>
          <w:rPr>
            <w:rStyle w:val="Hyperlink"/>
            <w:rFonts w:ascii="Times New Roman" w:hAnsi="Times New Roman"/>
          </w:rPr>
          <w:t>https://ec.europa.eu/environment/marine/good-environmental-status/descriptor-10/pdf/microplastics_final_report_v5_full.pdf</w:t>
        </w:r>
      </w:hyperlink>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https://mcc.jrc.ec.europa.eu/main/dev.py?N=41&amp;O=452</w:t>
        </w:r>
      </w:hyperlink>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Europejska sieć informacji i obserwacji środowiska morskiego; aby uzyskać więcej informacji, zob. SWD(2021) 141</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SWD(2021) 141.</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98.</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https://ec.europa.eu/eurostat/web/waste/data/database</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https://www.eea.europa.eu/themes/waste/waste-prevention</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https://ec.europa.eu/eurostat/web/waste/data/database</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SWD(2018) 29.</w:t>
      </w:r>
    </w:p>
  </w:footnote>
  <w:footnote w:id="34">
    <w:p>
      <w:pPr>
        <w:pStyle w:val="FootnoteText"/>
      </w:pPr>
      <w:r>
        <w:rPr>
          <w:rStyle w:val="FootnoteReference"/>
          <w:rFonts w:ascii="Times New Roman" w:hAnsi="Times New Roman" w:cs="Times New Roman"/>
        </w:rPr>
        <w:footnoteRef/>
      </w:r>
      <w:r>
        <w:rPr>
          <w:rFonts w:ascii="Times New Roman" w:hAnsi="Times New Roman"/>
        </w:rPr>
        <w:t xml:space="preserve"> SWD(2021) 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imes New Roman" w:hAnsi="Times New Roman"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63A"/>
    <w:multiLevelType w:val="hybridMultilevel"/>
    <w:tmpl w:val="BA3AC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FC60A5"/>
    <w:multiLevelType w:val="hybridMultilevel"/>
    <w:tmpl w:val="BC1C37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8BE783B"/>
    <w:multiLevelType w:val="multilevel"/>
    <w:tmpl w:val="A192EE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
    <w:nsid w:val="198412C6"/>
    <w:multiLevelType w:val="hybridMultilevel"/>
    <w:tmpl w:val="B5A2AB3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CAA59E4"/>
    <w:multiLevelType w:val="hybridMultilevel"/>
    <w:tmpl w:val="72FCC3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0D40E7C"/>
    <w:multiLevelType w:val="hybridMultilevel"/>
    <w:tmpl w:val="B336B1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24D2CE7"/>
    <w:multiLevelType w:val="hybridMultilevel"/>
    <w:tmpl w:val="B172EA26"/>
    <w:lvl w:ilvl="0" w:tplc="08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7">
    <w:nsid w:val="26070832"/>
    <w:multiLevelType w:val="hybridMultilevel"/>
    <w:tmpl w:val="443E60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66A6576"/>
    <w:multiLevelType w:val="hybridMultilevel"/>
    <w:tmpl w:val="3C842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F4114F6"/>
    <w:multiLevelType w:val="hybridMultilevel"/>
    <w:tmpl w:val="BF84C4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F8F21E3"/>
    <w:multiLevelType w:val="hybridMultilevel"/>
    <w:tmpl w:val="6D3C0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4DA16BE"/>
    <w:multiLevelType w:val="multilevel"/>
    <w:tmpl w:val="73E4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85EA7"/>
    <w:multiLevelType w:val="hybridMultilevel"/>
    <w:tmpl w:val="D7A6A23C"/>
    <w:lvl w:ilvl="0" w:tplc="738A0B4E">
      <w:start w:val="1"/>
      <w:numFmt w:val="bullet"/>
      <w:lvlText w:val=""/>
      <w:lvlJc w:val="left"/>
      <w:pPr>
        <w:ind w:left="720" w:hanging="360"/>
      </w:pPr>
      <w:rPr>
        <w:rFonts w:ascii="Symbol" w:hAnsi="Symbol" w:hint="default"/>
      </w:rPr>
    </w:lvl>
    <w:lvl w:ilvl="1" w:tplc="0C009664">
      <w:start w:val="1"/>
      <w:numFmt w:val="bullet"/>
      <w:lvlText w:val="o"/>
      <w:lvlJc w:val="left"/>
      <w:pPr>
        <w:ind w:left="1440" w:hanging="360"/>
      </w:pPr>
      <w:rPr>
        <w:rFonts w:ascii="Courier New" w:hAnsi="Courier New" w:hint="default"/>
      </w:rPr>
    </w:lvl>
    <w:lvl w:ilvl="2" w:tplc="FD66FC96">
      <w:start w:val="1"/>
      <w:numFmt w:val="bullet"/>
      <w:lvlText w:val=""/>
      <w:lvlJc w:val="left"/>
      <w:pPr>
        <w:ind w:left="2160" w:hanging="360"/>
      </w:pPr>
      <w:rPr>
        <w:rFonts w:ascii="Wingdings" w:hAnsi="Wingdings" w:hint="default"/>
      </w:rPr>
    </w:lvl>
    <w:lvl w:ilvl="3" w:tplc="B10A5D82">
      <w:start w:val="1"/>
      <w:numFmt w:val="bullet"/>
      <w:lvlText w:val=""/>
      <w:lvlJc w:val="left"/>
      <w:pPr>
        <w:ind w:left="2880" w:hanging="360"/>
      </w:pPr>
      <w:rPr>
        <w:rFonts w:ascii="Symbol" w:hAnsi="Symbol" w:hint="default"/>
      </w:rPr>
    </w:lvl>
    <w:lvl w:ilvl="4" w:tplc="CF8CCBFE">
      <w:start w:val="1"/>
      <w:numFmt w:val="bullet"/>
      <w:lvlText w:val="o"/>
      <w:lvlJc w:val="left"/>
      <w:pPr>
        <w:ind w:left="3600" w:hanging="360"/>
      </w:pPr>
      <w:rPr>
        <w:rFonts w:ascii="Courier New" w:hAnsi="Courier New" w:hint="default"/>
      </w:rPr>
    </w:lvl>
    <w:lvl w:ilvl="5" w:tplc="8AE86982">
      <w:start w:val="1"/>
      <w:numFmt w:val="bullet"/>
      <w:lvlText w:val=""/>
      <w:lvlJc w:val="left"/>
      <w:pPr>
        <w:ind w:left="4320" w:hanging="360"/>
      </w:pPr>
      <w:rPr>
        <w:rFonts w:ascii="Wingdings" w:hAnsi="Wingdings" w:hint="default"/>
      </w:rPr>
    </w:lvl>
    <w:lvl w:ilvl="6" w:tplc="FFD2A9E4">
      <w:start w:val="1"/>
      <w:numFmt w:val="bullet"/>
      <w:lvlText w:val=""/>
      <w:lvlJc w:val="left"/>
      <w:pPr>
        <w:ind w:left="5040" w:hanging="360"/>
      </w:pPr>
      <w:rPr>
        <w:rFonts w:ascii="Symbol" w:hAnsi="Symbol" w:hint="default"/>
      </w:rPr>
    </w:lvl>
    <w:lvl w:ilvl="7" w:tplc="1190FE10">
      <w:start w:val="1"/>
      <w:numFmt w:val="bullet"/>
      <w:lvlText w:val="o"/>
      <w:lvlJc w:val="left"/>
      <w:pPr>
        <w:ind w:left="5760" w:hanging="360"/>
      </w:pPr>
      <w:rPr>
        <w:rFonts w:ascii="Courier New" w:hAnsi="Courier New" w:hint="default"/>
      </w:rPr>
    </w:lvl>
    <w:lvl w:ilvl="8" w:tplc="70086354">
      <w:start w:val="1"/>
      <w:numFmt w:val="bullet"/>
      <w:lvlText w:val=""/>
      <w:lvlJc w:val="left"/>
      <w:pPr>
        <w:ind w:left="6480" w:hanging="360"/>
      </w:pPr>
      <w:rPr>
        <w:rFonts w:ascii="Wingdings" w:hAnsi="Wingdings" w:hint="default"/>
      </w:rPr>
    </w:lvl>
  </w:abstractNum>
  <w:abstractNum w:abstractNumId="13">
    <w:nsid w:val="4BBD5DCF"/>
    <w:multiLevelType w:val="hybridMultilevel"/>
    <w:tmpl w:val="11FA1E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FDA24D9"/>
    <w:multiLevelType w:val="hybridMultilevel"/>
    <w:tmpl w:val="671E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516C12"/>
    <w:multiLevelType w:val="hybridMultilevel"/>
    <w:tmpl w:val="610C6B1C"/>
    <w:lvl w:ilvl="0" w:tplc="520AD14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55F7381B"/>
    <w:multiLevelType w:val="hybridMultilevel"/>
    <w:tmpl w:val="36F6F0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6221BDD"/>
    <w:multiLevelType w:val="hybridMultilevel"/>
    <w:tmpl w:val="59DA6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B8A7A0C"/>
    <w:multiLevelType w:val="hybridMultilevel"/>
    <w:tmpl w:val="CA1630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0184155"/>
    <w:multiLevelType w:val="hybridMultilevel"/>
    <w:tmpl w:val="499E8AF8"/>
    <w:lvl w:ilvl="0" w:tplc="92E839B0">
      <w:start w:val="13"/>
      <w:numFmt w:val="bullet"/>
      <w:lvlText w:val="-"/>
      <w:lvlJc w:val="left"/>
      <w:pPr>
        <w:ind w:left="770" w:hanging="360"/>
      </w:pPr>
      <w:rPr>
        <w:rFonts w:ascii="Calibri" w:eastAsia="Calibri" w:hAnsi="Calibri" w:cs="Calibri" w:hint="default"/>
      </w:rPr>
    </w:lvl>
    <w:lvl w:ilvl="1" w:tplc="080C0003">
      <w:start w:val="1"/>
      <w:numFmt w:val="bullet"/>
      <w:lvlText w:val="o"/>
      <w:lvlJc w:val="left"/>
      <w:pPr>
        <w:ind w:left="1490" w:hanging="360"/>
      </w:pPr>
      <w:rPr>
        <w:rFonts w:ascii="Courier New" w:hAnsi="Courier New" w:cs="Courier New" w:hint="default"/>
      </w:rPr>
    </w:lvl>
    <w:lvl w:ilvl="2" w:tplc="080C0005">
      <w:start w:val="1"/>
      <w:numFmt w:val="bullet"/>
      <w:lvlText w:val=""/>
      <w:lvlJc w:val="left"/>
      <w:pPr>
        <w:ind w:left="2210" w:hanging="360"/>
      </w:pPr>
      <w:rPr>
        <w:rFonts w:ascii="Wingdings" w:hAnsi="Wingdings" w:hint="default"/>
      </w:rPr>
    </w:lvl>
    <w:lvl w:ilvl="3" w:tplc="080C0001">
      <w:start w:val="1"/>
      <w:numFmt w:val="bullet"/>
      <w:lvlText w:val=""/>
      <w:lvlJc w:val="left"/>
      <w:pPr>
        <w:ind w:left="2930" w:hanging="360"/>
      </w:pPr>
      <w:rPr>
        <w:rFonts w:ascii="Symbol" w:hAnsi="Symbol" w:hint="default"/>
      </w:rPr>
    </w:lvl>
    <w:lvl w:ilvl="4" w:tplc="080C0003">
      <w:start w:val="1"/>
      <w:numFmt w:val="bullet"/>
      <w:lvlText w:val="o"/>
      <w:lvlJc w:val="left"/>
      <w:pPr>
        <w:ind w:left="3650" w:hanging="360"/>
      </w:pPr>
      <w:rPr>
        <w:rFonts w:ascii="Courier New" w:hAnsi="Courier New" w:cs="Courier New" w:hint="default"/>
      </w:rPr>
    </w:lvl>
    <w:lvl w:ilvl="5" w:tplc="080C0005">
      <w:start w:val="1"/>
      <w:numFmt w:val="bullet"/>
      <w:lvlText w:val=""/>
      <w:lvlJc w:val="left"/>
      <w:pPr>
        <w:ind w:left="4370" w:hanging="360"/>
      </w:pPr>
      <w:rPr>
        <w:rFonts w:ascii="Wingdings" w:hAnsi="Wingdings" w:hint="default"/>
      </w:rPr>
    </w:lvl>
    <w:lvl w:ilvl="6" w:tplc="080C0001">
      <w:start w:val="1"/>
      <w:numFmt w:val="bullet"/>
      <w:lvlText w:val=""/>
      <w:lvlJc w:val="left"/>
      <w:pPr>
        <w:ind w:left="5090" w:hanging="360"/>
      </w:pPr>
      <w:rPr>
        <w:rFonts w:ascii="Symbol" w:hAnsi="Symbol" w:hint="default"/>
      </w:rPr>
    </w:lvl>
    <w:lvl w:ilvl="7" w:tplc="080C0003">
      <w:start w:val="1"/>
      <w:numFmt w:val="bullet"/>
      <w:lvlText w:val="o"/>
      <w:lvlJc w:val="left"/>
      <w:pPr>
        <w:ind w:left="5810" w:hanging="360"/>
      </w:pPr>
      <w:rPr>
        <w:rFonts w:ascii="Courier New" w:hAnsi="Courier New" w:cs="Courier New" w:hint="default"/>
      </w:rPr>
    </w:lvl>
    <w:lvl w:ilvl="8" w:tplc="080C0005">
      <w:start w:val="1"/>
      <w:numFmt w:val="bullet"/>
      <w:lvlText w:val=""/>
      <w:lvlJc w:val="left"/>
      <w:pPr>
        <w:ind w:left="6530" w:hanging="360"/>
      </w:pPr>
      <w:rPr>
        <w:rFonts w:ascii="Wingdings" w:hAnsi="Wingdings" w:hint="default"/>
      </w:rPr>
    </w:lvl>
  </w:abstractNum>
  <w:abstractNum w:abstractNumId="20">
    <w:nsid w:val="63F61FC4"/>
    <w:multiLevelType w:val="hybridMultilevel"/>
    <w:tmpl w:val="2062BC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62E501D"/>
    <w:multiLevelType w:val="hybridMultilevel"/>
    <w:tmpl w:val="7E309194"/>
    <w:lvl w:ilvl="0" w:tplc="0809000F">
      <w:start w:val="1"/>
      <w:numFmt w:val="decimal"/>
      <w:lvlText w:val="%1."/>
      <w:lvlJc w:val="left"/>
      <w:pPr>
        <w:ind w:left="2450" w:hanging="360"/>
      </w:pPr>
    </w:lvl>
    <w:lvl w:ilvl="1" w:tplc="08090019" w:tentative="1">
      <w:start w:val="1"/>
      <w:numFmt w:val="lowerLetter"/>
      <w:lvlText w:val="%2."/>
      <w:lvlJc w:val="left"/>
      <w:pPr>
        <w:ind w:left="3170" w:hanging="360"/>
      </w:pPr>
    </w:lvl>
    <w:lvl w:ilvl="2" w:tplc="0809001B" w:tentative="1">
      <w:start w:val="1"/>
      <w:numFmt w:val="lowerRoman"/>
      <w:lvlText w:val="%3."/>
      <w:lvlJc w:val="right"/>
      <w:pPr>
        <w:ind w:left="3890" w:hanging="180"/>
      </w:pPr>
    </w:lvl>
    <w:lvl w:ilvl="3" w:tplc="0809000F" w:tentative="1">
      <w:start w:val="1"/>
      <w:numFmt w:val="decimal"/>
      <w:lvlText w:val="%4."/>
      <w:lvlJc w:val="left"/>
      <w:pPr>
        <w:ind w:left="4610" w:hanging="360"/>
      </w:pPr>
    </w:lvl>
    <w:lvl w:ilvl="4" w:tplc="08090019" w:tentative="1">
      <w:start w:val="1"/>
      <w:numFmt w:val="lowerLetter"/>
      <w:lvlText w:val="%5."/>
      <w:lvlJc w:val="left"/>
      <w:pPr>
        <w:ind w:left="5330" w:hanging="360"/>
      </w:pPr>
    </w:lvl>
    <w:lvl w:ilvl="5" w:tplc="0809001B" w:tentative="1">
      <w:start w:val="1"/>
      <w:numFmt w:val="lowerRoman"/>
      <w:lvlText w:val="%6."/>
      <w:lvlJc w:val="right"/>
      <w:pPr>
        <w:ind w:left="6050" w:hanging="180"/>
      </w:pPr>
    </w:lvl>
    <w:lvl w:ilvl="6" w:tplc="0809000F" w:tentative="1">
      <w:start w:val="1"/>
      <w:numFmt w:val="decimal"/>
      <w:lvlText w:val="%7."/>
      <w:lvlJc w:val="left"/>
      <w:pPr>
        <w:ind w:left="6770" w:hanging="360"/>
      </w:pPr>
    </w:lvl>
    <w:lvl w:ilvl="7" w:tplc="08090019" w:tentative="1">
      <w:start w:val="1"/>
      <w:numFmt w:val="lowerLetter"/>
      <w:lvlText w:val="%8."/>
      <w:lvlJc w:val="left"/>
      <w:pPr>
        <w:ind w:left="7490" w:hanging="360"/>
      </w:pPr>
    </w:lvl>
    <w:lvl w:ilvl="8" w:tplc="0809001B" w:tentative="1">
      <w:start w:val="1"/>
      <w:numFmt w:val="lowerRoman"/>
      <w:lvlText w:val="%9."/>
      <w:lvlJc w:val="right"/>
      <w:pPr>
        <w:ind w:left="8210" w:hanging="180"/>
      </w:pPr>
    </w:lvl>
  </w:abstractNum>
  <w:abstractNum w:abstractNumId="22">
    <w:nsid w:val="679F1504"/>
    <w:multiLevelType w:val="hybridMultilevel"/>
    <w:tmpl w:val="A1CC9D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69553FC8"/>
    <w:multiLevelType w:val="hybridMultilevel"/>
    <w:tmpl w:val="D9669DEE"/>
    <w:lvl w:ilvl="0" w:tplc="89F604A6">
      <w:start w:val="1"/>
      <w:numFmt w:val="decimal"/>
      <w:lvlText w:val="%1"/>
      <w:lvlJc w:val="left"/>
      <w:pPr>
        <w:ind w:left="360" w:hanging="360"/>
      </w:pPr>
      <w:rPr>
        <w:rFonts w:hint="default"/>
      </w:rPr>
    </w:lvl>
    <w:lvl w:ilvl="1" w:tplc="190078F0">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0"/>
  </w:num>
  <w:num w:numId="3">
    <w:abstractNumId w:val="15"/>
  </w:num>
  <w:num w:numId="4">
    <w:abstractNumId w:val="6"/>
  </w:num>
  <w:num w:numId="5">
    <w:abstractNumId w:val="6"/>
  </w:num>
  <w:num w:numId="6">
    <w:abstractNumId w:val="2"/>
  </w:num>
  <w:num w:numId="7">
    <w:abstractNumId w:val="11"/>
  </w:num>
  <w:num w:numId="8">
    <w:abstractNumId w:val="16"/>
  </w:num>
  <w:num w:numId="9">
    <w:abstractNumId w:val="5"/>
  </w:num>
  <w:num w:numId="10">
    <w:abstractNumId w:val="7"/>
  </w:num>
  <w:num w:numId="11">
    <w:abstractNumId w:val="22"/>
  </w:num>
  <w:num w:numId="12">
    <w:abstractNumId w:val="1"/>
  </w:num>
  <w:num w:numId="13">
    <w:abstractNumId w:val="10"/>
  </w:num>
  <w:num w:numId="14">
    <w:abstractNumId w:val="9"/>
  </w:num>
  <w:num w:numId="15">
    <w:abstractNumId w:val="8"/>
  </w:num>
  <w:num w:numId="16">
    <w:abstractNumId w:val="13"/>
  </w:num>
  <w:num w:numId="17">
    <w:abstractNumId w:val="20"/>
  </w:num>
  <w:num w:numId="18">
    <w:abstractNumId w:val="23"/>
  </w:num>
  <w:num w:numId="19">
    <w:abstractNumId w:val="21"/>
  </w:num>
  <w:num w:numId="20">
    <w:abstractNumId w:val="14"/>
  </w:num>
  <w:num w:numId="21">
    <w:abstractNumId w:val="19"/>
  </w:num>
  <w:num w:numId="22">
    <w:abstractNumId w:val="3"/>
  </w:num>
  <w:num w:numId="23">
    <w:abstractNumId w:val="18"/>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pt-PT" w:vendorID="64" w:dllVersion="131078" w:nlCheck="1" w:checkStyle="0"/>
  <w:defaultTabStop w:val="720"/>
  <w:hyphenationZone w:val="425"/>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o"/>
    <w:docVar w:name="LW_ANNEX_NBR_FIRST" w:val="1"/>
    <w:docVar w:name="LW_ANNEX_NBR_LAST" w:val="2"/>
    <w:docVar w:name="LW_ANNEX_UNIQUE" w:val="0"/>
    <w:docVar w:name="LW_CORRIGENDUM" w:val="&lt;UNUSED&gt;"/>
    <w:docVar w:name="LW_COVERPAGE_EXISTS" w:val="True"/>
    <w:docVar w:name="LW_COVERPAGE_GUID" w:val="DF4CBF1B-5CAC-449F-A717-70B706D7AB9E"/>
    <w:docVar w:name="LW_COVERPAGE_TYPE" w:val="1"/>
    <w:docVar w:name="LW_CROSSREFERENCE" w:val="{SWD(2021) 140 final} - {SWD(2021) 141 final}"/>
    <w:docVar w:name="LW_DocType" w:val="NORMAL"/>
    <w:docVar w:name="LW_EMISSION" w:val="12.5.2021"/>
    <w:docVar w:name="LW_EMISSION_ISODATE" w:val="2021-05-12"/>
    <w:docVar w:name="LW_EMISSION_LOCATION" w:val="BRX"/>
    <w:docVar w:name="LW_EMISSION_PREFIX" w:val="Bruksela, dnia "/>
    <w:docVar w:name="LW_EMISSION_SUFFIX" w:val=" r."/>
    <w:docVar w:name="LW_ID_DOCTYPE_NONLW" w:val="CP-039"/>
    <w:docVar w:name="LW_LANGUE" w:val="PL"/>
    <w:docVar w:name="LW_LEVEL_OF_SENSITIVITY" w:val="Standard treatment"/>
    <w:docVar w:name="LW_NOM.INST" w:val="KOMISJA EUROPEJSKA"/>
    <w:docVar w:name="LW_NOM.INST_JOINTDOC" w:val="&lt;EMPTY&gt;"/>
    <w:docVar w:name="LW_OBJETACTEPRINCIPAL.CP" w:val="Droga do zdrowej planety dla wszystkich_x000d__x000b__x000d__x000b__x000d__x000b__x000d__x000b__x000d__x000b__x000d__x000b__x000d__x000b__x000d__x000b__x000d__x000b__x000d__x000b_&lt;FMT:Italic&gt;Plan dzia\u322?ania UE na rzecz eliminacji zanieczyszcze\u324? wody, powietrza i gleby&lt;/FMT&gt;"/>
    <w:docVar w:name="LW_PART_NBR" w:val="&lt;UNUSED&gt;"/>
    <w:docVar w:name="LW_PART_NBR_TOTAL" w:val="&lt;UNUSED&gt;"/>
    <w:docVar w:name="LW_REF.INST.NEW" w:val="COM"/>
    <w:docVar w:name="LW_REF.INST.NEW_ADOPTED" w:val="final"/>
    <w:docVar w:name="LW_REF.INST.NEW_TEXT" w:val="(2021) 4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u321?\u260?CZNIKI_x000b_"/>
    <w:docVar w:name="LW_TYPEACTEPRINCIPAL.CP" w:val="KOMUNIKATU KOMISJI DO PARLAMENTU EUROPEJSKIEGO, RADY, EUROPEJSKIEGO KOMITETU EKONOMICZNO-SPO\u321?ECZNEGO I KOMITETU REGIONÓW"/>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semiHidden/>
    <w:locked/>
    <w:rPr>
      <w:sz w:val="20"/>
      <w:szCs w:val="20"/>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lang w:val="pl-P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FootnoteReference">
    <w:name w:val="footnote reference"/>
    <w:aliases w:val="number,Appel note,Appel note de bas de page,Footnote symbol,Voetnootverwijzing,Times 10 Point,Exposant 3 Point,ftref,Footnote Reference Superscript,ESPON Footnote No,Zchn Zchn,Footnote Refernece,BVI fnr,SUPERS,Ref"/>
    <w:basedOn w:val="DefaultParagraphFont"/>
    <w:link w:val="Appelnotedebasdep"/>
    <w:uiPriority w:val="99"/>
    <w:unhideWhenUsed/>
    <w:qFormat/>
    <w:rPr>
      <w:vertAlign w:val="superscript"/>
    </w:rPr>
  </w:style>
  <w:style w:type="paragraph" w:customStyle="1" w:styleId="Appelnotedebasdep">
    <w:name w:val="Appel note de bas de p."/>
    <w:aliases w:val="BVI fnr Car Car Car Car,footnote reference,BVI fnr Car Car,BVI fnr Car,BVI fnr Car Car Car Car Char,Appel note de bas de p..BVI fnr Car Car Car Car,Appel note de bas de p..BVI fnr Car Car Car Car1"/>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pl-PL"/>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lang w:val="pl-PL"/>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cxw143347688">
    <w:name w:val="scxw143347688"/>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styleId="Hyperlink">
    <w:name w:val="Hyperlink"/>
    <w:uiPriority w:val="99"/>
    <w:rPr>
      <w:color w:val="0563C1"/>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line="240" w:lineRule="exact"/>
      <w:jc w:val="both"/>
    </w:pPr>
    <w:rPr>
      <w:rFonts w:ascii="Times New Roman" w:eastAsia="Times New Roman" w:hAnsi="Times New Roman" w:cs="Times New Roman"/>
      <w:sz w:val="24"/>
      <w:szCs w:val="20"/>
      <w:vertAlign w:val="superscript"/>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semiHidden/>
    <w:locked/>
    <w:rPr>
      <w:sz w:val="20"/>
      <w:szCs w:val="20"/>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lang w:val="pl-P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FootnoteReference">
    <w:name w:val="footnote reference"/>
    <w:aliases w:val="number,Appel note,Appel note de bas de page,Footnote symbol,Voetnootverwijzing,Times 10 Point,Exposant 3 Point,ftref,Footnote Reference Superscript,ESPON Footnote No,Zchn Zchn,Footnote Refernece,BVI fnr,SUPERS,Ref"/>
    <w:basedOn w:val="DefaultParagraphFont"/>
    <w:link w:val="Appelnotedebasdep"/>
    <w:uiPriority w:val="99"/>
    <w:unhideWhenUsed/>
    <w:qFormat/>
    <w:rPr>
      <w:vertAlign w:val="superscript"/>
    </w:rPr>
  </w:style>
  <w:style w:type="paragraph" w:customStyle="1" w:styleId="Appelnotedebasdep">
    <w:name w:val="Appel note de bas de p."/>
    <w:aliases w:val="BVI fnr Car Car Car Car,footnote reference,BVI fnr Car Car,BVI fnr Car,BVI fnr Car Car Car Car Char,Appel note de bas de p..BVI fnr Car Car Car Car,Appel note de bas de p..BVI fnr Car Car Car Car1"/>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pl-PL"/>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lang w:val="pl-PL"/>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cxw143347688">
    <w:name w:val="scxw143347688"/>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styleId="Hyperlink">
    <w:name w:val="Hyperlink"/>
    <w:uiPriority w:val="99"/>
    <w:rPr>
      <w:color w:val="0563C1"/>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line="240" w:lineRule="exact"/>
      <w:jc w:val="both"/>
    </w:pPr>
    <w:rPr>
      <w:rFonts w:ascii="Times New Roman" w:eastAsia="Times New Roman" w:hAnsi="Times New Roman" w:cs="Times New Roman"/>
      <w:sz w:val="24"/>
      <w:szCs w:val="20"/>
      <w:vertAlign w:val="superscript"/>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271">
      <w:bodyDiv w:val="1"/>
      <w:marLeft w:val="0"/>
      <w:marRight w:val="0"/>
      <w:marTop w:val="0"/>
      <w:marBottom w:val="0"/>
      <w:divBdr>
        <w:top w:val="none" w:sz="0" w:space="0" w:color="auto"/>
        <w:left w:val="none" w:sz="0" w:space="0" w:color="auto"/>
        <w:bottom w:val="none" w:sz="0" w:space="0" w:color="auto"/>
        <w:right w:val="none" w:sz="0" w:space="0" w:color="auto"/>
      </w:divBdr>
    </w:div>
    <w:div w:id="181433794">
      <w:bodyDiv w:val="1"/>
      <w:marLeft w:val="0"/>
      <w:marRight w:val="0"/>
      <w:marTop w:val="0"/>
      <w:marBottom w:val="0"/>
      <w:divBdr>
        <w:top w:val="none" w:sz="0" w:space="0" w:color="auto"/>
        <w:left w:val="none" w:sz="0" w:space="0" w:color="auto"/>
        <w:bottom w:val="none" w:sz="0" w:space="0" w:color="auto"/>
        <w:right w:val="none" w:sz="0" w:space="0" w:color="auto"/>
      </w:divBdr>
    </w:div>
    <w:div w:id="326516191">
      <w:bodyDiv w:val="1"/>
      <w:marLeft w:val="0"/>
      <w:marRight w:val="0"/>
      <w:marTop w:val="0"/>
      <w:marBottom w:val="0"/>
      <w:divBdr>
        <w:top w:val="none" w:sz="0" w:space="0" w:color="auto"/>
        <w:left w:val="none" w:sz="0" w:space="0" w:color="auto"/>
        <w:bottom w:val="none" w:sz="0" w:space="0" w:color="auto"/>
        <w:right w:val="none" w:sz="0" w:space="0" w:color="auto"/>
      </w:divBdr>
    </w:div>
    <w:div w:id="441800049">
      <w:bodyDiv w:val="1"/>
      <w:marLeft w:val="0"/>
      <w:marRight w:val="0"/>
      <w:marTop w:val="0"/>
      <w:marBottom w:val="0"/>
      <w:divBdr>
        <w:top w:val="none" w:sz="0" w:space="0" w:color="auto"/>
        <w:left w:val="none" w:sz="0" w:space="0" w:color="auto"/>
        <w:bottom w:val="none" w:sz="0" w:space="0" w:color="auto"/>
        <w:right w:val="none" w:sz="0" w:space="0" w:color="auto"/>
      </w:divBdr>
    </w:div>
    <w:div w:id="507210711">
      <w:bodyDiv w:val="1"/>
      <w:marLeft w:val="0"/>
      <w:marRight w:val="0"/>
      <w:marTop w:val="0"/>
      <w:marBottom w:val="0"/>
      <w:divBdr>
        <w:top w:val="none" w:sz="0" w:space="0" w:color="auto"/>
        <w:left w:val="none" w:sz="0" w:space="0" w:color="auto"/>
        <w:bottom w:val="none" w:sz="0" w:space="0" w:color="auto"/>
        <w:right w:val="none" w:sz="0" w:space="0" w:color="auto"/>
      </w:divBdr>
    </w:div>
    <w:div w:id="654115505">
      <w:bodyDiv w:val="1"/>
      <w:marLeft w:val="0"/>
      <w:marRight w:val="0"/>
      <w:marTop w:val="0"/>
      <w:marBottom w:val="0"/>
      <w:divBdr>
        <w:top w:val="none" w:sz="0" w:space="0" w:color="auto"/>
        <w:left w:val="none" w:sz="0" w:space="0" w:color="auto"/>
        <w:bottom w:val="none" w:sz="0" w:space="0" w:color="auto"/>
        <w:right w:val="none" w:sz="0" w:space="0" w:color="auto"/>
      </w:divBdr>
    </w:div>
    <w:div w:id="668599985">
      <w:bodyDiv w:val="1"/>
      <w:marLeft w:val="0"/>
      <w:marRight w:val="0"/>
      <w:marTop w:val="0"/>
      <w:marBottom w:val="0"/>
      <w:divBdr>
        <w:top w:val="none" w:sz="0" w:space="0" w:color="auto"/>
        <w:left w:val="none" w:sz="0" w:space="0" w:color="auto"/>
        <w:bottom w:val="none" w:sz="0" w:space="0" w:color="auto"/>
        <w:right w:val="none" w:sz="0" w:space="0" w:color="auto"/>
      </w:divBdr>
    </w:div>
    <w:div w:id="697855134">
      <w:bodyDiv w:val="1"/>
      <w:marLeft w:val="0"/>
      <w:marRight w:val="0"/>
      <w:marTop w:val="0"/>
      <w:marBottom w:val="0"/>
      <w:divBdr>
        <w:top w:val="none" w:sz="0" w:space="0" w:color="auto"/>
        <w:left w:val="none" w:sz="0" w:space="0" w:color="auto"/>
        <w:bottom w:val="none" w:sz="0" w:space="0" w:color="auto"/>
        <w:right w:val="none" w:sz="0" w:space="0" w:color="auto"/>
      </w:divBdr>
    </w:div>
    <w:div w:id="704644979">
      <w:bodyDiv w:val="1"/>
      <w:marLeft w:val="0"/>
      <w:marRight w:val="0"/>
      <w:marTop w:val="0"/>
      <w:marBottom w:val="0"/>
      <w:divBdr>
        <w:top w:val="none" w:sz="0" w:space="0" w:color="auto"/>
        <w:left w:val="none" w:sz="0" w:space="0" w:color="auto"/>
        <w:bottom w:val="none" w:sz="0" w:space="0" w:color="auto"/>
        <w:right w:val="none" w:sz="0" w:space="0" w:color="auto"/>
      </w:divBdr>
    </w:div>
    <w:div w:id="732433719">
      <w:bodyDiv w:val="1"/>
      <w:marLeft w:val="0"/>
      <w:marRight w:val="0"/>
      <w:marTop w:val="0"/>
      <w:marBottom w:val="0"/>
      <w:divBdr>
        <w:top w:val="none" w:sz="0" w:space="0" w:color="auto"/>
        <w:left w:val="none" w:sz="0" w:space="0" w:color="auto"/>
        <w:bottom w:val="none" w:sz="0" w:space="0" w:color="auto"/>
        <w:right w:val="none" w:sz="0" w:space="0" w:color="auto"/>
      </w:divBdr>
    </w:div>
    <w:div w:id="751707865">
      <w:bodyDiv w:val="1"/>
      <w:marLeft w:val="0"/>
      <w:marRight w:val="0"/>
      <w:marTop w:val="0"/>
      <w:marBottom w:val="0"/>
      <w:divBdr>
        <w:top w:val="none" w:sz="0" w:space="0" w:color="auto"/>
        <w:left w:val="none" w:sz="0" w:space="0" w:color="auto"/>
        <w:bottom w:val="none" w:sz="0" w:space="0" w:color="auto"/>
        <w:right w:val="none" w:sz="0" w:space="0" w:color="auto"/>
      </w:divBdr>
    </w:div>
    <w:div w:id="1023089711">
      <w:bodyDiv w:val="1"/>
      <w:marLeft w:val="0"/>
      <w:marRight w:val="0"/>
      <w:marTop w:val="0"/>
      <w:marBottom w:val="0"/>
      <w:divBdr>
        <w:top w:val="none" w:sz="0" w:space="0" w:color="auto"/>
        <w:left w:val="none" w:sz="0" w:space="0" w:color="auto"/>
        <w:bottom w:val="none" w:sz="0" w:space="0" w:color="auto"/>
        <w:right w:val="none" w:sz="0" w:space="0" w:color="auto"/>
      </w:divBdr>
    </w:div>
    <w:div w:id="1159923392">
      <w:bodyDiv w:val="1"/>
      <w:marLeft w:val="0"/>
      <w:marRight w:val="0"/>
      <w:marTop w:val="0"/>
      <w:marBottom w:val="0"/>
      <w:divBdr>
        <w:top w:val="none" w:sz="0" w:space="0" w:color="auto"/>
        <w:left w:val="none" w:sz="0" w:space="0" w:color="auto"/>
        <w:bottom w:val="none" w:sz="0" w:space="0" w:color="auto"/>
        <w:right w:val="none" w:sz="0" w:space="0" w:color="auto"/>
      </w:divBdr>
      <w:divsChild>
        <w:div w:id="579558208">
          <w:marLeft w:val="0"/>
          <w:marRight w:val="0"/>
          <w:marTop w:val="0"/>
          <w:marBottom w:val="0"/>
          <w:divBdr>
            <w:top w:val="none" w:sz="0" w:space="0" w:color="auto"/>
            <w:left w:val="none" w:sz="0" w:space="0" w:color="auto"/>
            <w:bottom w:val="none" w:sz="0" w:space="0" w:color="auto"/>
            <w:right w:val="none" w:sz="0" w:space="0" w:color="auto"/>
          </w:divBdr>
          <w:divsChild>
            <w:div w:id="20270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5055">
      <w:bodyDiv w:val="1"/>
      <w:marLeft w:val="0"/>
      <w:marRight w:val="0"/>
      <w:marTop w:val="0"/>
      <w:marBottom w:val="0"/>
      <w:divBdr>
        <w:top w:val="none" w:sz="0" w:space="0" w:color="auto"/>
        <w:left w:val="none" w:sz="0" w:space="0" w:color="auto"/>
        <w:bottom w:val="none" w:sz="0" w:space="0" w:color="auto"/>
        <w:right w:val="none" w:sz="0" w:space="0" w:color="auto"/>
      </w:divBdr>
      <w:divsChild>
        <w:div w:id="2143769708">
          <w:marLeft w:val="0"/>
          <w:marRight w:val="0"/>
          <w:marTop w:val="0"/>
          <w:marBottom w:val="0"/>
          <w:divBdr>
            <w:top w:val="none" w:sz="0" w:space="0" w:color="auto"/>
            <w:left w:val="none" w:sz="0" w:space="0" w:color="auto"/>
            <w:bottom w:val="none" w:sz="0" w:space="0" w:color="auto"/>
            <w:right w:val="none" w:sz="0" w:space="0" w:color="auto"/>
          </w:divBdr>
        </w:div>
      </w:divsChild>
    </w:div>
    <w:div w:id="1204707882">
      <w:bodyDiv w:val="1"/>
      <w:marLeft w:val="0"/>
      <w:marRight w:val="0"/>
      <w:marTop w:val="0"/>
      <w:marBottom w:val="0"/>
      <w:divBdr>
        <w:top w:val="none" w:sz="0" w:space="0" w:color="auto"/>
        <w:left w:val="none" w:sz="0" w:space="0" w:color="auto"/>
        <w:bottom w:val="none" w:sz="0" w:space="0" w:color="auto"/>
        <w:right w:val="none" w:sz="0" w:space="0" w:color="auto"/>
      </w:divBdr>
    </w:div>
    <w:div w:id="1240557125">
      <w:bodyDiv w:val="1"/>
      <w:marLeft w:val="0"/>
      <w:marRight w:val="0"/>
      <w:marTop w:val="0"/>
      <w:marBottom w:val="0"/>
      <w:divBdr>
        <w:top w:val="none" w:sz="0" w:space="0" w:color="auto"/>
        <w:left w:val="none" w:sz="0" w:space="0" w:color="auto"/>
        <w:bottom w:val="none" w:sz="0" w:space="0" w:color="auto"/>
        <w:right w:val="none" w:sz="0" w:space="0" w:color="auto"/>
      </w:divBdr>
    </w:div>
    <w:div w:id="1250500080">
      <w:bodyDiv w:val="1"/>
      <w:marLeft w:val="0"/>
      <w:marRight w:val="0"/>
      <w:marTop w:val="0"/>
      <w:marBottom w:val="0"/>
      <w:divBdr>
        <w:top w:val="none" w:sz="0" w:space="0" w:color="auto"/>
        <w:left w:val="none" w:sz="0" w:space="0" w:color="auto"/>
        <w:bottom w:val="none" w:sz="0" w:space="0" w:color="auto"/>
        <w:right w:val="none" w:sz="0" w:space="0" w:color="auto"/>
      </w:divBdr>
    </w:div>
    <w:div w:id="1282881061">
      <w:bodyDiv w:val="1"/>
      <w:marLeft w:val="0"/>
      <w:marRight w:val="0"/>
      <w:marTop w:val="0"/>
      <w:marBottom w:val="0"/>
      <w:divBdr>
        <w:top w:val="none" w:sz="0" w:space="0" w:color="auto"/>
        <w:left w:val="none" w:sz="0" w:space="0" w:color="auto"/>
        <w:bottom w:val="none" w:sz="0" w:space="0" w:color="auto"/>
        <w:right w:val="none" w:sz="0" w:space="0" w:color="auto"/>
      </w:divBdr>
    </w:div>
    <w:div w:id="1352805720">
      <w:bodyDiv w:val="1"/>
      <w:marLeft w:val="0"/>
      <w:marRight w:val="0"/>
      <w:marTop w:val="0"/>
      <w:marBottom w:val="0"/>
      <w:divBdr>
        <w:top w:val="none" w:sz="0" w:space="0" w:color="auto"/>
        <w:left w:val="none" w:sz="0" w:space="0" w:color="auto"/>
        <w:bottom w:val="none" w:sz="0" w:space="0" w:color="auto"/>
        <w:right w:val="none" w:sz="0" w:space="0" w:color="auto"/>
      </w:divBdr>
    </w:div>
    <w:div w:id="1355106804">
      <w:bodyDiv w:val="1"/>
      <w:marLeft w:val="0"/>
      <w:marRight w:val="0"/>
      <w:marTop w:val="0"/>
      <w:marBottom w:val="0"/>
      <w:divBdr>
        <w:top w:val="none" w:sz="0" w:space="0" w:color="auto"/>
        <w:left w:val="none" w:sz="0" w:space="0" w:color="auto"/>
        <w:bottom w:val="none" w:sz="0" w:space="0" w:color="auto"/>
        <w:right w:val="none" w:sz="0" w:space="0" w:color="auto"/>
      </w:divBdr>
    </w:div>
    <w:div w:id="1366560306">
      <w:bodyDiv w:val="1"/>
      <w:marLeft w:val="0"/>
      <w:marRight w:val="0"/>
      <w:marTop w:val="0"/>
      <w:marBottom w:val="0"/>
      <w:divBdr>
        <w:top w:val="none" w:sz="0" w:space="0" w:color="auto"/>
        <w:left w:val="none" w:sz="0" w:space="0" w:color="auto"/>
        <w:bottom w:val="none" w:sz="0" w:space="0" w:color="auto"/>
        <w:right w:val="none" w:sz="0" w:space="0" w:color="auto"/>
      </w:divBdr>
    </w:div>
    <w:div w:id="1428962127">
      <w:bodyDiv w:val="1"/>
      <w:marLeft w:val="0"/>
      <w:marRight w:val="0"/>
      <w:marTop w:val="0"/>
      <w:marBottom w:val="0"/>
      <w:divBdr>
        <w:top w:val="none" w:sz="0" w:space="0" w:color="auto"/>
        <w:left w:val="none" w:sz="0" w:space="0" w:color="auto"/>
        <w:bottom w:val="none" w:sz="0" w:space="0" w:color="auto"/>
        <w:right w:val="none" w:sz="0" w:space="0" w:color="auto"/>
      </w:divBdr>
    </w:div>
    <w:div w:id="1432168585">
      <w:bodyDiv w:val="1"/>
      <w:marLeft w:val="0"/>
      <w:marRight w:val="0"/>
      <w:marTop w:val="0"/>
      <w:marBottom w:val="0"/>
      <w:divBdr>
        <w:top w:val="none" w:sz="0" w:space="0" w:color="auto"/>
        <w:left w:val="none" w:sz="0" w:space="0" w:color="auto"/>
        <w:bottom w:val="none" w:sz="0" w:space="0" w:color="auto"/>
        <w:right w:val="none" w:sz="0" w:space="0" w:color="auto"/>
      </w:divBdr>
    </w:div>
    <w:div w:id="1540819105">
      <w:bodyDiv w:val="1"/>
      <w:marLeft w:val="0"/>
      <w:marRight w:val="0"/>
      <w:marTop w:val="0"/>
      <w:marBottom w:val="0"/>
      <w:divBdr>
        <w:top w:val="none" w:sz="0" w:space="0" w:color="auto"/>
        <w:left w:val="none" w:sz="0" w:space="0" w:color="auto"/>
        <w:bottom w:val="none" w:sz="0" w:space="0" w:color="auto"/>
        <w:right w:val="none" w:sz="0" w:space="0" w:color="auto"/>
      </w:divBdr>
      <w:divsChild>
        <w:div w:id="1649281621">
          <w:marLeft w:val="0"/>
          <w:marRight w:val="0"/>
          <w:marTop w:val="0"/>
          <w:marBottom w:val="0"/>
          <w:divBdr>
            <w:top w:val="none" w:sz="0" w:space="0" w:color="auto"/>
            <w:left w:val="none" w:sz="0" w:space="0" w:color="auto"/>
            <w:bottom w:val="none" w:sz="0" w:space="0" w:color="auto"/>
            <w:right w:val="none" w:sz="0" w:space="0" w:color="auto"/>
          </w:divBdr>
        </w:div>
      </w:divsChild>
    </w:div>
    <w:div w:id="1555509498">
      <w:bodyDiv w:val="1"/>
      <w:marLeft w:val="0"/>
      <w:marRight w:val="0"/>
      <w:marTop w:val="0"/>
      <w:marBottom w:val="0"/>
      <w:divBdr>
        <w:top w:val="none" w:sz="0" w:space="0" w:color="auto"/>
        <w:left w:val="none" w:sz="0" w:space="0" w:color="auto"/>
        <w:bottom w:val="none" w:sz="0" w:space="0" w:color="auto"/>
        <w:right w:val="none" w:sz="0" w:space="0" w:color="auto"/>
      </w:divBdr>
    </w:div>
    <w:div w:id="1613169999">
      <w:bodyDiv w:val="1"/>
      <w:marLeft w:val="0"/>
      <w:marRight w:val="0"/>
      <w:marTop w:val="0"/>
      <w:marBottom w:val="0"/>
      <w:divBdr>
        <w:top w:val="none" w:sz="0" w:space="0" w:color="auto"/>
        <w:left w:val="none" w:sz="0" w:space="0" w:color="auto"/>
        <w:bottom w:val="none" w:sz="0" w:space="0" w:color="auto"/>
        <w:right w:val="none" w:sz="0" w:space="0" w:color="auto"/>
      </w:divBdr>
    </w:div>
    <w:div w:id="1627083091">
      <w:bodyDiv w:val="1"/>
      <w:marLeft w:val="0"/>
      <w:marRight w:val="0"/>
      <w:marTop w:val="0"/>
      <w:marBottom w:val="0"/>
      <w:divBdr>
        <w:top w:val="none" w:sz="0" w:space="0" w:color="auto"/>
        <w:left w:val="none" w:sz="0" w:space="0" w:color="auto"/>
        <w:bottom w:val="none" w:sz="0" w:space="0" w:color="auto"/>
        <w:right w:val="none" w:sz="0" w:space="0" w:color="auto"/>
      </w:divBdr>
    </w:div>
    <w:div w:id="1630819789">
      <w:bodyDiv w:val="1"/>
      <w:marLeft w:val="0"/>
      <w:marRight w:val="0"/>
      <w:marTop w:val="0"/>
      <w:marBottom w:val="0"/>
      <w:divBdr>
        <w:top w:val="none" w:sz="0" w:space="0" w:color="auto"/>
        <w:left w:val="none" w:sz="0" w:space="0" w:color="auto"/>
        <w:bottom w:val="none" w:sz="0" w:space="0" w:color="auto"/>
        <w:right w:val="none" w:sz="0" w:space="0" w:color="auto"/>
      </w:divBdr>
    </w:div>
    <w:div w:id="1681810901">
      <w:bodyDiv w:val="1"/>
      <w:marLeft w:val="0"/>
      <w:marRight w:val="0"/>
      <w:marTop w:val="0"/>
      <w:marBottom w:val="0"/>
      <w:divBdr>
        <w:top w:val="none" w:sz="0" w:space="0" w:color="auto"/>
        <w:left w:val="none" w:sz="0" w:space="0" w:color="auto"/>
        <w:bottom w:val="none" w:sz="0" w:space="0" w:color="auto"/>
        <w:right w:val="none" w:sz="0" w:space="0" w:color="auto"/>
      </w:divBdr>
    </w:div>
    <w:div w:id="1889219361">
      <w:bodyDiv w:val="1"/>
      <w:marLeft w:val="0"/>
      <w:marRight w:val="0"/>
      <w:marTop w:val="0"/>
      <w:marBottom w:val="0"/>
      <w:divBdr>
        <w:top w:val="none" w:sz="0" w:space="0" w:color="auto"/>
        <w:left w:val="none" w:sz="0" w:space="0" w:color="auto"/>
        <w:bottom w:val="none" w:sz="0" w:space="0" w:color="auto"/>
        <w:right w:val="none" w:sz="0" w:space="0" w:color="auto"/>
      </w:divBdr>
    </w:div>
    <w:div w:id="1970549125">
      <w:bodyDiv w:val="1"/>
      <w:marLeft w:val="0"/>
      <w:marRight w:val="0"/>
      <w:marTop w:val="0"/>
      <w:marBottom w:val="0"/>
      <w:divBdr>
        <w:top w:val="none" w:sz="0" w:space="0" w:color="auto"/>
        <w:left w:val="none" w:sz="0" w:space="0" w:color="auto"/>
        <w:bottom w:val="none" w:sz="0" w:space="0" w:color="auto"/>
        <w:right w:val="none" w:sz="0" w:space="0" w:color="auto"/>
      </w:divBdr>
    </w:div>
    <w:div w:id="2070028726">
      <w:bodyDiv w:val="1"/>
      <w:marLeft w:val="0"/>
      <w:marRight w:val="0"/>
      <w:marTop w:val="0"/>
      <w:marBottom w:val="0"/>
      <w:divBdr>
        <w:top w:val="none" w:sz="0" w:space="0" w:color="auto"/>
        <w:left w:val="none" w:sz="0" w:space="0" w:color="auto"/>
        <w:bottom w:val="none" w:sz="0" w:space="0" w:color="auto"/>
        <w:right w:val="none" w:sz="0" w:space="0" w:color="auto"/>
      </w:divBdr>
    </w:div>
    <w:div w:id="2095473931">
      <w:bodyDiv w:val="1"/>
      <w:marLeft w:val="0"/>
      <w:marRight w:val="0"/>
      <w:marTop w:val="0"/>
      <w:marBottom w:val="0"/>
      <w:divBdr>
        <w:top w:val="none" w:sz="0" w:space="0" w:color="auto"/>
        <w:left w:val="none" w:sz="0" w:space="0" w:color="auto"/>
        <w:bottom w:val="none" w:sz="0" w:space="0" w:color="auto"/>
        <w:right w:val="none" w:sz="0" w:space="0" w:color="auto"/>
      </w:divBdr>
      <w:divsChild>
        <w:div w:id="1348142827">
          <w:marLeft w:val="0"/>
          <w:marRight w:val="0"/>
          <w:marTop w:val="0"/>
          <w:marBottom w:val="0"/>
          <w:divBdr>
            <w:top w:val="none" w:sz="0" w:space="0" w:color="auto"/>
            <w:left w:val="none" w:sz="0" w:space="0" w:color="auto"/>
            <w:bottom w:val="none" w:sz="0" w:space="0" w:color="auto"/>
            <w:right w:val="none" w:sz="0" w:space="0" w:color="auto"/>
          </w:divBdr>
        </w:div>
      </w:divsChild>
    </w:div>
    <w:div w:id="2101481191">
      <w:bodyDiv w:val="1"/>
      <w:marLeft w:val="0"/>
      <w:marRight w:val="0"/>
      <w:marTop w:val="0"/>
      <w:marBottom w:val="0"/>
      <w:divBdr>
        <w:top w:val="none" w:sz="0" w:space="0" w:color="auto"/>
        <w:left w:val="none" w:sz="0" w:space="0" w:color="auto"/>
        <w:bottom w:val="none" w:sz="0" w:space="0" w:color="auto"/>
        <w:right w:val="none" w:sz="0" w:space="0" w:color="auto"/>
      </w:divBdr>
    </w:div>
    <w:div w:id="21292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echa.europa.eu/documents/10162/28801697/qa_intentionally_added_microplastics_restriction_en.pdf/5f3caa33-c51f-869e-81c8-7e1852a4171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vironment/pdf/waste/Study_sups.pdf" TargetMode="External"/><Relationship Id="rId3" Type="http://schemas.openxmlformats.org/officeDocument/2006/relationships/hyperlink" Target="https://www.eea.europa.eu/publications/environmental-noise-in-europe" TargetMode="External"/><Relationship Id="rId7" Type="http://schemas.openxmlformats.org/officeDocument/2006/relationships/hyperlink" Target="https://echa.europa.eu/hot-topics/microplastics" TargetMode="External"/><Relationship Id="rId2" Type="http://schemas.openxmlformats.org/officeDocument/2006/relationships/hyperlink" Target="https://ec.europa.eu/environment/air/pdf/CAO2-MAIN-final-21Dec20.pdf" TargetMode="External"/><Relationship Id="rId1" Type="http://schemas.openxmlformats.org/officeDocument/2006/relationships/hyperlink" Target="https://eur-lex.europa.eu/legal-content/PL/TXT/?uri=COM:2021:3:FIN" TargetMode="External"/><Relationship Id="rId6" Type="http://schemas.openxmlformats.org/officeDocument/2006/relationships/hyperlink" Target="https://ec.europa.eu/environment/marine/good-environmental-status/descriptor-10/pdf/microplastics_final_report_v5_full.pdf" TargetMode="External"/><Relationship Id="rId5" Type="http://schemas.openxmlformats.org/officeDocument/2006/relationships/hyperlink" Target="https://ec.europa.eu/environment/air/pdf/CAO2-MAIN-final-21Dec20.pdf" TargetMode="External"/><Relationship Id="rId10" Type="http://schemas.openxmlformats.org/officeDocument/2006/relationships/hyperlink" Target="https://mcc.jrc.ec.europa.eu/main/dev.py?N=41&amp;O=452" TargetMode="External"/><Relationship Id="rId4" Type="http://schemas.openxmlformats.org/officeDocument/2006/relationships/hyperlink" Target="https://eur-lex.europa.eu/legal-content/PL/TXT/?uri=COM:2021:3:FIN" TargetMode="External"/><Relationship Id="rId9" Type="http://schemas.openxmlformats.org/officeDocument/2006/relationships/hyperlink" Target="https://ec.europa.eu/environment/marine/good-environmental-status/descriptor-10/pdf/microplastics_final_report_v5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27811c38-dffa-4e2e-9602-38b98b5fbf36">EN</EC_Collab_DocumentLanguage>
    <_Status xmlns="http://schemas.microsoft.com/sharepoint/v3/fields">Not Started</_Status>
    <EC_Collab_Reference xmlns="27811c38-dffa-4e2e-9602-38b98b5fbf36" xsi:nil="true"/>
    <EC_Collab_Status xmlns="27811c38-dffa-4e2e-9602-38b98b5fbf36">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43B626E1EAB514C83E78F2E0DF907BB" ma:contentTypeVersion="0" ma:contentTypeDescription="Create a new document in this library." ma:contentTypeScope="" ma:versionID="8bdac96476fef05e416928c23b2fd744">
  <xsd:schema xmlns:xsd="http://www.w3.org/2001/XMLSchema" xmlns:xs="http://www.w3.org/2001/XMLSchema" xmlns:p="http://schemas.microsoft.com/office/2006/metadata/properties" xmlns:ns2="http://schemas.microsoft.com/sharepoint/v3/fields" xmlns:ns3="27811c38-dffa-4e2e-9602-38b98b5fbf36" targetNamespace="http://schemas.microsoft.com/office/2006/metadata/properties" ma:root="true" ma:fieldsID="93fa1b44a35db8ad5f0f91a885a274ed" ns2:_="" ns3:_="">
    <xsd:import namespace="http://schemas.microsoft.com/sharepoint/v3/fields"/>
    <xsd:import namespace="27811c38-dffa-4e2e-9602-38b98b5fbf3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7811c38-dffa-4e2e-9602-38b98b5fbf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B415B-D2CC-4CA8-AE4C-1554C78B6E76}">
  <ds:schemaRefs>
    <ds:schemaRef ds:uri="http://schemas.microsoft.com/sharepoint/v3/contenttype/forms"/>
  </ds:schemaRefs>
</ds:datastoreItem>
</file>

<file path=customXml/itemProps2.xml><?xml version="1.0" encoding="utf-8"?>
<ds:datastoreItem xmlns:ds="http://schemas.openxmlformats.org/officeDocument/2006/customXml" ds:itemID="{2C292706-BC10-436C-8DE5-EE42E2E9DCC0}">
  <ds:schemaRefs>
    <ds:schemaRef ds:uri="http://schemas.microsoft.com/sharepoint/v3/field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27811c38-dffa-4e2e-9602-38b98b5fbf36"/>
    <ds:schemaRef ds:uri="http://purl.org/dc/dcmitype/"/>
  </ds:schemaRefs>
</ds:datastoreItem>
</file>

<file path=customXml/itemProps3.xml><?xml version="1.0" encoding="utf-8"?>
<ds:datastoreItem xmlns:ds="http://schemas.openxmlformats.org/officeDocument/2006/customXml" ds:itemID="{E2704735-9A9C-4DC7-8603-B0C117F4B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7811c38-dffa-4e2e-9602-38b98b5fb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5EC53-E703-4CB4-BFE4-9762F626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2021-05-11T08:43:00Z</dcterms:created>
  <dcterms:modified xsi:type="dcterms:W3CDTF">2021-06-01T14:59:00Z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PTemplateID">
    <vt:lpwstr>CP-039</vt:lpwstr>
  </property>
  <property fmtid="{D5CDD505-2E9C-101B-9397-08002B2CF9AE}" pid="11" name="_LW_INVALIDATED__LW_INVALIDATED__LW_INVALIDATED__LW_INVALIDATED__LW_INVALIDATED__LW_INVALIDATED_ContentTypeId">
    <vt:lpwstr>0x010100258AA79CEB83498886A3A0868112325000643B626E1EAB514C83E78F2E0DF907BB</vt:lpwstr>
  </property>
  <property fmtid="{D5CDD505-2E9C-101B-9397-08002B2CF9AE}" pid="12" name="_LW_INVALIDATED__LW_INVALIDATED__LW_INVALIDATED__LW_INVALIDATED__LW_INVALIDATED_ContentTypeId">
    <vt:lpwstr>0x010100258AA79CEB83498886A3A0868112325000643B626E1EAB514C83E78F2E0DF907BB</vt:lpwstr>
  </property>
  <property fmtid="{D5CDD505-2E9C-101B-9397-08002B2CF9AE}" pid="13" name="_LW_INVALIDATED__LW_INVALIDATED__LW_INVALIDATED__LW_INVALIDATED_ContentTypeId">
    <vt:lpwstr>0x0101003580FB2F397B3D448BFDC6DF71B5B186</vt:lpwstr>
  </property>
  <property fmtid="{D5CDD505-2E9C-101B-9397-08002B2CF9AE}" pid="14" name="_LW_INVALIDATED__LW_INVALIDATED__LW_INVALIDATED_ContentTypeId">
    <vt:lpwstr>0x010100258AA79CEB83498886A3A0868112325000643B626E1EAB514C83E78F2E0DF907BB</vt:lpwstr>
  </property>
</Properties>
</file>