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B8AE5E-9805-4F0F-B6D0-B47EAFFF31C6" style="width:455.25pt;height:3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 Регламент (EС) 2021/92 на Съвета се определят възможностите за риболов за 2021 г. на определени рибни запаси и групи от рибни запаси, приложими във водите на Съюза, както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и са съгласувани с политиката на Съюза в областта на устойчивото развитие.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Регламент (ЕС) № 1380/2013 на Европейския парламент и на Съвета от 11 декември 2013 г. относно общата политика в областта на рибарството.</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тъй като общата политика в областта на рибарството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В предложението са взети предвид отзивите на заинтересованите страни, консултативните съвети, националните администрации, рибарските организации и неправителствените организации.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научното становище на Международния съвет за изследване на морето (ICES).</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се отрази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r>
        <w:rPr>
          <w:noProof/>
        </w:rPr>
        <w:t>Целта на предложението е Регламент (ЕС) 2021/92 на Съвета да бъде изменен, както е описано по-долу.</w:t>
      </w:r>
    </w:p>
    <w:p>
      <w:pPr>
        <w:rPr>
          <w:noProof/>
          <w:szCs w:val="24"/>
          <w:u w:val="single"/>
        </w:rPr>
      </w:pPr>
      <w:r>
        <w:rPr>
          <w:noProof/>
          <w:szCs w:val="24"/>
          <w:u w:val="single"/>
        </w:rPr>
        <w:t xml:space="preserve">Цаца в Категат/Скагерак, Норвегия и Северно море </w:t>
      </w:r>
    </w:p>
    <w:p>
      <w:pPr>
        <w:rPr>
          <w:noProof/>
          <w:szCs w:val="24"/>
        </w:rPr>
      </w:pPr>
      <w:r>
        <w:rPr>
          <w:noProof/>
        </w:rPr>
        <w:t>Тъй като цацата (</w:t>
      </w:r>
      <w:r>
        <w:rPr>
          <w:i/>
          <w:iCs/>
          <w:noProof/>
        </w:rPr>
        <w:t>Sprattus sprattus</w:t>
      </w:r>
      <w:r>
        <w:rPr>
          <w:noProof/>
        </w:rPr>
        <w:t>) е вид с кратък живот, възможностите за нейния риболов следва да се определят скоро след публикуването на становището на ICES, което ще позволи започването на риболова. От април 2019 г. ICES издава общо становище относно цацата в участък 3а на ICES (Категат/Скагерак), от една страна, и цацата в участък 2а на ICES (Норвежко море) и подзона 4 на ICES (Северно море), от друга страна, тъй като те се считат за един биологичен запас, въпреки че управлението им продължава да бъде разделено на две зони на управление. ICES публикува своето годишно научно становище относно запаса на 13 април 2021 г., като риболовът ще започне на 1 юли 2021 г. Съгласно това становище общият улов на цаца за периода от 1 юли 2021 г. до юни 2022 г. в съответните зони не следва да надвишава 106 715 тона. По силата на Регламент (ЕС) 2021/92 на Съвета ограниченията за общия допустим улов (ОДУ) за периода от 1 юли 2021 г. до 30 юни 2022 г. в двете зони на управление се определят на нулево равнище. Поради това количеството на улова на цаца в посочените зони на управление следва да бъде изменено в съответствие с най-актуалното научно становище на ICES и след консултации с Обединеното кралство и Норвегия.</w:t>
      </w:r>
    </w:p>
    <w:p>
      <w:pPr>
        <w:rPr>
          <w:noProof/>
          <w:szCs w:val="24"/>
          <w:u w:val="single"/>
        </w:rPr>
      </w:pPr>
      <w:r>
        <w:rPr>
          <w:noProof/>
          <w:szCs w:val="24"/>
          <w:u w:val="single"/>
        </w:rPr>
        <w:t>Хамсия в подзони 9 и 10</w:t>
      </w:r>
    </w:p>
    <w:p>
      <w:pPr>
        <w:rPr>
          <w:noProof/>
        </w:rPr>
      </w:pPr>
      <w:r>
        <w:rPr>
          <w:noProof/>
        </w:rPr>
        <w:t>ОДУ за хамсия (</w:t>
      </w:r>
      <w:r>
        <w:rPr>
          <w:i/>
          <w:iCs/>
          <w:noProof/>
        </w:rPr>
        <w:t>Engraulis encrasicolus</w:t>
      </w:r>
      <w:r>
        <w:rPr>
          <w:noProof/>
        </w:rPr>
        <w:t>) за периода от 1 юли 2021 г. до 30 юни 2022 г. в подзони 9 и 10 на ICES и във водите на Съюза от участък 34.1.1 на Комитета по риболова в централната източна част на Атлантическия океан (CECAF) е определен на нулево равнище до публикуването на научното становище за този период. ICES ще представи становището си относно този запас едва в края на юни 2021 г. С цел да се гарантира, че риболовната дейност може да продължи до определянето на ОДУ въз основа на най-актуалното научно становище, следва да се определи временен ОДУ в размер на 5744 тона въз основа на улова през третото тримесечие на 2020 г. След това ОДУ ще бъде променен в съответствие с научното становище на ICES.</w:t>
      </w:r>
    </w:p>
    <w:p>
      <w:pPr>
        <w:spacing w:before="0" w:after="200" w:line="276" w:lineRule="auto"/>
        <w:jc w:val="left"/>
        <w:rPr>
          <w:noProof/>
        </w:rPr>
      </w:pPr>
      <w:r>
        <w:rPr>
          <w:noProof/>
        </w:rPr>
        <w:br w:type="page"/>
      </w:r>
    </w:p>
    <w:p>
      <w:pPr>
        <w:rPr>
          <w:noProof/>
        </w:rPr>
      </w:pPr>
    </w:p>
    <w:p>
      <w:pPr>
        <w:pStyle w:val="Rfrenceinterinstitutionnelle"/>
        <w:rPr>
          <w:noProof/>
        </w:rPr>
      </w:pPr>
      <w:r>
        <w:rPr>
          <w:noProof/>
        </w:rPr>
        <w:t>2021/0135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2021/92 по отношение на определени възможности за риболов за 2021 г. във води на Съюза и води извън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(EС) 2021/92 на Съвета</w:t>
      </w:r>
      <w:r>
        <w:rPr>
          <w:rStyle w:val="FootnoteReference"/>
          <w:noProof/>
        </w:rPr>
        <w:footnoteReference w:id="1"/>
      </w:r>
      <w:r>
        <w:rPr>
          <w:noProof/>
        </w:rPr>
        <w:t xml:space="preserve"> се определят възможностите за риболов за 2021 г. на определени рибни запаси и групи от рибни запаси, приложими във водите на Съюза, както и за корабите на Съюза в някои води извън Съюза.</w:t>
      </w:r>
    </w:p>
    <w:p>
      <w:pPr>
        <w:pStyle w:val="ManualConsidrant"/>
        <w:rPr>
          <w:noProof/>
        </w:rPr>
      </w:pPr>
      <w:r>
        <w:t>(2)</w:t>
      </w:r>
      <w:r>
        <w:tab/>
      </w:r>
      <w:r>
        <w:rPr>
          <w:noProof/>
        </w:rPr>
        <w:t>В Регламент (ЕС) 2021/92 се определя нулев общ допустим улов (ОДУ) за цацата в участък 3а на ICES (Категат/Скагерак), както и в участък 2а на ICES (Норвежко море) и подзона 4 на ICES (Северно море), до публикуването на съответното научно становище на Международния съвет за изследване на морето (ICES). Най-актуалното становище на ICES относно максималния устойчив улов беше представено на 13 април 2021 г. Съгласно това становище общият улов на цаца за периода от 1 юли 2021 г. до 30 юни 2022 г. в съответните зони не следва да надвишава 106 715 тона. Тъй като цацата е вид с кратък живот, нейният риболов започва на 1 юли — скоро след публикуването на научното становище. Поради това приложимите понастоящем ограничения на улова на цаца в участък 3а на ICES, както и в участък 2а на ICES и подзона 4 на ICES, следва да бъдат адаптирани в съответствие с посоченото становище на ICES и след предстоящите консултации с Норвегия и Обединеното кралство.</w:t>
      </w:r>
    </w:p>
    <w:p>
      <w:pPr>
        <w:pStyle w:val="ManualConsidrant"/>
        <w:rPr>
          <w:noProof/>
        </w:rPr>
      </w:pPr>
      <w:r>
        <w:t>(3)</w:t>
      </w:r>
      <w:r>
        <w:tab/>
      </w:r>
      <w:r>
        <w:rPr>
          <w:noProof/>
        </w:rPr>
        <w:t>В Регламент (ЕС) 2021/92 се определя нулев ОДУ за хамсия (</w:t>
      </w:r>
      <w:r>
        <w:rPr>
          <w:i/>
          <w:iCs/>
          <w:noProof/>
        </w:rPr>
        <w:t>Engraulis encrasicolus</w:t>
      </w:r>
      <w:r>
        <w:rPr>
          <w:noProof/>
        </w:rPr>
        <w:t>) за периода от 1 юли 2021 г. до 30 юни 2022 г. в подзони 9 и 10 на ICES и във водите на Съюза от участък 34.1.1 на Комитета по риболова в централната източна част на Атлантическия океан (CECAF) до публикуването на научното становище за този период. ICES ще представи становището си относно този запас в края на юни 2021 г. С цел да се гарантира, че риболовната дейност може да продължи до определянето на ОДУ въз основа на най-актуалното научно становище, следва да се определи временен ОДУ в размер на 5744 тона въз основа на улова през третото тримесечие на 2020 г.</w:t>
      </w:r>
    </w:p>
    <w:p>
      <w:pPr>
        <w:pStyle w:val="ManualConsidrant"/>
        <w:rPr>
          <w:noProof/>
        </w:rPr>
      </w:pPr>
      <w:r>
        <w:t>(4)</w:t>
      </w:r>
      <w:r>
        <w:tab/>
      </w:r>
      <w:r>
        <w:rPr>
          <w:noProof/>
        </w:rPr>
        <w:t>Поради неотложната необходимост риболовният сезон за цаца и хамсия да започне навреме на 1 юли 2021 г., настоящият регламент следва да влезе в сила в деня след деня на публикуването му,</w:t>
      </w:r>
    </w:p>
    <w:p>
      <w:pPr>
        <w:rPr>
          <w:noProof/>
        </w:rPr>
      </w:pPr>
    </w:p>
    <w:p>
      <w:pPr>
        <w:pStyle w:val="Formuledadoption"/>
        <w:rPr>
          <w:noProof/>
        </w:rPr>
      </w:pPr>
      <w:r>
        <w:rPr>
          <w:noProof/>
        </w:rPr>
        <w:t>ПРИЕ НАСТОЯЩИЯ РЕГЛАМЕНТ:</w:t>
      </w:r>
    </w:p>
    <w:p>
      <w:pPr>
        <w:pStyle w:val="Titrearticle"/>
        <w:rPr>
          <w:b/>
          <w:i w:val="0"/>
          <w:noProof/>
        </w:rPr>
      </w:pPr>
      <w:r>
        <w:rPr>
          <w:noProof/>
        </w:rPr>
        <w:t xml:space="preserve">Член 1 </w:t>
      </w:r>
      <w:r>
        <w:rPr>
          <w:noProof/>
        </w:rPr>
        <w:br/>
      </w:r>
      <w:r>
        <w:rPr>
          <w:b/>
          <w:i w:val="0"/>
          <w:noProof/>
        </w:rPr>
        <w:t>Изменение на Регламент (ЕС) 2021/92</w:t>
      </w:r>
    </w:p>
    <w:p>
      <w:pPr>
        <w:rPr>
          <w:noProof/>
        </w:rPr>
      </w:pPr>
      <w:r>
        <w:rPr>
          <w:noProof/>
        </w:rPr>
        <w:t>Регламент (ЕС) 2021/92 се изменя в съответствие с приложението към настоящия регламент.</w:t>
      </w:r>
    </w:p>
    <w:p>
      <w:pPr>
        <w:rPr>
          <w:noProof/>
        </w:rPr>
      </w:pPr>
    </w:p>
    <w:p>
      <w:pPr>
        <w:pStyle w:val="Titrearticle"/>
        <w:rPr>
          <w:b/>
          <w:i w:val="0"/>
          <w:noProof/>
        </w:rPr>
      </w:pPr>
      <w:r>
        <w:rPr>
          <w:noProof/>
        </w:rPr>
        <w:t xml:space="preserve">Член 2 </w:t>
      </w:r>
      <w:r>
        <w:rPr>
          <w:noProof/>
        </w:rPr>
        <w:br/>
      </w:r>
      <w:r>
        <w:rPr>
          <w:b/>
          <w:i w:val="0"/>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i/>
          <w:noProof/>
        </w:rPr>
      </w:pPr>
      <w:r>
        <w:rPr>
          <w:noProof/>
        </w:rPr>
        <w:t xml:space="preserve">Той се прилага от 1 юли 2021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2021/92 на Съвета от 28 януари 2021 г. за определяне за 2021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L 31, 29.1.2021 г., стр. 31).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6-08 17:39: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8B8AE5E-9805-4F0F-B6D0-B47EAFFF31C6"/>
    <w:docVar w:name="LW_COVERPAGE_TYPE" w:val="1"/>
    <w:docVar w:name="LW_CROSSREFERENCE" w:val="&lt;UNUSED&gt;"/>
    <w:docVar w:name="LW_DocType" w:val="COM"/>
    <w:docVar w:name="LW_EMISSION" w:val="2.6.2021"/>
    <w:docVar w:name="LW_EMISSION_ISODATE" w:val="2021-06-0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5"/>
    <w:docVar w:name="LW_REF.II.NEW.CP_YEAR" w:val="2021"/>
    <w:docVar w:name="LW_REF.INST.NEW" w:val="COM"/>
    <w:docVar w:name="LW_REF.INST.NEW_ADOPTED" w:val="final"/>
    <w:docVar w:name="LW_REF.INST.NEW_TEXT" w:val="(2021)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21/92 \u1087?\u1086? \u1086?\u1090?\u1085?\u1086?\u1096?\u1077?\u1085?\u1080?\u1077? \u1085?\u1072? \u1086?\u1087?\u1088?\u1077?\u1076?\u1077?\u1083?\u1077?\u1085?\u1080? \u1074?\u1098?\u1079?\u1084?\u1086?\u1078?\u1085?\u1086?\u1089?\u1090?\u1080? \u1079?\u1072? \u1088?\u1080?\u1073?\u1086?\u1083?\u1086?\u1074? \u1079?\u1072? 2021 \u1075?. \u1074?\u1098?\u1074? \u1074?\u1086?\u1076?\u1080? \u1085?\u1072? \u1057?\u1098?\u1102?\u1079?\u1072? \u1080? \u1074?\u1086?\u1076?\u1080? \u1080?\u1079?\u1074?\u1098?\u1085? \u1057?\u1098?\u1102?\u1079?\u1072?"/>
    <w:docVar w:name="LW_TYPE.DOC.CP" w:val="\u1056?\u1045?\u1043?\u1051?\u1040?\u1052?\u1045?\u1053?\u1058? \u1053?\u1040? \u1057?\u1066?\u1042?\u1045?\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oj-normal">
    <w:name w:val="oj-normal"/>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oj-normal">
    <w:name w:val="oj-normal"/>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235819">
      <w:bodyDiv w:val="1"/>
      <w:marLeft w:val="0"/>
      <w:marRight w:val="0"/>
      <w:marTop w:val="0"/>
      <w:marBottom w:val="0"/>
      <w:divBdr>
        <w:top w:val="none" w:sz="0" w:space="0" w:color="auto"/>
        <w:left w:val="none" w:sz="0" w:space="0" w:color="auto"/>
        <w:bottom w:val="none" w:sz="0" w:space="0" w:color="auto"/>
        <w:right w:val="none" w:sz="0" w:space="0" w:color="auto"/>
      </w:divBdr>
    </w:div>
    <w:div w:id="20362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27CA-68D3-47AC-91E2-EECE40DB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1252</Words>
  <Characters>6613</Characters>
  <Application>Microsoft Office Word</Application>
  <DocSecurity>0</DocSecurity>
  <Lines>146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36</cp:revision>
  <cp:lastPrinted>2020-02-21T08:57:00Z</cp:lastPrinted>
  <dcterms:created xsi:type="dcterms:W3CDTF">2021-06-08T10:14:00Z</dcterms:created>
  <dcterms:modified xsi:type="dcterms:W3CDTF">2021-06-08T15:39:00Z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