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28" w:rsidRDefault="001867D7" w:rsidP="001867D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1271FB3-2FD0-495E-87DA-503E124583A3" style="width:450.6pt;height:420.6pt">
            <v:imagedata r:id="rId11" o:title=""/>
          </v:shape>
        </w:pict>
      </w:r>
    </w:p>
    <w:bookmarkEnd w:id="0"/>
    <w:p w:rsidR="00780A28" w:rsidRDefault="00780A28">
      <w:pPr>
        <w:rPr>
          <w:noProof/>
        </w:rPr>
        <w:sectPr w:rsidR="00780A28" w:rsidSect="001867D7">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rsidR="00780A28" w:rsidRDefault="00780A28">
      <w:pPr>
        <w:rPr>
          <w:rFonts w:ascii="Times New Roman" w:hAnsi="Times New Roman" w:cs="Times New Roman"/>
          <w:b/>
          <w:bCs/>
          <w:noProof/>
          <w:sz w:val="24"/>
        </w:rPr>
      </w:pPr>
      <w:bookmarkStart w:id="1" w:name="_GoBack"/>
      <w:bookmarkEnd w:id="1"/>
    </w:p>
    <w:p w:rsidR="00780A28" w:rsidRDefault="001867D7">
      <w:pPr>
        <w:jc w:val="center"/>
        <w:rPr>
          <w:rFonts w:ascii="Times New Roman" w:hAnsi="Times New Roman" w:cs="Times New Roman"/>
          <w:b/>
          <w:bCs/>
          <w:noProof/>
          <w:sz w:val="24"/>
          <w:u w:val="single"/>
        </w:rPr>
      </w:pPr>
      <w:r>
        <w:rPr>
          <w:rFonts w:ascii="Times New Roman" w:hAnsi="Times New Roman"/>
          <w:b/>
          <w:bCs/>
          <w:noProof/>
          <w:sz w:val="24"/>
          <w:u w:val="single"/>
        </w:rPr>
        <w:t>ANEXĂ</w:t>
      </w:r>
    </w:p>
    <w:p w:rsidR="00780A28" w:rsidRDefault="001867D7">
      <w:pPr>
        <w:spacing w:before="120" w:after="120"/>
        <w:rPr>
          <w:rFonts w:ascii="Times New Roman" w:hAnsi="Times New Roman" w:cs="Times New Roman"/>
          <w:b/>
          <w:bCs/>
          <w:noProof/>
          <w:sz w:val="24"/>
        </w:rPr>
      </w:pPr>
      <w:r>
        <w:rPr>
          <w:rFonts w:ascii="Times New Roman" w:hAnsi="Times New Roman"/>
          <w:b/>
          <w:bCs/>
          <w:noProof/>
          <w:sz w:val="24"/>
        </w:rPr>
        <w:t>SECȚIUNEA 1: REFORME ȘI INVESTIȚII INCLUSE ÎN PLANUL DE REDRESARE ȘI REZILIENȚĂ</w:t>
      </w:r>
    </w:p>
    <w:p w:rsidR="00780A28" w:rsidRDefault="00780A28">
      <w:pPr>
        <w:spacing w:before="120" w:after="120" w:line="240" w:lineRule="auto"/>
        <w:jc w:val="both"/>
        <w:rPr>
          <w:rFonts w:ascii="Times New Roman" w:hAnsi="Times New Roman" w:cs="Times New Roman"/>
          <w:noProof/>
          <w:sz w:val="24"/>
        </w:rPr>
      </w:pPr>
    </w:p>
    <w:p w:rsidR="00780A28" w:rsidRDefault="001867D7">
      <w:pPr>
        <w:numPr>
          <w:ilvl w:val="6"/>
          <w:numId w:val="7"/>
        </w:numPr>
        <w:spacing w:before="120" w:after="120" w:line="240" w:lineRule="auto"/>
        <w:ind w:left="0" w:firstLine="0"/>
        <w:jc w:val="both"/>
        <w:rPr>
          <w:rFonts w:ascii="Times New Roman" w:hAnsi="Times New Roman" w:cs="Times New Roman"/>
          <w:noProof/>
          <w:sz w:val="24"/>
        </w:rPr>
      </w:pPr>
      <w:r>
        <w:rPr>
          <w:rFonts w:ascii="Times New Roman" w:hAnsi="Times New Roman"/>
          <w:b/>
          <w:bCs/>
          <w:noProof/>
          <w:sz w:val="24"/>
        </w:rPr>
        <w:t xml:space="preserve">Descrierea reformelor și a investițiilor </w:t>
      </w:r>
    </w:p>
    <w:p w:rsidR="00780A28" w:rsidRDefault="00780A28">
      <w:pPr>
        <w:spacing w:before="120" w:after="120" w:line="240" w:lineRule="auto"/>
        <w:jc w:val="both"/>
        <w:rPr>
          <w:rFonts w:ascii="Times New Roman" w:hAnsi="Times New Roman" w:cs="Times New Roman"/>
          <w:b/>
          <w:noProof/>
          <w:sz w:val="24"/>
        </w:r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A. </w:t>
      </w:r>
      <w:r>
        <w:rPr>
          <w:rFonts w:ascii="Times New Roman" w:hAnsi="Times New Roman"/>
          <w:b/>
          <w:bCs/>
          <w:noProof/>
          <w:sz w:val="24"/>
        </w:rPr>
        <w:t>COMPONENTA 1.1: POWER UP</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componentă a planului de redresare și reziliență al Greciei vizează reforme și investiții pentru a crește ponderea surselor regenerabile de energie în sistemul de energie electrică și pentru a facilita procesul de decarboni</w:t>
      </w:r>
      <w:r>
        <w:rPr>
          <w:rFonts w:ascii="Times New Roman" w:hAnsi="Times New Roman"/>
          <w:noProof/>
          <w:sz w:val="24"/>
        </w:rPr>
        <w:t xml:space="preserve">zare al Greciei. Reformele trebuie să simplifice normele de acordare a licențelor pentru investițiile în energia din surse regenerabile, să eficientizeze piața energiei electrice și să asigure sustenabilitatea financiară a schemelor de sprijin. Componenta </w:t>
      </w:r>
      <w:r>
        <w:rPr>
          <w:rFonts w:ascii="Times New Roman" w:hAnsi="Times New Roman"/>
          <w:noProof/>
          <w:sz w:val="24"/>
        </w:rPr>
        <w:t>include, de asemenea, investiții-cheie în rețele pentru a finaliza interconectarea cu insulele Ciclade și pentru a face distribuția de energie electrică mai ecologică și capabilă să absoarbă o pondere mai mare a energiei din surse regenerabile. Sistemele d</w:t>
      </w:r>
      <w:r>
        <w:rPr>
          <w:rFonts w:ascii="Times New Roman" w:hAnsi="Times New Roman"/>
          <w:noProof/>
          <w:sz w:val="24"/>
        </w:rPr>
        <w:t>e stocare sprijină, de asemenea, decarbonizarea economiei prin acumularea surplusului de energie electrică din surse regenerabile. Reabilitarea terenurilor este, de asemenea, sprijinită în zonele utilizate în prezent ca mine de lignit, ca etapă a procesulu</w:t>
      </w:r>
      <w:r>
        <w:rPr>
          <w:rFonts w:ascii="Times New Roman" w:hAnsi="Times New Roman"/>
          <w:noProof/>
          <w:sz w:val="24"/>
        </w:rPr>
        <w:t xml:space="preserve">i de tranziție justă în teritoriile cele mai afectate de eliminarea treptată a lignitului. Componenta este în conformitate cu Planul național privind energia și clima (PNEC) și sprijină abordarea recomandărilor specifice fiecărei țări privind investițiile </w:t>
      </w:r>
      <w:r>
        <w:rPr>
          <w:rFonts w:ascii="Times New Roman" w:hAnsi="Times New Roman"/>
          <w:noProof/>
          <w:sz w:val="24"/>
        </w:rPr>
        <w:t>publice și private (Recomandarea specifică fiecărei țări nr. 3 din 2020 și Recomandarea specifică 2 din 2019). Este de așteptat ca nicio măsură din cadrul acestei componente să nu afecteze în mod semnificativ obiectivele de mediu în sensul articolului 17 d</w:t>
      </w:r>
      <w:r>
        <w:rPr>
          <w:rFonts w:ascii="Times New Roman" w:hAnsi="Times New Roman"/>
          <w:noProof/>
          <w:sz w:val="24"/>
        </w:rPr>
        <w:t>in Regulamentul (UE) 2020/852, ținând seama de descrierea măsurilor și a măsurilor de atenuare stabilite în planul de redresare și reziliență în conformitate cu Orientările tehnice bazate pe principiul de „a nu aduce prejudicii semnificative” (2021/C58/01)</w:t>
      </w:r>
      <w:r>
        <w:rPr>
          <w:rFonts w:ascii="Times New Roman" w:hAnsi="Times New Roman"/>
          <w:noProof/>
          <w:sz w:val="24"/>
        </w:rPr>
        <w:t>.</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u w:val="single"/>
        </w:rPr>
        <w:t xml:space="preserve">A.1.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Sprijin pentru instalarea de sisteme de stocare pentru a îmbunătăți penetrarea energiei din surse regenerabile (numărul de ide</w:t>
      </w:r>
      <w:r>
        <w:rPr>
          <w:rFonts w:ascii="Times New Roman" w:hAnsi="Times New Roman"/>
          <w:noProof/>
          <w:sz w:val="24"/>
        </w:rPr>
        <w:t>ntificare al măsurii: 16926)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oferă subvenții publice pentru instalarea unei capacități de stocare a energiei de până la 1 380 MW în sistemul de energie electrică. Aceste investiții permit integrarea în sistem a noilor capacități SRE necesare </w:t>
      </w:r>
      <w:r>
        <w:rPr>
          <w:rFonts w:ascii="Times New Roman" w:hAnsi="Times New Roman"/>
          <w:noProof/>
          <w:sz w:val="24"/>
        </w:rPr>
        <w:t xml:space="preserve">pentru atingerea obiectivelor PECN. În plus, această acțiune va atenua, de asemenea, congestia rețelei, va spori flexibilitatea sistemului de energie electrică și lichiditatea pieței de echilibrare, va îmbunătăți adecvarea sistemului, va permite eficiența </w:t>
      </w:r>
      <w:r>
        <w:rPr>
          <w:rFonts w:ascii="Times New Roman" w:hAnsi="Times New Roman"/>
          <w:noProof/>
          <w:sz w:val="24"/>
        </w:rPr>
        <w:t>energetică, va promova transparența în formarea prețului energiei electrice și va reduce costurile energiei.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Acțiuni de revitalizare a celor mai afectate teritorii (teritor</w:t>
      </w:r>
      <w:r>
        <w:rPr>
          <w:rFonts w:ascii="Times New Roman" w:hAnsi="Times New Roman"/>
          <w:noProof/>
          <w:sz w:val="24"/>
        </w:rPr>
        <w:t>ii de tranziție justă) (numărul de identificare al măsurii: 16871)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lastRenderedPageBreak/>
        <w:t>Investiția constă în granturi pentru finanțarea reabilitării terenurilor în zonele fostelor mine de lignit din Macedonia de Vest și Megalopolis. Măsura vizează zonele de tranziție justă, cu</w:t>
      </w:r>
      <w:r>
        <w:rPr>
          <w:rFonts w:ascii="Times New Roman" w:hAnsi="Times New Roman"/>
          <w:noProof/>
          <w:sz w:val="24"/>
        </w:rPr>
        <w:t xml:space="preserve"> intervenții de mediu și economice, cum ar fi reabilitarea solului, reamenajarea și punerea în aplicare a intervențiilor privind refacerea peisajului și a mediului, reajustări ale destinației terenurilor și crearea unor receptori organizați ai activitățilo</w:t>
      </w:r>
      <w:r>
        <w:rPr>
          <w:rFonts w:ascii="Times New Roman" w:hAnsi="Times New Roman"/>
          <w:noProof/>
          <w:sz w:val="24"/>
        </w:rPr>
        <w:t>r. Punerea în aplicare a acestei investiții este gestionată de un vehicul investițional care urmează să fie înființat de Grecia. Vehiculul investițional devine noul proprietar de drept și dezvoltator de terenuri al zonelor geografice transferate. Vehiculul</w:t>
      </w:r>
      <w:r>
        <w:rPr>
          <w:rFonts w:ascii="Times New Roman" w:hAnsi="Times New Roman"/>
          <w:noProof/>
          <w:sz w:val="24"/>
        </w:rPr>
        <w:t xml:space="preserve"> special de proiect este responsabil de finanțare și de realizarea lucrărilor de igienizare, restaurare, reabilitare și modernizare.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Intervenții pentru interconectarea rețe</w:t>
      </w:r>
      <w:r>
        <w:rPr>
          <w:rFonts w:ascii="Times New Roman" w:hAnsi="Times New Roman"/>
          <w:noProof/>
          <w:sz w:val="24"/>
        </w:rPr>
        <w:t>lelor de energie electrică ale insulelor și pentru modernizarea rețelei de energie electrică (numărul de identificare al măsurii: 16870)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include interconectarea rețelelor electrice din Insulele Ciclade (Faza D), o linie aeriană care conectează E</w:t>
      </w:r>
      <w:r>
        <w:rPr>
          <w:rFonts w:ascii="Times New Roman" w:hAnsi="Times New Roman"/>
          <w:noProof/>
          <w:sz w:val="24"/>
        </w:rPr>
        <w:t>xtra High Voltage Centre (EHVC) Corinth și EHVC Koumoundouros și proiecte conexe. Proiectele vor consolida securitatea sistemului energetic, sporind, în același timp, potențialul de generare a energiei electrice din surse regenerabile în insule și în Pelop</w:t>
      </w:r>
      <w:r>
        <w:rPr>
          <w:rFonts w:ascii="Times New Roman" w:hAnsi="Times New Roman"/>
          <w:noProof/>
          <w:sz w:val="24"/>
        </w:rPr>
        <w:t>onez. Acestea reduc costurile energiei, conducând la noi investiții și locuri de muncă în sectoarele mari consumatoare de energie ale economiei.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Modernizarea rețelei Hellen</w:t>
      </w:r>
      <w:r>
        <w:rPr>
          <w:rFonts w:ascii="Times New Roman" w:hAnsi="Times New Roman"/>
          <w:noProof/>
          <w:sz w:val="24"/>
        </w:rPr>
        <w:t>ic Electricity Distribution Network Operator (HEDNO), cu scopul de a spori reziliența și de a proteja mediul (numărul de identificare al măsurii: 16901)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subsolul și redirecționarea rețelei de distribuție a energiei electrice în așezări</w:t>
      </w:r>
      <w:r>
        <w:rPr>
          <w:rFonts w:ascii="Times New Roman" w:hAnsi="Times New Roman"/>
          <w:noProof/>
          <w:sz w:val="24"/>
        </w:rPr>
        <w:t xml:space="preserve"> de importanță deosebită din punct de vedere cultural sau turistic, precum și în centrele orașelor, acordându-se prioritate zonelor în care infrastructura este vulnerabilă la condițiile meteorologice extreme. Aceasta îmbunătățește reziliența rețelei de dis</w:t>
      </w:r>
      <w:r>
        <w:rPr>
          <w:rFonts w:ascii="Times New Roman" w:hAnsi="Times New Roman"/>
          <w:noProof/>
          <w:sz w:val="24"/>
        </w:rPr>
        <w:t>tribuție și contribuie la protecția mediului.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Modernizarea rețelei aeriene a administratorului rețelei elene de distribuție a energiei electrice (HEDNO) în zonele forestier</w:t>
      </w:r>
      <w:r>
        <w:rPr>
          <w:rFonts w:ascii="Times New Roman" w:hAnsi="Times New Roman"/>
          <w:noProof/>
          <w:sz w:val="24"/>
        </w:rPr>
        <w:t>e (numărul de identificare al măsurii: 16900)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într-o înlocuire a conductorilor necăptușiți în rețeaua aeriană de distribuție a energiei electrice (cu cele acoperite sau cu un cablu răsucit), în instalarea de capace izolante și în subsolul</w:t>
      </w:r>
      <w:r>
        <w:rPr>
          <w:rFonts w:ascii="Times New Roman" w:hAnsi="Times New Roman"/>
          <w:noProof/>
          <w:sz w:val="24"/>
        </w:rPr>
        <w:t xml:space="preserve"> sau delocalizarea rețelei de distribuție a energiei electrice care trece prin zonele forestiere. Proiectul va îmbunătăți reziliența și fiabilitatea rețelei (indicatorii de calitate energetică SAIDI, SAIFI) și va proteja mai bine mediul (păduri, specii săl</w:t>
      </w:r>
      <w:r>
        <w:rPr>
          <w:rFonts w:ascii="Times New Roman" w:hAnsi="Times New Roman"/>
          <w:noProof/>
          <w:sz w:val="24"/>
        </w:rPr>
        <w:t>batice).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Creșterea capacității instalate în substațiile de înaltă tensiune/tensiune medie ale operatorului de rețea de distribuție a energiei electrice (HEDNO) pentru o nou</w:t>
      </w:r>
      <w:r>
        <w:rPr>
          <w:rFonts w:ascii="Times New Roman" w:hAnsi="Times New Roman"/>
          <w:noProof/>
          <w:sz w:val="24"/>
        </w:rPr>
        <w:t>ă conexiune la SRE (numărul de identificare al măsurii: 16899)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crește capacitatea substațiilor existente ale rețelei de a aborda congestia rețelei de distribuție care împiedică în prezent continuarea investițiilor în energia din surse regenerabi</w:t>
      </w:r>
      <w:r>
        <w:rPr>
          <w:rFonts w:ascii="Times New Roman" w:hAnsi="Times New Roman"/>
          <w:noProof/>
          <w:sz w:val="24"/>
        </w:rPr>
        <w:t>le.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Restructurarea și consolidarea veniturilor contului de energie din surse regenerabile de energie termică și electrică (RES-CHP) (numărul de identificare al măsurii: 16865)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constă în: (a) restructurarea structurii de remunerare existente pentru producătorii de energie din surse regenerabile, prin înființarea de noi unități SRE (comandate după 1 ianuarie 2021) a unui nou cont de cogenerare pentru energie electrică, ca</w:t>
      </w:r>
      <w:r>
        <w:rPr>
          <w:rFonts w:ascii="Times New Roman" w:hAnsi="Times New Roman"/>
          <w:noProof/>
          <w:sz w:val="24"/>
        </w:rPr>
        <w:t>re îl înlocuiește pe cel actual, completat de mecanisme noi care garantează viabilitatea financiară atât a Conturilor existente, cât și a contului New RES-CHP; și (b) introducerea unui sistem de garanții de origine, a unei taxe extraordinare „COVID-19” pen</w:t>
      </w:r>
      <w:r>
        <w:rPr>
          <w:rFonts w:ascii="Times New Roman" w:hAnsi="Times New Roman"/>
          <w:noProof/>
          <w:sz w:val="24"/>
        </w:rPr>
        <w:t>tru producătorii și furnizorii de energie din surse regenerabile și a unei „taxe pe carbon” permanente pentru motorină. Măsurile asigură viabilitatea capacității existente instalate de SRE și facilitează finanțarea de noi proiecte în domeniul SRE, deoarece</w:t>
      </w:r>
      <w:r>
        <w:rPr>
          <w:rFonts w:ascii="Times New Roman" w:hAnsi="Times New Roman"/>
          <w:noProof/>
          <w:sz w:val="24"/>
        </w:rPr>
        <w:t xml:space="preserve"> orice intrări/ieșiri neașteptate care conduc la un impact negativ asupra contului (conturilor) SRE sunt abordate prin intermediul taxelor regulamentare care se repercutează asupra clienților. Punerea în aplicare a reformei, inclusiv o creștere cu 3 GWh a </w:t>
      </w:r>
      <w:r>
        <w:rPr>
          <w:rFonts w:ascii="Times New Roman" w:hAnsi="Times New Roman"/>
          <w:noProof/>
          <w:sz w:val="24"/>
        </w:rPr>
        <w:t>capacității de producție a energiei electrice din surse regenerabile de energie, se finalizează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Să raționalizeze funcționarea eficientă a noului model de piață a energiei electrice și dezvoltarea de noi centrale SRE pentru a</w:t>
      </w:r>
      <w:r>
        <w:rPr>
          <w:rFonts w:ascii="Times New Roman" w:hAnsi="Times New Roman"/>
          <w:noProof/>
          <w:sz w:val="24"/>
        </w:rPr>
        <w:t xml:space="preserve"> atinge obiectivele PECN prin punerea în aplicare a mecanismului de monitorizare, participarea consumului dispecerizabil și o reformă amplă a procedurii de acordare a licențelor pentru noile surse regenerabile de energie (numărul de identificare al măsurii</w:t>
      </w:r>
      <w:r>
        <w:rPr>
          <w:rFonts w:ascii="Times New Roman" w:hAnsi="Times New Roman"/>
          <w:noProof/>
          <w:sz w:val="24"/>
        </w:rPr>
        <w:t>: 16860)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constă în raționalizarea cadrului de acordare a licențelor pentru ESR, inclusiv simplificarea și digitalizarea procedurilor, timpii de răspuns administrativ scurt și obligatoriu și procedurile de responsabilizare pentru întârzierile inutil</w:t>
      </w:r>
      <w:r>
        <w:rPr>
          <w:rFonts w:ascii="Times New Roman" w:hAnsi="Times New Roman"/>
          <w:noProof/>
          <w:sz w:val="24"/>
        </w:rPr>
        <w:t>e, reducerea documentației și a procedurilor necesare, precum și un nou cadru specific pentru instalațiile de SRE offshore. Scopul este de a accelera dublarea capacității instalate a SRE în vederea eliminării treptate a lignitului în Grecia.</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În cele din ur</w:t>
      </w:r>
      <w:r>
        <w:rPr>
          <w:rFonts w:ascii="Times New Roman" w:hAnsi="Times New Roman"/>
          <w:noProof/>
          <w:sz w:val="24"/>
        </w:rPr>
        <w:t xml:space="preserve">mă, reforma va institui, de asemenea, un sistem de monitorizare a pieței pentru Autoritatea Națională de Reglementare (RAE) și participarea răspunsului din partea cererii (răspunsul din partea cererii) la piața de echilibrare.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reformei trebu</w:t>
      </w:r>
      <w:r>
        <w:rPr>
          <w:rFonts w:ascii="Times New Roman" w:hAnsi="Times New Roman"/>
          <w:noProof/>
          <w:sz w:val="24"/>
        </w:rPr>
        <w:t>ie finalizată până la 30 iunie 2022.</w:t>
      </w:r>
    </w:p>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18"/>
          <w:headerReference w:type="default" r:id="rId19"/>
          <w:footerReference w:type="even" r:id="rId20"/>
          <w:footerReference w:type="default" r:id="rId21"/>
          <w:headerReference w:type="first" r:id="rId22"/>
          <w:footerReference w:type="first" r:id="rId23"/>
          <w:pgSz w:w="11907" w:h="16839"/>
          <w:pgMar w:top="1134" w:right="1418" w:bottom="1134" w:left="1418" w:header="709" w:footer="709" w:gutter="0"/>
          <w:pgNumType w:start="1"/>
          <w:cols w:space="720"/>
          <w:docGrid w:linePitch="360"/>
        </w:sectPr>
      </w:pPr>
    </w:p>
    <w:p w:rsidR="00780A28" w:rsidRDefault="001867D7">
      <w:pPr>
        <w:keepNext/>
        <w:keepLines/>
        <w:spacing w:before="240" w:after="0" w:line="240" w:lineRule="auto"/>
        <w:jc w:val="both"/>
        <w:outlineLvl w:val="4"/>
        <w:rPr>
          <w:rFonts w:ascii="Cambria" w:eastAsia="Times New Roman" w:hAnsi="Cambria"/>
          <w:noProof/>
          <w:color w:val="365F91"/>
          <w:sz w:val="24"/>
        </w:rPr>
      </w:pPr>
      <w:r>
        <w:rPr>
          <w:rFonts w:ascii="Times New Roman" w:hAnsi="Times New Roman"/>
          <w:b/>
          <w:bCs/>
          <w:noProof/>
          <w:sz w:val="24"/>
          <w:u w:val="single"/>
        </w:rPr>
        <w:t xml:space="preserve">A.2.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p>
    <w:p w:rsidR="00780A28" w:rsidRDefault="001867D7">
      <w:pPr>
        <w:keepNext/>
        <w:keepLines/>
        <w:spacing w:before="2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Cea mai importantă investiție </w:t>
      </w:r>
      <w:r>
        <w:rPr>
          <w:rFonts w:ascii="Cambria" w:hAnsi="Cambria"/>
          <w:noProof/>
          <w:color w:val="365F91"/>
          <w:sz w:val="24"/>
        </w:rPr>
        <w:t>1: Intervenții pentru interconectarea rețelelor de energie electrică ale insulelor și pentru modernizarea rețelei de energie electrică</w:t>
      </w:r>
    </w:p>
    <w:tbl>
      <w:tblPr>
        <w:tblpPr w:leftFromText="181" w:rightFromText="181" w:vertAnchor="text" w:tblpY="1"/>
        <w:tblOverlap w:val="never"/>
        <w:tblW w:w="15842" w:type="dxa"/>
        <w:tblLayout w:type="fixed"/>
        <w:tblLook w:val="04A0" w:firstRow="1" w:lastRow="0" w:firstColumn="1" w:lastColumn="0" w:noHBand="0" w:noVBand="1"/>
      </w:tblPr>
      <w:tblGrid>
        <w:gridCol w:w="1134"/>
        <w:gridCol w:w="2078"/>
        <w:gridCol w:w="1007"/>
        <w:gridCol w:w="1134"/>
        <w:gridCol w:w="1744"/>
        <w:gridCol w:w="920"/>
        <w:gridCol w:w="24"/>
        <w:gridCol w:w="659"/>
        <w:gridCol w:w="666"/>
        <w:gridCol w:w="921"/>
        <w:gridCol w:w="10"/>
        <w:gridCol w:w="911"/>
        <w:gridCol w:w="4634"/>
      </w:tblGrid>
      <w:tr w:rsidR="00780A28">
        <w:trPr>
          <w:trHeight w:val="1125"/>
          <w:tblHeader/>
        </w:trPr>
        <w:tc>
          <w:tcPr>
            <w:tcW w:w="1134"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Număr secvențial</w:t>
            </w:r>
          </w:p>
          <w:p w:rsidR="00780A28" w:rsidRDefault="00780A28">
            <w:pPr>
              <w:spacing w:before="120" w:after="120" w:line="240" w:lineRule="auto"/>
              <w:jc w:val="center"/>
              <w:rPr>
                <w:rFonts w:ascii="Times New Roman" w:hAnsi="Times New Roman" w:cs="Times New Roman"/>
                <w:noProof/>
                <w:sz w:val="24"/>
              </w:rPr>
            </w:pPr>
          </w:p>
        </w:tc>
        <w:tc>
          <w:tcPr>
            <w:tcW w:w="2078" w:type="dxa"/>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Măsură conexă (reformă sau investiție)</w:t>
            </w:r>
          </w:p>
        </w:tc>
        <w:tc>
          <w:tcPr>
            <w:tcW w:w="1007" w:type="dxa"/>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Jalon/Țintă</w:t>
            </w:r>
          </w:p>
        </w:tc>
        <w:tc>
          <w:tcPr>
            <w:tcW w:w="1134"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Nume</w:t>
            </w:r>
          </w:p>
        </w:tc>
        <w:tc>
          <w:tcPr>
            <w:tcW w:w="1744" w:type="dxa"/>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Indicatori calitativi (pentru jaloane)</w:t>
            </w:r>
          </w:p>
        </w:tc>
        <w:tc>
          <w:tcPr>
            <w:tcW w:w="2269" w:type="dxa"/>
            <w:gridSpan w:val="4"/>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Indicatori cantitativi (pentru ținte)</w:t>
            </w:r>
          </w:p>
        </w:tc>
        <w:tc>
          <w:tcPr>
            <w:tcW w:w="1842"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Calendar orientativ pentru atingerea jaloanelor/țintelor</w:t>
            </w:r>
          </w:p>
        </w:tc>
        <w:tc>
          <w:tcPr>
            <w:tcW w:w="46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before="120" w:after="120" w:line="240" w:lineRule="auto"/>
              <w:jc w:val="center"/>
              <w:rPr>
                <w:rFonts w:ascii="Times New Roman" w:hAnsi="Times New Roman" w:cs="Times New Roman"/>
                <w:noProof/>
                <w:sz w:val="24"/>
              </w:rPr>
            </w:pPr>
            <w:r>
              <w:rPr>
                <w:rFonts w:ascii="Times New Roman" w:hAnsi="Times New Roman"/>
                <w:b/>
                <w:bCs/>
                <w:noProof/>
                <w:sz w:val="18"/>
                <w:szCs w:val="18"/>
              </w:rPr>
              <w:t>Descrierea fiecărui jalon și a fiecărei ținte</w:t>
            </w:r>
          </w:p>
          <w:p w:rsidR="00780A28" w:rsidRDefault="00780A28">
            <w:pPr>
              <w:spacing w:before="120" w:after="120" w:line="240" w:lineRule="auto"/>
              <w:jc w:val="center"/>
              <w:rPr>
                <w:rFonts w:ascii="Times New Roman" w:hAnsi="Times New Roman" w:cs="Times New Roman"/>
                <w:noProof/>
                <w:sz w:val="24"/>
              </w:rPr>
            </w:pPr>
          </w:p>
        </w:tc>
      </w:tr>
      <w:tr w:rsidR="00780A28">
        <w:trPr>
          <w:trHeight w:val="848"/>
          <w:tblHeader/>
        </w:trPr>
        <w:tc>
          <w:tcPr>
            <w:tcW w:w="1134" w:type="dxa"/>
            <w:vMerge/>
            <w:tcBorders>
              <w:left w:val="single" w:sz="4" w:space="0" w:color="auto"/>
              <w:bottom w:val="single" w:sz="4" w:space="0" w:color="000000"/>
              <w:right w:val="single" w:sz="4" w:space="0" w:color="auto"/>
            </w:tcBorders>
            <w:shd w:val="clear" w:color="auto" w:fill="BDD7EE"/>
            <w:vAlign w:val="center"/>
          </w:tcPr>
          <w:p w:rsidR="00780A28" w:rsidRDefault="00780A28">
            <w:pPr>
              <w:spacing w:before="120" w:after="120" w:line="240" w:lineRule="auto"/>
              <w:jc w:val="center"/>
              <w:rPr>
                <w:rFonts w:ascii="Times New Roman" w:eastAsia="Times New Roman" w:hAnsi="Times New Roman" w:cs="Times New Roman"/>
                <w:b/>
                <w:bCs/>
                <w:noProof/>
                <w:sz w:val="18"/>
                <w:szCs w:val="18"/>
                <w:lang w:eastAsia="en-GB"/>
              </w:rPr>
            </w:pPr>
          </w:p>
        </w:tc>
        <w:tc>
          <w:tcPr>
            <w:tcW w:w="2078" w:type="dxa"/>
            <w:tcBorders>
              <w:top w:val="single" w:sz="4" w:space="0" w:color="auto"/>
              <w:left w:val="single" w:sz="4" w:space="0" w:color="auto"/>
              <w:bottom w:val="single" w:sz="4" w:space="0" w:color="auto"/>
              <w:right w:val="single" w:sz="4" w:space="0" w:color="auto"/>
            </w:tcBorders>
            <w:shd w:val="clear" w:color="auto" w:fill="BDD7EE"/>
            <w:vAlign w:val="center"/>
          </w:tcPr>
          <w:p w:rsidR="00780A28" w:rsidRDefault="00780A28">
            <w:pPr>
              <w:spacing w:before="120" w:after="120" w:line="240" w:lineRule="auto"/>
              <w:jc w:val="center"/>
              <w:rPr>
                <w:rFonts w:ascii="Times New Roman" w:eastAsia="Times New Roman" w:hAnsi="Times New Roman" w:cs="Times New Roman"/>
                <w:b/>
                <w:bCs/>
                <w:noProof/>
                <w:sz w:val="18"/>
                <w:szCs w:val="18"/>
                <w:lang w:eastAsia="en-GB"/>
              </w:rPr>
            </w:pPr>
          </w:p>
        </w:tc>
        <w:tc>
          <w:tcPr>
            <w:tcW w:w="1007" w:type="dxa"/>
            <w:tcBorders>
              <w:top w:val="single" w:sz="4" w:space="0" w:color="auto"/>
              <w:left w:val="single" w:sz="4" w:space="0" w:color="auto"/>
              <w:bottom w:val="single" w:sz="4" w:space="0" w:color="auto"/>
              <w:right w:val="single" w:sz="4" w:space="0" w:color="auto"/>
            </w:tcBorders>
            <w:shd w:val="clear" w:color="auto" w:fill="BDD7EE"/>
            <w:vAlign w:val="center"/>
          </w:tcPr>
          <w:p w:rsidR="00780A28" w:rsidRDefault="00780A28">
            <w:pPr>
              <w:spacing w:before="120" w:after="120" w:line="240" w:lineRule="auto"/>
              <w:jc w:val="center"/>
              <w:rPr>
                <w:rFonts w:ascii="Times New Roman" w:eastAsia="Times New Roman" w:hAnsi="Times New Roman" w:cs="Times New Roman"/>
                <w:b/>
                <w:bCs/>
                <w:noProof/>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BDD7EE"/>
            <w:vAlign w:val="center"/>
          </w:tcPr>
          <w:p w:rsidR="00780A28" w:rsidRDefault="00780A28">
            <w:pPr>
              <w:spacing w:before="120" w:after="120" w:line="240" w:lineRule="auto"/>
              <w:jc w:val="center"/>
              <w:rPr>
                <w:rFonts w:ascii="Times New Roman" w:eastAsia="Times New Roman" w:hAnsi="Times New Roman" w:cs="Times New Roman"/>
                <w:b/>
                <w:bCs/>
                <w:noProof/>
                <w:sz w:val="18"/>
                <w:szCs w:val="18"/>
                <w:lang w:eastAsia="en-GB"/>
              </w:rPr>
            </w:pPr>
          </w:p>
        </w:tc>
        <w:tc>
          <w:tcPr>
            <w:tcW w:w="1744" w:type="dxa"/>
            <w:tcBorders>
              <w:top w:val="single" w:sz="4" w:space="0" w:color="auto"/>
              <w:left w:val="single" w:sz="4" w:space="0" w:color="auto"/>
              <w:bottom w:val="single" w:sz="4" w:space="0" w:color="auto"/>
              <w:right w:val="single" w:sz="4" w:space="0" w:color="auto"/>
            </w:tcBorders>
            <w:shd w:val="clear" w:color="auto" w:fill="BDD7EE"/>
            <w:vAlign w:val="center"/>
          </w:tcPr>
          <w:p w:rsidR="00780A28" w:rsidRDefault="00780A28">
            <w:pPr>
              <w:spacing w:before="120" w:after="120" w:line="240" w:lineRule="auto"/>
              <w:jc w:val="center"/>
              <w:rPr>
                <w:rFonts w:ascii="Times New Roman" w:eastAsia="Times New Roman" w:hAnsi="Times New Roman" w:cs="Times New Roman"/>
                <w:b/>
                <w:bCs/>
                <w:noProof/>
                <w:sz w:val="18"/>
                <w:szCs w:val="18"/>
                <w:lang w:eastAsia="en-GB"/>
              </w:rPr>
            </w:pPr>
          </w:p>
        </w:tc>
        <w:tc>
          <w:tcPr>
            <w:tcW w:w="944" w:type="dxa"/>
            <w:gridSpan w:val="2"/>
            <w:tcBorders>
              <w:top w:val="single" w:sz="4" w:space="0" w:color="auto"/>
              <w:left w:val="nil"/>
              <w:bottom w:val="single" w:sz="4" w:space="0" w:color="auto"/>
              <w:right w:val="single" w:sz="4" w:space="0" w:color="auto"/>
            </w:tcBorders>
            <w:shd w:val="clear" w:color="auto" w:fill="BDD7EE"/>
            <w:vAlign w:val="center"/>
          </w:tcPr>
          <w:p w:rsidR="00780A28" w:rsidRDefault="001867D7">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659" w:type="dxa"/>
            <w:tcBorders>
              <w:top w:val="single" w:sz="4" w:space="0" w:color="auto"/>
              <w:left w:val="nil"/>
              <w:bottom w:val="single" w:sz="4" w:space="0" w:color="auto"/>
              <w:right w:val="single" w:sz="4" w:space="0" w:color="auto"/>
            </w:tcBorders>
            <w:shd w:val="clear" w:color="auto" w:fill="BDD7EE"/>
            <w:vAlign w:val="center"/>
          </w:tcPr>
          <w:p w:rsidR="00780A28" w:rsidRDefault="001867D7">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Valoare de referință</w:t>
            </w:r>
          </w:p>
        </w:tc>
        <w:tc>
          <w:tcPr>
            <w:tcW w:w="666" w:type="dxa"/>
            <w:tcBorders>
              <w:top w:val="single" w:sz="4" w:space="0" w:color="auto"/>
              <w:left w:val="nil"/>
              <w:bottom w:val="single" w:sz="4" w:space="0" w:color="auto"/>
              <w:right w:val="single" w:sz="4" w:space="0" w:color="auto"/>
            </w:tcBorders>
            <w:shd w:val="clear" w:color="auto" w:fill="BDD7EE"/>
            <w:vAlign w:val="center"/>
          </w:tcPr>
          <w:p w:rsidR="00780A28" w:rsidRDefault="001867D7">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Obiectiv</w:t>
            </w:r>
          </w:p>
        </w:tc>
        <w:tc>
          <w:tcPr>
            <w:tcW w:w="921" w:type="dxa"/>
            <w:tcBorders>
              <w:top w:val="single" w:sz="4" w:space="0" w:color="auto"/>
              <w:left w:val="nil"/>
              <w:bottom w:val="single" w:sz="4" w:space="0" w:color="auto"/>
              <w:right w:val="single" w:sz="4" w:space="0" w:color="auto"/>
            </w:tcBorders>
            <w:shd w:val="clear" w:color="auto" w:fill="BDD7EE"/>
            <w:vAlign w:val="center"/>
          </w:tcPr>
          <w:p w:rsidR="00780A28" w:rsidRDefault="001867D7">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921" w:type="dxa"/>
            <w:gridSpan w:val="2"/>
            <w:tcBorders>
              <w:top w:val="single" w:sz="4" w:space="0" w:color="auto"/>
              <w:left w:val="nil"/>
              <w:bottom w:val="single" w:sz="4" w:space="0" w:color="auto"/>
              <w:right w:val="single" w:sz="4" w:space="0" w:color="auto"/>
            </w:tcBorders>
            <w:shd w:val="clear" w:color="auto" w:fill="BDD7EE"/>
            <w:vAlign w:val="center"/>
          </w:tcPr>
          <w:p w:rsidR="00780A28" w:rsidRDefault="001867D7">
            <w:pPr>
              <w:spacing w:before="120" w:after="12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634" w:type="dxa"/>
            <w:vMerge/>
            <w:tcBorders>
              <w:left w:val="single" w:sz="4" w:space="0" w:color="auto"/>
              <w:bottom w:val="single" w:sz="4" w:space="0" w:color="auto"/>
              <w:right w:val="single" w:sz="4" w:space="0" w:color="auto"/>
            </w:tcBorders>
            <w:shd w:val="clear" w:color="auto" w:fill="BDD7EE"/>
            <w:vAlign w:val="center"/>
          </w:tcPr>
          <w:p w:rsidR="00780A28" w:rsidRDefault="00780A28">
            <w:pPr>
              <w:spacing w:before="120" w:after="120" w:line="240" w:lineRule="auto"/>
              <w:jc w:val="center"/>
              <w:rPr>
                <w:rFonts w:ascii="Times New Roman" w:eastAsia="Times New Roman" w:hAnsi="Times New Roman" w:cs="Times New Roman"/>
                <w:b/>
                <w:bCs/>
                <w:noProof/>
                <w:sz w:val="18"/>
                <w:szCs w:val="18"/>
                <w:lang w:eastAsia="en-GB"/>
              </w:rPr>
            </w:pPr>
          </w:p>
        </w:tc>
      </w:tr>
      <w:tr w:rsidR="00780A28">
        <w:tc>
          <w:tcPr>
            <w:tcW w:w="1134"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ascii="Times New Roman" w:eastAsia="Times New Roman" w:hAnsi="Times New Roman" w:cs="Times New Roman"/>
                <w:noProof/>
                <w:sz w:val="18"/>
                <w:szCs w:val="18"/>
              </w:rPr>
            </w:pPr>
            <w:r>
              <w:rPr>
                <w:rFonts w:ascii="Times New Roman" w:hAnsi="Times New Roman"/>
                <w:noProof/>
                <w:sz w:val="18"/>
                <w:szCs w:val="18"/>
              </w:rPr>
              <w:t>1</w:t>
            </w:r>
          </w:p>
        </w:tc>
        <w:tc>
          <w:tcPr>
            <w:tcW w:w="207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1 - 1.1. Power up — 16870_Intervenții pentru interconectarea rețelelor de energie electrică ale insulelor și pentru modernizarea rețelei de energie electrică</w:t>
            </w:r>
          </w:p>
        </w:tc>
        <w:tc>
          <w:tcPr>
            <w:tcW w:w="100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ascii="Times New Roman" w:eastAsia="Times New Roman" w:hAnsi="Times New Roman" w:cs="Times New Roman"/>
                <w:noProof/>
                <w:sz w:val="18"/>
                <w:szCs w:val="18"/>
              </w:rPr>
            </w:pPr>
            <w:r>
              <w:rPr>
                <w:noProof/>
                <w:color w:val="006100"/>
                <w:sz w:val="18"/>
                <w:szCs w:val="18"/>
              </w:rPr>
              <w:t>Interconectarea insulelor — atribuirea contractelor</w:t>
            </w:r>
          </w:p>
        </w:tc>
        <w:tc>
          <w:tcPr>
            <w:tcW w:w="174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120" w:line="240" w:lineRule="auto"/>
              <w:rPr>
                <w:rFonts w:ascii="Times New Roman" w:eastAsia="Times New Roman" w:hAnsi="Times New Roman" w:cs="Times New Roman"/>
                <w:noProof/>
                <w:sz w:val="18"/>
                <w:szCs w:val="18"/>
              </w:rPr>
            </w:pPr>
            <w:r>
              <w:rPr>
                <w:noProof/>
                <w:color w:val="006100"/>
                <w:sz w:val="18"/>
                <w:szCs w:val="18"/>
              </w:rPr>
              <w:t>Notificarea atribuirii tuturor contract</w:t>
            </w:r>
            <w:r>
              <w:rPr>
                <w:noProof/>
                <w:color w:val="006100"/>
                <w:sz w:val="18"/>
                <w:szCs w:val="18"/>
              </w:rPr>
              <w:t>elor</w:t>
            </w:r>
          </w:p>
        </w:tc>
        <w:tc>
          <w:tcPr>
            <w:tcW w:w="92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ascii="Times New Roman" w:eastAsia="Times New Roman" w:hAnsi="Times New Roman" w:cs="Times New Roman"/>
                <w:noProof/>
                <w:sz w:val="18"/>
                <w:szCs w:val="18"/>
                <w:lang w:eastAsia="en-GB"/>
              </w:rPr>
            </w:pPr>
          </w:p>
        </w:tc>
        <w:tc>
          <w:tcPr>
            <w:tcW w:w="683" w:type="dxa"/>
            <w:gridSpan w:val="2"/>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ascii="Times New Roman" w:eastAsia="Times New Roman" w:hAnsi="Times New Roman" w:cs="Times New Roman"/>
                <w:noProof/>
                <w:sz w:val="18"/>
                <w:szCs w:val="18"/>
                <w:lang w:eastAsia="en-GB"/>
              </w:rPr>
            </w:pPr>
          </w:p>
        </w:tc>
        <w:tc>
          <w:tcPr>
            <w:tcW w:w="6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ascii="Times New Roman" w:eastAsia="Times New Roman" w:hAnsi="Times New Roman" w:cs="Times New Roman"/>
                <w:noProof/>
                <w:sz w:val="18"/>
                <w:szCs w:val="18"/>
                <w:lang w:eastAsia="en-GB"/>
              </w:rPr>
            </w:pPr>
          </w:p>
        </w:tc>
        <w:tc>
          <w:tcPr>
            <w:tcW w:w="931" w:type="dxa"/>
            <w:gridSpan w:val="2"/>
            <w:tcBorders>
              <w:top w:val="nil"/>
              <w:left w:val="nil"/>
              <w:bottom w:val="single" w:sz="4" w:space="0" w:color="auto"/>
              <w:right w:val="single" w:sz="4" w:space="0" w:color="auto"/>
            </w:tcBorders>
            <w:shd w:val="clear" w:color="auto" w:fill="C6EFCE"/>
            <w:noWrap/>
          </w:tcPr>
          <w:p w:rsidR="00780A28" w:rsidRDefault="001867D7">
            <w:pPr>
              <w:spacing w:after="120" w:line="240" w:lineRule="auto"/>
              <w:rPr>
                <w:rFonts w:eastAsia="Times New Roman"/>
                <w:noProof/>
                <w:color w:val="006100"/>
                <w:sz w:val="18"/>
                <w:szCs w:val="18"/>
              </w:rPr>
            </w:pPr>
            <w:r>
              <w:rPr>
                <w:noProof/>
                <w:color w:val="006100"/>
                <w:sz w:val="18"/>
                <w:szCs w:val="18"/>
              </w:rPr>
              <w:t>Q2</w:t>
            </w:r>
          </w:p>
        </w:tc>
        <w:tc>
          <w:tcPr>
            <w:tcW w:w="911" w:type="dxa"/>
            <w:tcBorders>
              <w:top w:val="nil"/>
              <w:left w:val="nil"/>
              <w:bottom w:val="single" w:sz="4" w:space="0" w:color="auto"/>
              <w:right w:val="single" w:sz="4" w:space="0" w:color="auto"/>
            </w:tcBorders>
            <w:shd w:val="clear" w:color="auto" w:fill="C6EFCE"/>
            <w:noWrap/>
          </w:tcPr>
          <w:p w:rsidR="00780A28" w:rsidRDefault="001867D7">
            <w:pPr>
              <w:spacing w:after="120" w:line="240" w:lineRule="auto"/>
              <w:rPr>
                <w:rFonts w:eastAsia="Times New Roman"/>
                <w:noProof/>
                <w:color w:val="006100"/>
                <w:sz w:val="18"/>
                <w:szCs w:val="18"/>
              </w:rPr>
            </w:pPr>
            <w:r>
              <w:rPr>
                <w:noProof/>
                <w:color w:val="006100"/>
                <w:sz w:val="18"/>
                <w:szCs w:val="18"/>
              </w:rPr>
              <w:t>2023</w:t>
            </w:r>
          </w:p>
        </w:tc>
        <w:tc>
          <w:tcPr>
            <w:tcW w:w="46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tuturor contractelor de către operatorul independent de transport de energie electrică (IPTO) pentru instalarea completă a:</w:t>
            </w:r>
          </w:p>
          <w:p w:rsidR="00780A28" w:rsidRDefault="001867D7">
            <w:pPr>
              <w:spacing w:after="0" w:line="240" w:lineRule="auto"/>
              <w:rPr>
                <w:rFonts w:eastAsia="Times New Roman" w:cs="Calibri"/>
                <w:noProof/>
                <w:color w:val="006100"/>
                <w:sz w:val="18"/>
                <w:szCs w:val="18"/>
              </w:rPr>
            </w:pPr>
            <w:r>
              <w:rPr>
                <w:noProof/>
                <w:color w:val="006100"/>
                <w:sz w:val="18"/>
                <w:szCs w:val="18"/>
              </w:rPr>
              <w:t>1) conexiune prin cablu Naxos — Thira;</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2) Extra High Voltage Cable (EHVC) Koumoundoros — </w:t>
            </w:r>
            <w:r>
              <w:rPr>
                <w:noProof/>
                <w:color w:val="006100"/>
                <w:sz w:val="18"/>
                <w:szCs w:val="18"/>
              </w:rPr>
              <w:t>Korinthos (părțile 1 și 2); precum și</w:t>
            </w:r>
          </w:p>
          <w:p w:rsidR="00780A28" w:rsidRDefault="001867D7">
            <w:pPr>
              <w:spacing w:after="0" w:line="240" w:lineRule="auto"/>
              <w:rPr>
                <w:rFonts w:ascii="Times New Roman" w:eastAsia="Times New Roman" w:hAnsi="Times New Roman" w:cs="Times New Roman"/>
                <w:noProof/>
                <w:sz w:val="18"/>
                <w:szCs w:val="18"/>
              </w:rPr>
            </w:pPr>
            <w:r>
              <w:rPr>
                <w:noProof/>
                <w:color w:val="006100"/>
                <w:sz w:val="18"/>
                <w:szCs w:val="18"/>
              </w:rPr>
              <w:t>3) substațiile Milos, Folegandros, Serifos și conexiunile prin cablu Lavrio-Serifos, Serifos-Milos, Milos-Folegandros, Folegandros-Thira.</w:t>
            </w:r>
          </w:p>
        </w:tc>
      </w:tr>
      <w:tr w:rsidR="00780A28">
        <w:tc>
          <w:tcPr>
            <w:tcW w:w="1134"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w:t>
            </w:r>
          </w:p>
        </w:tc>
        <w:tc>
          <w:tcPr>
            <w:tcW w:w="2078" w:type="dxa"/>
            <w:tcBorders>
              <w:top w:val="nil"/>
              <w:left w:val="nil"/>
              <w:bottom w:val="single" w:sz="4" w:space="0" w:color="auto"/>
              <w:right w:val="single" w:sz="4" w:space="0" w:color="auto"/>
            </w:tcBorders>
            <w:shd w:val="clear" w:color="auto" w:fill="C6EFCE"/>
            <w:noWrap/>
          </w:tcPr>
          <w:p w:rsidR="00780A28" w:rsidRDefault="001867D7">
            <w:pPr>
              <w:spacing w:after="120" w:line="240" w:lineRule="auto"/>
              <w:rPr>
                <w:rFonts w:ascii="Times New Roman" w:hAnsi="Times New Roman" w:cs="Times New Roman"/>
                <w:noProof/>
                <w:sz w:val="24"/>
              </w:rPr>
            </w:pPr>
            <w:r>
              <w:rPr>
                <w:noProof/>
                <w:color w:val="006100"/>
                <w:sz w:val="18"/>
                <w:szCs w:val="18"/>
              </w:rPr>
              <w:t xml:space="preserve">1 - 1.1. Power up — 16870_Intervenții pentru interconectarea rețelelor de </w:t>
            </w:r>
            <w:r>
              <w:rPr>
                <w:noProof/>
                <w:color w:val="006100"/>
                <w:sz w:val="18"/>
                <w:szCs w:val="18"/>
              </w:rPr>
              <w:t>energie electrică ale insulelor și pentru modernizarea rețelei de energie electrică</w:t>
            </w:r>
          </w:p>
        </w:tc>
        <w:tc>
          <w:tcPr>
            <w:tcW w:w="1007" w:type="dxa"/>
            <w:tcBorders>
              <w:top w:val="nil"/>
              <w:left w:val="nil"/>
              <w:bottom w:val="single" w:sz="4" w:space="0" w:color="auto"/>
              <w:right w:val="single" w:sz="4" w:space="0" w:color="auto"/>
            </w:tcBorders>
            <w:shd w:val="clear" w:color="auto" w:fill="C6EFCE"/>
            <w:noWrap/>
          </w:tcPr>
          <w:p w:rsidR="00780A28" w:rsidRDefault="001867D7">
            <w:pPr>
              <w:spacing w:after="120" w:line="240" w:lineRule="auto"/>
              <w:rPr>
                <w:rFonts w:ascii="Times New Roman" w:hAnsi="Times New Roman" w:cs="Times New Roman"/>
                <w:noProof/>
                <w:sz w:val="24"/>
              </w:rPr>
            </w:pPr>
            <w:r>
              <w:rPr>
                <w:noProof/>
                <w:color w:val="006100"/>
                <w:sz w:val="18"/>
                <w:szCs w:val="18"/>
              </w:rPr>
              <w:t>Jalon</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Interconectarea insulelor — evoluția lucrărilor</w:t>
            </w:r>
          </w:p>
        </w:tc>
        <w:tc>
          <w:tcPr>
            <w:tcW w:w="1744" w:type="dxa"/>
            <w:tcBorders>
              <w:top w:val="nil"/>
              <w:left w:val="nil"/>
              <w:bottom w:val="single" w:sz="4" w:space="0" w:color="auto"/>
              <w:right w:val="single" w:sz="4" w:space="0" w:color="auto"/>
            </w:tcBorders>
            <w:shd w:val="clear" w:color="auto" w:fill="C6EFCE"/>
            <w:noWrap/>
          </w:tcPr>
          <w:p w:rsidR="00780A28" w:rsidRDefault="001867D7">
            <w:pPr>
              <w:spacing w:after="120" w:line="240" w:lineRule="auto"/>
              <w:rPr>
                <w:rFonts w:ascii="Times New Roman" w:hAnsi="Times New Roman" w:cs="Times New Roman"/>
                <w:noProof/>
                <w:sz w:val="24"/>
              </w:rPr>
            </w:pPr>
            <w:r>
              <w:rPr>
                <w:noProof/>
                <w:color w:val="006100"/>
                <w:sz w:val="18"/>
                <w:szCs w:val="18"/>
              </w:rPr>
              <w:t>Confirmarea acceptării de către IPTO a lucrărilor de montare a cablurilor, aprobarea testelor și certificarea progresu</w:t>
            </w:r>
            <w:r>
              <w:rPr>
                <w:noProof/>
                <w:color w:val="006100"/>
                <w:sz w:val="18"/>
                <w:szCs w:val="18"/>
              </w:rPr>
              <w:t>lui pentru finalizarea a 50 % din EHVC Koumoundouros — Korinthos (părțile 1 și 2)</w:t>
            </w:r>
          </w:p>
        </w:tc>
        <w:tc>
          <w:tcPr>
            <w:tcW w:w="92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83" w:type="dxa"/>
            <w:gridSpan w:val="2"/>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31" w:type="dxa"/>
            <w:gridSpan w:val="2"/>
            <w:tcBorders>
              <w:top w:val="nil"/>
              <w:left w:val="nil"/>
              <w:bottom w:val="single" w:sz="4" w:space="0" w:color="auto"/>
              <w:right w:val="single" w:sz="4" w:space="0" w:color="auto"/>
            </w:tcBorders>
            <w:shd w:val="clear" w:color="auto" w:fill="C6EFCE"/>
            <w:noWrap/>
          </w:tcPr>
          <w:p w:rsidR="00780A28" w:rsidRDefault="001867D7">
            <w:pPr>
              <w:spacing w:after="120" w:line="240" w:lineRule="auto"/>
              <w:rPr>
                <w:rFonts w:ascii="Times New Roman" w:hAnsi="Times New Roman" w:cs="Times New Roman"/>
                <w:noProof/>
                <w:sz w:val="24"/>
              </w:rPr>
            </w:pPr>
            <w:r>
              <w:rPr>
                <w:noProof/>
                <w:color w:val="006100"/>
                <w:sz w:val="18"/>
                <w:szCs w:val="18"/>
              </w:rPr>
              <w:t>Q2</w:t>
            </w:r>
          </w:p>
        </w:tc>
        <w:tc>
          <w:tcPr>
            <w:tcW w:w="911" w:type="dxa"/>
            <w:tcBorders>
              <w:top w:val="nil"/>
              <w:left w:val="nil"/>
              <w:bottom w:val="single" w:sz="4" w:space="0" w:color="auto"/>
              <w:right w:val="single" w:sz="4" w:space="0" w:color="auto"/>
            </w:tcBorders>
            <w:shd w:val="clear" w:color="auto" w:fill="C6EFCE"/>
            <w:noWrap/>
          </w:tcPr>
          <w:p w:rsidR="00780A28" w:rsidRDefault="001867D7">
            <w:pPr>
              <w:spacing w:after="120" w:line="240" w:lineRule="auto"/>
              <w:rPr>
                <w:rFonts w:ascii="Times New Roman" w:hAnsi="Times New Roman" w:cs="Times New Roman"/>
                <w:noProof/>
                <w:sz w:val="24"/>
              </w:rPr>
            </w:pPr>
            <w:r>
              <w:rPr>
                <w:noProof/>
                <w:color w:val="006100"/>
                <w:sz w:val="18"/>
                <w:szCs w:val="18"/>
              </w:rPr>
              <w:t>2025</w:t>
            </w:r>
          </w:p>
        </w:tc>
        <w:tc>
          <w:tcPr>
            <w:tcW w:w="4634" w:type="dxa"/>
            <w:tcBorders>
              <w:top w:val="nil"/>
              <w:left w:val="nil"/>
              <w:bottom w:val="single" w:sz="4" w:space="0" w:color="auto"/>
              <w:right w:val="single" w:sz="4" w:space="0" w:color="auto"/>
            </w:tcBorders>
            <w:shd w:val="clear" w:color="auto" w:fill="C6EFCE"/>
            <w:noWrap/>
          </w:tcPr>
          <w:p w:rsidR="00780A28" w:rsidRDefault="001867D7">
            <w:pPr>
              <w:spacing w:after="120" w:line="240" w:lineRule="auto"/>
              <w:rPr>
                <w:rFonts w:eastAsia="Times New Roman" w:cs="Calibri"/>
                <w:noProof/>
                <w:color w:val="006100"/>
                <w:sz w:val="18"/>
                <w:szCs w:val="18"/>
              </w:rPr>
            </w:pPr>
            <w:r>
              <w:rPr>
                <w:noProof/>
                <w:color w:val="006100"/>
                <w:sz w:val="18"/>
                <w:szCs w:val="18"/>
              </w:rPr>
              <w:t>Instalarea cu succes a cablurilor și teste pentru Naxos-Thira;</w:t>
            </w:r>
          </w:p>
          <w:p w:rsidR="00780A28" w:rsidRDefault="001867D7">
            <w:pPr>
              <w:spacing w:after="120" w:line="240" w:lineRule="auto"/>
              <w:rPr>
                <w:rFonts w:ascii="Times New Roman" w:hAnsi="Times New Roman" w:cs="Times New Roman"/>
                <w:noProof/>
                <w:sz w:val="24"/>
              </w:rPr>
            </w:pPr>
            <w:r>
              <w:rPr>
                <w:noProof/>
                <w:color w:val="006100"/>
                <w:sz w:val="18"/>
                <w:szCs w:val="18"/>
              </w:rPr>
              <w:t>50 % din EHVC Koumoundouros – Korinthos (părțile unu și doi) finalizate.</w:t>
            </w:r>
          </w:p>
        </w:tc>
      </w:tr>
      <w:tr w:rsidR="00780A28">
        <w:tc>
          <w:tcPr>
            <w:tcW w:w="1134" w:type="dxa"/>
            <w:tcBorders>
              <w:top w:val="single" w:sz="4" w:space="0" w:color="auto"/>
              <w:left w:val="single" w:sz="4" w:space="0" w:color="auto"/>
              <w:bottom w:val="single" w:sz="4" w:space="0" w:color="auto"/>
              <w:right w:val="single" w:sz="4" w:space="0" w:color="auto"/>
            </w:tcBorders>
            <w:shd w:val="clear" w:color="auto" w:fill="C6EFCE"/>
            <w:noWrap/>
            <w:hideMark/>
          </w:tcPr>
          <w:p w:rsidR="00780A28" w:rsidRDefault="001867D7">
            <w:pPr>
              <w:spacing w:before="120" w:after="120" w:line="240" w:lineRule="auto"/>
              <w:rPr>
                <w:rFonts w:ascii="Times New Roman" w:hAnsi="Times New Roman" w:cs="Times New Roman"/>
                <w:noProof/>
                <w:sz w:val="24"/>
              </w:rPr>
            </w:pPr>
            <w:r>
              <w:rPr>
                <w:noProof/>
                <w:color w:val="006100"/>
                <w:sz w:val="18"/>
                <w:szCs w:val="18"/>
              </w:rPr>
              <w:t> 3</w:t>
            </w:r>
          </w:p>
        </w:tc>
        <w:tc>
          <w:tcPr>
            <w:tcW w:w="2078"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120" w:line="240" w:lineRule="auto"/>
              <w:rPr>
                <w:rFonts w:ascii="Times New Roman" w:hAnsi="Times New Roman" w:cs="Times New Roman"/>
                <w:noProof/>
                <w:sz w:val="24"/>
              </w:rPr>
            </w:pPr>
            <w:r>
              <w:rPr>
                <w:noProof/>
                <w:color w:val="006100"/>
                <w:sz w:val="18"/>
                <w:szCs w:val="18"/>
              </w:rPr>
              <w:t xml:space="preserve"> 1 - 1.1. Power up — </w:t>
            </w:r>
            <w:r>
              <w:rPr>
                <w:noProof/>
                <w:color w:val="006100"/>
                <w:sz w:val="18"/>
                <w:szCs w:val="18"/>
              </w:rPr>
              <w:t>16870_Intervenții pentru interconectarea rețelelor de energie electrică ale insulelor și pentru modernizarea rețelei de energie electrică</w:t>
            </w:r>
          </w:p>
        </w:tc>
        <w:tc>
          <w:tcPr>
            <w:tcW w:w="1007"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120" w:line="240" w:lineRule="auto"/>
              <w:rPr>
                <w:rFonts w:ascii="Times New Roman" w:hAnsi="Times New Roman" w:cs="Times New Roman"/>
                <w:noProof/>
                <w:sz w:val="24"/>
              </w:rPr>
            </w:pPr>
            <w:r>
              <w:rPr>
                <w:noProof/>
                <w:color w:val="006100"/>
                <w:sz w:val="18"/>
                <w:szCs w:val="18"/>
              </w:rPr>
              <w:t> Jalon</w:t>
            </w:r>
          </w:p>
        </w:tc>
        <w:tc>
          <w:tcPr>
            <w:tcW w:w="1134"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120" w:line="240" w:lineRule="auto"/>
              <w:rPr>
                <w:rFonts w:ascii="Times New Roman" w:hAnsi="Times New Roman" w:cs="Times New Roman"/>
                <w:noProof/>
                <w:sz w:val="24"/>
              </w:rPr>
            </w:pPr>
            <w:r>
              <w:rPr>
                <w:noProof/>
                <w:color w:val="006100"/>
                <w:sz w:val="18"/>
                <w:szCs w:val="18"/>
              </w:rPr>
              <w:t>Interconectarea insulelor — finalizare</w:t>
            </w:r>
          </w:p>
        </w:tc>
        <w:tc>
          <w:tcPr>
            <w:tcW w:w="1744"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120" w:line="240" w:lineRule="auto"/>
              <w:rPr>
                <w:rFonts w:ascii="Times New Roman" w:hAnsi="Times New Roman" w:cs="Times New Roman"/>
                <w:noProof/>
                <w:sz w:val="24"/>
              </w:rPr>
            </w:pPr>
            <w:r>
              <w:rPr>
                <w:noProof/>
                <w:color w:val="006100"/>
                <w:sz w:val="18"/>
                <w:szCs w:val="18"/>
              </w:rPr>
              <w:t>Începerea cu succes a funcționării/electrificării certificate de IPTO; e</w:t>
            </w:r>
            <w:r>
              <w:rPr>
                <w:noProof/>
                <w:color w:val="006100"/>
                <w:sz w:val="18"/>
                <w:szCs w:val="18"/>
              </w:rPr>
              <w:t>liberarea certificatelor pentru operațiunile de probă reușite</w:t>
            </w:r>
          </w:p>
        </w:tc>
        <w:tc>
          <w:tcPr>
            <w:tcW w:w="920"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120" w:line="240" w:lineRule="auto"/>
              <w:rPr>
                <w:rFonts w:ascii="Times New Roman" w:hAnsi="Times New Roman" w:cs="Times New Roman"/>
                <w:noProof/>
                <w:sz w:val="24"/>
              </w:rPr>
            </w:pPr>
            <w:r>
              <w:rPr>
                <w:noProof/>
                <w:color w:val="006100"/>
                <w:sz w:val="18"/>
                <w:szCs w:val="18"/>
              </w:rPr>
              <w:t> </w:t>
            </w:r>
          </w:p>
        </w:tc>
        <w:tc>
          <w:tcPr>
            <w:tcW w:w="683" w:type="dxa"/>
            <w:gridSpan w:val="2"/>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120" w:line="240" w:lineRule="auto"/>
              <w:rPr>
                <w:rFonts w:ascii="Times New Roman" w:hAnsi="Times New Roman" w:cs="Times New Roman"/>
                <w:noProof/>
                <w:sz w:val="24"/>
              </w:rPr>
            </w:pPr>
            <w:r>
              <w:rPr>
                <w:noProof/>
                <w:color w:val="006100"/>
                <w:sz w:val="18"/>
                <w:szCs w:val="18"/>
              </w:rPr>
              <w:t> </w:t>
            </w:r>
          </w:p>
        </w:tc>
        <w:tc>
          <w:tcPr>
            <w:tcW w:w="666"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120" w:line="240" w:lineRule="auto"/>
              <w:rPr>
                <w:rFonts w:ascii="Times New Roman" w:hAnsi="Times New Roman" w:cs="Times New Roman"/>
                <w:noProof/>
                <w:sz w:val="24"/>
              </w:rPr>
            </w:pPr>
            <w:r>
              <w:rPr>
                <w:noProof/>
                <w:color w:val="006100"/>
                <w:sz w:val="18"/>
                <w:szCs w:val="18"/>
              </w:rPr>
              <w:t> </w:t>
            </w:r>
          </w:p>
        </w:tc>
        <w:tc>
          <w:tcPr>
            <w:tcW w:w="931" w:type="dxa"/>
            <w:gridSpan w:val="2"/>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120" w:line="240" w:lineRule="auto"/>
              <w:rPr>
                <w:rFonts w:ascii="Times New Roman" w:hAnsi="Times New Roman" w:cs="Times New Roman"/>
                <w:noProof/>
                <w:sz w:val="24"/>
              </w:rPr>
            </w:pPr>
            <w:r>
              <w:rPr>
                <w:noProof/>
                <w:color w:val="006100"/>
                <w:sz w:val="18"/>
                <w:szCs w:val="18"/>
              </w:rPr>
              <w:t> Q4</w:t>
            </w:r>
          </w:p>
        </w:tc>
        <w:tc>
          <w:tcPr>
            <w:tcW w:w="911"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120" w:line="240" w:lineRule="auto"/>
              <w:rPr>
                <w:rFonts w:ascii="Times New Roman" w:hAnsi="Times New Roman" w:cs="Times New Roman"/>
                <w:noProof/>
                <w:sz w:val="24"/>
              </w:rPr>
            </w:pPr>
            <w:r>
              <w:rPr>
                <w:noProof/>
                <w:color w:val="006100"/>
                <w:sz w:val="18"/>
                <w:szCs w:val="18"/>
              </w:rPr>
              <w:t>2025 </w:t>
            </w:r>
          </w:p>
        </w:tc>
        <w:tc>
          <w:tcPr>
            <w:tcW w:w="4634"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120" w:line="240" w:lineRule="auto"/>
              <w:rPr>
                <w:noProof/>
                <w:color w:val="006100"/>
                <w:sz w:val="18"/>
                <w:szCs w:val="18"/>
              </w:rPr>
            </w:pPr>
            <w:r>
              <w:rPr>
                <w:noProof/>
                <w:color w:val="006100"/>
                <w:sz w:val="18"/>
                <w:szCs w:val="18"/>
              </w:rPr>
              <w:t>Finalizarea tuturor celor trei subproiecte (conexiune Naxos-Thira, EHVC Koumoundoros-Korinthos, substații și alte conexiuni), încorporarea cu succes în Sistemul elen de transport</w:t>
            </w:r>
            <w:r>
              <w:rPr>
                <w:noProof/>
                <w:color w:val="006100"/>
                <w:sz w:val="18"/>
                <w:szCs w:val="18"/>
              </w:rPr>
              <w:t xml:space="preserve"> de energie electrică și începerea funcționării.</w:t>
            </w:r>
          </w:p>
        </w:tc>
      </w:tr>
    </w:tbl>
    <w:p w:rsidR="00780A28" w:rsidRDefault="001867D7">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 xml:space="preserve">Reforma esențială 1: Restructurarea și consolidarea veniturilor din contul RES-CHP — Raționalizarea funcționării eficiente a noului model de piață a energiei electrice și dezvoltarea de noi centrale SRE </w:t>
      </w:r>
      <w:r>
        <w:rPr>
          <w:rFonts w:ascii="Cambria" w:hAnsi="Cambria"/>
          <w:noProof/>
          <w:color w:val="365F91"/>
          <w:sz w:val="24"/>
        </w:rPr>
        <w:t>pentru a atinge obiectivele PECN prin punerea în aplicare a mecanismului de monitorizare, participarea consumului dispecerizabil și o reformă amplă a procedurii de acordare a licențelor pentru noile surse regenerabile de energie</w:t>
      </w:r>
    </w:p>
    <w:tbl>
      <w:tblPr>
        <w:tblpPr w:leftFromText="180" w:rightFromText="180" w:vertAnchor="text" w:tblpX="113" w:tblpY="1"/>
        <w:tblOverlap w:val="never"/>
        <w:tblW w:w="15615" w:type="dxa"/>
        <w:tblLook w:val="04A0" w:firstRow="1" w:lastRow="0" w:firstColumn="1" w:lastColumn="0" w:noHBand="0" w:noVBand="1"/>
      </w:tblPr>
      <w:tblGrid>
        <w:gridCol w:w="1043"/>
        <w:gridCol w:w="1952"/>
        <w:gridCol w:w="1142"/>
        <w:gridCol w:w="1370"/>
        <w:gridCol w:w="1286"/>
        <w:gridCol w:w="1248"/>
        <w:gridCol w:w="994"/>
        <w:gridCol w:w="866"/>
        <w:gridCol w:w="956"/>
        <w:gridCol w:w="956"/>
        <w:gridCol w:w="4156"/>
      </w:tblGrid>
      <w:tr w:rsidR="00780A28">
        <w:trPr>
          <w:trHeight w:val="558"/>
          <w:tblHeader/>
        </w:trPr>
        <w:tc>
          <w:tcPr>
            <w:tcW w:w="1043"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Număr secvențial</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 xml:space="preserve">Măsură </w:t>
            </w:r>
            <w:r>
              <w:rPr>
                <w:rFonts w:ascii="Times New Roman" w:hAnsi="Times New Roman"/>
                <w:b/>
                <w:bCs/>
                <w:noProof/>
                <w:sz w:val="18"/>
                <w:szCs w:val="18"/>
              </w:rPr>
              <w:t>conexă (reformă sau investiție)</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Jalon/Țintă</w:t>
            </w:r>
          </w:p>
        </w:tc>
        <w:tc>
          <w:tcPr>
            <w:tcW w:w="1234" w:type="dxa"/>
            <w:vMerge w:val="restart"/>
            <w:tcBorders>
              <w:top w:val="single" w:sz="4" w:space="0" w:color="auto"/>
              <w:left w:val="nil"/>
              <w:bottom w:val="single" w:sz="4" w:space="0" w:color="auto"/>
              <w:right w:val="single" w:sz="4" w:space="0" w:color="auto"/>
            </w:tcBorders>
            <w:shd w:val="clear" w:color="auto" w:fill="B8CCE4"/>
            <w:noWrap/>
            <w:vAlign w:val="center"/>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Nume</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B8CCE4"/>
            <w:noWrap/>
            <w:vAlign w:val="center"/>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Indicatori calitativi (pentru jaloane)</w:t>
            </w:r>
          </w:p>
        </w:tc>
        <w:tc>
          <w:tcPr>
            <w:tcW w:w="2890" w:type="dxa"/>
            <w:gridSpan w:val="3"/>
            <w:tcBorders>
              <w:top w:val="single" w:sz="4" w:space="0" w:color="auto"/>
              <w:left w:val="nil"/>
              <w:bottom w:val="single" w:sz="4" w:space="0" w:color="auto"/>
              <w:right w:val="single" w:sz="4" w:space="0" w:color="auto"/>
            </w:tcBorders>
            <w:shd w:val="clear" w:color="auto" w:fill="B8CCE4"/>
            <w:noWrap/>
            <w:vAlign w:val="center"/>
          </w:tcPr>
          <w:p w:rsidR="00780A28" w:rsidRDefault="001867D7">
            <w:pPr>
              <w:spacing w:after="0" w:line="240" w:lineRule="auto"/>
              <w:jc w:val="center"/>
              <w:rPr>
                <w:rFonts w:eastAsia="Times New Roman" w:cs="Calibri"/>
                <w:noProof/>
                <w:color w:val="006100"/>
                <w:sz w:val="18"/>
                <w:szCs w:val="18"/>
              </w:rPr>
            </w:pPr>
            <w:r>
              <w:rPr>
                <w:rFonts w:ascii="Times New Roman" w:hAnsi="Times New Roman"/>
                <w:b/>
                <w:bCs/>
                <w:noProof/>
                <w:sz w:val="18"/>
                <w:szCs w:val="18"/>
              </w:rPr>
              <w:t>Indicatori cantitativi (pentru ținte)</w:t>
            </w:r>
          </w:p>
        </w:tc>
        <w:tc>
          <w:tcPr>
            <w:tcW w:w="1912" w:type="dxa"/>
            <w:gridSpan w:val="2"/>
            <w:tcBorders>
              <w:top w:val="single" w:sz="4" w:space="0" w:color="auto"/>
              <w:left w:val="nil"/>
              <w:bottom w:val="single" w:sz="4" w:space="0" w:color="auto"/>
              <w:right w:val="single" w:sz="4" w:space="0" w:color="auto"/>
            </w:tcBorders>
            <w:shd w:val="clear" w:color="auto" w:fill="B8CCE4"/>
            <w:noWrap/>
          </w:tcPr>
          <w:p w:rsidR="00780A28" w:rsidRDefault="001867D7">
            <w:pPr>
              <w:spacing w:after="0" w:line="240" w:lineRule="auto"/>
              <w:jc w:val="center"/>
              <w:rPr>
                <w:rFonts w:eastAsia="Times New Roman" w:cs="Calibri"/>
                <w:noProof/>
                <w:color w:val="006100"/>
                <w:sz w:val="18"/>
                <w:szCs w:val="18"/>
              </w:rPr>
            </w:pPr>
            <w:r>
              <w:rPr>
                <w:rFonts w:ascii="Times New Roman" w:hAnsi="Times New Roman"/>
                <w:b/>
                <w:bCs/>
                <w:noProof/>
                <w:sz w:val="18"/>
                <w:szCs w:val="18"/>
              </w:rPr>
              <w:t>Calendar orientativ pentru atingerea jaloanelor/țintelor</w:t>
            </w:r>
          </w:p>
        </w:tc>
        <w:tc>
          <w:tcPr>
            <w:tcW w:w="4156" w:type="dxa"/>
            <w:vMerge w:val="restart"/>
            <w:tcBorders>
              <w:top w:val="single" w:sz="4" w:space="0" w:color="auto"/>
              <w:left w:val="nil"/>
              <w:bottom w:val="single" w:sz="4" w:space="0" w:color="auto"/>
              <w:right w:val="single" w:sz="4" w:space="0" w:color="auto"/>
            </w:tcBorders>
            <w:shd w:val="clear" w:color="auto" w:fill="B8CCE4"/>
            <w:noWrap/>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Descrierea fiecărui jalon și a fiecărei ținte</w:t>
            </w:r>
          </w:p>
        </w:tc>
      </w:tr>
      <w:tr w:rsidR="00780A28">
        <w:trPr>
          <w:trHeight w:val="557"/>
        </w:trPr>
        <w:tc>
          <w:tcPr>
            <w:tcW w:w="1043"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952"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42"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34" w:type="dxa"/>
            <w:vMerge/>
            <w:tcBorders>
              <w:top w:val="single" w:sz="4" w:space="0" w:color="auto"/>
              <w:left w:val="nil"/>
              <w:bottom w:val="single" w:sz="4" w:space="0" w:color="auto"/>
              <w:right w:val="single" w:sz="4" w:space="0" w:color="auto"/>
            </w:tcBorders>
            <w:shd w:val="clear" w:color="auto" w:fill="B8CCE4"/>
            <w:noWrap/>
            <w:vAlign w:val="center"/>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86" w:type="dxa"/>
            <w:vMerge/>
            <w:tcBorders>
              <w:top w:val="single" w:sz="4" w:space="0" w:color="auto"/>
              <w:left w:val="single" w:sz="4" w:space="0" w:color="auto"/>
              <w:bottom w:val="single" w:sz="4" w:space="0" w:color="auto"/>
              <w:right w:val="single" w:sz="4" w:space="0" w:color="auto"/>
            </w:tcBorders>
            <w:shd w:val="clear" w:color="auto" w:fill="B8CCE4"/>
            <w:noWrap/>
            <w:vAlign w:val="center"/>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48" w:type="dxa"/>
            <w:tcBorders>
              <w:top w:val="single" w:sz="4" w:space="0" w:color="auto"/>
              <w:left w:val="nil"/>
              <w:bottom w:val="single" w:sz="4" w:space="0" w:color="auto"/>
              <w:right w:val="single" w:sz="4" w:space="0" w:color="auto"/>
            </w:tcBorders>
            <w:shd w:val="clear" w:color="auto" w:fill="B8CCE4"/>
            <w:noWrap/>
            <w:vAlign w:val="center"/>
          </w:tcPr>
          <w:p w:rsidR="00780A28" w:rsidRDefault="001867D7">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94" w:type="dxa"/>
            <w:tcBorders>
              <w:top w:val="single" w:sz="4" w:space="0" w:color="auto"/>
              <w:left w:val="nil"/>
              <w:bottom w:val="single" w:sz="4" w:space="0" w:color="auto"/>
              <w:right w:val="single" w:sz="4" w:space="0" w:color="auto"/>
            </w:tcBorders>
            <w:shd w:val="clear" w:color="auto" w:fill="B8CCE4"/>
            <w:vAlign w:val="center"/>
          </w:tcPr>
          <w:p w:rsidR="00780A28" w:rsidRDefault="001867D7">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Valoare de referință</w:t>
            </w:r>
          </w:p>
        </w:tc>
        <w:tc>
          <w:tcPr>
            <w:tcW w:w="648" w:type="dxa"/>
            <w:tcBorders>
              <w:top w:val="single" w:sz="4" w:space="0" w:color="auto"/>
              <w:left w:val="nil"/>
              <w:bottom w:val="single" w:sz="4" w:space="0" w:color="auto"/>
              <w:right w:val="single" w:sz="4" w:space="0" w:color="auto"/>
            </w:tcBorders>
            <w:shd w:val="clear" w:color="auto" w:fill="B8CCE4"/>
            <w:vAlign w:val="center"/>
          </w:tcPr>
          <w:p w:rsidR="00780A28" w:rsidRDefault="001867D7">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Obiectiv</w:t>
            </w:r>
          </w:p>
        </w:tc>
        <w:tc>
          <w:tcPr>
            <w:tcW w:w="956" w:type="dxa"/>
            <w:tcBorders>
              <w:top w:val="single" w:sz="4" w:space="0" w:color="auto"/>
              <w:left w:val="nil"/>
              <w:bottom w:val="single" w:sz="4" w:space="0" w:color="auto"/>
              <w:right w:val="single" w:sz="4" w:space="0" w:color="auto"/>
            </w:tcBorders>
            <w:shd w:val="clear" w:color="auto" w:fill="B8CCE4"/>
            <w:noWrap/>
          </w:tcPr>
          <w:p w:rsidR="00780A28" w:rsidRDefault="001867D7">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956" w:type="dxa"/>
            <w:tcBorders>
              <w:top w:val="single" w:sz="4" w:space="0" w:color="auto"/>
              <w:left w:val="nil"/>
              <w:bottom w:val="single" w:sz="4" w:space="0" w:color="auto"/>
              <w:right w:val="single" w:sz="4" w:space="0" w:color="auto"/>
            </w:tcBorders>
            <w:shd w:val="clear" w:color="auto" w:fill="B8CCE4"/>
          </w:tcPr>
          <w:p w:rsidR="00780A28" w:rsidRDefault="001867D7">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156" w:type="dxa"/>
            <w:vMerge/>
            <w:tcBorders>
              <w:top w:val="single" w:sz="4" w:space="0" w:color="auto"/>
              <w:left w:val="nil"/>
              <w:bottom w:val="single" w:sz="4" w:space="0" w:color="auto"/>
              <w:right w:val="single" w:sz="4" w:space="0" w:color="auto"/>
            </w:tcBorders>
            <w:shd w:val="clear" w:color="auto" w:fill="B8CCE4"/>
            <w:noWrap/>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c>
          <w:tcPr>
            <w:tcW w:w="1043"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w:t>
            </w:r>
          </w:p>
        </w:tc>
        <w:tc>
          <w:tcPr>
            <w:tcW w:w="19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1 - 1.1. Power up — 16865_Restructurarea și sporirea veniturilor contului CHP din SRE</w:t>
            </w:r>
          </w:p>
        </w:tc>
        <w:tc>
          <w:tcPr>
            <w:tcW w:w="11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Cont RES — legislație de modificare a L. 4001/2011; intrarea în vigoare a tuturor deciziilor relevante, inclusiv a codurilor,</w:t>
            </w:r>
            <w:r>
              <w:rPr>
                <w:noProof/>
                <w:color w:val="006100"/>
                <w:sz w:val="18"/>
                <w:szCs w:val="18"/>
              </w:rPr>
              <w:t xml:space="preserve"> de către ministere, de către Autoritatea Națională de Reglementare (RAE) și de către Administratorul surselor regenerabile de energie și al garanțiilor de origine (DAPEEP).</w:t>
            </w:r>
          </w:p>
        </w:tc>
        <w:tc>
          <w:tcPr>
            <w:tcW w:w="128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și a deciziilor executive relevante.</w:t>
            </w:r>
          </w:p>
        </w:tc>
        <w:tc>
          <w:tcPr>
            <w:tcW w:w="124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4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5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15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crearea noului cont privind sursele regenerabile de energie (SRE), pentru unitățile comandate începând cu 1 ianuarie 2021, inclusiv modificarea legislației, a deciziilor ministeriale și a deciziilor de reglementare (coduri). Noul cont SRE va include mec</w:t>
            </w:r>
            <w:r>
              <w:rPr>
                <w:noProof/>
                <w:color w:val="006100"/>
                <w:sz w:val="18"/>
                <w:szCs w:val="18"/>
              </w:rPr>
              <w:t>anisme de asigurare a viabilității financiare a acestuia, inclusiv în cazul unor dezechilibre neprevăzute.</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2) intrarea în vigoare a unui sistem de comercializare a garanțiilor de origine care să permită consumatorilor să sprijine în mod voluntar energia e</w:t>
            </w:r>
            <w:r>
              <w:rPr>
                <w:noProof/>
                <w:color w:val="006100"/>
                <w:sz w:val="18"/>
                <w:szCs w:val="18"/>
              </w:rPr>
              <w:t>lectrică SRE.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Sistemul de garanții de origine (GO) include: </w:t>
            </w:r>
          </w:p>
          <w:p w:rsidR="00780A28" w:rsidRDefault="001867D7">
            <w:pPr>
              <w:numPr>
                <w:ilvl w:val="0"/>
                <w:numId w:val="27"/>
              </w:numPr>
              <w:spacing w:before="120" w:after="0" w:line="259" w:lineRule="auto"/>
              <w:contextualSpacing/>
              <w:jc w:val="both"/>
              <w:rPr>
                <w:rFonts w:eastAsia="Times New Roman" w:cs="Calibri"/>
                <w:noProof/>
                <w:color w:val="006100"/>
                <w:sz w:val="18"/>
                <w:szCs w:val="18"/>
              </w:rPr>
            </w:pPr>
            <w:r>
              <w:rPr>
                <w:noProof/>
                <w:color w:val="006100"/>
                <w:sz w:val="18"/>
                <w:szCs w:val="18"/>
              </w:rPr>
              <w:t>Adoptarea unui sistem de emitere/licitare a GO pentru tarifele fixe RES</w:t>
            </w:r>
          </w:p>
          <w:p w:rsidR="00780A28" w:rsidRDefault="001867D7">
            <w:pPr>
              <w:numPr>
                <w:ilvl w:val="0"/>
                <w:numId w:val="27"/>
              </w:numPr>
              <w:spacing w:before="120" w:after="0" w:line="259" w:lineRule="auto"/>
              <w:contextualSpacing/>
              <w:jc w:val="both"/>
              <w:rPr>
                <w:rFonts w:eastAsia="Times New Roman" w:cs="Calibri"/>
                <w:noProof/>
                <w:color w:val="006100"/>
                <w:sz w:val="18"/>
                <w:szCs w:val="18"/>
              </w:rPr>
            </w:pPr>
            <w:r>
              <w:rPr>
                <w:noProof/>
                <w:color w:val="006100"/>
                <w:sz w:val="18"/>
                <w:szCs w:val="18"/>
              </w:rPr>
              <w:t>Acreditarea produselor cu amănuntul ecologice</w:t>
            </w:r>
          </w:p>
          <w:p w:rsidR="00780A28" w:rsidRDefault="001867D7">
            <w:pPr>
              <w:numPr>
                <w:ilvl w:val="0"/>
                <w:numId w:val="27"/>
              </w:numPr>
              <w:spacing w:before="120" w:after="0" w:line="259" w:lineRule="auto"/>
              <w:contextualSpacing/>
              <w:jc w:val="both"/>
              <w:rPr>
                <w:rFonts w:eastAsia="Times New Roman" w:cs="Calibri"/>
                <w:noProof/>
                <w:color w:val="006100"/>
                <w:sz w:val="18"/>
                <w:szCs w:val="18"/>
              </w:rPr>
            </w:pPr>
            <w:r>
              <w:rPr>
                <w:noProof/>
                <w:color w:val="006100"/>
                <w:sz w:val="18"/>
                <w:szCs w:val="18"/>
              </w:rPr>
              <w:t>Acreditarea standardelor privind „întreprinderile ecologice”.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w:t>
            </w:r>
          </w:p>
        </w:tc>
      </w:tr>
      <w:tr w:rsidR="00780A28">
        <w:tc>
          <w:tcPr>
            <w:tcW w:w="1043"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w:t>
            </w:r>
          </w:p>
        </w:tc>
        <w:tc>
          <w:tcPr>
            <w:tcW w:w="19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1 - 1.1. </w:t>
            </w:r>
            <w:r>
              <w:rPr>
                <w:noProof/>
                <w:color w:val="006100"/>
                <w:sz w:val="18"/>
                <w:szCs w:val="18"/>
              </w:rPr>
              <w:t>Power up — 16860_Streamline funcționarea eficientă a noului model de piață a energiei electrice și dezvoltarea de noi centrale SRE pentru a atinge obiectivele PECN prin punerea în aplicare a mecanismului de monitorizare, participarea consumului dispeceriza</w:t>
            </w:r>
            <w:r>
              <w:rPr>
                <w:noProof/>
                <w:color w:val="006100"/>
                <w:sz w:val="18"/>
                <w:szCs w:val="18"/>
              </w:rPr>
              <w:t>bil și o reformă amplă a procedurii de acordare a licențelor pentru noile surse regenerabile de energie</w:t>
            </w:r>
          </w:p>
        </w:tc>
        <w:tc>
          <w:tcPr>
            <w:tcW w:w="11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yellow"/>
              </w:rPr>
            </w:pPr>
            <w:r>
              <w:rPr>
                <w:noProof/>
                <w:color w:val="006100"/>
                <w:sz w:val="18"/>
                <w:szCs w:val="18"/>
              </w:rPr>
              <w:t>Jalon</w:t>
            </w:r>
          </w:p>
        </w:tc>
        <w:tc>
          <w:tcPr>
            <w:tcW w:w="12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Contul SRE — reforme ale pieței și simplificarea acordării licențelor</w:t>
            </w:r>
          </w:p>
        </w:tc>
        <w:tc>
          <w:tcPr>
            <w:tcW w:w="128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întregii legislații relevante, inclusiv a deciziilor </w:t>
            </w:r>
            <w:r>
              <w:rPr>
                <w:noProof/>
                <w:color w:val="006100"/>
                <w:sz w:val="18"/>
                <w:szCs w:val="18"/>
              </w:rPr>
              <w:t>ministeriale, și a cadrului de reglementare de către RAE și DAPEEP</w:t>
            </w:r>
          </w:p>
        </w:tc>
        <w:tc>
          <w:tcPr>
            <w:tcW w:w="124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4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1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instituirea și funcționarea deplină a unui mecanism de monitorizare și supraveghere a pieței, precum și participarea deplină a răspunsului la cerere pe piața de echilibrare.</w:t>
            </w:r>
          </w:p>
          <w:p w:rsidR="00780A28" w:rsidRDefault="001867D7">
            <w:pPr>
              <w:spacing w:after="0" w:line="240" w:lineRule="auto"/>
              <w:rPr>
                <w:rFonts w:eastAsia="Times New Roman" w:cs="Calibri"/>
                <w:noProof/>
                <w:color w:val="006100"/>
                <w:sz w:val="18"/>
                <w:szCs w:val="18"/>
                <w:highlight w:val="yellow"/>
              </w:rPr>
            </w:pPr>
            <w:r>
              <w:rPr>
                <w:noProof/>
                <w:color w:val="006100"/>
                <w:sz w:val="18"/>
                <w:szCs w:val="18"/>
              </w:rPr>
              <w:t xml:space="preserve">2) finalizarea reformei privind simplificarea acordării de licențe în domeniul surselor regenerabile de energie, inclusiv simplificarea și digitalizarea procedurilor, termene de răspuns administrative scurte și obligatorii și proceduri de responsabilizare </w:t>
            </w:r>
            <w:r>
              <w:rPr>
                <w:noProof/>
                <w:color w:val="006100"/>
                <w:sz w:val="18"/>
                <w:szCs w:val="18"/>
              </w:rPr>
              <w:t>pentru întârzierile inutile, reducerea documentației și a procedurilor necesare, precum și un nou cadru specific pentru instalațiile de SRE offshore.</w:t>
            </w:r>
          </w:p>
        </w:tc>
      </w:tr>
      <w:tr w:rsidR="00780A28">
        <w:tc>
          <w:tcPr>
            <w:tcW w:w="1043"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w:t>
            </w:r>
          </w:p>
        </w:tc>
        <w:tc>
          <w:tcPr>
            <w:tcW w:w="19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1 - 1.1. Power up — 16865_Restructurarea și sporirea veniturilor contului CHP din SRE</w:t>
            </w:r>
          </w:p>
        </w:tc>
        <w:tc>
          <w:tcPr>
            <w:tcW w:w="11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Contul SRE </w:t>
            </w:r>
            <w:r>
              <w:rPr>
                <w:noProof/>
                <w:color w:val="006100"/>
                <w:sz w:val="18"/>
                <w:szCs w:val="18"/>
              </w:rPr>
              <w:t>— obiectivul de creștere a capacității pentru 1</w:t>
            </w:r>
          </w:p>
        </w:tc>
        <w:tc>
          <w:tcPr>
            <w:tcW w:w="128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24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Noua capacitate (GW) de surse regenerabile de energie pusă în funcțiune</w:t>
            </w:r>
          </w:p>
        </w:tc>
        <w:tc>
          <w:tcPr>
            <w:tcW w:w="9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64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w:t>
            </w:r>
          </w:p>
        </w:tc>
        <w:tc>
          <w:tcPr>
            <w:tcW w:w="9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1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Noua capacitate de SRE instalată și operațională</w:t>
            </w:r>
          </w:p>
        </w:tc>
      </w:tr>
      <w:tr w:rsidR="00780A28">
        <w:tc>
          <w:tcPr>
            <w:tcW w:w="1043"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7</w:t>
            </w:r>
          </w:p>
        </w:tc>
        <w:tc>
          <w:tcPr>
            <w:tcW w:w="19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1 - 1.1. Power up — 16865_Restructurarea și sporirea veniturilor </w:t>
            </w:r>
            <w:r>
              <w:rPr>
                <w:noProof/>
                <w:color w:val="006100"/>
                <w:sz w:val="18"/>
                <w:szCs w:val="18"/>
              </w:rPr>
              <w:t>contului CHP din SRE</w:t>
            </w:r>
          </w:p>
        </w:tc>
        <w:tc>
          <w:tcPr>
            <w:tcW w:w="114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Țintă</w:t>
            </w:r>
          </w:p>
        </w:tc>
        <w:tc>
          <w:tcPr>
            <w:tcW w:w="123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Contul SRE — obiectivul de creștere a capacității pentru 2</w:t>
            </w:r>
          </w:p>
        </w:tc>
        <w:tc>
          <w:tcPr>
            <w:tcW w:w="128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124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Noua capacitate (GW) de surse regenerabile de energie pusă în funcțiune</w:t>
            </w:r>
          </w:p>
        </w:tc>
        <w:tc>
          <w:tcPr>
            <w:tcW w:w="99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1</w:t>
            </w:r>
          </w:p>
        </w:tc>
        <w:tc>
          <w:tcPr>
            <w:tcW w:w="64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2</w:t>
            </w:r>
          </w:p>
        </w:tc>
        <w:tc>
          <w:tcPr>
            <w:tcW w:w="95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5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15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Noua capacitate de SRE instalată și operațională</w:t>
            </w:r>
          </w:p>
        </w:tc>
      </w:tr>
      <w:tr w:rsidR="00780A28">
        <w:tc>
          <w:tcPr>
            <w:tcW w:w="1043"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8</w:t>
            </w:r>
          </w:p>
        </w:tc>
        <w:tc>
          <w:tcPr>
            <w:tcW w:w="19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1 - 1.1. Power up — </w:t>
            </w:r>
            <w:r>
              <w:rPr>
                <w:noProof/>
                <w:color w:val="006100"/>
                <w:sz w:val="18"/>
                <w:szCs w:val="18"/>
              </w:rPr>
              <w:t>16865_Restructurarea și sporirea veniturilor contului CHP din SRE</w:t>
            </w:r>
          </w:p>
        </w:tc>
        <w:tc>
          <w:tcPr>
            <w:tcW w:w="114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Țintă</w:t>
            </w:r>
          </w:p>
        </w:tc>
        <w:tc>
          <w:tcPr>
            <w:tcW w:w="123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Contul SRE — obiectivul de creștere a capacității pentru 3 </w:t>
            </w:r>
          </w:p>
        </w:tc>
        <w:tc>
          <w:tcPr>
            <w:tcW w:w="128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124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Noua capacitate (GW) de surse regenerabile de energie pusă în funcțiune</w:t>
            </w:r>
          </w:p>
        </w:tc>
        <w:tc>
          <w:tcPr>
            <w:tcW w:w="99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2</w:t>
            </w:r>
          </w:p>
        </w:tc>
        <w:tc>
          <w:tcPr>
            <w:tcW w:w="64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3</w:t>
            </w:r>
          </w:p>
        </w:tc>
        <w:tc>
          <w:tcPr>
            <w:tcW w:w="95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5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15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Noua capacitate de SRE instalată și</w:t>
            </w:r>
            <w:r>
              <w:rPr>
                <w:noProof/>
                <w:color w:val="006100"/>
                <w:sz w:val="18"/>
                <w:szCs w:val="18"/>
              </w:rPr>
              <w:t xml:space="preserve"> operațională</w:t>
            </w:r>
          </w:p>
        </w:tc>
      </w:tr>
    </w:tbl>
    <w:p w:rsidR="00780A28" w:rsidRDefault="00780A28">
      <w:pPr>
        <w:keepNext/>
        <w:keepLines/>
        <w:spacing w:before="40" w:after="0" w:line="240" w:lineRule="auto"/>
        <w:jc w:val="both"/>
        <w:outlineLvl w:val="4"/>
        <w:rPr>
          <w:rFonts w:ascii="Cambria" w:eastAsia="Times New Roman" w:hAnsi="Cambria"/>
          <w:noProof/>
          <w:color w:val="365F91"/>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1: Power up</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Măsurile incluse în acest grup sunt:</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Sprijin pentru instalarea de sisteme de stocare pentru a îmbunătăți penetrarea surselor regenerabile de energie (ID: 16926)</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Acțiunile de revitalizare a celor mai afectate teritorii </w:t>
      </w:r>
      <w:r>
        <w:rPr>
          <w:rFonts w:ascii="Times New Roman" w:hAnsi="Times New Roman"/>
          <w:noProof/>
          <w:sz w:val="24"/>
        </w:rPr>
        <w:t>(teritorii vizate de tranziția justă) (ID: 16871)</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Modernizarea rețelei HEDNO cu scopul de a spori reziliența și de a proteja mediul (ID: 16901)</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Modernizarea rețelei aeriene HEDNO în zonele forestiere (ID: 16900)</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Creșterea capacității instalate în sub</w:t>
      </w:r>
      <w:r>
        <w:rPr>
          <w:rFonts w:ascii="Times New Roman" w:hAnsi="Times New Roman"/>
          <w:noProof/>
          <w:sz w:val="24"/>
        </w:rPr>
        <w:t>stațiile HV/MV ale operatorului de rețea elenă de distribuție a energiei electrice (HEDNO) pentru o nouă conexiune SRE (ID: 16899)</w:t>
      </w:r>
    </w:p>
    <w:tbl>
      <w:tblPr>
        <w:tblW w:w="15502" w:type="dxa"/>
        <w:tblInd w:w="113" w:type="dxa"/>
        <w:tblLook w:val="04A0" w:firstRow="1" w:lastRow="0" w:firstColumn="1" w:lastColumn="0" w:noHBand="0" w:noVBand="1"/>
      </w:tblPr>
      <w:tblGrid>
        <w:gridCol w:w="1108"/>
        <w:gridCol w:w="1730"/>
        <w:gridCol w:w="1096"/>
        <w:gridCol w:w="1193"/>
        <w:gridCol w:w="1536"/>
        <w:gridCol w:w="1193"/>
        <w:gridCol w:w="918"/>
        <w:gridCol w:w="858"/>
        <w:gridCol w:w="913"/>
        <w:gridCol w:w="714"/>
        <w:gridCol w:w="4243"/>
      </w:tblGrid>
      <w:tr w:rsidR="00780A28">
        <w:trPr>
          <w:trHeight w:val="927"/>
          <w:tblHeader/>
        </w:trPr>
        <w:tc>
          <w:tcPr>
            <w:tcW w:w="112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74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205"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845"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w:t>
            </w:r>
            <w:r>
              <w:rPr>
                <w:rFonts w:ascii="Times New Roman" w:hAnsi="Times New Roman"/>
                <w:b/>
                <w:bCs/>
                <w:noProof/>
                <w:sz w:val="18"/>
                <w:szCs w:val="18"/>
              </w:rPr>
              <w:t>ntitativi (pentru ținte)</w:t>
            </w:r>
          </w:p>
        </w:tc>
        <w:tc>
          <w:tcPr>
            <w:tcW w:w="1642"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2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rPr>
        <w:tc>
          <w:tcPr>
            <w:tcW w:w="1120"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4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05"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05"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2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71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92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2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294"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c>
          <w:tcPr>
            <w:tcW w:w="1120"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w:t>
            </w:r>
          </w:p>
        </w:tc>
        <w:tc>
          <w:tcPr>
            <w:tcW w:w="174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1 - 1.1. Power up — 16871_Acțiuni de revitalizare a celor mai afectate teritorii (teritorii de tranziție justă)</w:t>
            </w:r>
          </w:p>
        </w:tc>
        <w:tc>
          <w:tcPr>
            <w:tcW w:w="10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Reabilitare funciară — lege-cadru</w:t>
            </w:r>
          </w:p>
        </w:tc>
        <w:tc>
          <w:tcPr>
            <w:tcW w:w="15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 în vigoare</w:t>
            </w:r>
          </w:p>
        </w:tc>
        <w:tc>
          <w:tcPr>
            <w:tcW w:w="12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7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2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Aprobarea și intrarea în vigoare a Legii-cadru pri</w:t>
            </w:r>
            <w:r>
              <w:rPr>
                <w:noProof/>
                <w:color w:val="006100"/>
                <w:sz w:val="18"/>
                <w:szCs w:val="18"/>
              </w:rPr>
              <w:t>vind contractele care stabilesc zonele geografice care urmează să fie transferate de la Corporația publică pentru energie electrică către stat, conținutul studiilor proiectelor, repartizarea responsabilităților între toate părțile implicate, modalitățile d</w:t>
            </w:r>
            <w:r>
              <w:rPr>
                <w:noProof/>
                <w:color w:val="006100"/>
                <w:sz w:val="18"/>
                <w:szCs w:val="18"/>
              </w:rPr>
              <w:t>e guvernanță, calendarul de punere în aplicare și bugetul.</w:t>
            </w:r>
          </w:p>
        </w:tc>
      </w:tr>
      <w:tr w:rsidR="00780A28">
        <w:tc>
          <w:tcPr>
            <w:tcW w:w="1120"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w:t>
            </w:r>
          </w:p>
        </w:tc>
        <w:tc>
          <w:tcPr>
            <w:tcW w:w="174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1 - 1.1. Power up — 16871_Acțiuni de revitalizare a celor mai afectate teritorii (teritorii de tranziție justă)</w:t>
            </w:r>
          </w:p>
        </w:tc>
        <w:tc>
          <w:tcPr>
            <w:tcW w:w="10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Reabilitare teritorială — planuri urbane</w:t>
            </w:r>
          </w:p>
        </w:tc>
        <w:tc>
          <w:tcPr>
            <w:tcW w:w="155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Ministerul Mediului să certifice </w:t>
            </w:r>
            <w:r>
              <w:rPr>
                <w:noProof/>
                <w:color w:val="006100"/>
                <w:sz w:val="18"/>
                <w:szCs w:val="18"/>
              </w:rPr>
              <w:t>aprobarea tuturor planurilor urbane speciale;</w:t>
            </w:r>
          </w:p>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12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aprobarea planurilor urbane speciale de către toate municipalitățile. Planurile definesc utilizările permise ale terenurilor, condițiile generale de construcție</w:t>
            </w:r>
            <w:r>
              <w:rPr>
                <w:noProof/>
                <w:color w:val="006100"/>
                <w:sz w:val="18"/>
                <w:szCs w:val="18"/>
              </w:rPr>
              <w:t xml:space="preserve"> și restricțiile, precum și orice altă măsură, termen sau restricție necesară.</w:t>
            </w:r>
          </w:p>
          <w:p w:rsidR="00780A28" w:rsidRDefault="001867D7">
            <w:pPr>
              <w:spacing w:after="0" w:line="240" w:lineRule="auto"/>
              <w:rPr>
                <w:rFonts w:eastAsia="Times New Roman" w:cs="Calibri"/>
                <w:noProof/>
                <w:color w:val="006100"/>
                <w:sz w:val="18"/>
                <w:szCs w:val="18"/>
              </w:rPr>
            </w:pPr>
            <w:r>
              <w:rPr>
                <w:noProof/>
                <w:color w:val="006100"/>
                <w:sz w:val="18"/>
                <w:szCs w:val="18"/>
              </w:rPr>
              <w:t>2) notificarea atribuirii contractelor pentru reabilitarea terenurilor în Macedonia de Vest și Megalopolis.</w:t>
            </w:r>
          </w:p>
        </w:tc>
      </w:tr>
      <w:tr w:rsidR="00780A28">
        <w:tc>
          <w:tcPr>
            <w:tcW w:w="1120"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w:t>
            </w:r>
          </w:p>
        </w:tc>
        <w:tc>
          <w:tcPr>
            <w:tcW w:w="174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1 - 1.1. Power up — 16926_Susținerea instalării sistemelor de </w:t>
            </w:r>
            <w:r>
              <w:rPr>
                <w:noProof/>
                <w:color w:val="006100"/>
                <w:sz w:val="18"/>
                <w:szCs w:val="18"/>
              </w:rPr>
              <w:t>stocare pentru a îmbunătăți penetrarea surselor regenerabile de energie</w:t>
            </w:r>
          </w:p>
        </w:tc>
        <w:tc>
          <w:tcPr>
            <w:tcW w:w="10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Contractul de depozitare</w:t>
            </w:r>
          </w:p>
        </w:tc>
        <w:tc>
          <w:tcPr>
            <w:tcW w:w="155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tuturor contractelor</w:t>
            </w:r>
          </w:p>
        </w:tc>
        <w:tc>
          <w:tcPr>
            <w:tcW w:w="12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yellow"/>
              </w:rPr>
            </w:pPr>
            <w:r>
              <w:rPr>
                <w:noProof/>
                <w:color w:val="006100"/>
                <w:sz w:val="18"/>
                <w:szCs w:val="18"/>
              </w:rPr>
              <w:t xml:space="preserve">Notificarea atribuirii tuturor contractelor pentru proiectele selectate (și anume, pe lângă </w:t>
            </w:r>
            <w:r>
              <w:rPr>
                <w:noProof/>
                <w:color w:val="006100"/>
                <w:sz w:val="18"/>
                <w:szCs w:val="18"/>
              </w:rPr>
              <w:t>stocarea pe termen lung a Amfilochia Pomped Hydro Storage care este selectată printr-un proces individual), pentru o capacitate totală de până la 700 MW (și o capacitate minimă de 500 MW).</w:t>
            </w:r>
          </w:p>
        </w:tc>
      </w:tr>
      <w:tr w:rsidR="00780A28">
        <w:tc>
          <w:tcPr>
            <w:tcW w:w="1120"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w:t>
            </w:r>
          </w:p>
        </w:tc>
        <w:tc>
          <w:tcPr>
            <w:tcW w:w="174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1 - 1.1. Power up – 16901_HEDNO cu scopul de a spori reziliența</w:t>
            </w:r>
            <w:r>
              <w:rPr>
                <w:noProof/>
                <w:color w:val="006100"/>
                <w:sz w:val="18"/>
                <w:szCs w:val="18"/>
              </w:rPr>
              <w:t xml:space="preserve"> și de a proteja mediul</w:t>
            </w:r>
          </w:p>
        </w:tc>
        <w:tc>
          <w:tcPr>
            <w:tcW w:w="10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HEDNO — contracte 1</w:t>
            </w:r>
          </w:p>
        </w:tc>
        <w:tc>
          <w:tcPr>
            <w:tcW w:w="155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tuturor contractelor</w:t>
            </w:r>
          </w:p>
        </w:tc>
        <w:tc>
          <w:tcPr>
            <w:tcW w:w="12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tuturor contractelor legate de proiectele Operatorului elen al rețelei de distribuție a energiei electrice (HEDNO) privind </w:t>
            </w:r>
            <w:r>
              <w:rPr>
                <w:noProof/>
                <w:color w:val="006100"/>
                <w:sz w:val="18"/>
                <w:szCs w:val="18"/>
              </w:rPr>
              <w:t>modernizările în materie de reziliență și mediu), pentru a permite pătrunderea în continuare a energiei din surse regenerabile și pentru a îmbunătăți fiabilitatea și reziliența rețelei, protejând în același timp mediul.</w:t>
            </w:r>
          </w:p>
        </w:tc>
      </w:tr>
      <w:tr w:rsidR="00780A28">
        <w:tc>
          <w:tcPr>
            <w:tcW w:w="1120"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w:t>
            </w:r>
          </w:p>
        </w:tc>
        <w:tc>
          <w:tcPr>
            <w:tcW w:w="174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1 - 1.1. Power up — modernizarea</w:t>
            </w:r>
            <w:r>
              <w:rPr>
                <w:noProof/>
                <w:color w:val="006100"/>
                <w:sz w:val="18"/>
                <w:szCs w:val="18"/>
              </w:rPr>
              <w:t xml:space="preserve"> rețelei aeriene 16900_HEDNO în zonele forestiere</w:t>
            </w:r>
          </w:p>
        </w:tc>
        <w:tc>
          <w:tcPr>
            <w:tcW w:w="10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HEDNO — contracte 2</w:t>
            </w:r>
          </w:p>
        </w:tc>
        <w:tc>
          <w:tcPr>
            <w:tcW w:w="155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tuturor contractelor</w:t>
            </w:r>
          </w:p>
        </w:tc>
        <w:tc>
          <w:tcPr>
            <w:tcW w:w="12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tuturor contractelor legate de proiectele HEDNO privind rețelele aeriene din zonele forestiere, pentru</w:t>
            </w:r>
            <w:r>
              <w:rPr>
                <w:noProof/>
                <w:color w:val="006100"/>
                <w:sz w:val="18"/>
                <w:szCs w:val="18"/>
              </w:rPr>
              <w:t xml:space="preserve"> a permite pătrunderea în continuare a energiei din surse regenerabile și pentru a îmbunătăți fiabilitatea și reziliența rețelei, protejând în același timp mediul.</w:t>
            </w:r>
          </w:p>
        </w:tc>
      </w:tr>
      <w:tr w:rsidR="00780A28">
        <w:tc>
          <w:tcPr>
            <w:tcW w:w="1120"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14</w:t>
            </w:r>
          </w:p>
        </w:tc>
        <w:tc>
          <w:tcPr>
            <w:tcW w:w="174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1 - 1.1. Power up – 16899_Creșterea capacității instalate a substațiilor electrice ale </w:t>
            </w:r>
            <w:r>
              <w:rPr>
                <w:noProof/>
                <w:color w:val="006100"/>
                <w:sz w:val="18"/>
                <w:szCs w:val="18"/>
              </w:rPr>
              <w:t>operatorului de rețea de distribuție a energiei electrice (HEDNO) HV/MV pentru noua conexiune SRE</w:t>
            </w:r>
          </w:p>
        </w:tc>
        <w:tc>
          <w:tcPr>
            <w:tcW w:w="10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HEDNO — contracte 3</w:t>
            </w:r>
          </w:p>
        </w:tc>
        <w:tc>
          <w:tcPr>
            <w:tcW w:w="155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tuturor contractelor</w:t>
            </w:r>
          </w:p>
        </w:tc>
        <w:tc>
          <w:tcPr>
            <w:tcW w:w="12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2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tuturor contractelor legate de proiectele HEDNO </w:t>
            </w:r>
            <w:r>
              <w:rPr>
                <w:noProof/>
                <w:color w:val="006100"/>
                <w:sz w:val="18"/>
                <w:szCs w:val="18"/>
              </w:rPr>
              <w:t>privind creșterea capacității substațiilor de înaltă tensiune/tensiune medie, pentru a permite pătrunderea în continuare a energiei din surse regenerabile și pentru a îmbunătăți fiabilitatea și reziliența rețelei, protejând în același timp mediul.</w:t>
            </w:r>
          </w:p>
          <w:p w:rsidR="00780A28" w:rsidRDefault="00780A28">
            <w:pPr>
              <w:spacing w:after="0" w:line="240" w:lineRule="auto"/>
              <w:rPr>
                <w:rFonts w:eastAsia="Times New Roman" w:cs="Calibri"/>
                <w:noProof/>
                <w:color w:val="006100"/>
                <w:sz w:val="18"/>
                <w:szCs w:val="18"/>
                <w:lang w:eastAsia="en-GB"/>
              </w:rPr>
            </w:pPr>
          </w:p>
        </w:tc>
      </w:tr>
      <w:tr w:rsidR="00780A28">
        <w:tc>
          <w:tcPr>
            <w:tcW w:w="1120"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w:t>
            </w:r>
          </w:p>
        </w:tc>
        <w:tc>
          <w:tcPr>
            <w:tcW w:w="174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w:t>
            </w:r>
            <w:r>
              <w:rPr>
                <w:noProof/>
                <w:color w:val="006100"/>
                <w:sz w:val="18"/>
                <w:szCs w:val="18"/>
              </w:rPr>
              <w:t xml:space="preserve"> 1.1. Power up — 16871_Acțiuni de revitalizare a celor mai afectate teritorii (teritorii de tranziție justă)</w:t>
            </w:r>
          </w:p>
        </w:tc>
        <w:tc>
          <w:tcPr>
            <w:tcW w:w="10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p w:rsidR="00780A28" w:rsidRDefault="00780A28">
            <w:pPr>
              <w:spacing w:after="0" w:line="240" w:lineRule="auto"/>
              <w:rPr>
                <w:rFonts w:eastAsia="Times New Roman" w:cs="Calibri"/>
                <w:noProof/>
                <w:color w:val="006100"/>
                <w:sz w:val="18"/>
                <w:szCs w:val="18"/>
                <w:lang w:eastAsia="en-GB"/>
              </w:rPr>
            </w:pPr>
          </w:p>
          <w:p w:rsidR="00780A28" w:rsidRDefault="00780A28">
            <w:pPr>
              <w:spacing w:after="0" w:line="240" w:lineRule="auto"/>
              <w:rPr>
                <w:rFonts w:eastAsia="Times New Roman" w:cs="Calibri"/>
                <w:noProof/>
                <w:color w:val="006100"/>
                <w:sz w:val="18"/>
                <w:szCs w:val="18"/>
                <w:lang w:eastAsia="en-GB"/>
              </w:rPr>
            </w:pPr>
          </w:p>
        </w:tc>
        <w:tc>
          <w:tcPr>
            <w:tcW w:w="12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Reabilitare teritorială — finalizare</w:t>
            </w:r>
          </w:p>
        </w:tc>
        <w:tc>
          <w:tcPr>
            <w:tcW w:w="1553"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jc w:val="both"/>
              <w:rPr>
                <w:rFonts w:eastAsia="Times New Roman" w:cs="Calibri"/>
                <w:noProof/>
                <w:color w:val="006100"/>
                <w:sz w:val="18"/>
                <w:szCs w:val="18"/>
                <w:lang w:eastAsia="en-GB"/>
              </w:rPr>
            </w:pPr>
          </w:p>
        </w:tc>
        <w:tc>
          <w:tcPr>
            <w:tcW w:w="12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Reabilitarea terenului (ha) finalizată și certificată de Ministerul Mediului</w:t>
            </w:r>
          </w:p>
        </w:tc>
        <w:tc>
          <w:tcPr>
            <w:tcW w:w="9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15 000</w:t>
            </w:r>
          </w:p>
        </w:tc>
        <w:tc>
          <w:tcPr>
            <w:tcW w:w="9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proiectelor de reabilitare a terenurilor (15 000 ha) în Macedonia de Vest &amp; Megalopolis</w:t>
            </w:r>
          </w:p>
          <w:p w:rsidR="00780A28" w:rsidRDefault="00780A28">
            <w:pPr>
              <w:spacing w:after="0" w:line="240" w:lineRule="auto"/>
              <w:rPr>
                <w:rFonts w:eastAsia="Times New Roman" w:cs="Calibri"/>
                <w:noProof/>
                <w:color w:val="006100"/>
                <w:sz w:val="18"/>
                <w:szCs w:val="18"/>
                <w:lang w:eastAsia="en-GB"/>
              </w:rPr>
            </w:pPr>
          </w:p>
        </w:tc>
      </w:tr>
      <w:tr w:rsidR="00780A28">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w:t>
            </w:r>
          </w:p>
        </w:tc>
        <w:tc>
          <w:tcPr>
            <w:tcW w:w="174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1 - 1.1. Power up — 16926_Susținerea instalării sistemelor de stocare pentru a îmbunătăți penetrarea surselor regenerabile de energie</w:t>
            </w:r>
          </w:p>
        </w:tc>
        <w:tc>
          <w:tcPr>
            <w:tcW w:w="10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Stocarea </w:t>
            </w:r>
            <w:r>
              <w:rPr>
                <w:noProof/>
                <w:color w:val="006100"/>
                <w:sz w:val="18"/>
                <w:szCs w:val="18"/>
              </w:rPr>
              <w:t>energiei — finalizare</w:t>
            </w:r>
          </w:p>
        </w:tc>
        <w:tc>
          <w:tcPr>
            <w:tcW w:w="15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IPTO pentru certificarea punerii în funcțiune a proiectelor de stocare a energiei pentru o capacitate de stocare de până la 1 380 MW instalată</w:t>
            </w:r>
          </w:p>
        </w:tc>
        <w:tc>
          <w:tcPr>
            <w:tcW w:w="120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Punerea în funcțiune a tuturor proiectelor de stocare a energiei pentru o capacitate de până la 1 380 MW (inclusiv Amfilochia), certificate de IPTO. </w:t>
            </w:r>
          </w:p>
          <w:p w:rsidR="00780A28" w:rsidRDefault="00780A28">
            <w:pPr>
              <w:spacing w:after="0" w:line="240" w:lineRule="auto"/>
              <w:rPr>
                <w:rFonts w:eastAsia="Times New Roman" w:cs="Calibri"/>
                <w:noProof/>
                <w:color w:val="006100"/>
                <w:sz w:val="18"/>
                <w:szCs w:val="18"/>
                <w:lang w:eastAsia="en-GB"/>
              </w:rPr>
            </w:pPr>
          </w:p>
          <w:p w:rsidR="00780A28" w:rsidRDefault="00780A28">
            <w:pPr>
              <w:spacing w:after="0" w:line="240" w:lineRule="auto"/>
              <w:rPr>
                <w:rFonts w:eastAsia="Times New Roman" w:cs="Calibri"/>
                <w:noProof/>
                <w:color w:val="006100"/>
                <w:sz w:val="18"/>
                <w:szCs w:val="18"/>
                <w:lang w:eastAsia="en-GB"/>
              </w:rPr>
            </w:pPr>
          </w:p>
        </w:tc>
      </w:tr>
      <w:tr w:rsidR="00780A28">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w:t>
            </w:r>
          </w:p>
        </w:tc>
        <w:tc>
          <w:tcPr>
            <w:tcW w:w="174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1 - 1.1. Power up – 16901_HEDNO cu scopul de a spori reziliența și de a proteja mediul</w:t>
            </w:r>
          </w:p>
        </w:tc>
        <w:tc>
          <w:tcPr>
            <w:tcW w:w="10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HEDNO —</w:t>
            </w:r>
            <w:r>
              <w:rPr>
                <w:noProof/>
                <w:color w:val="006100"/>
                <w:sz w:val="18"/>
                <w:szCs w:val="18"/>
              </w:rPr>
              <w:t xml:space="preserve"> finalizare 1</w:t>
            </w:r>
          </w:p>
        </w:tc>
        <w:tc>
          <w:tcPr>
            <w:tcW w:w="15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HEDNO trebuie să furnizeze dovezi privind finalizarea proiectului pentru toate intervențiile legate de modernizări în ceea ce privește reziliența și mediul și certificatele de intrare în exploatare</w:t>
            </w:r>
          </w:p>
        </w:tc>
        <w:tc>
          <w:tcPr>
            <w:tcW w:w="120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și punerea în funcțiune a intervențiilor legate de modernizarea rețelei în vederea asigurării rezilienței și a mediului. </w:t>
            </w:r>
          </w:p>
        </w:tc>
      </w:tr>
      <w:tr w:rsidR="00780A28">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18</w:t>
            </w:r>
          </w:p>
        </w:tc>
        <w:tc>
          <w:tcPr>
            <w:tcW w:w="174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1 - 1.1. Power up — modernizarea rețelei aeriene 16900_HEDNO în zonele forestiere</w:t>
            </w:r>
          </w:p>
        </w:tc>
        <w:tc>
          <w:tcPr>
            <w:tcW w:w="10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HEDNO — finalizare 2</w:t>
            </w:r>
          </w:p>
        </w:tc>
        <w:tc>
          <w:tcPr>
            <w:tcW w:w="15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HEDNO </w:t>
            </w:r>
            <w:r>
              <w:rPr>
                <w:noProof/>
                <w:color w:val="006100"/>
                <w:sz w:val="18"/>
                <w:szCs w:val="18"/>
              </w:rPr>
              <w:t>trebuie să furnizeze dovezi privind finalizarea proiectului pentru toate intervențiile legate de modernizarea rețelei aeriene în zonele forestiere și certificatele de intrare în exploatare</w:t>
            </w:r>
          </w:p>
        </w:tc>
        <w:tc>
          <w:tcPr>
            <w:tcW w:w="120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Intervenții legate de modernizarea rețelei aeriene în </w:t>
            </w:r>
            <w:r>
              <w:rPr>
                <w:noProof/>
                <w:color w:val="006100"/>
                <w:sz w:val="18"/>
                <w:szCs w:val="18"/>
              </w:rPr>
              <w:t>zonele forestiere finalizate și în funcțiune.</w:t>
            </w:r>
          </w:p>
        </w:tc>
      </w:tr>
      <w:tr w:rsidR="00780A28">
        <w:tc>
          <w:tcPr>
            <w:tcW w:w="1120"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19</w:t>
            </w:r>
          </w:p>
        </w:tc>
        <w:tc>
          <w:tcPr>
            <w:tcW w:w="174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1 - 1.1. Power up – 16899_Creșterea capacității instalate a substațiilor electrice ale operatorului de rețea de distribuție a energiei electrice (HEDNO) HV/MV pentru noua conexiune SRE</w:t>
            </w:r>
          </w:p>
        </w:tc>
        <w:tc>
          <w:tcPr>
            <w:tcW w:w="10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HEDNO — </w:t>
            </w:r>
            <w:r>
              <w:rPr>
                <w:noProof/>
                <w:color w:val="006100"/>
                <w:sz w:val="18"/>
                <w:szCs w:val="18"/>
              </w:rPr>
              <w:t>finalizare 3</w:t>
            </w:r>
          </w:p>
        </w:tc>
        <w:tc>
          <w:tcPr>
            <w:tcW w:w="15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HEDNO trebuie să furnizeze dovezi privind finalizarea proiectului pentru toate intervențiile legate de creșterea capacității substațiilor HV/MV și de certificatele de intrare în exploatare</w:t>
            </w:r>
          </w:p>
        </w:tc>
        <w:tc>
          <w:tcPr>
            <w:tcW w:w="120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2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Intervenții legate de creșterea capacității</w:t>
            </w:r>
            <w:r>
              <w:rPr>
                <w:noProof/>
                <w:color w:val="006100"/>
                <w:sz w:val="18"/>
                <w:szCs w:val="18"/>
              </w:rPr>
              <w:t xml:space="preserve"> substațiilor HV/MV finalizate și aflate în funcțiune.</w:t>
            </w:r>
          </w:p>
        </w:tc>
      </w:tr>
    </w:tbl>
    <w:p w:rsidR="00780A28" w:rsidRDefault="00780A28">
      <w:pPr>
        <w:spacing w:before="120" w:after="120" w:line="240" w:lineRule="auto"/>
        <w:rPr>
          <w:rFonts w:ascii="Times New Roman" w:hAnsi="Times New Roman" w:cs="Times New Roman"/>
          <w:noProof/>
          <w:sz w:val="24"/>
        </w:rPr>
        <w:sectPr w:rsidR="00780A28">
          <w:headerReference w:type="even" r:id="rId24"/>
          <w:headerReference w:type="default" r:id="rId25"/>
          <w:footerReference w:type="even" r:id="rId26"/>
          <w:footerReference w:type="default" r:id="rId27"/>
          <w:headerReference w:type="first" r:id="rId28"/>
          <w:footerReference w:type="first" r:id="rId29"/>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B. COMPONENTA 1,2: RENOVAREA</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Componenta de renovare a planului de redresare și reziliență al Greciei din cadrul pilonului verde trebuie să </w:t>
      </w:r>
      <w:r>
        <w:rPr>
          <w:rFonts w:ascii="Times New Roman" w:hAnsi="Times New Roman"/>
          <w:noProof/>
          <w:sz w:val="24"/>
        </w:rPr>
        <w:t>sporească eficiența energetică, să consolideze creșterea economică, să creeze locuri de muncă și să promoveze reziliența socială. Acesta cuprinde reforme și investiții specifice pentru reducerea emisiilor de CO</w:t>
      </w:r>
      <w:r>
        <w:rPr>
          <w:rFonts w:ascii="Times New Roman" w:hAnsi="Times New Roman"/>
          <w:noProof/>
          <w:sz w:val="24"/>
          <w:vertAlign w:val="subscript"/>
        </w:rPr>
        <w:t>2</w:t>
      </w:r>
      <w:r>
        <w:rPr>
          <w:rFonts w:ascii="Times New Roman" w:hAnsi="Times New Roman"/>
          <w:noProof/>
          <w:sz w:val="24"/>
        </w:rPr>
        <w:t>, sprijin pentru realizarea „neutralității” c</w:t>
      </w:r>
      <w:r>
        <w:rPr>
          <w:rFonts w:ascii="Times New Roman" w:hAnsi="Times New Roman"/>
          <w:noProof/>
          <w:sz w:val="24"/>
        </w:rPr>
        <w:t>limatice a zonelor urbane și sporirea rezistenței la schimbările climatice a orașelor și a parcului lor imobiliar. Componenta oferă stimulente pentru renovarea clădirilor și pentru modernizarea energetică, care sunt esențiale pentru regenerarea zonelor urb</w:t>
      </w:r>
      <w:r>
        <w:rPr>
          <w:rFonts w:ascii="Times New Roman" w:hAnsi="Times New Roman"/>
          <w:noProof/>
          <w:sz w:val="24"/>
        </w:rPr>
        <w:t>ane și atenuarea sărăciei energetice și contribuie la atingerea obiectivelor stabilite în Planul național privind energia și clima al Greciei (PNEC). Componenta sprijină abordarea Recomandării specifice fiecărei țări nr. 3 din 2020 și a Recomandării specif</w:t>
      </w:r>
      <w:r>
        <w:rPr>
          <w:rFonts w:ascii="Times New Roman" w:hAnsi="Times New Roman"/>
          <w:noProof/>
          <w:sz w:val="24"/>
        </w:rPr>
        <w:t>ice fiecărei țări nr. 2 din 2019 privind investițiile publice și private. Este de așteptat ca nicio măsură din cadrul acestei componente să nu afecteze în mod semnificativ obiectivele de mediu în sensul articolului 17 din Regulamentul (UE) 2020/852, ținând</w:t>
      </w:r>
      <w:r>
        <w:rPr>
          <w:rFonts w:ascii="Times New Roman" w:hAnsi="Times New Roman"/>
          <w:noProof/>
          <w:sz w:val="24"/>
        </w:rPr>
        <w:t xml:space="preserve"> seama de descrierea măsurilor și a măsurilor de atenuare stabilite în planul de redresare și reziliență în conformitate cu Orientările tehnice bazate pe principiul de „a nu aduce prejudicii semnificative” (2021/C58/01).</w:t>
      </w:r>
    </w:p>
    <w:p w:rsidR="00780A28" w:rsidRDefault="001867D7">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B.1. </w:t>
      </w:r>
      <w:r>
        <w:rPr>
          <w:rFonts w:ascii="Times New Roman" w:hAnsi="Times New Roman"/>
          <w:b/>
          <w:noProof/>
          <w:sz w:val="24"/>
          <w:u w:val="single"/>
        </w:rPr>
        <w:tab/>
      </w:r>
      <w:r>
        <w:rPr>
          <w:rFonts w:ascii="Times New Roman" w:hAnsi="Times New Roman"/>
          <w:b/>
          <w:bCs/>
          <w:noProof/>
          <w:sz w:val="24"/>
          <w:u w:val="single"/>
        </w:rPr>
        <w:t xml:space="preserve">Descrierea reformelor și a </w:t>
      </w:r>
      <w:r>
        <w:rPr>
          <w:rFonts w:ascii="Times New Roman" w:hAnsi="Times New Roman"/>
          <w:b/>
          <w:bCs/>
          <w:noProof/>
          <w:sz w:val="24"/>
          <w:u w:val="single"/>
        </w:rPr>
        <w:t>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Planul de acțiune privind sărăcia energetică (numărul de identificare al măsurii: 16920)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constă în adoptarea unui plan de acțiune pentru a aborda problema s</w:t>
      </w:r>
      <w:r>
        <w:rPr>
          <w:rFonts w:ascii="Times New Roman" w:hAnsi="Times New Roman"/>
          <w:noProof/>
          <w:sz w:val="24"/>
        </w:rPr>
        <w:t>ărăciei energetice. În 2019, se pare că aproximativ 18 % din populația totală nu era în măsură să își încălzească locuințele, comparativ cu aproximativ 34 % în subgrupul populației vulnerabile din punct de vedere economic (Eurostat, ancheta EU-SILC). Strat</w:t>
      </w:r>
      <w:r>
        <w:rPr>
          <w:rFonts w:ascii="Times New Roman" w:hAnsi="Times New Roman"/>
          <w:noProof/>
          <w:sz w:val="24"/>
        </w:rPr>
        <w:t>egia definește măsuri de politică specifice pentru îmbunătățirea eficienței energetice a clădirilor rezidențiale în rândul gospodăriilor vulnerabile din punct de vedere economic. Implementarea reformei trebuie finalizată până la 30 septembrie 2021.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Investi</w:t>
      </w:r>
      <w:r>
        <w:rPr>
          <w:rFonts w:ascii="Times New Roman" w:hAnsi="Times New Roman"/>
          <w:b/>
          <w:bCs/>
          <w:noProof/>
          <w:sz w:val="24"/>
        </w:rPr>
        <w:t>ț</w:t>
      </w:r>
      <w:r>
        <w:rPr>
          <w:rFonts w:ascii="Times New Roman" w:hAnsi="Times New Roman"/>
          <w:b/>
          <w:bCs/>
          <w:noProof/>
          <w:sz w:val="24"/>
        </w:rPr>
        <w:t xml:space="preserve">ia: </w:t>
      </w:r>
      <w:r>
        <w:rPr>
          <w:rFonts w:ascii="Times New Roman" w:hAnsi="Times New Roman"/>
          <w:noProof/>
          <w:sz w:val="24"/>
        </w:rPr>
        <w:t>Renovarea energetică a clădirilor rezidențiale (numărul de identificare al măsurii: 16872)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trebuie să îmbunătățească eficiența energetică a clădirilor rezidențiale. Acesta cuprinde renovări care generează economii semnificative de energie p</w:t>
      </w:r>
      <w:r>
        <w:rPr>
          <w:rFonts w:ascii="Times New Roman" w:hAnsi="Times New Roman"/>
          <w:noProof/>
          <w:sz w:val="24"/>
        </w:rPr>
        <w:t>rimară, contribuind astfel la obiectivele PNEC relevante. Aceasta îmbunătățește digitalizarea consumului final de energie prin intermediul sistemelor de gestionare a energiei și promovează instalarea infrastructurii de electromobilitate, cum ar fi stațiile</w:t>
      </w:r>
      <w:r>
        <w:rPr>
          <w:rFonts w:ascii="Times New Roman" w:hAnsi="Times New Roman"/>
          <w:noProof/>
          <w:sz w:val="24"/>
        </w:rPr>
        <w:t xml:space="preserve"> de încărcare pentru vehiculele electrice. Acesta furnizează, de asemenea, fonduri alocate care vizează locuințele sărace din punct de vedere energetic, stabilind astfel o legătură cu reforma care vizează pregătirea unui plan de acțiune privind sărăcia ene</w:t>
      </w:r>
      <w:r>
        <w:rPr>
          <w:rFonts w:ascii="Times New Roman" w:hAnsi="Times New Roman"/>
          <w:noProof/>
          <w:sz w:val="24"/>
        </w:rPr>
        <w:t>rgetică. Se preconizează că această măsură nu aduce prejudicii semnificative obiectivelor de mediu în sensul articolului 17 din Regulamentul (UE) 2020/852, ținând seama de descrierea măsurii și de măsurile de atenuare stabilite în planul de redresare și re</w:t>
      </w:r>
      <w:r>
        <w:rPr>
          <w:rFonts w:ascii="Times New Roman" w:hAnsi="Times New Roman"/>
          <w:noProof/>
          <w:sz w:val="24"/>
        </w:rPr>
        <w:t>ziliență, în conformitate cu Orientările tehnice bazate pe principiul de „a nu aduce prejudicii semnificative” (2021/C58/01). În special, măsura impune operatorilor economici care efectuează lucrări de construcții să se asigure că cel puțin 70 % (în greuta</w:t>
      </w:r>
      <w:r>
        <w:rPr>
          <w:rFonts w:ascii="Times New Roman" w:hAnsi="Times New Roman"/>
          <w:noProof/>
          <w:sz w:val="24"/>
        </w:rPr>
        <w:t>te) din deșeurile nepericuloase provenite din activități de construcție și demolări [cu excepția materialelor geologice naturale menționate în categoria 17 05 04 din Lista europeană a deșeurilor stabilită prin Decizia 2000/532/CE din 3 mai 2000 de înlocuir</w:t>
      </w:r>
      <w:r>
        <w:rPr>
          <w:rFonts w:ascii="Times New Roman" w:hAnsi="Times New Roman"/>
          <w:noProof/>
          <w:sz w:val="24"/>
        </w:rPr>
        <w:t>e a Deciziei 94/3/CE de stabilire a unei liste de deșeuri în temeiul articolului 1 litera a) din Directiva 75/442/CEE a Consiliului privind deșeurile și a Deciziei 94/904/CE a Consiliului de stabilire a unei liste de deșeuri periculoase în temeiul articolu</w:t>
      </w:r>
      <w:r>
        <w:rPr>
          <w:rFonts w:ascii="Times New Roman" w:hAnsi="Times New Roman"/>
          <w:noProof/>
          <w:sz w:val="24"/>
        </w:rPr>
        <w:t>lui 1 alineatul (4) din Directiva 91/689/CEE a Consiliului privind deșeurile periculoase [notificată cu numărul de document C (2000) 1147] generate pe șantier sunt pregătite pentru reutilizare, reciclare și alte deșeuri, inclusiv operațiunile de rambleiere</w:t>
      </w:r>
      <w:r>
        <w:rPr>
          <w:rFonts w:ascii="Times New Roman" w:hAnsi="Times New Roman"/>
          <w:noProof/>
          <w:sz w:val="24"/>
        </w:rPr>
        <w:t xml:space="preserve"> care utilizează deșeuri pentru a înlocui alte materiale, în conformitate cu ierarhia deșeurilor și cu Protocolul UE privind gestionarea deșeurilor din construcții și demolări.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Investi</w:t>
      </w:r>
      <w:r>
        <w:rPr>
          <w:rFonts w:ascii="Times New Roman" w:hAnsi="Times New Roman"/>
          <w:b/>
          <w:bCs/>
          <w:noProof/>
          <w:sz w:val="24"/>
        </w:rPr>
        <w:t>ț</w:t>
      </w:r>
      <w:r>
        <w:rPr>
          <w:rFonts w:ascii="Times New Roman" w:hAnsi="Times New Roman"/>
          <w:b/>
          <w:bCs/>
          <w:noProof/>
          <w:sz w:val="24"/>
        </w:rPr>
        <w:t xml:space="preserve">ia: </w:t>
      </w:r>
      <w:r>
        <w:rPr>
          <w:rFonts w:ascii="Times New Roman" w:hAnsi="Times New Roman"/>
          <w:noProof/>
          <w:sz w:val="24"/>
        </w:rPr>
        <w:t>Intervenții în zonele rezidențiale și în parcul imobiliar (numărul de identificare al măsurii: 16873)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investiție cuprinde: 1) intervențiile de adaptare la schimbările climatice și de atenuare a efectelor acestora în 16 zone urbane și de coastă</w:t>
      </w:r>
      <w:r>
        <w:rPr>
          <w:rFonts w:ascii="Times New Roman" w:hAnsi="Times New Roman"/>
          <w:noProof/>
          <w:sz w:val="24"/>
        </w:rPr>
        <w:t>, cum ar fi protejarea reperelor urbane de importanță semnificativă și promovarea neutralității climatice a orașelor; 2) regenerarea fostei zone industriale Votanikos/Elaionas, în centrul Atenei; 3) modernizarea falezei pentru a o face accesibilă biciclișt</w:t>
      </w:r>
      <w:r>
        <w:rPr>
          <w:rFonts w:ascii="Times New Roman" w:hAnsi="Times New Roman"/>
          <w:noProof/>
          <w:sz w:val="24"/>
        </w:rPr>
        <w:t>ilor și pietonilor de-a lungul coastei Atena (Atena Riviera); și 4) Alte intervenții strategice selectate prin intermediul unei cereri deschise adresate municipalităților care promovează adaptarea la schimbările climatice și contribuie la economisirea ener</w:t>
      </w:r>
      <w:r>
        <w:rPr>
          <w:rFonts w:ascii="Times New Roman" w:hAnsi="Times New Roman"/>
          <w:noProof/>
          <w:sz w:val="24"/>
        </w:rPr>
        <w:t>giei primare și la reducerea emisiilor de gaze cu efect de seră. Se preconizează că această măsură nu aduce prejudicii semnificative obiectivelor de mediu în sensul articolului 17 din Regulamentul (UE) 2020/852, ținând seama de descrierea măsurii și de măs</w:t>
      </w:r>
      <w:r>
        <w:rPr>
          <w:rFonts w:ascii="Times New Roman" w:hAnsi="Times New Roman"/>
          <w:noProof/>
          <w:sz w:val="24"/>
        </w:rPr>
        <w:t>urile de atenuare stabilite în planul de redresare și reziliență, în conformitate cu Orientările tehnice bazate pe principiul de „a nu aduce prejudicii semnificative” (2021/C58/01). În special, măsura impune operatorilor economici care efectuează lucrări d</w:t>
      </w:r>
      <w:r>
        <w:rPr>
          <w:rFonts w:ascii="Times New Roman" w:hAnsi="Times New Roman"/>
          <w:noProof/>
          <w:sz w:val="24"/>
        </w:rPr>
        <w:t>e construcții să se asigure că cel puțin 70 % (în greutate) din deșeurile nepericuloase provenite din activități de construcție și demolări [cu excepția materialelor geologice naturale menționate în categoria 17 05 04 din Lista europeană a deșeurilor stabi</w:t>
      </w:r>
      <w:r>
        <w:rPr>
          <w:rFonts w:ascii="Times New Roman" w:hAnsi="Times New Roman"/>
          <w:noProof/>
          <w:sz w:val="24"/>
        </w:rPr>
        <w:t>lită prin Decizia 2000/532/CE din 3 mai 2000 de înlocuire a Deciziei 94/3/CE de stabilire a unei liste de deșeuri în temeiul articolului 1 litera a) din Directiva 75/442/CEE a Consiliului privind deșeurile și a Deciziei 94/904/CE a Consiliului de stabilire</w:t>
      </w:r>
      <w:r>
        <w:rPr>
          <w:rFonts w:ascii="Times New Roman" w:hAnsi="Times New Roman"/>
          <w:noProof/>
          <w:sz w:val="24"/>
        </w:rPr>
        <w:t xml:space="preserve"> a unei liste de deșeuri periculoase în temeiul articolului 1 alineatul (4) din Directiva 91/689/CEE a Consiliului privind deșeurile periculoase [notificată cu numărul de document C (2000) 1147] generate pe șantier sunt pregătite pentru reutilizare, recicl</w:t>
      </w:r>
      <w:r>
        <w:rPr>
          <w:rFonts w:ascii="Times New Roman" w:hAnsi="Times New Roman"/>
          <w:noProof/>
          <w:sz w:val="24"/>
        </w:rPr>
        <w:t>are și alte deșeuri, inclusiv operațiunile de rambleiere care utilizează deșeuri pentru a înlocui alte materiale, în conformitate cu ierarhia deșeurilor și cu Protocolul UE privind gestionarea deșeurilor din construcții și demolări. Implementarea investiți</w:t>
      </w:r>
      <w:r>
        <w:rPr>
          <w:rFonts w:ascii="Times New Roman" w:hAnsi="Times New Roman"/>
          <w:noProof/>
          <w:sz w:val="24"/>
        </w:rPr>
        <w:t>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Energie și antreprenoriat (numărul de identificare al măsurii: 16874)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oferă sprijin financiar întreprinderilor private pentru renovări eficiente din punct de vedere energetic ale clădi</w:t>
      </w:r>
      <w:r>
        <w:rPr>
          <w:rFonts w:ascii="Times New Roman" w:hAnsi="Times New Roman"/>
          <w:noProof/>
          <w:sz w:val="24"/>
        </w:rPr>
        <w:t>rilor și proceselor lor. Acesta include două subprograme: (a) renovări ale eficienței energetice în sectoarele terțiar și secundar pentru întreprinderile mijlocii, mari și foarte mari și (b) instalarea de echipamente eficiente din punct de vedere energetic</w:t>
      </w:r>
      <w:r>
        <w:rPr>
          <w:rFonts w:ascii="Times New Roman" w:hAnsi="Times New Roman"/>
          <w:noProof/>
          <w:sz w:val="24"/>
        </w:rPr>
        <w:t xml:space="preserve"> în întreprinderi foarte mici. Prin instalarea de echipamente și sisteme eficiente din punct de vedere energetic pentru conservarea energiei în producția, stocarea, distribuția produselor și funcționarea întreprinderilor, această măsură contribuie la creșt</w:t>
      </w:r>
      <w:r>
        <w:rPr>
          <w:rFonts w:ascii="Times New Roman" w:hAnsi="Times New Roman"/>
          <w:noProof/>
          <w:sz w:val="24"/>
        </w:rPr>
        <w:t xml:space="preserve">erea eficienței energetice a clădirilor și a proceselor în conformitate cu obiectivele stabilite în PNEC și la reducerea emisiilor de gaze cu efect de seră.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Pentru a se asigura că măsura respectă Orientările tehnice „Fără prejudicii semnificative” (2021/C</w:t>
      </w:r>
      <w:r>
        <w:rPr>
          <w:rFonts w:ascii="Times New Roman" w:hAnsi="Times New Roman"/>
          <w:noProof/>
          <w:sz w:val="24"/>
        </w:rPr>
        <w:t>58/01), criteriile de eligibilitate cuprinse în termenii de referință pentru cererile de proiecte exclud următoarea listă de activități:</w:t>
      </w:r>
      <w:r>
        <w:rPr>
          <w:rFonts w:ascii="Times New Roman" w:hAnsi="Times New Roman"/>
          <w:noProof/>
          <w:color w:val="FF0000"/>
          <w:sz w:val="24"/>
        </w:rPr>
        <w:t xml:space="preserve"> </w:t>
      </w:r>
      <w:r>
        <w:rPr>
          <w:rFonts w:ascii="Times New Roman" w:hAnsi="Times New Roman"/>
          <w:noProof/>
          <w:sz w:val="24"/>
        </w:rPr>
        <w:t>(i) activitățile legate de combustibilii fosili, inclusiv utilizarea în aval</w:t>
      </w:r>
      <w:r>
        <w:rPr>
          <w:rFonts w:ascii="Times New Roman" w:hAnsi="Times New Roman" w:cs="Times New Roman"/>
          <w:noProof/>
          <w:sz w:val="24"/>
          <w:vertAlign w:val="superscript"/>
        </w:rPr>
        <w:footnoteReference w:id="2"/>
      </w:r>
      <w:r>
        <w:rPr>
          <w:rFonts w:ascii="Times New Roman" w:hAnsi="Times New Roman"/>
          <w:noProof/>
          <w:sz w:val="24"/>
        </w:rPr>
        <w:t xml:space="preserve">; (ii) activitățile din cadrul schemei UE </w:t>
      </w:r>
      <w:r>
        <w:rPr>
          <w:rFonts w:ascii="Times New Roman" w:hAnsi="Times New Roman"/>
          <w:noProof/>
          <w:sz w:val="24"/>
        </w:rPr>
        <w:t>de comercializare a certificatelor de emisii (ETS) care ating previziuni privind emisiile de gaze cu efect de seră care nu sunt mai mici decât valorile de referință relevante</w:t>
      </w:r>
      <w:r>
        <w:rPr>
          <w:rFonts w:ascii="Times New Roman" w:hAnsi="Times New Roman" w:cs="Times New Roman"/>
          <w:noProof/>
          <w:sz w:val="24"/>
          <w:vertAlign w:val="superscript"/>
        </w:rPr>
        <w:footnoteReference w:id="3"/>
      </w:r>
      <w:r>
        <w:rPr>
          <w:rFonts w:ascii="Times New Roman" w:hAnsi="Times New Roman"/>
          <w:noProof/>
          <w:sz w:val="24"/>
        </w:rPr>
        <w:t>; (iii) activitățile legate de depozitele de deșeuri, incineratoare</w:t>
      </w:r>
      <w:r>
        <w:rPr>
          <w:rFonts w:ascii="Times New Roman" w:hAnsi="Times New Roman" w:cs="Times New Roman"/>
          <w:noProof/>
          <w:sz w:val="24"/>
          <w:vertAlign w:val="superscript"/>
        </w:rPr>
        <w:footnoteReference w:id="4"/>
      </w:r>
      <w:r>
        <w:rPr>
          <w:rFonts w:ascii="Times New Roman" w:hAnsi="Times New Roman"/>
          <w:noProof/>
          <w:sz w:val="24"/>
        </w:rPr>
        <w:t xml:space="preserve"> și instalați</w:t>
      </w:r>
      <w:r>
        <w:rPr>
          <w:rFonts w:ascii="Times New Roman" w:hAnsi="Times New Roman"/>
          <w:noProof/>
          <w:sz w:val="24"/>
        </w:rPr>
        <w:t>i de tratare mecano-biologică</w:t>
      </w:r>
      <w:r>
        <w:rPr>
          <w:rFonts w:ascii="Times New Roman" w:hAnsi="Times New Roman" w:cs="Times New Roman"/>
          <w:noProof/>
          <w:sz w:val="24"/>
          <w:vertAlign w:val="superscript"/>
        </w:rPr>
        <w:footnoteReference w:id="5"/>
      </w:r>
      <w:r>
        <w:rPr>
          <w:rFonts w:ascii="Times New Roman" w:hAnsi="Times New Roman"/>
          <w:noProof/>
          <w:sz w:val="24"/>
        </w:rPr>
        <w:t xml:space="preserve">; și (iv) activități în cadrul cărora eliminarea pe termen lung a deșeurilor poate dăuna mediului. În plus, mandatul impune ca numai activitățile care respectă legislația UE și națională relevantă în materie de mediu să poată </w:t>
      </w:r>
      <w:r>
        <w:rPr>
          <w:rFonts w:ascii="Times New Roman" w:hAnsi="Times New Roman"/>
          <w:noProof/>
          <w:sz w:val="24"/>
        </w:rPr>
        <w:t>fi selectate. Investiția respectă, de asemenea, Orientările tehnice bazate pe principiul de „a nu aduce prejudicii semnificative”, făcând trimitere la principiile economiei circulare privind reciclarea deșeurilor din construcții și în conformitate cu Direc</w:t>
      </w:r>
      <w:r>
        <w:rPr>
          <w:rFonts w:ascii="Times New Roman" w:hAnsi="Times New Roman"/>
          <w:noProof/>
          <w:sz w:val="24"/>
        </w:rPr>
        <w:t>tiva privind performanța energetică a clădirilor (2010/31/UE).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Modernizarea energetică a clădirilor din sectorul public (numărul de identificare al măsurii: 16876)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w:t>
      </w:r>
      <w:r>
        <w:rPr>
          <w:rFonts w:ascii="Times New Roman" w:hAnsi="Times New Roman"/>
          <w:noProof/>
          <w:sz w:val="24"/>
        </w:rPr>
        <w:t xml:space="preserve">investiție cuprinde renovarea clădirilor din sectorul public în vederea creșterii eficienței energetice a acestora, prin implicarea societăților de economii de energie (ESCO). Investiția include, de asemenea, modernizarea energetică a infrastructurilor de </w:t>
      </w:r>
      <w:r>
        <w:rPr>
          <w:rFonts w:ascii="Times New Roman" w:hAnsi="Times New Roman"/>
          <w:noProof/>
          <w:sz w:val="24"/>
        </w:rPr>
        <w:t>iluminat stradal. Această investiție contribuie la îndeplinirea obiectivelor în materie de eficiență energetică adoptate în PNEC și la reducerea emisiilor de gaze cu efect de seră. Se preconizează că această măsură nu aduce prejudicii semnificative obiecti</w:t>
      </w:r>
      <w:r>
        <w:rPr>
          <w:rFonts w:ascii="Times New Roman" w:hAnsi="Times New Roman"/>
          <w:noProof/>
          <w:sz w:val="24"/>
        </w:rPr>
        <w:t>velor de mediu în sensul articolului 17 din Regulamentul (UE) 2020/852, ținând seama de descrierea măsurii și de măsurile de atenuare stabilite în planul de redresare și reziliență, în conformitate cu Orientările tehnice bazate pe principiul de „a nu aduce</w:t>
      </w:r>
      <w:r>
        <w:rPr>
          <w:rFonts w:ascii="Times New Roman" w:hAnsi="Times New Roman"/>
          <w:noProof/>
          <w:sz w:val="24"/>
        </w:rPr>
        <w:t xml:space="preserve"> prejudicii semnificative” (2021/C58/01). În special, măsura impune operatorilor economici care efectuează lucrări de construcții să se asigure că cel puțin 70 % (în greutate) din deșeurile nepericuloase provenite din activități de construcție și demolări </w:t>
      </w:r>
      <w:r>
        <w:rPr>
          <w:rFonts w:ascii="Times New Roman" w:hAnsi="Times New Roman"/>
          <w:noProof/>
          <w:sz w:val="24"/>
        </w:rPr>
        <w:t>[cu excepția materialelor geologice naturale menționate în categoria 17 05 04 din Lista europeană a deșeurilor stabilită prin Decizia 2000/532/CE din 3 mai 2000 de înlocuire a Deciziei 94/3/CE de stabilire a unei liste de deșeuri în temeiul articolului 1 l</w:t>
      </w:r>
      <w:r>
        <w:rPr>
          <w:rFonts w:ascii="Times New Roman" w:hAnsi="Times New Roman"/>
          <w:noProof/>
          <w:sz w:val="24"/>
        </w:rPr>
        <w:t>itera a) din Directiva 75/442/CEE a Consiliului privind deșeurile și a Deciziei 94/904/CE a Consiliului de stabilire a unei liste de deșeuri periculoase în temeiul articolului 1 alineatul (4) din Directiva 91/689/CEE a Consiliului privind deșeurile pericul</w:t>
      </w:r>
      <w:r>
        <w:rPr>
          <w:rFonts w:ascii="Times New Roman" w:hAnsi="Times New Roman"/>
          <w:noProof/>
          <w:sz w:val="24"/>
        </w:rPr>
        <w:t>oase [notificată cu numărul de document C (2000) 1147] generate pe șantier sunt pregătite pentru reutilizare, reciclare și alte deșeuri, inclusiv operațiunile de rambleiere care utilizează deșeuri pentru a înlocui alte materiale, în conformitate cu ierarhi</w:t>
      </w:r>
      <w:r>
        <w:rPr>
          <w:rFonts w:ascii="Times New Roman" w:hAnsi="Times New Roman"/>
          <w:noProof/>
          <w:sz w:val="24"/>
        </w:rPr>
        <w:t>a deșeurilor și cu Protocolul UE privind gestionarea deșeurilor din construcții și demolări.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Dezvoltarea infrastructurii și restaurarea clădirilor în fostele proprietăți re</w:t>
      </w:r>
      <w:r>
        <w:rPr>
          <w:rFonts w:ascii="Times New Roman" w:hAnsi="Times New Roman"/>
          <w:noProof/>
          <w:sz w:val="24"/>
        </w:rPr>
        <w:t>gale din Tatoi (numărul de identificare al măsurii: 16875)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cuprinde renovarea clădirilor și modernizarea eficienței energetice și a rețelelor de infrastructură ale acestora în zona Tatoi, precum și crearea de piste de mers pe jos și cu bicicleta</w:t>
      </w:r>
      <w:r>
        <w:rPr>
          <w:rFonts w:ascii="Times New Roman" w:hAnsi="Times New Roman"/>
          <w:noProof/>
          <w:sz w:val="24"/>
        </w:rPr>
        <w:t xml:space="preserve"> în vecinătatea acesteia. Proiectul va oferi o zonă verde, renovată și accesibilă gratuit pentru recreere locuitorilor din Attica, precum și un nou punct de reper pentru vizitatori. Se preconizează că această măsură nu aduce prejudicii semnificative obiect</w:t>
      </w:r>
      <w:r>
        <w:rPr>
          <w:rFonts w:ascii="Times New Roman" w:hAnsi="Times New Roman"/>
          <w:noProof/>
          <w:sz w:val="24"/>
        </w:rPr>
        <w:t>ivelor de mediu în sensul articolului 17 din Regulamentul (UE) 2020/852, ținând seama de descrierea măsurii și de măsurile de atenuare stabilite în planul de redresare și reziliență, în conformitate cu Orientările tehnice bazate pe principiul de „a nu aduc</w:t>
      </w:r>
      <w:r>
        <w:rPr>
          <w:rFonts w:ascii="Times New Roman" w:hAnsi="Times New Roman"/>
          <w:noProof/>
          <w:sz w:val="24"/>
        </w:rPr>
        <w:t>e prejudicii semnificative” (2021/C58/01). În special, măsura impune operatorilor economici care efectuează lucrări de construcții să se asigure că cel puțin 70 % (în greutate) din deșeurile nepericuloase provenite din activități de construcție și demolări</w:t>
      </w:r>
      <w:r>
        <w:rPr>
          <w:rFonts w:ascii="Times New Roman" w:hAnsi="Times New Roman"/>
          <w:noProof/>
          <w:sz w:val="24"/>
        </w:rPr>
        <w:t xml:space="preserve"> [cu excepția materialelor geologice naturale menționate în categoria 17 05 04 din Lista europeană a deșeurilor stabilită prin Decizia 2000/532/CE din 3 mai 2000 de înlocuire a Deciziei 94/3/CE de stabilire a unei liste de deșeuri în temeiul articolului 1 </w:t>
      </w:r>
      <w:r>
        <w:rPr>
          <w:rFonts w:ascii="Times New Roman" w:hAnsi="Times New Roman"/>
          <w:noProof/>
          <w:sz w:val="24"/>
        </w:rPr>
        <w:t>litera a) din Directiva 75/442/CEE a Consiliului privind deșeurile și a Deciziei 94/904/CE a Consiliului de stabilire a unei liste de deșeuri periculoase în temeiul articolului 1 alineatul (4) din Directiva 91/689/CEE a Consiliului privind deșeurile pericu</w:t>
      </w:r>
      <w:r>
        <w:rPr>
          <w:rFonts w:ascii="Times New Roman" w:hAnsi="Times New Roman"/>
          <w:noProof/>
          <w:sz w:val="24"/>
        </w:rPr>
        <w:t>loase [notificată cu numărul de document C (2000) 1147] generate pe șantier sunt pregătite pentru reutilizare, reciclare și alte deșeuri, inclusiv operațiunile de rambleiere care utilizează deșeuri pentru a înlocui alte materiale, în conformitate cu ierarh</w:t>
      </w:r>
      <w:r>
        <w:rPr>
          <w:rFonts w:ascii="Times New Roman" w:hAnsi="Times New Roman"/>
          <w:noProof/>
          <w:sz w:val="24"/>
        </w:rPr>
        <w:t>ia deșeurilor și cu Protocolul UE privind gestionarea deșeurilor din construcții și demolări.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Centrul olimpic de atletism din Atena (numărul de identificare al măsurii: 169</w:t>
      </w:r>
      <w:r>
        <w:rPr>
          <w:rFonts w:ascii="Times New Roman" w:hAnsi="Times New Roman"/>
          <w:noProof/>
          <w:sz w:val="24"/>
        </w:rPr>
        <w:t>32)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investiție în Centrul olimpic de atletism din Atena va prelungi perioada de utilizare a acestuia, îi va restabili imaginea, va reduce costurile de funcționare/energie și va asigura sustenabilitatea financiară prin transformarea sa într-o destin</w:t>
      </w:r>
      <w:r>
        <w:rPr>
          <w:rFonts w:ascii="Times New Roman" w:hAnsi="Times New Roman"/>
          <w:noProof/>
          <w:sz w:val="24"/>
        </w:rPr>
        <w:t>ație de atletism urban și de agrement modernă și dinamică, în perspectiva transferării centrului către Hellenic Corporation of Assets and Participations. Se preconizează că această măsură nu aduce prejudicii semnificative obiectivelor de mediu în sensul ar</w:t>
      </w:r>
      <w:r>
        <w:rPr>
          <w:rFonts w:ascii="Times New Roman" w:hAnsi="Times New Roman"/>
          <w:noProof/>
          <w:sz w:val="24"/>
        </w:rPr>
        <w:t xml:space="preserve">ticolului 17 din Regulamentul (UE) 2020/852, ținând seama de descrierea măsurii și de măsurile de atenuare stabilite în planul de redresare și reziliență, în conformitate cu Orientările tehnice bazate pe principiul de „a nu aduce prejudicii semnificative” </w:t>
      </w:r>
      <w:r>
        <w:rPr>
          <w:rFonts w:ascii="Times New Roman" w:hAnsi="Times New Roman"/>
          <w:noProof/>
          <w:sz w:val="24"/>
        </w:rPr>
        <w:t>(2021/C58/01). În special, măsura impune operatorilor economici care efectuează lucrări de construcții să se asigure că cel puțin 70 % (în greutate) din deșeurile nepericuloase provenite din activități de construcție și demolări [cu excepția materialelor g</w:t>
      </w:r>
      <w:r>
        <w:rPr>
          <w:rFonts w:ascii="Times New Roman" w:hAnsi="Times New Roman"/>
          <w:noProof/>
          <w:sz w:val="24"/>
        </w:rPr>
        <w:t>eologice naturale menționate în categoria 17 05 04 din Lista europeană a deșeurilor stabilită prin Decizia 2000/532/CE din 3 mai 2000 de înlocuire a Deciziei 94/3/CE de stabilire a unei liste de deșeuri în temeiul articolului 1 litera a) din Directiva 75/4</w:t>
      </w:r>
      <w:r>
        <w:rPr>
          <w:rFonts w:ascii="Times New Roman" w:hAnsi="Times New Roman"/>
          <w:noProof/>
          <w:sz w:val="24"/>
        </w:rPr>
        <w:t>42/CEE a Consiliului privind deșeurile și a Deciziei 94/904/CE a Consiliului de stabilire a unei liste de deșeuri periculoase în temeiul articolului 1 alineatul (4) din Directiva 91/689/CEE a Consiliului privind deșeurile periculoase [notificată cu numărul</w:t>
      </w:r>
      <w:r>
        <w:rPr>
          <w:rFonts w:ascii="Times New Roman" w:hAnsi="Times New Roman"/>
          <w:noProof/>
          <w:sz w:val="24"/>
        </w:rPr>
        <w:t xml:space="preserve"> de document C (2000) 1147] generate pe șantier sunt pregătite pentru reutilizare, reciclare și alte deșeuri, inclusiv operațiunile de rambleiere care utilizează deșeuri pentru a înlocui alte materiale, în conformitate cu ierarhia deșeurilor și cu Protocol</w:t>
      </w:r>
      <w:r>
        <w:rPr>
          <w:rFonts w:ascii="Times New Roman" w:hAnsi="Times New Roman"/>
          <w:noProof/>
          <w:sz w:val="24"/>
        </w:rPr>
        <w:t>ul UE privind gestionarea deșeurilor din construcții și demolări. Implementarea investiției trebuie finalizată până la 30 iunie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Elaborarea planurilor urbane în vederea punerii în aplicare a reformei politicii urbane (numărul de identificare </w:t>
      </w:r>
      <w:r>
        <w:rPr>
          <w:rFonts w:ascii="Times New Roman" w:hAnsi="Times New Roman"/>
          <w:noProof/>
          <w:sz w:val="24"/>
        </w:rPr>
        <w:t>al măsurii: 16879)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reformă cuprinde cinci acțiuni: (a) elaborarea planurilor urbane locale (care acoperă municipalitățile sau unitățile municipale), (b) elaborarea de planuri urbane speciale (planuri care pot acoperi zone care aparțin mai multor mu</w:t>
      </w:r>
      <w:r>
        <w:rPr>
          <w:rFonts w:ascii="Times New Roman" w:hAnsi="Times New Roman"/>
          <w:noProof/>
          <w:sz w:val="24"/>
        </w:rPr>
        <w:t>nicipalități), (c) definirea zonelor de transfer al drepturilor de dezvoltare, (d) finalizarea delimitării așezărilor, (5) abordarea aspectelor legate de utilizarea terenurilor legate de recunoașterea accesului rutier (municipal). Reforma abordează punctel</w:t>
      </w:r>
      <w:r>
        <w:rPr>
          <w:rFonts w:ascii="Times New Roman" w:hAnsi="Times New Roman"/>
          <w:noProof/>
          <w:sz w:val="24"/>
        </w:rPr>
        <w:t>e slabe și lacunele în ceea ce privește zonarea și utilizarea terenurilor în vederea promovării unei activități economice durabile și a protejării mediului. Planurile urbane locale includ un capitol dedicat măsurilor privind schimbările climatice și preven</w:t>
      </w:r>
      <w:r>
        <w:rPr>
          <w:rFonts w:ascii="Times New Roman" w:hAnsi="Times New Roman"/>
          <w:noProof/>
          <w:sz w:val="24"/>
        </w:rPr>
        <w:t>irii și gestionării riscurilor legate de schimbările climatice. În ansamblu, vor fi elaborate planuri urbane locale pentru 700 de municipalități sau unități municipale; vor fi elaborate cinci planuri urbane speciale, zonele de transfer al drepturilor de de</w:t>
      </w:r>
      <w:r>
        <w:rPr>
          <w:rFonts w:ascii="Times New Roman" w:hAnsi="Times New Roman"/>
          <w:noProof/>
          <w:sz w:val="24"/>
        </w:rPr>
        <w:t>zvoltare vor fi definite în 50 de unități municipale, delimitarea așezărilor va fi stabilită în 50 de unități municipale, iar drumurile municipale vor fi stabilite în 120 de unități municipale. În total, vor fi puse în aplicare măsuri în cel puțin 750 de u</w:t>
      </w:r>
      <w:r>
        <w:rPr>
          <w:rFonts w:ascii="Times New Roman" w:hAnsi="Times New Roman"/>
          <w:noProof/>
          <w:sz w:val="24"/>
        </w:rPr>
        <w:t>nități municipale.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Instituirea unei noi planificări a spațiului maritim (numărul de identificare al măsurii: 16891).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Reforma abordează crearea strategiei spațiale naționale </w:t>
      </w:r>
      <w:r>
        <w:rPr>
          <w:rFonts w:ascii="Times New Roman" w:hAnsi="Times New Roman"/>
          <w:noProof/>
          <w:sz w:val="24"/>
        </w:rPr>
        <w:t>pentru mediul marin și a planurilor de amenajare a spațiului maritim. Reforma abordează dezvoltarea durabilă în zonele maritime și de coastă, protejând în același timp mediul marin și biodiversitatea. Implementarea reformei trebuie finalizată până la 31 de</w:t>
      </w:r>
      <w:r>
        <w:rPr>
          <w:rFonts w:ascii="Times New Roman" w:hAnsi="Times New Roman"/>
          <w:noProof/>
          <w:sz w:val="24"/>
        </w:rPr>
        <w:t>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Instituirea unui nou cadru special de amenajare a teritoriului pentru energia din surse regenerabile, industrie, turism și acvacultură (numărul de identificare al măsurii: 16894). Implementarea reformei trebuie finalizată până la 31 </w:t>
      </w:r>
      <w:r>
        <w:rPr>
          <w:rFonts w:ascii="Times New Roman" w:hAnsi="Times New Roman"/>
          <w:noProof/>
          <w:sz w:val="24"/>
        </w:rPr>
        <w:t>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stabilește noi cadre spațiale speciale pentru energia din surse regenerabile, industrie, turism și acvacultură pentru a promova atenuarea schimbărilor climatice și adaptarea la acestea, protecția biodiversității, creșterea economică</w:t>
      </w:r>
      <w:r>
        <w:rPr>
          <w:rFonts w:ascii="Times New Roman" w:hAnsi="Times New Roman"/>
          <w:noProof/>
          <w:sz w:val="24"/>
        </w:rPr>
        <w:t xml:space="preserve"> și crearea de locuri de muncă.</w:t>
      </w:r>
    </w:p>
    <w:p w:rsidR="00780A28" w:rsidRDefault="00780A28">
      <w:pPr>
        <w:spacing w:before="120" w:after="120" w:line="240" w:lineRule="auto"/>
        <w:ind w:left="709"/>
        <w:jc w:val="both"/>
        <w:rPr>
          <w:rFonts w:ascii="Times New Roman" w:hAnsi="Times New Roman" w:cs="Times New Roman"/>
          <w:b/>
          <w:bCs/>
          <w:noProof/>
          <w:sz w:val="24"/>
          <w:u w:val="single"/>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30"/>
          <w:headerReference w:type="default" r:id="rId31"/>
          <w:footerReference w:type="even" r:id="rId32"/>
          <w:footerReference w:type="default" r:id="rId33"/>
          <w:headerReference w:type="first" r:id="rId34"/>
          <w:footerReference w:type="first" r:id="rId35"/>
          <w:pgSz w:w="11907" w:h="16839"/>
          <w:pgMar w:top="1134" w:right="1418" w:bottom="1134" w:left="1418" w:header="709" w:footer="709" w:gutter="0"/>
          <w:cols w:space="720"/>
          <w:docGrid w:linePitch="360"/>
        </w:sect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Times New Roman" w:hAnsi="Times New Roman"/>
          <w:b/>
          <w:bCs/>
          <w:noProof/>
          <w:sz w:val="24"/>
          <w:u w:val="single"/>
        </w:rPr>
        <w:t xml:space="preserve">B.2.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r>
        <w:rPr>
          <w:rFonts w:ascii="Cambria" w:hAnsi="Cambria"/>
          <w:noProof/>
          <w:color w:val="365F91"/>
          <w:sz w:val="24"/>
        </w:rPr>
        <w:t xml:space="preserve"> </w:t>
      </w:r>
    </w:p>
    <w:p w:rsidR="00780A28" w:rsidRDefault="00780A28">
      <w:pPr>
        <w:keepNext/>
        <w:keepLines/>
        <w:spacing w:before="40" w:after="0" w:line="240" w:lineRule="auto"/>
        <w:jc w:val="both"/>
        <w:outlineLvl w:val="4"/>
        <w:rPr>
          <w:rFonts w:ascii="Cambria" w:eastAsia="Times New Roman" w:hAnsi="Cambria"/>
          <w:noProof/>
          <w:color w:val="365F91"/>
          <w:sz w:val="24"/>
        </w:rPr>
      </w:pPr>
    </w:p>
    <w:p w:rsidR="00780A28" w:rsidRDefault="001867D7">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sz w:val="24"/>
        </w:rPr>
        <w:t>Cea mai importantă investiție 2: Renovare</w:t>
      </w:r>
      <w:r>
        <w:rPr>
          <w:rFonts w:ascii="Cambria" w:hAnsi="Cambria"/>
          <w:noProof/>
          <w:color w:val="365F91"/>
          <w:sz w:val="24"/>
        </w:rPr>
        <w:t>a energetică a clădirilor rezidențiale</w:t>
      </w:r>
    </w:p>
    <w:tbl>
      <w:tblPr>
        <w:tblW w:w="15856" w:type="dxa"/>
        <w:tblInd w:w="113" w:type="dxa"/>
        <w:tblLook w:val="04A0" w:firstRow="1" w:lastRow="0" w:firstColumn="1" w:lastColumn="0" w:noHBand="0" w:noVBand="1"/>
      </w:tblPr>
      <w:tblGrid>
        <w:gridCol w:w="1027"/>
        <w:gridCol w:w="1424"/>
        <w:gridCol w:w="1107"/>
        <w:gridCol w:w="1181"/>
        <w:gridCol w:w="2311"/>
        <w:gridCol w:w="1192"/>
        <w:gridCol w:w="999"/>
        <w:gridCol w:w="866"/>
        <w:gridCol w:w="882"/>
        <w:gridCol w:w="734"/>
        <w:gridCol w:w="4662"/>
      </w:tblGrid>
      <w:tr w:rsidR="00780A28">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2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05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231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3011"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560"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66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6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56"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2311"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9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9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82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5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0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662"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w:t>
            </w:r>
          </w:p>
        </w:tc>
        <w:tc>
          <w:tcPr>
            <w:tcW w:w="126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2 </w:t>
            </w:r>
            <w:r>
              <w:rPr>
                <w:noProof/>
                <w:color w:val="006100"/>
                <w:sz w:val="18"/>
                <w:szCs w:val="18"/>
              </w:rPr>
              <w:t>- 1.2. Renovare — 16872_renovare energetică a clădirilor rezidențiale</w:t>
            </w:r>
          </w:p>
        </w:tc>
        <w:tc>
          <w:tcPr>
            <w:tcW w:w="96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Renovare rezidențială – lansarea primei runde</w:t>
            </w:r>
          </w:p>
        </w:tc>
        <w:tc>
          <w:tcPr>
            <w:tcW w:w="231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unei decizii ministeriale comune </w:t>
            </w:r>
          </w:p>
        </w:tc>
        <w:tc>
          <w:tcPr>
            <w:tcW w:w="1192"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820"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2020</w:t>
            </w:r>
          </w:p>
        </w:tc>
        <w:tc>
          <w:tcPr>
            <w:tcW w:w="466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unei decizii ministeriale comune de lansare a</w:t>
            </w:r>
            <w:r>
              <w:rPr>
                <w:noProof/>
                <w:color w:val="006100"/>
                <w:sz w:val="18"/>
                <w:szCs w:val="18"/>
              </w:rPr>
              <w:t xml:space="preserve"> programului pentru prima rundă de renovări, inclusiv instituirea unui proces de selecție pentru a se asigura că consumul de energie primară al locuințelor este redus cu cel puțin 30 % față de performanța inițială a locuinței calculată în kWh/m</w:t>
            </w:r>
            <w:r>
              <w:rPr>
                <w:noProof/>
                <w:color w:val="006100"/>
                <w:sz w:val="18"/>
                <w:szCs w:val="18"/>
                <w:vertAlign w:val="superscript"/>
              </w:rPr>
              <w:t>2</w:t>
            </w:r>
            <w:r>
              <w:rPr>
                <w:noProof/>
                <w:color w:val="006100"/>
                <w:sz w:val="18"/>
                <w:szCs w:val="18"/>
              </w:rPr>
              <w:t xml:space="preserve">.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Decizia</w:t>
            </w:r>
            <w:r>
              <w:rPr>
                <w:noProof/>
                <w:color w:val="006100"/>
                <w:sz w:val="18"/>
                <w:szCs w:val="18"/>
              </w:rPr>
              <w:t xml:space="preserve"> ministerială comună stabilește:</w:t>
            </w:r>
          </w:p>
          <w:p w:rsidR="00780A28" w:rsidRDefault="001867D7">
            <w:pPr>
              <w:spacing w:after="0" w:line="240" w:lineRule="auto"/>
              <w:rPr>
                <w:rFonts w:eastAsia="Times New Roman" w:cs="Calibri"/>
                <w:noProof/>
                <w:color w:val="006100"/>
                <w:sz w:val="18"/>
                <w:szCs w:val="18"/>
              </w:rPr>
            </w:pPr>
            <w:r>
              <w:rPr>
                <w:noProof/>
                <w:color w:val="006100"/>
                <w:sz w:val="18"/>
                <w:szCs w:val="18"/>
              </w:rPr>
              <w:t>- Mecanismul de punere în aplicare</w:t>
            </w:r>
          </w:p>
          <w:p w:rsidR="00780A28" w:rsidRDefault="001867D7">
            <w:pPr>
              <w:spacing w:after="0" w:line="240" w:lineRule="auto"/>
              <w:rPr>
                <w:rFonts w:eastAsia="Times New Roman" w:cs="Calibri"/>
                <w:noProof/>
                <w:color w:val="006100"/>
                <w:sz w:val="18"/>
                <w:szCs w:val="18"/>
              </w:rPr>
            </w:pPr>
            <w:r>
              <w:rPr>
                <w:noProof/>
                <w:color w:val="006100"/>
                <w:sz w:val="18"/>
                <w:szCs w:val="18"/>
              </w:rPr>
              <w:t>— Procesul de selecție pentru atingerea obiectivului stabilit de economisire a energiei primare;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Mecanismul de certificare pentru validarea economiilor efective de energie primară </w:t>
            </w:r>
            <w:r>
              <w:rPr>
                <w:noProof/>
                <w:color w:val="006100"/>
                <w:sz w:val="18"/>
                <w:szCs w:val="18"/>
              </w:rPr>
              <w:t>realizate (inclusiv detalii privind posibilele acțiuni corective pentru a asigura îndeplinirea obiectivului de economisire a energiei primare);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 Calendar.</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21</w:t>
            </w:r>
          </w:p>
        </w:tc>
        <w:tc>
          <w:tcPr>
            <w:tcW w:w="126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16872_renovare energetică a clădirilor rezidențiale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Renovare</w:t>
            </w:r>
            <w:r>
              <w:rPr>
                <w:noProof/>
                <w:color w:val="006100"/>
                <w:sz w:val="18"/>
                <w:szCs w:val="18"/>
              </w:rPr>
              <w:t xml:space="preserve"> rezidențială – a 2-a lansare, inclusiv a gospodăriilor afectate de sărăcia energetică</w:t>
            </w:r>
          </w:p>
        </w:tc>
        <w:tc>
          <w:tcPr>
            <w:tcW w:w="231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unei decizii ministeriale comune </w:t>
            </w:r>
          </w:p>
        </w:tc>
        <w:tc>
          <w:tcPr>
            <w:tcW w:w="11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2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66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unei decizii ministeriale comune de lansare a programului pentru a doua rundă de</w:t>
            </w:r>
            <w:r>
              <w:rPr>
                <w:noProof/>
                <w:color w:val="006100"/>
                <w:sz w:val="18"/>
                <w:szCs w:val="18"/>
              </w:rPr>
              <w:t xml:space="preserve"> renovări și lansarea programului pentru locuințele sărace din punct de vedere energetic, inclusiv instituirea unui proces de selecție pentru a se asigura că consumul de energie primară al locuințelor este redus cu cel puțin 30 % față de performanța iniția</w:t>
            </w:r>
            <w:r>
              <w:rPr>
                <w:noProof/>
                <w:color w:val="006100"/>
                <w:sz w:val="18"/>
                <w:szCs w:val="18"/>
              </w:rPr>
              <w:t>lă a locuinței calculată în kWh/m</w:t>
            </w:r>
            <w:r>
              <w:rPr>
                <w:noProof/>
                <w:color w:val="006100"/>
                <w:sz w:val="18"/>
                <w:szCs w:val="18"/>
                <w:vertAlign w:val="superscript"/>
              </w:rPr>
              <w:t>2</w:t>
            </w:r>
            <w:r>
              <w:rPr>
                <w:noProof/>
                <w:color w:val="006100"/>
                <w:sz w:val="18"/>
                <w:szCs w:val="18"/>
              </w:rPr>
              <w:t xml:space="preserve">.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Decizia ministerială comună stabilește:</w:t>
            </w:r>
          </w:p>
          <w:p w:rsidR="00780A28" w:rsidRDefault="001867D7">
            <w:pPr>
              <w:spacing w:after="0" w:line="240" w:lineRule="auto"/>
              <w:rPr>
                <w:rFonts w:eastAsia="Times New Roman" w:cs="Calibri"/>
                <w:noProof/>
                <w:color w:val="006100"/>
                <w:sz w:val="18"/>
                <w:szCs w:val="18"/>
              </w:rPr>
            </w:pPr>
            <w:r>
              <w:rPr>
                <w:noProof/>
                <w:color w:val="006100"/>
                <w:sz w:val="18"/>
                <w:szCs w:val="18"/>
              </w:rPr>
              <w:t>- Mecanismul de punere în aplicare</w:t>
            </w:r>
          </w:p>
          <w:p w:rsidR="00780A28" w:rsidRDefault="001867D7">
            <w:pPr>
              <w:spacing w:after="0" w:line="240" w:lineRule="auto"/>
              <w:rPr>
                <w:rFonts w:eastAsia="Times New Roman" w:cs="Calibri"/>
                <w:noProof/>
                <w:color w:val="006100"/>
                <w:sz w:val="18"/>
                <w:szCs w:val="18"/>
              </w:rPr>
            </w:pPr>
            <w:r>
              <w:rPr>
                <w:noProof/>
                <w:color w:val="006100"/>
                <w:sz w:val="18"/>
                <w:szCs w:val="18"/>
              </w:rPr>
              <w:t>— Procesul de selecție pentru atingerea obiectivului stabilit de economisire a energiei primare;</w:t>
            </w:r>
          </w:p>
          <w:p w:rsidR="00780A28" w:rsidRDefault="001867D7">
            <w:pPr>
              <w:spacing w:after="0" w:line="240" w:lineRule="auto"/>
              <w:rPr>
                <w:rFonts w:eastAsia="Times New Roman" w:cs="Calibri"/>
                <w:noProof/>
                <w:color w:val="006100"/>
                <w:sz w:val="18"/>
                <w:szCs w:val="18"/>
              </w:rPr>
            </w:pPr>
            <w:r>
              <w:rPr>
                <w:noProof/>
                <w:color w:val="006100"/>
                <w:sz w:val="18"/>
                <w:szCs w:val="18"/>
              </w:rPr>
              <w:t>— Dispoziții privind reședințele sărace din pu</w:t>
            </w:r>
            <w:r>
              <w:rPr>
                <w:noProof/>
                <w:color w:val="006100"/>
                <w:sz w:val="18"/>
                <w:szCs w:val="18"/>
              </w:rPr>
              <w:t>nct de vedere energetic, în conformitate cu criteriile stabilite în planul de acțiune privind sărăcia energetică adoptat, mecanismul de certificare pentru validarea economiilor efective de energie primară realizate (inclusiv detalii privind posibilele acți</w:t>
            </w:r>
            <w:r>
              <w:rPr>
                <w:noProof/>
                <w:color w:val="006100"/>
                <w:sz w:val="18"/>
                <w:szCs w:val="18"/>
              </w:rPr>
              <w:t>uni corective pentru a asigura îndeplinirea obiectivului privind economiile de energie primară);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 Calendar.</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Dispoziții specifice privind fondurile alocate pentru a viza locuințele sărace din punct de vedere energetic, astfel cum sunt definite î</w:t>
            </w:r>
            <w:r>
              <w:rPr>
                <w:noProof/>
                <w:color w:val="006100"/>
                <w:sz w:val="18"/>
                <w:szCs w:val="18"/>
              </w:rPr>
              <w:t xml:space="preserve">n criteriile planului de acțiune privind sărăcia energetică. </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22</w:t>
            </w:r>
          </w:p>
        </w:tc>
        <w:tc>
          <w:tcPr>
            <w:tcW w:w="126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16872_renovare energetică a clădirilor rezidențiale</w:t>
            </w:r>
          </w:p>
        </w:tc>
        <w:tc>
          <w:tcPr>
            <w:tcW w:w="96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Renovarea locuințelor — a 3-a rundă, inclusiv a gospodăriilor sărace din punct de vedere energetic</w:t>
            </w:r>
          </w:p>
        </w:tc>
        <w:tc>
          <w:tcPr>
            <w:tcW w:w="231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w:t>
            </w:r>
            <w:r>
              <w:rPr>
                <w:noProof/>
                <w:color w:val="006100"/>
                <w:sz w:val="18"/>
                <w:szCs w:val="18"/>
              </w:rPr>
              <w:t>vigoare a unei decizii ministeriale comune</w:t>
            </w:r>
          </w:p>
        </w:tc>
        <w:tc>
          <w:tcPr>
            <w:tcW w:w="1192"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820"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66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unei decizii ministeriale comune de lansare a programului pentru a treia rundă de renovări, inclusiv instituirea unui proces de selecție pentru a se asigura că consumul de energie </w:t>
            </w:r>
            <w:r>
              <w:rPr>
                <w:noProof/>
                <w:color w:val="006100"/>
                <w:sz w:val="18"/>
                <w:szCs w:val="18"/>
              </w:rPr>
              <w:t>primară al locuințelor este redus cu cel puțin 30 % față de performanța inițială a locuinței calculată în kWh/m</w:t>
            </w:r>
            <w:r>
              <w:rPr>
                <w:noProof/>
                <w:color w:val="006100"/>
                <w:sz w:val="18"/>
                <w:szCs w:val="18"/>
                <w:vertAlign w:val="superscript"/>
              </w:rPr>
              <w:t>2</w:t>
            </w:r>
            <w:r>
              <w:rPr>
                <w:noProof/>
                <w:color w:val="006100"/>
                <w:sz w:val="18"/>
                <w:szCs w:val="18"/>
              </w:rPr>
              <w:t>.</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Decizia ministerială comună stabilește:</w:t>
            </w:r>
          </w:p>
          <w:p w:rsidR="00780A28" w:rsidRDefault="001867D7">
            <w:pPr>
              <w:spacing w:after="0" w:line="240" w:lineRule="auto"/>
              <w:rPr>
                <w:rFonts w:eastAsia="Times New Roman" w:cs="Calibri"/>
                <w:noProof/>
                <w:color w:val="006100"/>
                <w:sz w:val="18"/>
                <w:szCs w:val="18"/>
              </w:rPr>
            </w:pPr>
            <w:r>
              <w:rPr>
                <w:noProof/>
                <w:color w:val="006100"/>
                <w:sz w:val="18"/>
                <w:szCs w:val="18"/>
              </w:rPr>
              <w:t>- Mecanismul de punere în aplicare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Procesul de selecție pentru atingerea obiectivului stabilit de economisire a energiei primare; </w:t>
            </w:r>
          </w:p>
          <w:p w:rsidR="00780A28" w:rsidRDefault="001867D7">
            <w:pPr>
              <w:spacing w:after="0" w:line="240" w:lineRule="auto"/>
              <w:rPr>
                <w:rFonts w:eastAsia="Times New Roman" w:cs="Calibri"/>
                <w:noProof/>
                <w:color w:val="006100"/>
                <w:sz w:val="18"/>
                <w:szCs w:val="18"/>
              </w:rPr>
            </w:pPr>
            <w:r>
              <w:rPr>
                <w:noProof/>
                <w:color w:val="006100"/>
                <w:sz w:val="18"/>
                <w:szCs w:val="18"/>
              </w:rPr>
              <w:t>— Dispoziții privind reședințele sărace din punct de vedere energetic, în conformitate cu criteriile stabilite în planul de acțiune adoptat privind sărăcia en</w:t>
            </w:r>
            <w:r>
              <w:rPr>
                <w:noProof/>
                <w:color w:val="006100"/>
                <w:sz w:val="18"/>
                <w:szCs w:val="18"/>
              </w:rPr>
              <w:t>ergetică;</w:t>
            </w:r>
          </w:p>
          <w:p w:rsidR="00780A28" w:rsidRDefault="001867D7">
            <w:pPr>
              <w:spacing w:after="0" w:line="240" w:lineRule="auto"/>
              <w:rPr>
                <w:rFonts w:eastAsia="Times New Roman" w:cs="Calibri"/>
                <w:noProof/>
                <w:color w:val="006100"/>
                <w:sz w:val="18"/>
                <w:szCs w:val="18"/>
              </w:rPr>
            </w:pPr>
            <w:r>
              <w:rPr>
                <w:noProof/>
                <w:color w:val="006100"/>
                <w:sz w:val="18"/>
                <w:szCs w:val="18"/>
              </w:rPr>
              <w:t>— Mecanismul de certificare pentru validarea economiilor efective de energie primară realizate (inclusiv detalii privind posibilele acțiuni corective pentru a asigura îndeplinirea obiectivului de economisire a energiei primare);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 Calen</w:t>
            </w:r>
            <w:r>
              <w:rPr>
                <w:noProof/>
                <w:color w:val="006100"/>
                <w:sz w:val="18"/>
                <w:szCs w:val="18"/>
              </w:rPr>
              <w:t>dar.</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Dispoziții specifice privind fondurile alocate pentru a viza locuințele sărace din punct de vedere energetic, astfel cum sunt definite în criteriile planului de acțiune privind sărăcia energetică.</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23</w:t>
            </w:r>
          </w:p>
        </w:tc>
        <w:tc>
          <w:tcPr>
            <w:tcW w:w="126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2 - 1.2. Renovare — 16872_renovare energetică a </w:t>
            </w:r>
            <w:r>
              <w:rPr>
                <w:noProof/>
                <w:color w:val="006100"/>
                <w:sz w:val="18"/>
                <w:szCs w:val="18"/>
              </w:rPr>
              <w:t>clădirilor rezidențiale</w:t>
            </w:r>
          </w:p>
        </w:tc>
        <w:tc>
          <w:tcPr>
            <w:tcW w:w="96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0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Renovare rezidențială — renovarea locuințelor #1</w:t>
            </w:r>
          </w:p>
        </w:tc>
        <w:tc>
          <w:tcPr>
            <w:tcW w:w="231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9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de renovări certificate finalizate </w:t>
            </w:r>
          </w:p>
        </w:tc>
        <w:tc>
          <w:tcPr>
            <w:tcW w:w="99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82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8 000</w:t>
            </w:r>
          </w:p>
        </w:tc>
        <w:tc>
          <w:tcPr>
            <w:tcW w:w="85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66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00FF"/>
                <w:sz w:val="18"/>
                <w:szCs w:val="18"/>
                <w:u w:val="single"/>
              </w:rPr>
            </w:pPr>
            <w:r>
              <w:rPr>
                <w:noProof/>
                <w:color w:val="006100"/>
                <w:sz w:val="18"/>
                <w:szCs w:val="18"/>
              </w:rPr>
              <w:t xml:space="preserve">Renovări pentru îmbunătățirea eficienței energetice finalizate pentru numărul de locuințe, echivalentul unei </w:t>
            </w:r>
            <w:r>
              <w:rPr>
                <w:noProof/>
                <w:color w:val="006100"/>
                <w:sz w:val="18"/>
                <w:szCs w:val="18"/>
              </w:rPr>
              <w:t xml:space="preserve">reduceri de energie de 30 ktep și cu economii de energie primară, în medie, de cel puțin 30 %. Certificarea emisă de Banca Elenă de Dezvoltare asigură verificarea economiilor de energie primară realizate, astfel cum au fost confirmate de Direcția Generală </w:t>
            </w:r>
            <w:r>
              <w:rPr>
                <w:noProof/>
                <w:color w:val="006100"/>
                <w:sz w:val="18"/>
                <w:szCs w:val="18"/>
              </w:rPr>
              <w:t>a Organismului Inspectorilor și Auditorilor. Certificatul se transmite pe platforma electronică</w:t>
            </w:r>
            <w:r>
              <w:rPr>
                <w:noProof/>
              </w:rPr>
              <w:t xml:space="preserve"> </w:t>
            </w:r>
            <w:hyperlink r:id="rId36" w:history="1">
              <w:r>
                <w:rPr>
                  <w:noProof/>
                  <w:color w:val="0000FF"/>
                  <w:sz w:val="18"/>
                  <w:szCs w:val="18"/>
                  <w:u w:val="single"/>
                </w:rPr>
                <w:t>https://www.buildingcert.gr/</w:t>
              </w:r>
            </w:hyperlink>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24</w:t>
            </w:r>
          </w:p>
        </w:tc>
        <w:tc>
          <w:tcPr>
            <w:tcW w:w="126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16872_renovare energetică a clădirilor rezidențiale</w:t>
            </w:r>
          </w:p>
        </w:tc>
        <w:tc>
          <w:tcPr>
            <w:tcW w:w="96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05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Renovare rezidențială — renovarea locuințelor #2</w:t>
            </w:r>
          </w:p>
        </w:tc>
        <w:tc>
          <w:tcPr>
            <w:tcW w:w="2311"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119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de renovări certificate finalizate </w:t>
            </w:r>
          </w:p>
          <w:p w:rsidR="00780A28" w:rsidRDefault="00780A28">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8 000</w:t>
            </w:r>
          </w:p>
        </w:tc>
        <w:tc>
          <w:tcPr>
            <w:tcW w:w="82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50 000 </w:t>
            </w:r>
          </w:p>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66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renovărilor pentru îmbunătățirea eficienței energetice finalizate pentru 50 000 de locuințe, echivalentul unei reduceri de </w:t>
            </w:r>
            <w:r>
              <w:rPr>
                <w:noProof/>
                <w:color w:val="006100"/>
                <w:sz w:val="18"/>
                <w:szCs w:val="18"/>
              </w:rPr>
              <w:t>energie de 125 ktep și cu economii de energie primară, în medie, de cel puțin 30 %.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Certificarea emisă de Banca Elenă de Dezvoltare asigură verificarea economiilor de energie primară realizate, astfel cum au fost confirmate de Direcția Generală a Organism</w:t>
            </w:r>
            <w:r>
              <w:rPr>
                <w:noProof/>
                <w:color w:val="006100"/>
                <w:sz w:val="18"/>
                <w:szCs w:val="18"/>
              </w:rPr>
              <w:t>ului Inspectorilor și Auditorilor. Certificatul se transmite pe platforma electronică</w:t>
            </w:r>
            <w:r>
              <w:rPr>
                <w:noProof/>
              </w:rPr>
              <w:t xml:space="preserve"> </w:t>
            </w:r>
            <w:hyperlink r:id="rId37" w:history="1">
              <w:r>
                <w:rPr>
                  <w:noProof/>
                  <w:color w:val="0000FF"/>
                  <w:sz w:val="18"/>
                  <w:szCs w:val="18"/>
                  <w:u w:val="single"/>
                </w:rPr>
                <w:t>https://www.buildingcert.gr/</w:t>
              </w:r>
            </w:hyperlink>
          </w:p>
        </w:tc>
      </w:tr>
      <w:tr w:rsidR="00780A28">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w:t>
            </w:r>
          </w:p>
        </w:tc>
        <w:tc>
          <w:tcPr>
            <w:tcW w:w="12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16872_renovare energetică a clădirilor rezidențiale</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05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Renovare </w:t>
            </w:r>
            <w:r>
              <w:rPr>
                <w:noProof/>
                <w:color w:val="006100"/>
                <w:sz w:val="18"/>
                <w:szCs w:val="18"/>
              </w:rPr>
              <w:t>rezidențială — renovarea locuințelor pentru gospodăriile sărace din punct de vedere energetic</w:t>
            </w:r>
          </w:p>
        </w:tc>
        <w:tc>
          <w:tcPr>
            <w:tcW w:w="231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gospodării certificate afectate de sărăcie energetică pentru care au fost finalizate intervențiile</w:t>
            </w:r>
          </w:p>
          <w:p w:rsidR="00780A28" w:rsidRDefault="00780A28">
            <w:pPr>
              <w:spacing w:after="0" w:line="240" w:lineRule="auto"/>
              <w:rPr>
                <w:rFonts w:eastAsia="Times New Roman" w:cs="Calibri"/>
                <w:noProof/>
                <w:color w:val="006100"/>
                <w:sz w:val="18"/>
                <w:szCs w:val="18"/>
                <w:lang w:eastAsia="en-GB"/>
              </w:rPr>
            </w:pPr>
          </w:p>
        </w:tc>
        <w:tc>
          <w:tcPr>
            <w:tcW w:w="99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82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50 000</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66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intervențiilor pentru</w:t>
            </w:r>
            <w:r>
              <w:rPr>
                <w:noProof/>
                <w:color w:val="006100"/>
                <w:sz w:val="18"/>
                <w:szCs w:val="18"/>
              </w:rPr>
              <w:t xml:space="preserve"> a realiza economii de energie pentru cel puțin 50 000 de gospodării sărace din punct de vedere energetic echivalente cu economiile de energie primară, în medie, de cel puțin 30 % pentru întreaga investiție.</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Certificarea emisă de Banca Elenă de Dezvoltare</w:t>
            </w:r>
            <w:r>
              <w:rPr>
                <w:noProof/>
                <w:color w:val="006100"/>
                <w:sz w:val="18"/>
                <w:szCs w:val="18"/>
              </w:rPr>
              <w:t xml:space="preserve"> asigură verificarea economiilor de energie primară realizate, astfel cum au fost confirmate de Direcția Generală a Organismului Inspectorilor și Auditorilor. Certificatul se transmite pe platforma electronică https://www.buildingcert.gr/.</w:t>
            </w:r>
          </w:p>
        </w:tc>
      </w:tr>
      <w:tr w:rsidR="00780A28">
        <w:trPr>
          <w:trHeight w:val="3914"/>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26</w:t>
            </w:r>
          </w:p>
        </w:tc>
        <w:tc>
          <w:tcPr>
            <w:tcW w:w="12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2 - 1.2. </w:t>
            </w:r>
            <w:r>
              <w:rPr>
                <w:noProof/>
                <w:color w:val="006100"/>
                <w:sz w:val="18"/>
                <w:szCs w:val="18"/>
              </w:rPr>
              <w:t>Renovare — 16872_renovare energetică a clădirilor rezidențiale</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05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Renovare rezidențială — renovarea locuințelor #3</w:t>
            </w:r>
          </w:p>
        </w:tc>
        <w:tc>
          <w:tcPr>
            <w:tcW w:w="231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renovări certificate finalizate</w:t>
            </w:r>
          </w:p>
        </w:tc>
        <w:tc>
          <w:tcPr>
            <w:tcW w:w="99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50 000</w:t>
            </w:r>
          </w:p>
        </w:tc>
        <w:tc>
          <w:tcPr>
            <w:tcW w:w="82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105 000</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66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renovărilor pentru îmbunătățirea eficienței energetice </w:t>
            </w:r>
            <w:r>
              <w:rPr>
                <w:noProof/>
                <w:color w:val="006100"/>
                <w:sz w:val="18"/>
                <w:szCs w:val="18"/>
              </w:rPr>
              <w:t>finalizate pentru 105 000 de locuințe, echivalentul unei reduceri de energie de 213 ktep și cu economii de energie primară, în medie, de cel puțin 30 %.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Certificarea emisă de Banca Elenă de Dezvoltare va permite verificarea economiilor de energie primară </w:t>
            </w:r>
            <w:r>
              <w:rPr>
                <w:noProof/>
                <w:color w:val="006100"/>
                <w:sz w:val="18"/>
                <w:szCs w:val="18"/>
              </w:rPr>
              <w:t>realizate, astfel cum a fost confirmat de Direcția Generală a Organismului Inspectorilor și Auditorilor. Certificatul se transmite pe platforma electronică</w:t>
            </w:r>
            <w:r>
              <w:rPr>
                <w:noProof/>
              </w:rPr>
              <w:t xml:space="preserve"> </w:t>
            </w:r>
            <w:hyperlink r:id="rId38" w:history="1">
              <w:r>
                <w:rPr>
                  <w:rStyle w:val="Hyperlink"/>
                  <w:noProof/>
                  <w:sz w:val="18"/>
                  <w:szCs w:val="18"/>
                </w:rPr>
                <w:t>https://www.buildingcert.gr/</w:t>
              </w:r>
            </w:hyperlink>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Reforma esențială 2: </w:t>
      </w:r>
      <w:r>
        <w:rPr>
          <w:rFonts w:ascii="Cambria" w:hAnsi="Cambria"/>
          <w:noProof/>
          <w:color w:val="365F91"/>
          <w:sz w:val="24"/>
        </w:rPr>
        <w:t>Planuri urbane</w:t>
      </w:r>
    </w:p>
    <w:tbl>
      <w:tblPr>
        <w:tblpPr w:leftFromText="180" w:rightFromText="180" w:vertAnchor="text" w:tblpX="113" w:tblpY="1"/>
        <w:tblOverlap w:val="never"/>
        <w:tblW w:w="15615" w:type="dxa"/>
        <w:tblLook w:val="04A0" w:firstRow="1" w:lastRow="0" w:firstColumn="1" w:lastColumn="0" w:noHBand="0" w:noVBand="1"/>
      </w:tblPr>
      <w:tblGrid>
        <w:gridCol w:w="1026"/>
        <w:gridCol w:w="1917"/>
        <w:gridCol w:w="1107"/>
        <w:gridCol w:w="1120"/>
        <w:gridCol w:w="1440"/>
        <w:gridCol w:w="1125"/>
        <w:gridCol w:w="1281"/>
        <w:gridCol w:w="866"/>
        <w:gridCol w:w="881"/>
        <w:gridCol w:w="735"/>
        <w:gridCol w:w="4450"/>
      </w:tblGrid>
      <w:tr w:rsidR="00780A28">
        <w:trPr>
          <w:trHeight w:val="939"/>
          <w:tblHeader/>
        </w:trPr>
        <w:tc>
          <w:tcPr>
            <w:tcW w:w="10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120"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3111"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558"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4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Descrierea fiecărui jalon și a </w:t>
            </w:r>
            <w:r>
              <w:rPr>
                <w:rFonts w:ascii="Times New Roman" w:hAnsi="Times New Roman"/>
                <w:b/>
                <w:bCs/>
                <w:noProof/>
                <w:sz w:val="18"/>
                <w:szCs w:val="18"/>
              </w:rPr>
              <w:t>fiecărei ținte</w:t>
            </w:r>
          </w:p>
        </w:tc>
      </w:tr>
      <w:tr w:rsidR="00780A28">
        <w:trPr>
          <w:trHeight w:val="1027"/>
          <w:tblHeader/>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20"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25"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1281"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705"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49"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450"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tblHeader/>
        </w:trPr>
        <w:tc>
          <w:tcPr>
            <w:tcW w:w="102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27</w:t>
            </w:r>
          </w:p>
        </w:tc>
        <w:tc>
          <w:tcPr>
            <w:tcW w:w="19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16879_Pregătirea planurilor urbane în punerea în aplicare a reformei politicii urbane</w:t>
            </w: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2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Premiul pentru planuri urbane</w:t>
            </w:r>
          </w:p>
        </w:tc>
        <w:tc>
          <w:tcPr>
            <w:tcW w:w="144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112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28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4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a 30 % din totalul contractelor (pentru toate intervențiile): </w:t>
            </w:r>
          </w:p>
          <w:p w:rsidR="00780A28" w:rsidRDefault="001867D7">
            <w:pPr>
              <w:spacing w:after="0" w:line="240" w:lineRule="auto"/>
              <w:rPr>
                <w:rFonts w:eastAsia="Times New Roman" w:cs="Calibri"/>
                <w:noProof/>
                <w:color w:val="006100"/>
                <w:sz w:val="18"/>
                <w:szCs w:val="18"/>
              </w:rPr>
            </w:pPr>
            <w:r>
              <w:rPr>
                <w:noProof/>
                <w:color w:val="006100"/>
                <w:sz w:val="18"/>
                <w:szCs w:val="18"/>
              </w:rPr>
              <w:t>1. pregătirea planurilor urbane locale;</w:t>
            </w:r>
          </w:p>
          <w:p w:rsidR="00780A28" w:rsidRDefault="001867D7">
            <w:pPr>
              <w:spacing w:after="0" w:line="240" w:lineRule="auto"/>
              <w:rPr>
                <w:rFonts w:eastAsia="Times New Roman" w:cs="Calibri"/>
                <w:noProof/>
                <w:color w:val="006100"/>
                <w:sz w:val="18"/>
                <w:szCs w:val="18"/>
              </w:rPr>
            </w:pPr>
            <w:r>
              <w:rPr>
                <w:noProof/>
                <w:color w:val="006100"/>
                <w:sz w:val="18"/>
                <w:szCs w:val="18"/>
              </w:rPr>
              <w:t>2. pregătirea planurilor urbane speciale;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3. pregătirea unor planuri independente pentru definirea zonelor de transfer al </w:t>
            </w:r>
            <w:r>
              <w:rPr>
                <w:noProof/>
                <w:color w:val="006100"/>
                <w:sz w:val="18"/>
                <w:szCs w:val="18"/>
              </w:rPr>
              <w:t>drepturilor de dezvoltare;</w:t>
            </w:r>
          </w:p>
          <w:p w:rsidR="00780A28" w:rsidRDefault="001867D7">
            <w:pPr>
              <w:spacing w:after="0" w:line="240" w:lineRule="auto"/>
              <w:rPr>
                <w:rFonts w:eastAsia="Times New Roman" w:cs="Calibri"/>
                <w:noProof/>
                <w:color w:val="006100"/>
                <w:sz w:val="18"/>
                <w:szCs w:val="18"/>
              </w:rPr>
            </w:pPr>
            <w:r>
              <w:rPr>
                <w:noProof/>
                <w:color w:val="006100"/>
                <w:sz w:val="18"/>
                <w:szCs w:val="18"/>
              </w:rPr>
              <w:t>4. pregătirea unor planuri independente pentru livrarea deconturilor;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5. elaborarea unor planuri independente pentru caracterizarea drumurilor municipale.</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Planuri urbane locale care să includă un capitol dedicat măsuri</w:t>
            </w:r>
            <w:r>
              <w:rPr>
                <w:noProof/>
                <w:color w:val="006100"/>
                <w:sz w:val="18"/>
                <w:szCs w:val="18"/>
              </w:rPr>
              <w:t>lor legate de schimbările climatice și prevenirii și gestionării riscurilor legate de schimbările climatice);</w:t>
            </w:r>
          </w:p>
          <w:p w:rsidR="00780A28" w:rsidRDefault="00780A28">
            <w:pPr>
              <w:spacing w:after="0" w:line="240" w:lineRule="auto"/>
              <w:rPr>
                <w:rFonts w:eastAsia="Times New Roman" w:cs="Calibri"/>
                <w:noProof/>
                <w:color w:val="006100"/>
                <w:sz w:val="18"/>
                <w:szCs w:val="18"/>
                <w:lang w:eastAsia="en-GB"/>
              </w:rPr>
            </w:pPr>
          </w:p>
        </w:tc>
      </w:tr>
      <w:tr w:rsidR="00780A28">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w:t>
            </w:r>
          </w:p>
        </w:tc>
        <w:tc>
          <w:tcPr>
            <w:tcW w:w="1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16879_Pregătirea planurilor urbane în punerea în aplicare a reformei politicii urbane</w:t>
            </w:r>
          </w:p>
        </w:tc>
        <w:tc>
          <w:tcPr>
            <w:tcW w:w="9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Premiul pentru planuri urbane</w:t>
            </w:r>
          </w:p>
        </w:tc>
        <w:tc>
          <w:tcPr>
            <w:tcW w:w="144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112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28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4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a 100 % din totalul contractelor (pentru toate intervențiile):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 pregătirea planurilor urbane locale; </w:t>
            </w:r>
          </w:p>
          <w:p w:rsidR="00780A28" w:rsidRDefault="001867D7">
            <w:pPr>
              <w:spacing w:after="0" w:line="240" w:lineRule="auto"/>
              <w:rPr>
                <w:rFonts w:eastAsia="Times New Roman" w:cs="Calibri"/>
                <w:noProof/>
                <w:color w:val="006100"/>
                <w:sz w:val="18"/>
                <w:szCs w:val="18"/>
              </w:rPr>
            </w:pPr>
            <w:r>
              <w:rPr>
                <w:noProof/>
                <w:color w:val="006100"/>
                <w:sz w:val="18"/>
                <w:szCs w:val="18"/>
              </w:rPr>
              <w:t>2. pregătirea planurilor urbane speciale;</w:t>
            </w:r>
          </w:p>
          <w:p w:rsidR="00780A28" w:rsidRDefault="001867D7">
            <w:pPr>
              <w:spacing w:after="0" w:line="240" w:lineRule="auto"/>
              <w:rPr>
                <w:rFonts w:eastAsia="Times New Roman" w:cs="Calibri"/>
                <w:noProof/>
                <w:color w:val="006100"/>
                <w:sz w:val="18"/>
                <w:szCs w:val="18"/>
              </w:rPr>
            </w:pPr>
            <w:r>
              <w:rPr>
                <w:noProof/>
                <w:color w:val="006100"/>
                <w:sz w:val="18"/>
                <w:szCs w:val="18"/>
              </w:rPr>
              <w:t>3. pregătirea unor planuri independent</w:t>
            </w:r>
            <w:r>
              <w:rPr>
                <w:noProof/>
                <w:color w:val="006100"/>
                <w:sz w:val="18"/>
                <w:szCs w:val="18"/>
              </w:rPr>
              <w:t>e pentru definirea zonelor de transfer al drepturilor de dezvoltare;</w:t>
            </w:r>
          </w:p>
          <w:p w:rsidR="00780A28" w:rsidRDefault="001867D7">
            <w:pPr>
              <w:spacing w:after="0" w:line="240" w:lineRule="auto"/>
              <w:rPr>
                <w:rFonts w:eastAsia="Times New Roman" w:cs="Calibri"/>
                <w:noProof/>
                <w:color w:val="006100"/>
                <w:sz w:val="18"/>
                <w:szCs w:val="18"/>
              </w:rPr>
            </w:pPr>
            <w:r>
              <w:rPr>
                <w:noProof/>
                <w:color w:val="006100"/>
                <w:sz w:val="18"/>
                <w:szCs w:val="18"/>
              </w:rPr>
              <w:t>4. pregătirea unor planuri independente pentru livrarea deconturilor;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5. elaborarea unor planuri independente pentru caracterizarea drumurilor municipale.</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Acțiunile vizează în </w:t>
            </w:r>
            <w:r>
              <w:rPr>
                <w:noProof/>
                <w:color w:val="006100"/>
                <w:sz w:val="18"/>
                <w:szCs w:val="18"/>
              </w:rPr>
              <w:t>total 750 de unități municipale. Planuri urbane locale care să includă un capitol dedicat măsurilor legate de schimbările climatice și prevenirii și gestionării riscurilor legate de schimbările climatice);</w:t>
            </w:r>
          </w:p>
        </w:tc>
      </w:tr>
      <w:tr w:rsidR="00780A28">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29</w:t>
            </w:r>
          </w:p>
        </w:tc>
        <w:tc>
          <w:tcPr>
            <w:tcW w:w="1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2 - 1.2. Renovare — 16879_Pregătirea </w:t>
            </w:r>
            <w:r>
              <w:rPr>
                <w:noProof/>
                <w:color w:val="006100"/>
                <w:sz w:val="18"/>
                <w:szCs w:val="18"/>
              </w:rPr>
              <w:t>planurilor urbane în punerea în aplicare a reformei politicii urbane</w:t>
            </w:r>
          </w:p>
        </w:tc>
        <w:tc>
          <w:tcPr>
            <w:tcW w:w="9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1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planificării urbane</w:t>
            </w:r>
          </w:p>
        </w:tc>
        <w:tc>
          <w:tcPr>
            <w:tcW w:w="144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unități municipale pentru care proiectele au fost finalizate</w:t>
            </w:r>
          </w:p>
        </w:tc>
        <w:tc>
          <w:tcPr>
            <w:tcW w:w="128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7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750</w:t>
            </w:r>
          </w:p>
        </w:tc>
        <w:tc>
          <w:tcPr>
            <w:tcW w:w="84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4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planurilor urbane locale în 700 de unități </w:t>
            </w:r>
            <w:r>
              <w:rPr>
                <w:noProof/>
                <w:color w:val="006100"/>
                <w:sz w:val="18"/>
                <w:szCs w:val="18"/>
              </w:rPr>
              <w:t>municipale, dezvoltarea unor zone de transfer al drepturilor în 50 de unități municipale; delimitarea așezărilor în 50 unități municipale; și caracterizarea drumurilor municipale în 120 de unități municipale și finalizarea a 5 planuri urbane speciale. În t</w:t>
            </w:r>
            <w:r>
              <w:rPr>
                <w:noProof/>
                <w:color w:val="006100"/>
                <w:sz w:val="18"/>
                <w:szCs w:val="18"/>
              </w:rPr>
              <w:t>otal și având în vedere că unele dintre aceste acțiuni se desfășoară în aceeași unitate municipală, acțiunile vor fi finalizate în 750 unități municipale.</w:t>
            </w:r>
          </w:p>
        </w:tc>
      </w:tr>
      <w:tr w:rsidR="00780A28">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w:t>
            </w:r>
          </w:p>
        </w:tc>
        <w:tc>
          <w:tcPr>
            <w:tcW w:w="1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2 - 1.2. Renovare — 16894_Stabilirea unei noi amenajări speciale a teritoriului pentru ESR, </w:t>
            </w:r>
            <w:r>
              <w:rPr>
                <w:noProof/>
                <w:color w:val="006100"/>
                <w:sz w:val="18"/>
                <w:szCs w:val="18"/>
              </w:rPr>
              <w:t>industrie, turism și acvacultură</w:t>
            </w:r>
          </w:p>
        </w:tc>
        <w:tc>
          <w:tcPr>
            <w:tcW w:w="9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Jalon</w:t>
            </w:r>
          </w:p>
        </w:tc>
        <w:tc>
          <w:tcPr>
            <w:tcW w:w="11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Adoptarea unor cadre spațiale speciale</w:t>
            </w:r>
          </w:p>
        </w:tc>
        <w:tc>
          <w:tcPr>
            <w:tcW w:w="144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Adoptarea a patru cadre spațiale speciale pentru sursele regenerabile de energie (SRE), turism, industrie și acvacultură</w:t>
            </w:r>
          </w:p>
        </w:tc>
        <w:tc>
          <w:tcPr>
            <w:tcW w:w="112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28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4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Adoptarea de către Ministerul Mediului a </w:t>
            </w:r>
            <w:r>
              <w:rPr>
                <w:noProof/>
                <w:color w:val="006100"/>
                <w:sz w:val="18"/>
                <w:szCs w:val="18"/>
              </w:rPr>
              <w:t>patru cadre spațiale speciale pentru sursele regenerabile de energie (SRE), turism, industrie, acvacultură.</w:t>
            </w:r>
          </w:p>
        </w:tc>
      </w:tr>
      <w:tr w:rsidR="00780A28">
        <w:trPr>
          <w:trHeight w:val="313"/>
          <w:tblHeader/>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31</w:t>
            </w:r>
          </w:p>
        </w:tc>
        <w:tc>
          <w:tcPr>
            <w:tcW w:w="1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16891_Stabilirea unei noi amenajări a spațiului maritim</w:t>
            </w:r>
          </w:p>
        </w:tc>
        <w:tc>
          <w:tcPr>
            <w:tcW w:w="9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p w:rsidR="00780A28" w:rsidRDefault="00780A28">
            <w:pPr>
              <w:spacing w:after="0" w:line="240" w:lineRule="auto"/>
              <w:rPr>
                <w:rFonts w:eastAsia="Times New Roman" w:cs="Calibri"/>
                <w:noProof/>
                <w:color w:val="006100"/>
                <w:sz w:val="18"/>
                <w:szCs w:val="18"/>
                <w:lang w:eastAsia="en-GB"/>
              </w:rPr>
            </w:pPr>
          </w:p>
        </w:tc>
        <w:tc>
          <w:tcPr>
            <w:tcW w:w="11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Adoptarea strategiei maritime</w:t>
            </w:r>
          </w:p>
        </w:tc>
        <w:tc>
          <w:tcPr>
            <w:tcW w:w="144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Adoptarea unei noi strategii </w:t>
            </w:r>
            <w:r>
              <w:rPr>
                <w:noProof/>
                <w:color w:val="006100"/>
                <w:sz w:val="18"/>
                <w:szCs w:val="18"/>
              </w:rPr>
              <w:t>privind spațiul maritim</w:t>
            </w:r>
          </w:p>
        </w:tc>
        <w:tc>
          <w:tcPr>
            <w:tcW w:w="112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28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4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Adoptarea de către Ministerul Mediului și Energiei a strategiei spațiale maritime. </w:t>
            </w:r>
          </w:p>
        </w:tc>
      </w:tr>
    </w:tbl>
    <w:p w:rsidR="00780A28" w:rsidRDefault="00780A28">
      <w:pPr>
        <w:spacing w:before="120" w:after="120" w:line="240" w:lineRule="auto"/>
        <w:ind w:left="709"/>
        <w:rPr>
          <w:rFonts w:ascii="Times New Roman" w:hAnsi="Times New Roman" w:cs="Times New Roman"/>
          <w:noProof/>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2: Renovarea energetică a întreprinderilor și a clădirilor publice</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Măsurile incluse în acest grup sunt:</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Energie și </w:t>
      </w:r>
      <w:r>
        <w:rPr>
          <w:rFonts w:ascii="Times New Roman" w:hAnsi="Times New Roman"/>
          <w:noProof/>
          <w:sz w:val="24"/>
        </w:rPr>
        <w:t>antreprenoriat (ID: 16874)</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Modernizarea energetică a clădirilor din sectorul public și a infrastructurii energetice a entităților publice (ID: 16876)</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Planul de acțiune privind sărăcia energetică (ID: 16920)</w:t>
      </w:r>
    </w:p>
    <w:tbl>
      <w:tblPr>
        <w:tblpPr w:leftFromText="180" w:rightFromText="180" w:vertAnchor="text" w:tblpX="113" w:tblpY="1"/>
        <w:tblOverlap w:val="never"/>
        <w:tblW w:w="15417" w:type="dxa"/>
        <w:tblLayout w:type="fixed"/>
        <w:tblLook w:val="04A0" w:firstRow="1" w:lastRow="0" w:firstColumn="1" w:lastColumn="0" w:noHBand="0" w:noVBand="1"/>
      </w:tblPr>
      <w:tblGrid>
        <w:gridCol w:w="959"/>
        <w:gridCol w:w="1815"/>
        <w:gridCol w:w="1020"/>
        <w:gridCol w:w="1134"/>
        <w:gridCol w:w="1417"/>
        <w:gridCol w:w="1091"/>
        <w:gridCol w:w="999"/>
        <w:gridCol w:w="985"/>
        <w:gridCol w:w="894"/>
        <w:gridCol w:w="709"/>
        <w:gridCol w:w="4394"/>
      </w:tblGrid>
      <w:tr w:rsidR="00780A28">
        <w:trPr>
          <w:trHeight w:val="939"/>
          <w:tblHeader/>
        </w:trPr>
        <w:tc>
          <w:tcPr>
            <w:tcW w:w="9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81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Măsură conexă (reformă sau </w:t>
            </w:r>
            <w:r>
              <w:rPr>
                <w:rFonts w:ascii="Times New Roman" w:hAnsi="Times New Roman"/>
                <w:b/>
                <w:bCs/>
                <w:noProof/>
                <w:sz w:val="18"/>
                <w:szCs w:val="18"/>
              </w:rPr>
              <w:t>investiție)</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134"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3075"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603"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394"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815"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9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9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985"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94"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0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394"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32</w:t>
            </w:r>
          </w:p>
        </w:tc>
        <w:tc>
          <w:tcPr>
            <w:tcW w:w="18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16920_Plan de acțiune privind sărăcia energetică</w:t>
            </w:r>
          </w:p>
        </w:tc>
        <w:tc>
          <w:tcPr>
            <w:tcW w:w="10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Sărăcia energetică – adoptarea planului de acțiune</w:t>
            </w:r>
          </w:p>
          <w:p w:rsidR="00780A28" w:rsidRDefault="00780A28">
            <w:pPr>
              <w:spacing w:after="0" w:line="240" w:lineRule="auto"/>
              <w:rPr>
                <w:rFonts w:eastAsia="Times New Roman" w:cs="Calibri"/>
                <w:noProof/>
                <w:color w:val="006100"/>
                <w:sz w:val="18"/>
                <w:szCs w:val="18"/>
                <w:lang w:eastAsia="en-GB"/>
              </w:rPr>
            </w:pPr>
          </w:p>
        </w:tc>
        <w:tc>
          <w:tcPr>
            <w:tcW w:w="14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unei decizii ministeriale de către Ministerul Mediului și Energiei.</w:t>
            </w:r>
          </w:p>
        </w:tc>
        <w:tc>
          <w:tcPr>
            <w:tcW w:w="109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8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43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unei decizii ministeriale a Ministerului Mediului și Energiei de adoptare a Planului de acțiune privind sărăcia energetică, cu trei categorii de măsuri de politică în cadrul planului:</w:t>
            </w:r>
          </w:p>
          <w:p w:rsidR="00780A28" w:rsidRDefault="001867D7">
            <w:pPr>
              <w:spacing w:after="0" w:line="240" w:lineRule="auto"/>
              <w:rPr>
                <w:rFonts w:eastAsia="Times New Roman" w:cs="Calibri"/>
                <w:noProof/>
                <w:color w:val="006100"/>
                <w:sz w:val="18"/>
                <w:szCs w:val="18"/>
              </w:rPr>
            </w:pPr>
            <w:r>
              <w:rPr>
                <w:noProof/>
                <w:color w:val="006100"/>
                <w:sz w:val="18"/>
                <w:szCs w:val="18"/>
              </w:rPr>
              <w:t>— Măsuri de sensibilizare și informare;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Măsuri </w:t>
            </w:r>
            <w:r>
              <w:rPr>
                <w:noProof/>
                <w:color w:val="006100"/>
                <w:sz w:val="18"/>
                <w:szCs w:val="18"/>
              </w:rPr>
              <w:t>pentru protecția pe termen scurt a gospodăriilor afectate de sărăcia energetică, inclusiv (1) definirea gospodăriilor care se confruntă cu sărăcia energetică, prin criterii cantitative specifice și (2) un proces specific de monitorizare și evaluare a evolu</w:t>
            </w:r>
            <w:r>
              <w:rPr>
                <w:noProof/>
                <w:color w:val="006100"/>
                <w:sz w:val="18"/>
                <w:szCs w:val="18"/>
              </w:rPr>
              <w:t>ț</w:t>
            </w:r>
            <w:r>
              <w:rPr>
                <w:noProof/>
                <w:color w:val="006100"/>
                <w:sz w:val="18"/>
                <w:szCs w:val="18"/>
              </w:rPr>
              <w:t>iei sărăciei energetice, în conformitate cu mecanismul propus în cadrul planului de acțiune și în conformitate cu legislația relevantă a UE;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Măsuri de finanțare: instituirea unor mecanisme de finanțare pentru modernizarea energetică a </w:t>
            </w:r>
            <w:r>
              <w:rPr>
                <w:noProof/>
                <w:color w:val="006100"/>
                <w:sz w:val="18"/>
                <w:szCs w:val="18"/>
              </w:rPr>
              <w:t>clădirilor rezidențiale ale gospodăriilor vulnerabile din punct de vedere energetic și ale altor grupuri sociale cu modele specifice de consum de energie electrică. Aceste măsuri financiare abordează problemele legate de sărăcia energetică din Grecia, astf</w:t>
            </w:r>
            <w:r>
              <w:rPr>
                <w:noProof/>
                <w:color w:val="006100"/>
                <w:sz w:val="18"/>
                <w:szCs w:val="18"/>
              </w:rPr>
              <w:t>el cum sunt descrise în Planul național privind energia și clima (PNEC).</w:t>
            </w:r>
          </w:p>
        </w:tc>
      </w:tr>
      <w:tr w:rsidR="00780A28">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33</w:t>
            </w:r>
          </w:p>
        </w:tc>
        <w:tc>
          <w:tcPr>
            <w:tcW w:w="18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16874_Energie și antreprenoriat</w:t>
            </w:r>
          </w:p>
        </w:tc>
        <w:tc>
          <w:tcPr>
            <w:tcW w:w="10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Eficiența energetică în sectorul privat — cereri aprobate</w:t>
            </w:r>
          </w:p>
        </w:tc>
        <w:tc>
          <w:tcPr>
            <w:tcW w:w="14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de către Ministerul Mediului și Energiei a </w:t>
            </w:r>
            <w:r>
              <w:rPr>
                <w:noProof/>
                <w:color w:val="006100"/>
                <w:sz w:val="18"/>
                <w:szCs w:val="18"/>
              </w:rPr>
              <w:t>premiilor pentru cererile aprobate privind anumite intervenții la entități din sectorul privat.</w:t>
            </w:r>
          </w:p>
        </w:tc>
        <w:tc>
          <w:tcPr>
            <w:tcW w:w="109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8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3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Aprobarea de către Ministerul Mediului și Energiei a aplicațiilor a 9 700 entități din sectorul privat care asigură reducerea emisiilor de gaze cu ef</w:t>
            </w:r>
            <w:r>
              <w:rPr>
                <w:noProof/>
                <w:color w:val="006100"/>
                <w:sz w:val="18"/>
                <w:szCs w:val="18"/>
              </w:rPr>
              <w:t>ect de seră (GES), în medie, cu cel puțin 30 % comparativ cu situația existentă a entităților din sectorul privat (astfel cum se indică în auditurile energetice efectuate înainte de intervenții). Intervențiile se efectuează în conformitate cu criteriile de</w:t>
            </w:r>
            <w:r>
              <w:rPr>
                <w:noProof/>
                <w:color w:val="006100"/>
                <w:sz w:val="18"/>
                <w:szCs w:val="18"/>
              </w:rPr>
              <w:t xml:space="preserve"> selecție/eligibilitate și se asigură că proiectele selectate sunt conforme cu Orientările tehnice bazate pe principiul de „a nu aduce prejudicii semnificative” (2021/C58/01), prin utilizarea unei liste de excludere și a cerinței de conformitate cu legisla</w:t>
            </w:r>
            <w:r>
              <w:rPr>
                <w:noProof/>
                <w:color w:val="006100"/>
                <w:sz w:val="18"/>
                <w:szCs w:val="18"/>
              </w:rPr>
              <w:t>ț</w:t>
            </w:r>
            <w:r>
              <w:rPr>
                <w:noProof/>
                <w:color w:val="006100"/>
                <w:sz w:val="18"/>
                <w:szCs w:val="18"/>
              </w:rPr>
              <w:t>ia UE și națională relevantă în materie de mediu.</w:t>
            </w:r>
          </w:p>
        </w:tc>
      </w:tr>
      <w:tr w:rsidR="00780A28">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34</w:t>
            </w:r>
          </w:p>
        </w:tc>
        <w:tc>
          <w:tcPr>
            <w:tcW w:w="18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2 - 1.2. Renovare — 16876_Modernizarea energetică a clădirilor din sectorul public </w:t>
            </w:r>
          </w:p>
        </w:tc>
        <w:tc>
          <w:tcPr>
            <w:tcW w:w="10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Clădiri publice eficiente din punct de vedere energetic — cereri aprobate</w:t>
            </w:r>
          </w:p>
        </w:tc>
        <w:tc>
          <w:tcPr>
            <w:tcW w:w="14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de către Ministerul </w:t>
            </w:r>
            <w:r>
              <w:rPr>
                <w:noProof/>
                <w:color w:val="006100"/>
                <w:sz w:val="18"/>
                <w:szCs w:val="18"/>
              </w:rPr>
              <w:t>Mediului și Energiei a premiilor pentru cererile aprobate privind intervențiile selectate în clădirile din sectorul public.</w:t>
            </w:r>
          </w:p>
        </w:tc>
        <w:tc>
          <w:tcPr>
            <w:tcW w:w="109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8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3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Aprobarea de către Ministerul Mediului și Energiei a aplicațiilor pentru 210 clădiri din sectorul public, asigurându-se c</w:t>
            </w:r>
            <w:r>
              <w:rPr>
                <w:noProof/>
                <w:color w:val="006100"/>
                <w:sz w:val="18"/>
                <w:szCs w:val="18"/>
              </w:rPr>
              <w:t xml:space="preserve">ă emisiile de GES ale acestor clădiri respective sunt reduse, în medie, cu cel puțin 30 % comparativ cu situația lor existentă (astfel cum se indică în auditurile energetice efectuate înainte de intervenții). </w:t>
            </w:r>
          </w:p>
          <w:p w:rsidR="00780A28" w:rsidRDefault="001867D7">
            <w:pPr>
              <w:spacing w:after="0" w:line="240" w:lineRule="auto"/>
              <w:rPr>
                <w:rFonts w:eastAsia="Times New Roman" w:cs="Calibri"/>
                <w:noProof/>
                <w:color w:val="006100"/>
                <w:sz w:val="18"/>
                <w:szCs w:val="18"/>
              </w:rPr>
            </w:pPr>
            <w:r>
              <w:rPr>
                <w:noProof/>
                <w:color w:val="006100"/>
                <w:sz w:val="18"/>
                <w:szCs w:val="18"/>
                <w:highlight w:val="magenta"/>
              </w:rPr>
              <w:t xml:space="preserve">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Pentru programul „Modernizarea energetică a </w:t>
            </w:r>
            <w:r>
              <w:rPr>
                <w:noProof/>
                <w:color w:val="006100"/>
                <w:sz w:val="18"/>
                <w:szCs w:val="18"/>
              </w:rPr>
              <w:t>clădirilor din sectorul public”, a fost instituit cadrul juridic care să permită contractele de performanță energetică.</w:t>
            </w:r>
          </w:p>
        </w:tc>
      </w:tr>
      <w:tr w:rsidR="00780A28">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35</w:t>
            </w:r>
          </w:p>
        </w:tc>
        <w:tc>
          <w:tcPr>
            <w:tcW w:w="18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16876_Modernizarea energetică a clădirilor din sectorul public</w:t>
            </w:r>
          </w:p>
        </w:tc>
        <w:tc>
          <w:tcPr>
            <w:tcW w:w="10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Clădiri publice eficiente din punct de </w:t>
            </w:r>
            <w:r>
              <w:rPr>
                <w:noProof/>
                <w:color w:val="006100"/>
                <w:sz w:val="18"/>
                <w:szCs w:val="18"/>
              </w:rPr>
              <w:t>vedere energetic — finalizate</w:t>
            </w:r>
          </w:p>
        </w:tc>
        <w:tc>
          <w:tcPr>
            <w:tcW w:w="141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9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de clădiri cu intervenții finalizate </w:t>
            </w:r>
          </w:p>
        </w:tc>
        <w:tc>
          <w:tcPr>
            <w:tcW w:w="9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8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210</w:t>
            </w:r>
          </w:p>
        </w:tc>
        <w:tc>
          <w:tcPr>
            <w:tcW w:w="8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cyan"/>
              </w:rPr>
            </w:pPr>
            <w:r>
              <w:rPr>
                <w:noProof/>
                <w:color w:val="006100"/>
                <w:sz w:val="18"/>
                <w:szCs w:val="18"/>
              </w:rPr>
              <w:t xml:space="preserve">Intervenții pentru îmbunătățirea eficienței energetice finalizate pentru clădirile din sectorul public (210 clădiri) cu o reducere a emisiilor de GES, în medie, de </w:t>
            </w:r>
            <w:r>
              <w:rPr>
                <w:noProof/>
                <w:color w:val="006100"/>
                <w:sz w:val="18"/>
                <w:szCs w:val="18"/>
              </w:rPr>
              <w:t>cel puțin 30 %, astfel cum se indică în auditurile energetice efectuate înainte de intervenții.</w:t>
            </w:r>
          </w:p>
        </w:tc>
      </w:tr>
      <w:tr w:rsidR="00780A28">
        <w:trPr>
          <w:trHeight w:val="313"/>
        </w:trPr>
        <w:tc>
          <w:tcPr>
            <w:tcW w:w="95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36</w:t>
            </w:r>
          </w:p>
        </w:tc>
        <w:tc>
          <w:tcPr>
            <w:tcW w:w="18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16874_Energie și antreprenoriat</w:t>
            </w:r>
          </w:p>
        </w:tc>
        <w:tc>
          <w:tcPr>
            <w:tcW w:w="10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Sectorul privat privind eficiența energetică — finalizat #2</w:t>
            </w:r>
          </w:p>
        </w:tc>
        <w:tc>
          <w:tcPr>
            <w:tcW w:w="141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9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 de entități din sectorul privat</w:t>
            </w:r>
            <w:r>
              <w:rPr>
                <w:noProof/>
                <w:color w:val="006100"/>
                <w:sz w:val="18"/>
                <w:szCs w:val="18"/>
              </w:rPr>
              <w:t xml:space="preserve"> cu intervenții finalizate t</w:t>
            </w:r>
          </w:p>
        </w:tc>
        <w:tc>
          <w:tcPr>
            <w:tcW w:w="9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8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9 700</w:t>
            </w:r>
          </w:p>
        </w:tc>
        <w:tc>
          <w:tcPr>
            <w:tcW w:w="8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Intervenții pentru îmbunătățirea eficienței energetice finalizate pentru anumite entități din sectorul privat (9 700 entități din sectorul privat) cu o reducere a emisiilor de GES, în medie, de cel puțin 30 %.</w:t>
            </w:r>
          </w:p>
        </w:tc>
      </w:tr>
    </w:tbl>
    <w:p w:rsidR="00780A28" w:rsidRDefault="00780A28">
      <w:pPr>
        <w:spacing w:before="120" w:after="120" w:line="240" w:lineRule="auto"/>
        <w:jc w:val="both"/>
        <w:rPr>
          <w:rFonts w:ascii="Times New Roman" w:hAnsi="Times New Roman" w:cs="Times New Roman"/>
          <w:noProof/>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3: Intervenții în zonele rezidențiale și în parcul imobiliar</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Măsurile incluse în acest grup sunt:</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Intervențiile în zonele rezidențiale și în parcul imobiliar (ID: 16873)</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Dezvoltarea infrastructurii și restaurarea clădirilor în fosta proprietate </w:t>
      </w:r>
      <w:r>
        <w:rPr>
          <w:rFonts w:ascii="Times New Roman" w:hAnsi="Times New Roman"/>
          <w:noProof/>
          <w:sz w:val="24"/>
        </w:rPr>
        <w:t>regală din Tatoi (ID: 16875)</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Centrul Athletic olimpic din Atena (ID: 16932)</w:t>
      </w:r>
    </w:p>
    <w:tbl>
      <w:tblPr>
        <w:tblW w:w="15502" w:type="dxa"/>
        <w:tblInd w:w="113" w:type="dxa"/>
        <w:tblLayout w:type="fixed"/>
        <w:tblLook w:val="04A0" w:firstRow="1" w:lastRow="0" w:firstColumn="1" w:lastColumn="0" w:noHBand="0" w:noVBand="1"/>
      </w:tblPr>
      <w:tblGrid>
        <w:gridCol w:w="1129"/>
        <w:gridCol w:w="1663"/>
        <w:gridCol w:w="963"/>
        <w:gridCol w:w="1343"/>
        <w:gridCol w:w="1134"/>
        <w:gridCol w:w="1276"/>
        <w:gridCol w:w="992"/>
        <w:gridCol w:w="851"/>
        <w:gridCol w:w="850"/>
        <w:gridCol w:w="709"/>
        <w:gridCol w:w="4592"/>
      </w:tblGrid>
      <w:tr w:rsidR="00780A28">
        <w:trPr>
          <w:trHeight w:val="939"/>
          <w:tblHead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343"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3119"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592"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43"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7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9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85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5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0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592"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37</w:t>
            </w:r>
          </w:p>
        </w:tc>
        <w:tc>
          <w:tcPr>
            <w:tcW w:w="16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w:t>
            </w:r>
            <w:r>
              <w:rPr>
                <w:noProof/>
                <w:color w:val="006100"/>
                <w:sz w:val="18"/>
                <w:szCs w:val="18"/>
              </w:rPr>
              <w:t xml:space="preserve"> 1.2. Renovate — 16932_Centrul olimpic Athletic din Atena</w:t>
            </w:r>
          </w:p>
        </w:tc>
        <w:tc>
          <w:tcPr>
            <w:tcW w:w="9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OAKA — Atribuirea contractului</w:t>
            </w: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contractului (contractelor)</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5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contractului (contractelor) pentru desemnarea partenerului (partenerilor) di</w:t>
            </w:r>
            <w:r>
              <w:rPr>
                <w:noProof/>
                <w:color w:val="006100"/>
                <w:sz w:val="18"/>
                <w:szCs w:val="18"/>
              </w:rPr>
              <w:t>n sectorul privat care să efectueze, până la sfârșitul anului 2023, lucrările de construcție și de renovare care sporesc eficiența energetică pentru (i) stadionul central; (ii) lucrări mecanice și electrice; și (iii) suprafețele exterioare și începerea luc</w:t>
            </w:r>
            <w:r>
              <w:rPr>
                <w:noProof/>
                <w:color w:val="006100"/>
                <w:sz w:val="18"/>
                <w:szCs w:val="18"/>
              </w:rPr>
              <w:t xml:space="preserve">rărilor. </w:t>
            </w:r>
          </w:p>
        </w:tc>
      </w:tr>
      <w:tr w:rsidR="00780A28">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38</w:t>
            </w:r>
          </w:p>
        </w:tc>
        <w:tc>
          <w:tcPr>
            <w:tcW w:w="16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16873Intervenții în zonele rezidențiale și în parcul imobiliar</w:t>
            </w:r>
          </w:p>
        </w:tc>
        <w:tc>
          <w:tcPr>
            <w:tcW w:w="9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Intervenții urbane — atribuirea contractelor</w:t>
            </w: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contractului (contractelor)</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5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contractului (contractelor) de numire a partenerului (partenerilor) din sectorul privat în vederea executării, până la 30 septembrie 2025, a lucrărilor pentru </w:t>
            </w:r>
          </w:p>
          <w:p w:rsidR="00780A28" w:rsidRDefault="001867D7">
            <w:pPr>
              <w:spacing w:after="0" w:line="240" w:lineRule="auto"/>
              <w:rPr>
                <w:rFonts w:eastAsia="Times New Roman" w:cs="Calibri"/>
                <w:noProof/>
                <w:color w:val="006100"/>
                <w:sz w:val="18"/>
                <w:szCs w:val="18"/>
              </w:rPr>
            </w:pPr>
            <w:r>
              <w:rPr>
                <w:noProof/>
                <w:color w:val="006100"/>
                <w:sz w:val="18"/>
                <w:szCs w:val="18"/>
              </w:rPr>
              <w:t>(i) îmbunătățirea mediului urban și a spațiului public în anumite municip</w:t>
            </w:r>
            <w:r>
              <w:rPr>
                <w:noProof/>
                <w:color w:val="006100"/>
                <w:sz w:val="18"/>
                <w:szCs w:val="18"/>
              </w:rPr>
              <w:t>alități, în urma unei cereri deschise care vizează consolidarea rezistenței la schimbările climatice;</w:t>
            </w:r>
          </w:p>
          <w:p w:rsidR="00780A28" w:rsidRDefault="001867D7">
            <w:pPr>
              <w:spacing w:after="0" w:line="240" w:lineRule="auto"/>
              <w:rPr>
                <w:rFonts w:eastAsia="Times New Roman" w:cs="Calibri"/>
                <w:noProof/>
                <w:color w:val="006100"/>
                <w:sz w:val="18"/>
                <w:szCs w:val="18"/>
              </w:rPr>
            </w:pPr>
            <w:r>
              <w:rPr>
                <w:noProof/>
                <w:color w:val="006100"/>
                <w:sz w:val="18"/>
                <w:szCs w:val="18"/>
              </w:rPr>
              <w:t>(ii) regenerarea urbană a fostei zone industriale Votanikos/Elaionas, inclusiv reutilizarea publică a taberei militare de marină, renovarea campusului Uni</w:t>
            </w:r>
            <w:r>
              <w:rPr>
                <w:noProof/>
                <w:color w:val="006100"/>
                <w:sz w:val="18"/>
                <w:szCs w:val="18"/>
              </w:rPr>
              <w:t xml:space="preserve">versității Agricole din Atena (AUA);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(iii) Athens Riviera: infrastructuri pentru mersul pe bicicletă; precum și </w:t>
            </w:r>
          </w:p>
          <w:p w:rsidR="00780A28" w:rsidRDefault="001867D7">
            <w:pPr>
              <w:spacing w:after="0" w:line="240" w:lineRule="auto"/>
              <w:rPr>
                <w:rFonts w:eastAsia="Times New Roman" w:cs="Calibri"/>
                <w:noProof/>
                <w:color w:val="006100"/>
                <w:sz w:val="18"/>
                <w:szCs w:val="18"/>
              </w:rPr>
            </w:pPr>
            <w:r>
              <w:rPr>
                <w:noProof/>
                <w:color w:val="006100"/>
                <w:sz w:val="18"/>
                <w:szCs w:val="18"/>
              </w:rPr>
              <w:t>(iv) alte intervenții strategice, care sunt selectate în urma unei cereri deschise adresate municipalităților, care acoperă: (1) proiecte de e</w:t>
            </w:r>
            <w:r>
              <w:rPr>
                <w:noProof/>
                <w:color w:val="006100"/>
                <w:sz w:val="18"/>
                <w:szCs w:val="18"/>
              </w:rPr>
              <w:t>ficiență energetică și demonstrative în IMM-uri sau în întreprinderi mari și realizarea cel puțin a unei renovări la nivel mediu, astfel cum este definită în Recomandarea Comisiei privind renovarea clădirilor (UE) 2019/786, sau, în medie, o reducere de cel</w:t>
            </w:r>
            <w:r>
              <w:rPr>
                <w:noProof/>
                <w:color w:val="006100"/>
                <w:sz w:val="18"/>
                <w:szCs w:val="18"/>
              </w:rPr>
              <w:t xml:space="preserve"> puțin 30 % a emisiilor directe și indirecte de GES în comparație cu emisiile </w:t>
            </w:r>
            <w:r>
              <w:rPr>
                <w:i/>
                <w:noProof/>
                <w:color w:val="006100"/>
                <w:sz w:val="18"/>
                <w:szCs w:val="18"/>
              </w:rPr>
              <w:t>ex ante</w:t>
            </w:r>
            <w:r>
              <w:rPr>
                <w:noProof/>
                <w:color w:val="006100"/>
                <w:sz w:val="18"/>
                <w:szCs w:val="18"/>
              </w:rPr>
              <w:t>; (2) construirea de noi clădiri eficiente din punct de vedere energetic și cu o cerere de energie primară (PED) care este cu cel puțin 20 % mai mică decât cerința privind</w:t>
            </w:r>
            <w:r>
              <w:rPr>
                <w:noProof/>
                <w:color w:val="006100"/>
                <w:sz w:val="18"/>
                <w:szCs w:val="18"/>
              </w:rPr>
              <w:t xml:space="preserve"> clădirile al căror consum de energie este aproape egal cu zero (clădiri al căror consum de energie este aproape egal cu zero, directivele naționale); și (3)Protecția naturii și a biodiversității, patrimoniul natural și resursele naturale, infrastructura v</w:t>
            </w:r>
            <w:r>
              <w:rPr>
                <w:noProof/>
                <w:color w:val="006100"/>
                <w:sz w:val="18"/>
                <w:szCs w:val="18"/>
              </w:rPr>
              <w:t xml:space="preserve">erde și cea albastră. </w:t>
            </w:r>
          </w:p>
        </w:tc>
      </w:tr>
      <w:tr w:rsidR="00780A28">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39</w:t>
            </w:r>
          </w:p>
        </w:tc>
        <w:tc>
          <w:tcPr>
            <w:tcW w:w="16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Renovate — 16932_Centrul olimpic Athletic din Atena</w:t>
            </w:r>
          </w:p>
        </w:tc>
        <w:tc>
          <w:tcPr>
            <w:tcW w:w="9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OAKA — finalizarea lucrărilor </w:t>
            </w: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tuturor lucrărilor pentru aceste subproiecte, confirmată prin semnarea formularului de finalizare de către supraveghetorul de construcții. </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5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tuturor lucrărilor pentru obținerea eficienței energetice și îmbunătățirea </w:t>
            </w:r>
            <w:r>
              <w:rPr>
                <w:noProof/>
                <w:color w:val="006100"/>
                <w:sz w:val="18"/>
                <w:szCs w:val="18"/>
              </w:rPr>
              <w:t>amprentei de carbon, inclusiv (i) întreținerea și repararea structurilor din oțel ale acoperișului stadionului (coronament) (subproiectul unu); (ii) mașinile pentru baschet și instalațiile acvatice să funcționeze independent și să permită economisirea de e</w:t>
            </w:r>
            <w:r>
              <w:rPr>
                <w:noProof/>
                <w:color w:val="006100"/>
                <w:sz w:val="18"/>
                <w:szCs w:val="18"/>
              </w:rPr>
              <w:t>nergie (subproiectul nr. 2); (iii) vitezometru (al treilea subproiect); (iv) Complexul pentru tenis (subproiectul 5); și (v) zonele exterioare (subproiectul șase), inclusiv Agora și structurile din oțel Zidul națiunilor;</w:t>
            </w:r>
          </w:p>
        </w:tc>
      </w:tr>
      <w:tr w:rsidR="00780A28">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40</w:t>
            </w:r>
          </w:p>
        </w:tc>
        <w:tc>
          <w:tcPr>
            <w:tcW w:w="16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2 - 1.2. Renovare — 16873- </w:t>
            </w:r>
            <w:r>
              <w:rPr>
                <w:noProof/>
                <w:color w:val="006100"/>
                <w:sz w:val="18"/>
                <w:szCs w:val="18"/>
              </w:rPr>
              <w:t>Intervenții în zonele rezidențiale și în parcul imobiliar</w:t>
            </w:r>
          </w:p>
        </w:tc>
        <w:tc>
          <w:tcPr>
            <w:tcW w:w="9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Intervenții urbane — finalizarea tuturor lucrărilor</w:t>
            </w: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lucrărilor și a serviciilor confirmate prin semnarea formularului de finalizare de către supraveghetorul de construcții.</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5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tuturor lucrărilor de la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 Intervențiile care vizează îmbunătățirea mediului urban și a spațiului public;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(ii) Regenerarea urbană a fostei zone industriale Votanikos/Elaionas; </w:t>
            </w:r>
          </w:p>
          <w:p w:rsidR="00780A28" w:rsidRDefault="001867D7">
            <w:pPr>
              <w:spacing w:after="0" w:line="240" w:lineRule="auto"/>
              <w:jc w:val="both"/>
              <w:rPr>
                <w:rFonts w:eastAsia="Times New Roman" w:cs="Calibri"/>
                <w:noProof/>
                <w:color w:val="006100"/>
                <w:sz w:val="18"/>
                <w:szCs w:val="18"/>
              </w:rPr>
            </w:pPr>
            <w:r>
              <w:rPr>
                <w:noProof/>
                <w:color w:val="006100"/>
                <w:sz w:val="18"/>
                <w:szCs w:val="18"/>
              </w:rPr>
              <w:t>(iii) Athens Riviera: infrastructuri pentru mersul pe bici</w:t>
            </w:r>
            <w:r>
              <w:rPr>
                <w:noProof/>
                <w:color w:val="006100"/>
                <w:sz w:val="18"/>
                <w:szCs w:val="18"/>
              </w:rPr>
              <w:t>cletă; precum și</w:t>
            </w:r>
          </w:p>
          <w:p w:rsidR="00780A28" w:rsidRDefault="001867D7">
            <w:pPr>
              <w:spacing w:after="0" w:line="240" w:lineRule="auto"/>
              <w:jc w:val="both"/>
              <w:rPr>
                <w:rFonts w:eastAsia="Times New Roman" w:cs="Calibri"/>
                <w:noProof/>
                <w:color w:val="006100"/>
                <w:sz w:val="18"/>
                <w:szCs w:val="18"/>
              </w:rPr>
            </w:pPr>
            <w:r>
              <w:rPr>
                <w:noProof/>
                <w:color w:val="006100"/>
                <w:sz w:val="18"/>
                <w:szCs w:val="18"/>
              </w:rPr>
              <w:t>(iv) Alte intervenții strategice.</w:t>
            </w:r>
          </w:p>
        </w:tc>
      </w:tr>
      <w:tr w:rsidR="00780A28">
        <w:trPr>
          <w:trHeight w:val="313"/>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41</w:t>
            </w:r>
          </w:p>
        </w:tc>
        <w:tc>
          <w:tcPr>
            <w:tcW w:w="16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2 - 1.2. Renovare — 16875_Amenajarea infrastructurii și restaurarea clădirilor în fosta localitate regală din Tatoi</w:t>
            </w:r>
          </w:p>
        </w:tc>
        <w:tc>
          <w:tcPr>
            <w:tcW w:w="9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Tatoi — finalizarea tuturor lucrărilor</w:t>
            </w: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lucrărilor și serviciilor </w:t>
            </w:r>
            <w:r>
              <w:rPr>
                <w:noProof/>
                <w:color w:val="006100"/>
                <w:sz w:val="18"/>
                <w:szCs w:val="18"/>
              </w:rPr>
              <w:t>confirmate prin semnarea formularului de finalizare de către supraveghetorul de construcții</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5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tuturor lucrărilor din cadrul programului „Amenajarea infrastructurii și restaurarea clădirilor” în fosta localitate regală din Tatoi, </w:t>
            </w:r>
            <w:r>
              <w:rPr>
                <w:noProof/>
                <w:color w:val="006100"/>
                <w:sz w:val="18"/>
                <w:szCs w:val="18"/>
              </w:rPr>
              <w:t>inclusiv:</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 lucrări de infrastructură; </w:t>
            </w:r>
          </w:p>
          <w:p w:rsidR="00780A28" w:rsidRDefault="001867D7">
            <w:pPr>
              <w:spacing w:after="0" w:line="240" w:lineRule="auto"/>
              <w:rPr>
                <w:rFonts w:eastAsia="Times New Roman" w:cs="Calibri"/>
                <w:noProof/>
                <w:color w:val="006100"/>
                <w:sz w:val="18"/>
                <w:szCs w:val="18"/>
              </w:rPr>
            </w:pPr>
            <w:r>
              <w:rPr>
                <w:noProof/>
                <w:color w:val="006100"/>
                <w:sz w:val="18"/>
                <w:szCs w:val="18"/>
              </w:rPr>
              <w:t>(ii) restaurarea palatului pentru a fi reutilizat ca muzeu;</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(iii) expoziția palatului;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(iv) restaurarea clădirii agricole și reutilizarea ca muzeu;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(v) studiu muzeologic pentru noua clădire agricolă; </w:t>
            </w:r>
          </w:p>
          <w:p w:rsidR="00780A28" w:rsidRDefault="001867D7">
            <w:pPr>
              <w:spacing w:after="0" w:line="240" w:lineRule="auto"/>
              <w:rPr>
                <w:rFonts w:eastAsia="Times New Roman" w:cs="Calibri"/>
                <w:noProof/>
                <w:color w:val="006100"/>
                <w:sz w:val="18"/>
                <w:szCs w:val="18"/>
              </w:rPr>
            </w:pPr>
            <w:r>
              <w:rPr>
                <w:noProof/>
                <w:color w:val="006100"/>
                <w:sz w:val="18"/>
                <w:szCs w:val="18"/>
              </w:rPr>
              <w:t>(vi) restau</w:t>
            </w:r>
            <w:r>
              <w:rPr>
                <w:noProof/>
                <w:color w:val="006100"/>
                <w:sz w:val="18"/>
                <w:szCs w:val="18"/>
              </w:rPr>
              <w:t xml:space="preserve">rarea grădinilor palate;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(vii) conservarea și restaurarea artefactelor;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(viii) înregistrarea, documentarea și înregistrarea artefactelor; precum și </w:t>
            </w:r>
          </w:p>
          <w:p w:rsidR="00780A28" w:rsidRDefault="001867D7">
            <w:pPr>
              <w:spacing w:after="0" w:line="240" w:lineRule="auto"/>
              <w:rPr>
                <w:rFonts w:eastAsia="Times New Roman" w:cs="Calibri"/>
                <w:noProof/>
                <w:color w:val="006100"/>
                <w:sz w:val="18"/>
                <w:szCs w:val="18"/>
              </w:rPr>
            </w:pPr>
            <w:r>
              <w:rPr>
                <w:noProof/>
                <w:color w:val="006100"/>
                <w:sz w:val="18"/>
                <w:szCs w:val="18"/>
              </w:rPr>
              <w:t>(ix) digitalizarea materialului arhivistic pe suport de hârtie găsit.</w:t>
            </w:r>
          </w:p>
        </w:tc>
      </w:tr>
    </w:tbl>
    <w:p w:rsidR="00780A28" w:rsidRDefault="00780A28">
      <w:pPr>
        <w:framePr w:w="15464" w:wrap="auto" w:hAnchor="text"/>
        <w:spacing w:before="120" w:after="120" w:line="240" w:lineRule="auto"/>
        <w:rPr>
          <w:rFonts w:ascii="Times New Roman" w:hAnsi="Times New Roman" w:cs="Times New Roman"/>
          <w:noProof/>
          <w:sz w:val="24"/>
        </w:rPr>
        <w:sectPr w:rsidR="00780A28">
          <w:headerReference w:type="even" r:id="rId39"/>
          <w:headerReference w:type="default" r:id="rId40"/>
          <w:footerReference w:type="even" r:id="rId41"/>
          <w:footerReference w:type="default" r:id="rId42"/>
          <w:headerReference w:type="first" r:id="rId43"/>
          <w:footerReference w:type="first" r:id="rId44"/>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C. COMPONENTA 1.3: REÎNCĂRCARE ȘI REALIMENTARE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Componenta de reîncărcare și de realimentare a planului de redresare și reziliență al Greciei cuprinde reforme și investiții specifice menite să sporească mobilitatea durabilă, să consolideze creșterea economică, să creeze oportunități de angajare și să pr</w:t>
      </w:r>
      <w:r>
        <w:rPr>
          <w:rFonts w:ascii="Times New Roman" w:hAnsi="Times New Roman"/>
          <w:noProof/>
          <w:sz w:val="24"/>
        </w:rPr>
        <w:t>omoveze reziliența socială. Măsurile incluse în cadrul acestei componente sunt legate de strategia națională privind mobilitatea durabilă, sprijinind astfel punerea în aplicare a Planului național privind energia și clima (PNEC). Acestea contribuie, de ase</w:t>
      </w:r>
      <w:r>
        <w:rPr>
          <w:rFonts w:ascii="Times New Roman" w:hAnsi="Times New Roman"/>
          <w:noProof/>
          <w:sz w:val="24"/>
        </w:rPr>
        <w:t>menea, la tranziția verde prin acordarea de sprijin întreprinderilor care desfășoară operațiuni legate de economia cu emisii scăzute de dioxid de carbon și de rezistența la schimbările climatice. Componenta include, de asemenea, reforme pentru a sprijini i</w:t>
      </w:r>
      <w:r>
        <w:rPr>
          <w:rFonts w:ascii="Times New Roman" w:hAnsi="Times New Roman"/>
          <w:noProof/>
          <w:sz w:val="24"/>
        </w:rPr>
        <w:t>nstalarea infrastructurii de e-mobilitate și revizuirea serviciilor publice de transport urban și regional de călători. Componenta include, de asemenea, investiții pentru a sprijini dezvoltarea capacității de producție a furnizărilor legate de electromobil</w:t>
      </w:r>
      <w:r>
        <w:rPr>
          <w:rFonts w:ascii="Times New Roman" w:hAnsi="Times New Roman"/>
          <w:noProof/>
          <w:sz w:val="24"/>
        </w:rPr>
        <w:t xml:space="preserve">itate și înlocuirea autobuzelor și a taxiurilor cu vehicule electrice pe bază de baterii.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Componenta sprijină abordarea Recomandării specifice fiecărei țări nr. 3 din 2020 și a Recomandării specifice fiecărei țări nr. 2 din 2019 privind investițiile publi</w:t>
      </w:r>
      <w:r>
        <w:rPr>
          <w:rFonts w:ascii="Times New Roman" w:hAnsi="Times New Roman"/>
          <w:noProof/>
          <w:sz w:val="24"/>
        </w:rPr>
        <w:t>ce și private. Este de așteptat ca nicio măsură din cadrul acestei componente să nu afecteze în mod semnificativ obiectivele de mediu în sensul articolului 17 din Regulamentul (UE) 2020/852, ținând seama de descrierea măsurilor și a măsurilor de atenuare s</w:t>
      </w:r>
      <w:r>
        <w:rPr>
          <w:rFonts w:ascii="Times New Roman" w:hAnsi="Times New Roman"/>
          <w:noProof/>
          <w:sz w:val="24"/>
        </w:rPr>
        <w:t>tabilite în planul de redresare și reziliență în conformitate cu Orientările tehnice bazate pe principiul de „a nu aduce prejudicii semnificative” (2021/C58/01).</w:t>
      </w:r>
    </w:p>
    <w:p w:rsidR="00780A28" w:rsidRDefault="001867D7">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C.1. </w:t>
      </w:r>
      <w:r>
        <w:rPr>
          <w:rFonts w:ascii="Times New Roman" w:hAnsi="Times New Roman"/>
          <w:b/>
          <w:noProof/>
          <w:sz w:val="24"/>
          <w:u w:val="single"/>
        </w:rPr>
        <w:tab/>
      </w:r>
      <w:r>
        <w:rPr>
          <w:rFonts w:ascii="Times New Roman" w:hAnsi="Times New Roman"/>
          <w:b/>
          <w:bCs/>
          <w:noProof/>
          <w:sz w:val="24"/>
          <w:u w:val="single"/>
        </w:rPr>
        <w:t xml:space="preserve">Descrierea reformelor și a investițiilor pentru care se prevede acordarea sprijinului </w:t>
      </w:r>
      <w:r>
        <w:rPr>
          <w:rFonts w:ascii="Times New Roman" w:hAnsi="Times New Roman"/>
          <w:b/>
          <w:bCs/>
          <w:noProof/>
          <w:sz w:val="24"/>
          <w:u w:val="single"/>
        </w:rPr>
        <w:t>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Produc-E Green (măsură ID: 16831)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Aceste investiții constituie două proiecte care urmăresc atât să contribuie la economia cu emisii scăzute de dioxid de carbon, cât și la reziliența la schimbările climatice. Primul proie</w:t>
      </w:r>
      <w:r>
        <w:rPr>
          <w:rFonts w:ascii="Times New Roman" w:hAnsi="Times New Roman"/>
          <w:noProof/>
          <w:sz w:val="24"/>
        </w:rPr>
        <w:t>ct vizează partea de ofertă a e-mobilității. Acesta oferă sprijin pentru dezvoltarea a peste 10 situri cu departamente C &amp; D pentru produse sau servicii inovatoare, cum ar fi reciclarea bateriilor pentru automobile electrice prin reutilizarea materiilor pr</w:t>
      </w:r>
      <w:r>
        <w:rPr>
          <w:rFonts w:ascii="Times New Roman" w:hAnsi="Times New Roman"/>
          <w:noProof/>
          <w:sz w:val="24"/>
        </w:rPr>
        <w:t>ime precum litiul și cobaltul sau proiectarea de vehicule electrice și de puncte de încărcare regulate sau de înaltă putere. Pentru a se asigura că măsura este conformă cu Orientările tehnice bazate pe principiul de „a nu aduce prejudicii semnificative” (2</w:t>
      </w:r>
      <w:r>
        <w:rPr>
          <w:rFonts w:ascii="Times New Roman" w:hAnsi="Times New Roman"/>
          <w:noProof/>
          <w:sz w:val="24"/>
        </w:rPr>
        <w:t>021/C58/01), criteriile de eligibilitate cuprinse în termenii de referință pentru cererile de propuneri de proiecte exclud următoarea listă de activități:</w:t>
      </w:r>
      <w:r>
        <w:rPr>
          <w:rFonts w:ascii="Times New Roman" w:hAnsi="Times New Roman"/>
          <w:noProof/>
          <w:color w:val="FF0000"/>
          <w:sz w:val="24"/>
        </w:rPr>
        <w:t xml:space="preserve"> </w:t>
      </w:r>
      <w:r>
        <w:rPr>
          <w:rFonts w:ascii="Times New Roman" w:hAnsi="Times New Roman"/>
          <w:noProof/>
          <w:sz w:val="24"/>
        </w:rPr>
        <w:t>(i) activitățile legate de combustibilii fosili, inclusiv utilizarea în aval</w:t>
      </w:r>
      <w:r>
        <w:rPr>
          <w:rFonts w:ascii="Times New Roman" w:hAnsi="Times New Roman" w:cs="Times New Roman"/>
          <w:noProof/>
          <w:sz w:val="24"/>
          <w:vertAlign w:val="superscript"/>
        </w:rPr>
        <w:footnoteReference w:id="6"/>
      </w:r>
      <w:r>
        <w:rPr>
          <w:rFonts w:ascii="Times New Roman" w:hAnsi="Times New Roman"/>
          <w:noProof/>
          <w:sz w:val="24"/>
        </w:rPr>
        <w:t xml:space="preserve">; (ii) activitățile din </w:t>
      </w:r>
      <w:r>
        <w:rPr>
          <w:rFonts w:ascii="Times New Roman" w:hAnsi="Times New Roman"/>
          <w:noProof/>
          <w:sz w:val="24"/>
        </w:rPr>
        <w:t>cadrul schemei UE de comercializare a certificatelor de emisii (ETS) care ating previziuni privind emisiile de gaze cu efect de seră care nu sunt mai mici decât valorile de referință relevante</w:t>
      </w:r>
      <w:r>
        <w:rPr>
          <w:rFonts w:ascii="Times New Roman" w:hAnsi="Times New Roman" w:cs="Times New Roman"/>
          <w:noProof/>
          <w:sz w:val="24"/>
          <w:vertAlign w:val="superscript"/>
        </w:rPr>
        <w:footnoteReference w:id="7"/>
      </w:r>
      <w:r>
        <w:rPr>
          <w:rFonts w:ascii="Times New Roman" w:hAnsi="Times New Roman"/>
          <w:noProof/>
          <w:sz w:val="24"/>
        </w:rPr>
        <w:t>; (iii) activitățile legate de depozitele de deșeuri, incinerat</w:t>
      </w:r>
      <w:r>
        <w:rPr>
          <w:rFonts w:ascii="Times New Roman" w:hAnsi="Times New Roman"/>
          <w:noProof/>
          <w:sz w:val="24"/>
        </w:rPr>
        <w:t>oare</w:t>
      </w:r>
      <w:r>
        <w:rPr>
          <w:rFonts w:ascii="Times New Roman" w:hAnsi="Times New Roman" w:cs="Times New Roman"/>
          <w:noProof/>
          <w:sz w:val="24"/>
          <w:vertAlign w:val="superscript"/>
        </w:rPr>
        <w:footnoteReference w:id="8"/>
      </w:r>
      <w:r>
        <w:rPr>
          <w:rFonts w:ascii="Times New Roman" w:hAnsi="Times New Roman"/>
          <w:noProof/>
          <w:sz w:val="24"/>
        </w:rPr>
        <w:t xml:space="preserve"> și instalații de tratare mecano-biologică</w:t>
      </w:r>
      <w:r>
        <w:rPr>
          <w:rFonts w:ascii="Times New Roman" w:hAnsi="Times New Roman" w:cs="Times New Roman"/>
          <w:noProof/>
          <w:sz w:val="24"/>
          <w:vertAlign w:val="superscript"/>
        </w:rPr>
        <w:footnoteReference w:id="9"/>
      </w:r>
      <w:r>
        <w:rPr>
          <w:rFonts w:ascii="Times New Roman" w:hAnsi="Times New Roman"/>
          <w:noProof/>
          <w:sz w:val="24"/>
        </w:rPr>
        <w:t xml:space="preserve">; și (iv) activități în cadrul cărora eliminarea pe termen lung a deșeurilor poate dăuna mediului. În plus, mandatul impune ca numai activitățile care respectă legislația UE și națională relevantă în materie </w:t>
      </w:r>
      <w:r>
        <w:rPr>
          <w:rFonts w:ascii="Times New Roman" w:hAnsi="Times New Roman"/>
          <w:noProof/>
          <w:sz w:val="24"/>
        </w:rPr>
        <w:t>de mediu să poată fi selectate.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Al doilea proiect va oferi sprijin pentru dezvoltarea primei instalații de stocare a CO</w:t>
      </w:r>
      <w:r>
        <w:rPr>
          <w:rFonts w:ascii="Times New Roman" w:hAnsi="Times New Roman"/>
          <w:noProof/>
          <w:sz w:val="24"/>
          <w:vertAlign w:val="subscript"/>
        </w:rPr>
        <w:t>2</w:t>
      </w:r>
      <w:r>
        <w:rPr>
          <w:rFonts w:ascii="Times New Roman" w:hAnsi="Times New Roman"/>
          <w:noProof/>
          <w:sz w:val="24"/>
        </w:rPr>
        <w:t xml:space="preserve"> din Grecia. Instalația de captare și stocare a carbonului este proiectată pentru a asigura stocarea pe termen lung a CO</w:t>
      </w:r>
      <w:r>
        <w:rPr>
          <w:rFonts w:ascii="Times New Roman" w:hAnsi="Times New Roman"/>
          <w:noProof/>
          <w:sz w:val="24"/>
          <w:vertAlign w:val="subscript"/>
        </w:rPr>
        <w:t>2</w:t>
      </w:r>
      <w:r>
        <w:rPr>
          <w:rFonts w:ascii="Times New Roman" w:hAnsi="Times New Roman"/>
          <w:noProof/>
          <w:sz w:val="24"/>
        </w:rPr>
        <w:t xml:space="preserve"> captat de la e</w:t>
      </w:r>
      <w:r>
        <w:rPr>
          <w:rFonts w:ascii="Times New Roman" w:hAnsi="Times New Roman"/>
          <w:noProof/>
          <w:sz w:val="24"/>
        </w:rPr>
        <w:t>mițătorii locali (până la o distanță de 150 km) și trebuie să ajungă la instalație prin conducte, în timp ce CO</w:t>
      </w:r>
      <w:r>
        <w:rPr>
          <w:rFonts w:ascii="Times New Roman" w:hAnsi="Times New Roman"/>
          <w:noProof/>
          <w:sz w:val="24"/>
          <w:vertAlign w:val="subscript"/>
        </w:rPr>
        <w:t>2</w:t>
      </w:r>
      <w:r>
        <w:rPr>
          <w:rFonts w:ascii="Times New Roman" w:hAnsi="Times New Roman"/>
          <w:noProof/>
          <w:sz w:val="24"/>
        </w:rPr>
        <w:t xml:space="preserve"> captat în locuri îndepărtate sosește cu nava și intră într-o instalație de stocare tampon. Capacitatea instalației de captare și stocare a carb</w:t>
      </w:r>
      <w:r>
        <w:rPr>
          <w:rFonts w:ascii="Times New Roman" w:hAnsi="Times New Roman"/>
          <w:noProof/>
          <w:sz w:val="24"/>
        </w:rPr>
        <w:t>onului trebuie să aibă inițial o rată de injectare a CO</w:t>
      </w:r>
      <w:r>
        <w:rPr>
          <w:rFonts w:ascii="Times New Roman" w:hAnsi="Times New Roman"/>
          <w:noProof/>
          <w:sz w:val="24"/>
          <w:vertAlign w:val="subscript"/>
        </w:rPr>
        <w:t>2</w:t>
      </w:r>
      <w:r>
        <w:rPr>
          <w:rFonts w:ascii="Times New Roman" w:hAnsi="Times New Roman"/>
          <w:noProof/>
          <w:sz w:val="24"/>
        </w:rPr>
        <w:t xml:space="preserve"> de un milion de tone/an și să asigure o capacitate de cel puțin 25 ani. Se preconizează că această măsură nu aduce prejudicii semnificative obiectivelor de mediu în sensul articolului 17 din Regulame</w:t>
      </w:r>
      <w:r>
        <w:rPr>
          <w:rFonts w:ascii="Times New Roman" w:hAnsi="Times New Roman"/>
          <w:noProof/>
          <w:sz w:val="24"/>
        </w:rPr>
        <w:t>ntul (UE) 2020/852, ținând seama de descrierea măsurii și de măsurile de atenuare stabilite în planul de redresare și reziliență, în conformitate cu Orientările tehnice bazate pe principiul de „a nu aduce prejudicii semnificative” (2021/C58/01). În special</w:t>
      </w:r>
      <w:r>
        <w:rPr>
          <w:rFonts w:ascii="Times New Roman" w:hAnsi="Times New Roman"/>
          <w:noProof/>
          <w:sz w:val="24"/>
        </w:rPr>
        <w:t>, instalația de captare și stocare a carbonului trebuie să funcționeze fără a se recurge la activități comerciale de extracție a petrolului sau de recuperare a petrolului (unele extracții de petrol sau gaze pot fi necesare din motive de siguranță sau tehni</w:t>
      </w:r>
      <w:r>
        <w:rPr>
          <w:rFonts w:ascii="Times New Roman" w:hAnsi="Times New Roman"/>
          <w:noProof/>
          <w:sz w:val="24"/>
        </w:rPr>
        <w:t>ce. În plus, captarea și stocarea dioxidului de carbon trebuie să respecte, de asemenea, cerința de a nu exista aplicații tehnologice, nici vreun tip de instalații și echipamente concepute în vederea unei aplicări intensificate a recuperării petrolului (EO</w:t>
      </w:r>
      <w:r>
        <w:rPr>
          <w:rFonts w:ascii="Times New Roman" w:hAnsi="Times New Roman"/>
          <w:noProof/>
          <w:sz w:val="24"/>
        </w:rPr>
        <w:t>R) și a creșterii producției de petrol. Se va avea grijă ca orice posibilă extracție de petrol sau gaze să fie limitată la nevoile indispensabile de gestionare a presiunii și de asigurare a siguranței siturilor de stocare și ca orice astfel de extracție să</w:t>
      </w:r>
      <w:r>
        <w:rPr>
          <w:rFonts w:ascii="Times New Roman" w:hAnsi="Times New Roman"/>
          <w:noProof/>
          <w:sz w:val="24"/>
        </w:rPr>
        <w:t xml:space="preserve"> fie efectuată numai dacă este indispensabilă pentru a asigura stocarea în condiții de siguranță a CO</w:t>
      </w:r>
      <w:r>
        <w:rPr>
          <w:rFonts w:ascii="Times New Roman" w:hAnsi="Times New Roman"/>
          <w:noProof/>
          <w:sz w:val="24"/>
          <w:vertAlign w:val="subscript"/>
        </w:rPr>
        <w:t>2</w:t>
      </w:r>
      <w:r>
        <w:rPr>
          <w:rFonts w:ascii="Times New Roman" w:hAnsi="Times New Roman"/>
          <w:noProof/>
          <w:sz w:val="24"/>
        </w:rPr>
        <w:t>. CO</w:t>
      </w:r>
      <w:r>
        <w:rPr>
          <w:rFonts w:ascii="Times New Roman" w:hAnsi="Times New Roman"/>
          <w:noProof/>
          <w:sz w:val="24"/>
          <w:vertAlign w:val="subscript"/>
        </w:rPr>
        <w:t>2</w:t>
      </w:r>
      <w:r>
        <w:rPr>
          <w:rFonts w:ascii="Times New Roman" w:hAnsi="Times New Roman"/>
          <w:noProof/>
          <w:sz w:val="24"/>
        </w:rPr>
        <w:t xml:space="preserve"> împreună cu orice petrol sau gaz care poate fi extras vor fi separate și reintroduse pentru depozitare permanentă.</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investiției trebuie</w:t>
      </w:r>
      <w:r>
        <w:rPr>
          <w:rFonts w:ascii="Times New Roman" w:hAnsi="Times New Roman"/>
          <w:noProof/>
          <w:sz w:val="24"/>
        </w:rPr>
        <w:t xml:space="preserv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Cadrul pentru instalarea și exploatarea infrastructurii de încărcare a energiei electrice (numărul de identificare al măsurii: 16281)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Reforma stabilește un cadru de reglementare cuprinzător pentru instalarea </w:t>
      </w:r>
      <w:r>
        <w:rPr>
          <w:rFonts w:ascii="Times New Roman" w:hAnsi="Times New Roman"/>
          <w:noProof/>
          <w:sz w:val="24"/>
        </w:rPr>
        <w:t>ș</w:t>
      </w:r>
      <w:r>
        <w:rPr>
          <w:rFonts w:ascii="Times New Roman" w:hAnsi="Times New Roman"/>
          <w:noProof/>
          <w:sz w:val="24"/>
        </w:rPr>
        <w:t xml:space="preserve">i exploatarea punctelor de încărcare pentru vehiculele electrice. Acest lucru va îndrepta Grecia către o traiectorie de îndeplinire a obiectivului PNEC de a avea o cotă de 30 % de vehicule electrice pe piața internă până în 2030. Până la sfârșitul anului </w:t>
      </w:r>
      <w:r>
        <w:rPr>
          <w:rFonts w:ascii="Times New Roman" w:hAnsi="Times New Roman"/>
          <w:noProof/>
          <w:sz w:val="24"/>
        </w:rPr>
        <w:t>2022, Ministerul Mediului și Energiei adoptă cel puțin 300 planuri prezentate de autoritățile locale pentru instalarea punctelor de încărcare a vehiculelor electrice accesibile publicului. Implementarea reformei trebuie finalizată până la 31 decembrie 2022</w:t>
      </w:r>
      <w:r>
        <w:rPr>
          <w:rFonts w:ascii="Times New Roman" w:hAnsi="Times New Roman"/>
          <w:noProof/>
          <w:sz w:val="24"/>
        </w:rPr>
        <w:t>.</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Electromobilitate (numărul de identificare al măsurii: 16924)</w:t>
      </w:r>
    </w:p>
    <w:p w:rsidR="00780A28" w:rsidRDefault="001867D7">
      <w:pPr>
        <w:spacing w:before="120" w:after="120" w:line="240" w:lineRule="auto"/>
        <w:jc w:val="both"/>
        <w:rPr>
          <w:rFonts w:ascii="Times New Roman" w:hAnsi="Times New Roman" w:cs="Times New Roman"/>
          <w:b/>
          <w:bCs/>
          <w:noProof/>
          <w:sz w:val="24"/>
          <w:u w:val="single"/>
        </w:rPr>
      </w:pPr>
      <w:r>
        <w:rPr>
          <w:rFonts w:ascii="Times New Roman" w:hAnsi="Times New Roman"/>
          <w:noProof/>
          <w:sz w:val="24"/>
        </w:rPr>
        <w:t>Investițiile abordează e-mobilitatea în conformitate cu obiectivele PECN și cuprind: 1) sprijin pentru instalarea de puncte de tarifare accesibile publicului în principalele locuri</w:t>
      </w:r>
      <w:r>
        <w:rPr>
          <w:rFonts w:ascii="Times New Roman" w:hAnsi="Times New Roman"/>
          <w:noProof/>
          <w:sz w:val="24"/>
        </w:rPr>
        <w:t xml:space="preserve"> și puncte de interes urbane și suburbane (cum ar fi aeroporturile, autostrăzile, porturile și zonele de parcare); 2) înlocuirea autobuzelor mai vechi cu 220 autobuze electrice noi; 3) stimulente pentru înlocuirea taxiurilor mai vechi cu 2 000 de vehicule </w:t>
      </w:r>
      <w:r>
        <w:rPr>
          <w:rFonts w:ascii="Times New Roman" w:hAnsi="Times New Roman"/>
          <w:noProof/>
          <w:sz w:val="24"/>
        </w:rPr>
        <w:t>electrice cu baterie; 4) o reformă a legislației privind obligațiile de serviciu public ale companiilor de transport cu autobuzul, în conformitate cu acquis-ul actual al UE, care să permită societăților de transport cu autobuzul din afara Atenei și Salonic</w:t>
      </w:r>
      <w:r>
        <w:rPr>
          <w:rFonts w:ascii="Times New Roman" w:hAnsi="Times New Roman"/>
          <w:noProof/>
          <w:sz w:val="24"/>
        </w:rPr>
        <w:t xml:space="preserve"> să investească în siguranță în vehicule electrice de transport public; și 5) efectuarea unui studiu de fezabilitate pentru înființarea unei agenții de e-transport care să asigure planificarea și coordonarea corespunzătoare între infrastructurile de transp</w:t>
      </w:r>
      <w:r>
        <w:rPr>
          <w:rFonts w:ascii="Times New Roman" w:hAnsi="Times New Roman"/>
          <w:noProof/>
          <w:sz w:val="24"/>
        </w:rPr>
        <w:t>ort și energetice, administrațiile regionale și locale și alte părți interesate din sectorul cercetării și din cel privat. Componenta de investiții care înlocuiește autobuzele și vehiculele vechi trebuie să fie conformă cu Orientările tehnice bazate pe pri</w:t>
      </w:r>
      <w:r>
        <w:rPr>
          <w:rFonts w:ascii="Times New Roman" w:hAnsi="Times New Roman"/>
          <w:noProof/>
          <w:sz w:val="24"/>
        </w:rPr>
        <w:t>ncipiul de „a nu aduce prejudicii semnificative” (2021/C58/01), cu referire specială la casarea vehiculelor/autobuzelor mai vechi care trebuie efectuată de o instalație de tratare autorizată, în conformitate cu Directiva privind vehiculele scoase din uz (2</w:t>
      </w:r>
      <w:r>
        <w:rPr>
          <w:rFonts w:ascii="Times New Roman" w:hAnsi="Times New Roman"/>
          <w:noProof/>
          <w:sz w:val="24"/>
        </w:rPr>
        <w:t>000/53/CE). Implementarea investiției trebuie finalizată până la 31 decembrie 2025.</w:t>
      </w: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45"/>
          <w:headerReference w:type="default" r:id="rId46"/>
          <w:footerReference w:type="even" r:id="rId47"/>
          <w:footerReference w:type="default" r:id="rId48"/>
          <w:headerReference w:type="first" r:id="rId49"/>
          <w:footerReference w:type="first" r:id="rId50"/>
          <w:pgSz w:w="11907" w:h="16839"/>
          <w:pgMar w:top="1134" w:right="1418" w:bottom="1134" w:left="1418" w:header="709" w:footer="709" w:gutter="0"/>
          <w:cols w:space="720"/>
          <w:docGrid w:linePitch="360"/>
        </w:sectPr>
      </w:pPr>
    </w:p>
    <w:p w:rsidR="00780A28" w:rsidRDefault="001867D7">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bCs/>
          <w:noProof/>
          <w:sz w:val="24"/>
          <w:u w:val="single"/>
        </w:rPr>
        <w:t xml:space="preserve">C.2. </w:t>
      </w:r>
      <w:r>
        <w:rPr>
          <w:rFonts w:ascii="Times New Roman" w:hAnsi="Times New Roman"/>
          <w:b/>
          <w:noProof/>
          <w:sz w:val="24"/>
          <w:u w:val="single"/>
        </w:rPr>
        <w:tab/>
      </w:r>
      <w:r>
        <w:rPr>
          <w:rFonts w:ascii="Times New Roman" w:hAnsi="Times New Roman"/>
          <w:b/>
          <w:bCs/>
          <w:noProof/>
          <w:sz w:val="24"/>
          <w:u w:val="single"/>
        </w:rPr>
        <w:t xml:space="preserve">Jaloane, ținte, indicatori și calendarul de monitorizare și implementare aplicabile sprijinului financiar </w:t>
      </w:r>
      <w:r>
        <w:rPr>
          <w:rFonts w:ascii="Times New Roman" w:hAnsi="Times New Roman"/>
          <w:b/>
          <w:bCs/>
          <w:noProof/>
          <w:sz w:val="24"/>
          <w:u w:val="single"/>
        </w:rPr>
        <w:t>nerambursabil</w:t>
      </w:r>
    </w:p>
    <w:p w:rsidR="00780A28" w:rsidRDefault="00780A28">
      <w:pPr>
        <w:keepNext/>
        <w:keepLines/>
        <w:spacing w:before="40" w:after="0" w:line="240" w:lineRule="auto"/>
        <w:jc w:val="both"/>
        <w:outlineLvl w:val="4"/>
        <w:rPr>
          <w:rFonts w:ascii="Cambria" w:eastAsia="Times New Roman" w:hAnsi="Cambria"/>
          <w:noProof/>
          <w:color w:val="365F91"/>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Reforma esențială 3: Cadrul pentru instalarea și exploatarea infrastructurii de încărcare a energiei electrice</w:t>
      </w:r>
    </w:p>
    <w:tbl>
      <w:tblPr>
        <w:tblpPr w:leftFromText="180" w:rightFromText="180" w:vertAnchor="text" w:tblpX="113" w:tblpY="1"/>
        <w:tblOverlap w:val="never"/>
        <w:tblW w:w="15745" w:type="dxa"/>
        <w:tblLook w:val="04A0" w:firstRow="1" w:lastRow="0" w:firstColumn="1" w:lastColumn="0" w:noHBand="0" w:noVBand="1"/>
      </w:tblPr>
      <w:tblGrid>
        <w:gridCol w:w="1027"/>
        <w:gridCol w:w="1596"/>
        <w:gridCol w:w="1107"/>
        <w:gridCol w:w="1197"/>
        <w:gridCol w:w="1717"/>
        <w:gridCol w:w="1162"/>
        <w:gridCol w:w="1090"/>
        <w:gridCol w:w="866"/>
        <w:gridCol w:w="992"/>
        <w:gridCol w:w="851"/>
        <w:gridCol w:w="4438"/>
      </w:tblGrid>
      <w:tr w:rsidR="00780A28">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197"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961"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w:t>
            </w:r>
            <w:r>
              <w:rPr>
                <w:rFonts w:ascii="Times New Roman" w:hAnsi="Times New Roman"/>
                <w:b/>
                <w:bCs/>
                <w:noProof/>
                <w:sz w:val="18"/>
                <w:szCs w:val="18"/>
              </w:rPr>
              <w:t>tivi (pentru ținte)</w:t>
            </w:r>
          </w:p>
        </w:tc>
        <w:tc>
          <w:tcPr>
            <w:tcW w:w="1843"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43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97"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6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109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70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99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85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42</w:t>
            </w:r>
          </w:p>
        </w:tc>
        <w:tc>
          <w:tcPr>
            <w:tcW w:w="15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3 - 1.3. Reîncărcare și realimentare – 16281_Cadrul pentru instalarea și exploatarea infrastructurii de încărcare a energiei electrice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Puncte de încărcare pentru vehiculele electrice — Intrarea în vigoare a cadrului juridic</w:t>
            </w:r>
          </w:p>
        </w:tc>
        <w:tc>
          <w:tcPr>
            <w:tcW w:w="17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w:t>
            </w:r>
            <w:r>
              <w:rPr>
                <w:noProof/>
                <w:color w:val="006100"/>
                <w:sz w:val="18"/>
                <w:szCs w:val="18"/>
              </w:rPr>
              <w:t xml:space="preserve"> deciziilor ministeriale adoptate.</w:t>
            </w:r>
          </w:p>
        </w:tc>
        <w:tc>
          <w:tcPr>
            <w:tcW w:w="116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9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443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tuturor deciziilor ministeriale (MD) prevăzute în Legea nr. 4710/2020 și semnate de ministrul mediului și energiei; Ministrul Infrastructurii și Transporturilor, Ministrul Internelor și Mi</w:t>
            </w:r>
            <w:r>
              <w:rPr>
                <w:noProof/>
                <w:color w:val="006100"/>
                <w:sz w:val="18"/>
                <w:szCs w:val="18"/>
              </w:rPr>
              <w:t>nistrul Finanțelor, organizarea pieței vehiculelor electrice, cu accent pe piața serviciilor de încărcare și oferă stimulente fiscale pentru achiziționarea de vehicule electrice și instalarea infrastructurii de încărcare pentru vehiculele electrice.</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43</w:t>
            </w:r>
          </w:p>
        </w:tc>
        <w:tc>
          <w:tcPr>
            <w:tcW w:w="15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3 </w:t>
            </w:r>
            <w:r>
              <w:rPr>
                <w:noProof/>
                <w:color w:val="006100"/>
                <w:sz w:val="18"/>
                <w:szCs w:val="18"/>
              </w:rPr>
              <w:t>- 1.3. Reîncărcare și realimentare — 16281_Cadrul pentru instalarea și exploatarea infrastructurii de încărcare a energiei electrice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1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Puncte de încărcare pentru vehicule electrice — planuri locale aprobate</w:t>
            </w:r>
          </w:p>
        </w:tc>
        <w:tc>
          <w:tcPr>
            <w:tcW w:w="171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6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de planuri adoptate de Ministerul </w:t>
            </w:r>
            <w:r>
              <w:rPr>
                <w:noProof/>
                <w:color w:val="006100"/>
                <w:sz w:val="18"/>
                <w:szCs w:val="18"/>
              </w:rPr>
              <w:t>Mediului și Energiei</w:t>
            </w:r>
          </w:p>
        </w:tc>
        <w:tc>
          <w:tcPr>
            <w:tcW w:w="109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300</w:t>
            </w: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43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Adoptarea de către Ministerul Mediului și Energiei a cel puțin 300 de planuri prezentate de autoritățile locale pentru instalarea de puncte de încărcare a vehiculelor electrice accesibile publicului.</w:t>
            </w:r>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Grupa 4: </w:t>
      </w:r>
      <w:r>
        <w:rPr>
          <w:rFonts w:ascii="Cambria" w:hAnsi="Cambria"/>
          <w:noProof/>
          <w:color w:val="365F91"/>
          <w:sz w:val="24"/>
        </w:rPr>
        <w:t>Electromobilitate:</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Măsurile incluse în acest grup sunt:</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Produc-E verde (ID: 16831)</w:t>
      </w:r>
    </w:p>
    <w:p w:rsidR="00780A28" w:rsidRDefault="001867D7">
      <w:pPr>
        <w:spacing w:before="120" w:after="120" w:line="240" w:lineRule="auto"/>
        <w:ind w:left="709"/>
        <w:rPr>
          <w:rFonts w:ascii="Times New Roman" w:hAnsi="Times New Roman" w:cs="Times New Roman"/>
          <w:noProof/>
          <w:sz w:val="24"/>
        </w:rPr>
        <w:sectPr w:rsidR="00780A28">
          <w:headerReference w:type="even" r:id="rId51"/>
          <w:headerReference w:type="default" r:id="rId52"/>
          <w:footerReference w:type="even" r:id="rId53"/>
          <w:footerReference w:type="default" r:id="rId54"/>
          <w:headerReference w:type="first" r:id="rId55"/>
          <w:footerReference w:type="first" r:id="rId56"/>
          <w:pgSz w:w="16839" w:h="11907" w:orient="landscape"/>
          <w:pgMar w:top="720" w:right="720" w:bottom="720" w:left="720" w:header="709" w:footer="709" w:gutter="0"/>
          <w:cols w:space="720"/>
          <w:docGrid w:linePitch="360"/>
        </w:sectPr>
      </w:pPr>
      <w:r>
        <w:rPr>
          <w:rFonts w:ascii="Times New Roman" w:hAnsi="Times New Roman"/>
          <w:noProof/>
          <w:sz w:val="24"/>
        </w:rPr>
        <w:t>●</w:t>
      </w:r>
      <w:r>
        <w:rPr>
          <w:rFonts w:ascii="Times New Roman" w:hAnsi="Times New Roman"/>
          <w:noProof/>
          <w:sz w:val="24"/>
        </w:rPr>
        <w:tab/>
        <w:t xml:space="preserve">Electromobilitate (ID: 16924) </w:t>
      </w:r>
    </w:p>
    <w:p w:rsidR="00780A28" w:rsidRDefault="00780A28">
      <w:pPr>
        <w:spacing w:before="120" w:after="120" w:line="240" w:lineRule="auto"/>
        <w:ind w:left="709"/>
        <w:rPr>
          <w:rFonts w:ascii="Times New Roman" w:hAnsi="Times New Roman" w:cs="Times New Roman"/>
          <w:noProof/>
          <w:sz w:val="24"/>
        </w:rPr>
      </w:pPr>
    </w:p>
    <w:tbl>
      <w:tblPr>
        <w:tblW w:w="15615" w:type="dxa"/>
        <w:tblLayout w:type="fixed"/>
        <w:tblLook w:val="04A0" w:firstRow="1" w:lastRow="0" w:firstColumn="1" w:lastColumn="0" w:noHBand="0" w:noVBand="1"/>
      </w:tblPr>
      <w:tblGrid>
        <w:gridCol w:w="1068"/>
        <w:gridCol w:w="1759"/>
        <w:gridCol w:w="1173"/>
        <w:gridCol w:w="1297"/>
        <w:gridCol w:w="2159"/>
        <w:gridCol w:w="932"/>
        <w:gridCol w:w="1008"/>
        <w:gridCol w:w="912"/>
        <w:gridCol w:w="788"/>
        <w:gridCol w:w="721"/>
        <w:gridCol w:w="3798"/>
      </w:tblGrid>
      <w:tr w:rsidR="00780A28">
        <w:trPr>
          <w:trHeight w:val="939"/>
          <w:tblHeader/>
        </w:trPr>
        <w:tc>
          <w:tcPr>
            <w:tcW w:w="106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7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297"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21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w:t>
            </w:r>
            <w:r>
              <w:rPr>
                <w:rFonts w:ascii="Times New Roman" w:hAnsi="Times New Roman"/>
                <w:b/>
                <w:bCs/>
                <w:noProof/>
                <w:sz w:val="18"/>
                <w:szCs w:val="18"/>
              </w:rPr>
              <w:t xml:space="preserve"> calitativi (pentru jaloane)</w:t>
            </w:r>
          </w:p>
        </w:tc>
        <w:tc>
          <w:tcPr>
            <w:tcW w:w="2852"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509"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blHeader/>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97"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3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100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91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78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2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44</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 – 1.</w:t>
            </w:r>
            <w:r>
              <w:rPr>
                <w:noProof/>
                <w:color w:val="006100"/>
                <w:sz w:val="18"/>
                <w:szCs w:val="18"/>
              </w:rPr>
              <w:t>3. Reîncărcare și realimentare — 16924_ Electromobilitate</w:t>
            </w: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Transportul public — Intrarea în vigoare a reglementării pieței pentru obligația de serviciu public (autobuze)</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yellow"/>
              </w:rPr>
            </w:pPr>
            <w:r>
              <w:rPr>
                <w:noProof/>
                <w:color w:val="006100"/>
                <w:sz w:val="18"/>
                <w:szCs w:val="18"/>
              </w:rPr>
              <w:t>Intrarea în vigoare a cadrului juridic revizuit.</w:t>
            </w: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Consolidarea reglemen</w:t>
            </w:r>
            <w:r>
              <w:rPr>
                <w:noProof/>
                <w:color w:val="006100"/>
                <w:sz w:val="18"/>
                <w:szCs w:val="18"/>
              </w:rPr>
              <w:t>tării pieței prin intrarea în vigoare a unui cadru legislativ revizuit pentru serviciile publice urbane și regionale de transport de călători (în conformitate cu UE 1370/2007). Cadrul revizuit: (a) asigurarea furnizării continue de servicii publice de tran</w:t>
            </w:r>
            <w:r>
              <w:rPr>
                <w:noProof/>
                <w:color w:val="006100"/>
                <w:sz w:val="18"/>
                <w:szCs w:val="18"/>
              </w:rPr>
              <w:t>sport rutier de călători urban și regional (regulate și fixe); (b) să supravegheze proiectarea, organizarea și exploatarea rețelelor de transport asociate; (c) asigurarea unui transport rutier public de înaltă calitate la cel mai mic cost posibil; (d) regl</w:t>
            </w:r>
            <w:r>
              <w:rPr>
                <w:noProof/>
                <w:color w:val="006100"/>
                <w:sz w:val="18"/>
                <w:szCs w:val="18"/>
              </w:rPr>
              <w:t>ementarea procesului de acordare a drepturilor exclusive de exploatare a rutelor publice regionale și urbane (regulate și fixe); și (e) reglementarea nivelului compensației pentru prestarea serviciilor menționate anterior. În plus, legea stabilește criteri</w:t>
            </w:r>
            <w:r>
              <w:rPr>
                <w:noProof/>
                <w:color w:val="006100"/>
                <w:sz w:val="18"/>
                <w:szCs w:val="18"/>
              </w:rPr>
              <w:t>ile generale pentru viitoarele achiziții de servicii de transport de călători. Regiunile și unitățile regionale corespunzătoare stabilesc criterii detaliate specifice fiecărei regiuni, care țin seama în mod corespunzător de nevoile de transport specifice r</w:t>
            </w:r>
            <w:r>
              <w:rPr>
                <w:noProof/>
                <w:color w:val="006100"/>
                <w:sz w:val="18"/>
                <w:szCs w:val="18"/>
              </w:rPr>
              <w:t>egiunii și ajustează procesul de achiziții în consecință.</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45</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 – 1.3. Reîncărcare și realimentare — 16924Electromobilitate</w:t>
            </w: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Transportul public — punerea în aplicare a unei noi reglementări a pieței pentru obligația de serviciu public (autobuze)</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yellow"/>
              </w:rPr>
            </w:pPr>
            <w:r>
              <w:rPr>
                <w:noProof/>
                <w:color w:val="006100"/>
                <w:sz w:val="18"/>
                <w:szCs w:val="18"/>
              </w:rPr>
              <w:t>Intrarea în vigoare a legislației secundare referitoare la cadrul juridic revizuit.</w:t>
            </w: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secundare indicate în cadrul juridic revizuit pentru a consolida reglementarea pieței serviciilor publice urbane și regionale </w:t>
            </w:r>
            <w:r>
              <w:rPr>
                <w:noProof/>
                <w:color w:val="006100"/>
                <w:sz w:val="18"/>
                <w:szCs w:val="18"/>
              </w:rPr>
              <w:t>de transport de călători.</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46</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3 - 1.3. Reîncărcare și realimentare — 16831_Produc- E verde </w:t>
            </w: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Unități industriale — lansarea programului</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deciziei (deciziilor) ministeriale.</w:t>
            </w:r>
          </w:p>
          <w:p w:rsidR="00780A28" w:rsidRDefault="00780A28">
            <w:pPr>
              <w:spacing w:after="0" w:line="240" w:lineRule="auto"/>
              <w:rPr>
                <w:rFonts w:eastAsia="Times New Roman" w:cs="Calibri"/>
                <w:noProof/>
                <w:color w:val="006100"/>
                <w:sz w:val="18"/>
                <w:szCs w:val="18"/>
                <w:highlight w:val="yellow"/>
                <w:lang w:eastAsia="en-GB"/>
              </w:rPr>
            </w:pP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Lansarea programului de selecție a unităților</w:t>
            </w:r>
            <w:r>
              <w:rPr>
                <w:noProof/>
                <w:color w:val="006100"/>
                <w:sz w:val="18"/>
                <w:szCs w:val="18"/>
              </w:rPr>
              <w:t xml:space="preserve"> industriale și intrarea în vigoare a deciziei (deciziilor) ministeriale relevante de către Ministerul Mediului și Energiei care stabilește: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Procesul de selecție pentru a viza o economie cu emisii scăzute de dioxid de carbon și reziliența la schimbările </w:t>
            </w:r>
            <w:r>
              <w:rPr>
                <w:noProof/>
                <w:color w:val="006100"/>
                <w:sz w:val="18"/>
                <w:szCs w:val="18"/>
              </w:rPr>
              <w:t>climatice;</w:t>
            </w:r>
          </w:p>
          <w:p w:rsidR="00780A28" w:rsidRDefault="001867D7">
            <w:pPr>
              <w:spacing w:after="0" w:line="240" w:lineRule="auto"/>
              <w:rPr>
                <w:rFonts w:eastAsia="Times New Roman" w:cs="Calibri"/>
                <w:noProof/>
                <w:color w:val="006100"/>
                <w:sz w:val="18"/>
                <w:szCs w:val="18"/>
              </w:rPr>
            </w:pPr>
            <w:r>
              <w:rPr>
                <w:noProof/>
                <w:color w:val="006100"/>
                <w:sz w:val="18"/>
                <w:szCs w:val="18"/>
              </w:rPr>
              <w:t>– Definirea mecanismului de punere în aplicare;</w:t>
            </w:r>
          </w:p>
          <w:p w:rsidR="00780A28" w:rsidRDefault="001867D7">
            <w:pPr>
              <w:spacing w:after="0" w:line="240" w:lineRule="auto"/>
              <w:rPr>
                <w:rFonts w:eastAsia="Times New Roman" w:cs="Calibri"/>
                <w:noProof/>
                <w:color w:val="006100"/>
                <w:sz w:val="18"/>
                <w:szCs w:val="18"/>
              </w:rPr>
            </w:pPr>
            <w:r>
              <w:rPr>
                <w:noProof/>
                <w:color w:val="006100"/>
                <w:sz w:val="18"/>
                <w:szCs w:val="18"/>
              </w:rPr>
              <w:t>— Mecanism (e) de certificare pentru a valida îndeplinirea obiectivului privind schimbările climatice (inclusiv detalii privind posibilele măsuri corective, dacă este necesar;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 Calendar.</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Criteriile de selecție/eligibilitate stabilite asigură faptul că proiectele selectate respectă Orientările tehnice bazate pe principiul de „a nu aduce prejudicii semnificative” (2021/C58/01) prin utilizarea unei liste de excludere și a cerinței de confor</w:t>
            </w:r>
            <w:r>
              <w:rPr>
                <w:noProof/>
                <w:color w:val="006100"/>
                <w:sz w:val="18"/>
                <w:szCs w:val="18"/>
              </w:rPr>
              <w:t>mitate cu legislația UE și națională relevantă în materie de mediu.</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47</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3 - 1.3. Reîncărcare și realimentare — 16924Electromobilitate</w:t>
            </w: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Puncte de încărcare pentru vehicule electrice — lansarea programelor</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deciziei (deciziilor) </w:t>
            </w:r>
            <w:r>
              <w:rPr>
                <w:noProof/>
                <w:color w:val="006100"/>
                <w:sz w:val="18"/>
                <w:szCs w:val="18"/>
              </w:rPr>
              <w:t>ministeriale.</w:t>
            </w:r>
          </w:p>
          <w:p w:rsidR="00780A28" w:rsidRDefault="00780A28">
            <w:pPr>
              <w:spacing w:after="0" w:line="240" w:lineRule="auto"/>
              <w:rPr>
                <w:rFonts w:eastAsia="Times New Roman" w:cs="Calibri"/>
                <w:noProof/>
                <w:color w:val="006100"/>
                <w:sz w:val="18"/>
                <w:szCs w:val="18"/>
                <w:lang w:eastAsia="en-GB"/>
              </w:rPr>
            </w:pP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Lansarea unui program pentru selectarea a peste 8 000 de puncte de încărcare accesibile publicului pentru vehiculele electrice în locații strategice urbane și suburbane din orașe și în punctele de interes („electromobilitate”) și </w:t>
            </w:r>
            <w:r>
              <w:rPr>
                <w:noProof/>
                <w:color w:val="006100"/>
                <w:sz w:val="18"/>
                <w:szCs w:val="18"/>
              </w:rPr>
              <w:t>intrarea în vigoare a deciziei (deciziilor) ministeriale relevante de către Ministerul Mediului și Energiei care prevede:</w:t>
            </w:r>
          </w:p>
          <w:p w:rsidR="00780A28" w:rsidRDefault="001867D7">
            <w:pPr>
              <w:spacing w:after="0" w:line="240" w:lineRule="auto"/>
              <w:rPr>
                <w:rFonts w:eastAsia="Times New Roman" w:cs="Calibri"/>
                <w:noProof/>
                <w:color w:val="006100"/>
                <w:sz w:val="18"/>
                <w:szCs w:val="18"/>
              </w:rPr>
            </w:pPr>
            <w:r>
              <w:rPr>
                <w:noProof/>
                <w:color w:val="006100"/>
                <w:sz w:val="18"/>
                <w:szCs w:val="18"/>
              </w:rPr>
              <w:t>— procesul de selecție;</w:t>
            </w:r>
          </w:p>
          <w:p w:rsidR="00780A28" w:rsidRDefault="001867D7">
            <w:pPr>
              <w:spacing w:after="0" w:line="240" w:lineRule="auto"/>
              <w:rPr>
                <w:rFonts w:eastAsia="Times New Roman" w:cs="Calibri"/>
                <w:noProof/>
                <w:color w:val="006100"/>
                <w:sz w:val="18"/>
                <w:szCs w:val="18"/>
              </w:rPr>
            </w:pPr>
            <w:r>
              <w:rPr>
                <w:noProof/>
                <w:color w:val="006100"/>
                <w:sz w:val="18"/>
                <w:szCs w:val="18"/>
              </w:rPr>
              <w:t>– Definirea mecanismului de punere în aplicare;</w:t>
            </w:r>
          </w:p>
          <w:p w:rsidR="00780A28" w:rsidRDefault="001867D7">
            <w:pPr>
              <w:spacing w:after="0" w:line="240" w:lineRule="auto"/>
              <w:rPr>
                <w:rFonts w:eastAsia="Times New Roman" w:cs="Calibri"/>
                <w:noProof/>
                <w:color w:val="006100"/>
                <w:sz w:val="18"/>
                <w:szCs w:val="18"/>
              </w:rPr>
            </w:pPr>
            <w:r>
              <w:rPr>
                <w:noProof/>
                <w:color w:val="006100"/>
                <w:sz w:val="18"/>
                <w:szCs w:val="18"/>
              </w:rPr>
              <w:t>— Mecanism (e) de certificare pentru a valida îndeplinirea obi</w:t>
            </w:r>
            <w:r>
              <w:rPr>
                <w:noProof/>
                <w:color w:val="006100"/>
                <w:sz w:val="18"/>
                <w:szCs w:val="18"/>
              </w:rPr>
              <w:t>ectivului privind schimbările climatice (inclusiv detalii privind posibilele măsuri corective, dacă este necesar;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 Calendar.</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48</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 – 1.3. Reîncărcare și realimentare — 16924Electromobilitate</w:t>
            </w: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Transport durabil — studiu de fezabilitate</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unei decizii ministeriale comune de adoptare a studiului de fezabilitate pentru o agenție eMobility.</w:t>
            </w: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unei decizii ministeriale comune de adoptare a unui studiu de fezabilitate pentru înființarea unei </w:t>
            </w:r>
            <w:r>
              <w:rPr>
                <w:noProof/>
                <w:color w:val="006100"/>
                <w:sz w:val="18"/>
                <w:szCs w:val="18"/>
              </w:rPr>
              <w:t>agenții de electromobilitate care să asigure planificarea și coordonarea corespunzătoare între infrastructurile de transport și energie, administrațiile regionale și locale și să promoveze legăturile dintre lanțul de aprovizionare electronic — inclusiv pro</w:t>
            </w:r>
            <w:r>
              <w:rPr>
                <w:noProof/>
                <w:color w:val="006100"/>
                <w:sz w:val="18"/>
                <w:szCs w:val="18"/>
              </w:rPr>
              <w:t>ducătorii de baterii și de energie din surse regenerabile — și baza de cercetare și inovare.</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49</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3 - 1.3. Reîncărcare și realimentare — 16924Electromobilitate</w:t>
            </w: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Puncte de încărcare pentru vehicule electrice — locații de instalare confirmate</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w:t>
            </w:r>
            <w:r>
              <w:rPr>
                <w:noProof/>
                <w:color w:val="006100"/>
                <w:sz w:val="18"/>
                <w:szCs w:val="18"/>
              </w:rPr>
              <w:t xml:space="preserve"> acordării de către Ministerul Mediului și Energiei a cererii aprobate</w:t>
            </w: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acordării de către Ministerul Mediului și Energiei a cererilor aprobate depuse pentru instalarea a 8 656 de puncte de încărcare accesibile publicului pentru </w:t>
            </w:r>
            <w:r>
              <w:rPr>
                <w:noProof/>
                <w:color w:val="006100"/>
                <w:sz w:val="18"/>
                <w:szCs w:val="18"/>
              </w:rPr>
              <w:t>vehiculele electrice („electromobilitate”)</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50</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3 - 1.3. Reîncărcare și realimentare — 16831_Produc- E verde</w:t>
            </w: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Unități industriale — societăți selectate</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acordării de către Ministerul Mediului și Energiei a cererilor aprobate</w:t>
            </w: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acordării de către Ministerul Mediului și Energiei a cererilor aprobate depuse pentru peste 10 unități industriale („Produce E-Green”).</w:t>
            </w:r>
          </w:p>
          <w:p w:rsidR="00780A28" w:rsidRDefault="001867D7">
            <w:pPr>
              <w:spacing w:after="0" w:line="240" w:lineRule="auto"/>
              <w:rPr>
                <w:rFonts w:eastAsia="Times New Roman" w:cs="Calibri"/>
                <w:noProof/>
                <w:color w:val="006100"/>
                <w:sz w:val="18"/>
                <w:szCs w:val="18"/>
              </w:rPr>
            </w:pPr>
            <w:r>
              <w:rPr>
                <w:noProof/>
                <w:color w:val="006100"/>
                <w:sz w:val="18"/>
                <w:szCs w:val="18"/>
              </w:rPr>
              <w:t>Aplicațiile se selectează în conformitate cu criteriile de selecție/eligibilitate și se asigură că proiectel</w:t>
            </w:r>
            <w:r>
              <w:rPr>
                <w:noProof/>
                <w:color w:val="006100"/>
                <w:sz w:val="18"/>
                <w:szCs w:val="18"/>
              </w:rPr>
              <w:t>e selectate sunt conforme cu Orientările tehnice bazate pe principiul de „a nu aduce prejudicii semnificative” (2021/C58/01), prin utilizarea unei liste de excludere și a cerinței de conformitate cu legislația UE și națională relevantă în materie de mediu.</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51</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3 - 1.3. Reîncărcare și realimentare — 16831_Produc- E verde</w:t>
            </w: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Captarea și stocarea carbonului (CSC) — autorizație de stocare</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Emiterea autorizației de stocare și instituirea unui sistem de raportare.</w:t>
            </w: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Emiterea autorizației de stocare de </w:t>
            </w:r>
            <w:r>
              <w:rPr>
                <w:noProof/>
                <w:color w:val="006100"/>
                <w:sz w:val="18"/>
                <w:szCs w:val="18"/>
              </w:rPr>
              <w:t>către ministerul responsabil pentru captarea și stocarea carbonului (CSC) pentru operatorul confirmat. Depunerea de către solicitant a unei cereri complete la Ministerul Mediului și Energiei, care să includă toate studiile relevante, precum și un studiu de</w:t>
            </w:r>
            <w:r>
              <w:rPr>
                <w:noProof/>
                <w:color w:val="006100"/>
                <w:sz w:val="18"/>
                <w:szCs w:val="18"/>
              </w:rPr>
              <w:t xml:space="preserve"> evaluare a impactului asupra mediului. Instituirea unui sistem de raportare pentru raportarea anuală cu privire la CO</w:t>
            </w:r>
            <w:r>
              <w:rPr>
                <w:noProof/>
                <w:color w:val="006100"/>
                <w:sz w:val="18"/>
                <w:szCs w:val="18"/>
                <w:vertAlign w:val="subscript"/>
              </w:rPr>
              <w:t>2</w:t>
            </w:r>
            <w:r>
              <w:rPr>
                <w:noProof/>
                <w:color w:val="006100"/>
                <w:sz w:val="18"/>
                <w:szCs w:val="18"/>
              </w:rPr>
              <w:t xml:space="preserve"> stocat și confirmarea faptului că nu se extrage ulei, altul decât cel care se limitează la necesitățile indispensabile de gestionare a p</w:t>
            </w:r>
            <w:r>
              <w:rPr>
                <w:noProof/>
                <w:color w:val="006100"/>
                <w:sz w:val="18"/>
                <w:szCs w:val="18"/>
              </w:rPr>
              <w:t>resiunii și de asigurare a siguranței siturilor de stocare, precum și faptul că orice proces CO</w:t>
            </w:r>
            <w:r>
              <w:rPr>
                <w:noProof/>
                <w:color w:val="006100"/>
                <w:sz w:val="18"/>
                <w:szCs w:val="18"/>
                <w:vertAlign w:val="subscript"/>
              </w:rPr>
              <w:t>2</w:t>
            </w:r>
            <w:r>
              <w:rPr>
                <w:noProof/>
                <w:color w:val="006100"/>
                <w:sz w:val="18"/>
                <w:szCs w:val="18"/>
              </w:rPr>
              <w:t xml:space="preserve"> de extracție a petrolului asociat extracției indispensabile va fi separat și reintrodus pentru stocarea permanentă.</w:t>
            </w:r>
          </w:p>
          <w:p w:rsidR="00780A28" w:rsidRDefault="001867D7">
            <w:pPr>
              <w:spacing w:after="0" w:line="240" w:lineRule="auto"/>
              <w:rPr>
                <w:rFonts w:eastAsia="Times New Roman" w:cs="Calibri"/>
                <w:noProof/>
                <w:color w:val="006100"/>
                <w:sz w:val="18"/>
                <w:szCs w:val="18"/>
              </w:rPr>
            </w:pPr>
            <w:r>
              <w:rPr>
                <w:noProof/>
                <w:color w:val="006100"/>
                <w:sz w:val="18"/>
                <w:szCs w:val="18"/>
              </w:rPr>
              <w:t>Intervenția se efectuează în conformitate c</w:t>
            </w:r>
            <w:r>
              <w:rPr>
                <w:noProof/>
                <w:color w:val="006100"/>
                <w:sz w:val="18"/>
                <w:szCs w:val="18"/>
              </w:rPr>
              <w:t>u criteriile de selecție/eligibilitate incluse în Orientările tehnice bazate pe principiul de „a nu aduce prejudicii semnificative” (2021/C58/01), cu o referire specială la respectarea cerinței de a nu exista aplicații tehnologice, nici vreun tip de instal</w:t>
            </w:r>
            <w:r>
              <w:rPr>
                <w:noProof/>
                <w:color w:val="006100"/>
                <w:sz w:val="18"/>
                <w:szCs w:val="18"/>
              </w:rPr>
              <w:t>ații și echipamente concepute în vederea aplicării recuperării intensificate a petrolului (EOR) și a creșterii producției de petrol. Se va avea grijă ca orice posibilă extracție de petrol sau gaze să se limiteze la nevoile indispensabile de gestionare a pr</w:t>
            </w:r>
            <w:r>
              <w:rPr>
                <w:noProof/>
                <w:color w:val="006100"/>
                <w:sz w:val="18"/>
                <w:szCs w:val="18"/>
              </w:rPr>
              <w:t>esiunii și de asigurare a siguranței siturilor de stocare și ca orice astfel de extracție să fie efectuată numai dacă este indispensabilă pentru a asigura stocarea în condiții de siguranță a CO</w:t>
            </w:r>
            <w:r>
              <w:rPr>
                <w:noProof/>
                <w:color w:val="006100"/>
                <w:sz w:val="18"/>
                <w:szCs w:val="18"/>
                <w:vertAlign w:val="subscript"/>
              </w:rPr>
              <w:t>2</w:t>
            </w:r>
            <w:r>
              <w:rPr>
                <w:noProof/>
                <w:color w:val="006100"/>
                <w:sz w:val="18"/>
                <w:szCs w:val="18"/>
              </w:rPr>
              <w:t>. Emisiile de CO</w:t>
            </w:r>
            <w:r>
              <w:rPr>
                <w:noProof/>
                <w:color w:val="006100"/>
                <w:sz w:val="18"/>
                <w:szCs w:val="18"/>
                <w:vertAlign w:val="subscript"/>
              </w:rPr>
              <w:t>2</w:t>
            </w:r>
            <w:r>
              <w:rPr>
                <w:noProof/>
                <w:color w:val="006100"/>
                <w:sz w:val="18"/>
                <w:szCs w:val="18"/>
              </w:rPr>
              <w:t xml:space="preserve"> cu orice petrol sau gaz care pot fi extrase se separă și se reintroduc pentru depozitare permanentă.</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52</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3 - 1.3. Reîncărcare și realimentare — 16924Electromobilitate</w:t>
            </w: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Autobuze și taxiuri — înlocuire cu autobuze electrice</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de taxiuri și </w:t>
            </w:r>
            <w:r>
              <w:rPr>
                <w:noProof/>
                <w:color w:val="006100"/>
                <w:sz w:val="18"/>
                <w:szCs w:val="18"/>
              </w:rPr>
              <w:t>autobuze vechi casate de o instalație de tratare autorizată și înlocuite cu vehicule electrice pe bază de baterii sau autobuze electrice</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2 200</w:t>
            </w: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schemei de sprijin sub formă de subvenții pentru „transportul ecologic” prin a) înlocuirea </w:t>
            </w:r>
            <w:r>
              <w:rPr>
                <w:noProof/>
                <w:color w:val="006100"/>
                <w:sz w:val="18"/>
                <w:szCs w:val="18"/>
              </w:rPr>
              <w:t>a 2 000 taxiuri vechi cu 2 000 de vehicule electrice pe baterie noi (BEV) și b) înlocuirea a 220 autobuze vechi cu 220 autobuze electrice noi (163 autobuze electrice vor fi instalate în Atena, iar 57 autobuze electrice se vor afla în Salonic), în cazul căr</w:t>
            </w:r>
            <w:r>
              <w:rPr>
                <w:noProof/>
                <w:color w:val="006100"/>
                <w:sz w:val="18"/>
                <w:szCs w:val="18"/>
              </w:rPr>
              <w:t>ora casarea vehiculelor/autobuzelor mai vechi va fi efectuată de o instalație de tratare autorizată (ATF), în conformitate cu Directiva privind vehiculele scoase din uz (2000/53/CE).</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53</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3 - 1.3. Reîncărcare și realimentare — 16831_Produc- E verde</w:t>
            </w: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CCS — certificat de operare emis </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Eliberarea unui certificat de funcționare pentru captarea și stocarea carbonului.</w:t>
            </w: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lucrărilor pentru captarea și stocarea carbonului în conformitate cu specificațiile și în urma testării reușite</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54</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w:t>
            </w:r>
            <w:r>
              <w:rPr>
                <w:noProof/>
                <w:color w:val="006100"/>
                <w:sz w:val="18"/>
                <w:szCs w:val="18"/>
              </w:rPr>
              <w:t xml:space="preserve"> - 1.3. Reîncărcare și realimentare — 16831_Produc- E verde</w:t>
            </w:r>
          </w:p>
          <w:p w:rsidR="00780A28" w:rsidRDefault="00780A28">
            <w:pPr>
              <w:spacing w:after="0" w:line="240" w:lineRule="auto"/>
              <w:rPr>
                <w:rFonts w:eastAsia="Times New Roman" w:cs="Calibri"/>
                <w:noProof/>
                <w:color w:val="006100"/>
                <w:sz w:val="18"/>
                <w:szCs w:val="18"/>
                <w:lang w:eastAsia="en-GB"/>
              </w:rPr>
            </w:pP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Unități industriale — </w:t>
            </w:r>
          </w:p>
          <w:p w:rsidR="00780A28" w:rsidRDefault="001867D7">
            <w:pPr>
              <w:spacing w:after="0" w:line="240" w:lineRule="auto"/>
              <w:rPr>
                <w:rFonts w:eastAsia="Times New Roman" w:cs="Calibri"/>
                <w:noProof/>
                <w:color w:val="006100"/>
                <w:sz w:val="18"/>
                <w:szCs w:val="18"/>
              </w:rPr>
            </w:pPr>
            <w:r>
              <w:rPr>
                <w:noProof/>
                <w:color w:val="006100"/>
                <w:sz w:val="18"/>
                <w:szCs w:val="18"/>
              </w:rPr>
              <w:t>de utilizarea sau funcționarea</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certificată prin raportul Ministerului Mediului și Energiei privind unitățile industriale complet operaționale</w:t>
            </w: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Unitățile industriale selectate care au primit sprijin trebuie să funcționeze pe deplin cu departamentul de cercetare și dezvoltare (C &amp; D) dedicat produselor/serviciilor inovatoare în domeniul mobilității durabile (cum ar fi reciclarea bateriilor pentru a</w:t>
            </w:r>
            <w:r>
              <w:rPr>
                <w:noProof/>
                <w:color w:val="006100"/>
                <w:sz w:val="18"/>
                <w:szCs w:val="18"/>
              </w:rPr>
              <w:t>utomobile electrice prin reutilizarea materiilor prime precum litiul și cobaltul, proiectarea de vehicule electrice și puncte de încărcare regulate sau de înaltă putere).</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55</w:t>
            </w:r>
          </w:p>
        </w:tc>
        <w:tc>
          <w:tcPr>
            <w:tcW w:w="17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3 - 1.3. Reîncărcare și realimentare — 16831_Produc- E verde</w:t>
            </w:r>
          </w:p>
          <w:p w:rsidR="00780A28" w:rsidRDefault="001867D7">
            <w:pPr>
              <w:spacing w:after="0" w:line="240" w:lineRule="auto"/>
              <w:rPr>
                <w:rFonts w:eastAsia="Times New Roman" w:cs="Calibri"/>
                <w:noProof/>
                <w:color w:val="006100"/>
                <w:sz w:val="18"/>
                <w:szCs w:val="18"/>
              </w:rPr>
            </w:pPr>
            <w:r>
              <w:rPr>
                <w:noProof/>
                <w:color w:val="006100"/>
                <w:sz w:val="18"/>
                <w:szCs w:val="18"/>
              </w:rPr>
              <w:t>16924electromobilitate</w:t>
            </w:r>
          </w:p>
        </w:tc>
        <w:tc>
          <w:tcPr>
            <w:tcW w:w="1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Puncte de încărcare pentru vehicule electrice — instalații finalizate</w:t>
            </w:r>
          </w:p>
        </w:tc>
        <w:tc>
          <w:tcPr>
            <w:tcW w:w="215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puncte de încărcare pentru vehiculele electrice instalate, confirmat de Ministerul Mediului și Energiei</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8 000</w:t>
            </w:r>
          </w:p>
        </w:tc>
        <w:tc>
          <w:tcPr>
            <w:tcW w:w="7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2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instalării a cel puțin 8 000 de puncte de încărcare accesibile publicului pentru vehiculele electrice în locații urbane și suburbane strategice din cadrul orașelor și în punctele de interes și ale unităților operaționale selectate. </w:t>
            </w:r>
          </w:p>
        </w:tc>
      </w:tr>
    </w:tbl>
    <w:p w:rsidR="00780A28" w:rsidRDefault="00780A28">
      <w:pPr>
        <w:spacing w:before="120" w:after="120" w:line="240" w:lineRule="auto"/>
        <w:ind w:left="709"/>
        <w:rPr>
          <w:rFonts w:ascii="Times New Roman" w:hAnsi="Times New Roman" w:cs="Times New Roman"/>
          <w:noProof/>
          <w:sz w:val="24"/>
        </w:rPr>
      </w:pPr>
    </w:p>
    <w:p w:rsidR="00780A28" w:rsidRDefault="00780A28">
      <w:pPr>
        <w:spacing w:before="120" w:after="120" w:line="240" w:lineRule="auto"/>
        <w:ind w:left="709"/>
        <w:rPr>
          <w:rFonts w:ascii="Times New Roman" w:hAnsi="Times New Roman" w:cs="Times New Roman"/>
          <w:noProof/>
          <w:sz w:val="24"/>
        </w:rPr>
        <w:sectPr w:rsidR="00780A28">
          <w:headerReference w:type="even" r:id="rId57"/>
          <w:headerReference w:type="default" r:id="rId58"/>
          <w:footerReference w:type="even" r:id="rId59"/>
          <w:footerReference w:type="default" r:id="rId60"/>
          <w:headerReference w:type="first" r:id="rId61"/>
          <w:footerReference w:type="first" r:id="rId62"/>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D. COMPONENTA 1.4: UTILIZAREA DURABILĂ A RESURSELOR, REZILIENȚA LA SCHIMBĂRILE CLIMATICE ȘI PROTECȚIA MEDIULUI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componentă a planului de redresare și reziliență al Greciei vizează promovarea tranzi</w:t>
      </w:r>
      <w:r>
        <w:rPr>
          <w:rFonts w:ascii="Times New Roman" w:hAnsi="Times New Roman"/>
          <w:noProof/>
          <w:sz w:val="24"/>
        </w:rPr>
        <w:t>ț</w:t>
      </w:r>
      <w:r>
        <w:rPr>
          <w:rFonts w:ascii="Times New Roman" w:hAnsi="Times New Roman"/>
          <w:noProof/>
          <w:sz w:val="24"/>
        </w:rPr>
        <w:t>iei verzi. Acesta cuprinde reforme specifice și investiții menite să îmbunătățească protecția și refacerea mediului natural, inclusiv protecția biodiversității, să îmbunătățească infrastructura de mediu și să recupereze pierderile în ceea ce privește acop</w:t>
      </w:r>
      <w:r>
        <w:rPr>
          <w:rFonts w:ascii="Times New Roman" w:hAnsi="Times New Roman"/>
          <w:noProof/>
          <w:sz w:val="24"/>
        </w:rPr>
        <w:t>erirea pădurilor. În plus, aceasta include o reformă a gestionării deșeurilor care presupune, în special, instituirea unui organism național de reglementare în domeniul deșeurilor pentru a sprijini tranziția către o economie circulară bazată pe prevenirea,</w:t>
      </w:r>
      <w:r>
        <w:rPr>
          <w:rFonts w:ascii="Times New Roman" w:hAnsi="Times New Roman"/>
          <w:noProof/>
          <w:sz w:val="24"/>
        </w:rPr>
        <w:t xml:space="preserve"> reutilizarea și reciclarea deșeurilor. Aceasta instituie, de asemenea, o autoritate națională de reglementare în domeniul apei, cu scopul de a spori sustenabilitatea operațiunilor și a investițiilor în domeniul alimentării cu apă. Punerea în aplicare a re</w:t>
      </w:r>
      <w:r>
        <w:rPr>
          <w:rFonts w:ascii="Times New Roman" w:hAnsi="Times New Roman"/>
          <w:noProof/>
          <w:sz w:val="24"/>
        </w:rPr>
        <w:t>formelor și a investițiilor incluse în componentă sporește eficiența utilizării resurselor naturale și promovează protecția împotriva riscurilor și impacturilor legate de mediu atât pentru societate, cât și pentru economie. Componenta include, de asemenea,</w:t>
      </w:r>
      <w:r>
        <w:rPr>
          <w:rFonts w:ascii="Times New Roman" w:hAnsi="Times New Roman"/>
          <w:noProof/>
          <w:sz w:val="24"/>
        </w:rPr>
        <w:t xml:space="preserve"> investiții pentru îmbunătățirea alimentării cu apă potabilă și a furnizării de canalizare, precum și pentru prevenirea și atenuarea provocărilor de mediu cauzate de schimbările climatice.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Componenta sprijină abordarea Recomandării specifice fiecărei țări</w:t>
      </w:r>
      <w:r>
        <w:rPr>
          <w:rFonts w:ascii="Times New Roman" w:hAnsi="Times New Roman"/>
          <w:noProof/>
          <w:sz w:val="24"/>
        </w:rPr>
        <w:t xml:space="preserve"> nr. 3 din 2020 și a Recomandării specifice fiecărei țări nr. 2 din 2019 privind investițiile publice și private. Este de așteptat ca nicio măsură din cadrul acestei componente să nu afecteze în mod semnificativ obiectivele de mediu în sensul articolului 1</w:t>
      </w:r>
      <w:r>
        <w:rPr>
          <w:rFonts w:ascii="Times New Roman" w:hAnsi="Times New Roman"/>
          <w:noProof/>
          <w:sz w:val="24"/>
        </w:rPr>
        <w:t>7 din Regulamentul (UE) 2020/852, ținând seama de descrierea măsurilor și a măsurilor de atenuare stabilite în planul de redresare și reziliență în conformitate cu Orientările tehnice bazate pe principiul de „a nu aduce prejudicii semnificative” (2021/C58/</w:t>
      </w:r>
      <w:r>
        <w:rPr>
          <w:rFonts w:ascii="Times New Roman" w:hAnsi="Times New Roman"/>
          <w:noProof/>
          <w:sz w:val="24"/>
        </w:rPr>
        <w:t>01).</w:t>
      </w:r>
    </w:p>
    <w:p w:rsidR="00780A28" w:rsidRDefault="001867D7">
      <w:pPr>
        <w:tabs>
          <w:tab w:val="left" w:pos="1134"/>
        </w:tabs>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D.1.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Proiecte de alimentare cu apă (ID măsură: 16898)</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constă în lucrări de alimentare cu apă în zone din vestul </w:t>
      </w:r>
      <w:r>
        <w:rPr>
          <w:rFonts w:ascii="Times New Roman" w:hAnsi="Times New Roman"/>
          <w:noProof/>
          <w:sz w:val="24"/>
        </w:rPr>
        <w:t>Greciei și în insulele Lesbos și Corfu. Scopul investiției este de a satisface nevoile ridicate de aprovizionare cu apă în lunile de vară și de a aborda problemele legate de scurgeri. Sistemele construite trebuie să respecte, în medie, un indice de scurger</w:t>
      </w:r>
      <w:r>
        <w:rPr>
          <w:rFonts w:ascii="Times New Roman" w:hAnsi="Times New Roman"/>
          <w:noProof/>
          <w:sz w:val="24"/>
        </w:rPr>
        <w:t>e a infrastructurii (ILI) care va fi mai mic sau egal cu 1,5. Măsura impune ca toate lucrările să respecte următoarele principii: (i) se pun în aplicare toate măsurile de atenuare fezabile din punct de vedere tehnic și relevante din punct de vedere ecologi</w:t>
      </w:r>
      <w:r>
        <w:rPr>
          <w:rFonts w:ascii="Times New Roman" w:hAnsi="Times New Roman"/>
          <w:noProof/>
          <w:sz w:val="24"/>
        </w:rPr>
        <w:t xml:space="preserve">c pentru a reduce efectele negative asupra apelor și asupra habitatelor și speciilor relevante; (ii) pentru un baraj nou construit, să se asigure că acesta nu are ca rezultat deteriorarea și nici nu compromite atingerea unei stări bune a corpurilor de apă </w:t>
      </w:r>
      <w:r>
        <w:rPr>
          <w:rFonts w:ascii="Times New Roman" w:hAnsi="Times New Roman"/>
          <w:noProof/>
          <w:sz w:val="24"/>
        </w:rPr>
        <w:t xml:space="preserve">relevante și conectate. Se preconizează că această măsură nu aduce prejudicii semnificative obiectivelor de mediu în sensul articolului 17 din Regulamentul (UE) 2020/852, ținând seama de descrierea măsurii și de măsurile de atenuare stabilite în planul de </w:t>
      </w:r>
      <w:r>
        <w:rPr>
          <w:rFonts w:ascii="Times New Roman" w:hAnsi="Times New Roman"/>
          <w:noProof/>
          <w:sz w:val="24"/>
        </w:rPr>
        <w:t xml:space="preserve">redresare și reziliență, în conformitate cu Orientările tehnice bazate pe principiul de „a nu aduce prejudicii semnificative” (2021/C58/01). În special, pentru fiecare subinvestiție, se asigură respectarea deplină a cerințelor Directivei-cadru privind apa </w:t>
      </w:r>
      <w:r>
        <w:rPr>
          <w:rFonts w:ascii="Times New Roman" w:hAnsi="Times New Roman"/>
          <w:noProof/>
          <w:sz w:val="24"/>
        </w:rPr>
        <w:t xml:space="preserve">(Directiva 2000/60/CE) înainte de începerea lucrărilor de construcție. În plus, măsura face obiectul unei evaluări a impactului asupra mediului (EIM) în temeiul Directivei 2011/92/UE, precum și al unor evaluări relevante în contextul Directivei 2000/60/CE </w:t>
      </w:r>
      <w:r>
        <w:rPr>
          <w:rFonts w:ascii="Times New Roman" w:hAnsi="Times New Roman"/>
          <w:noProof/>
          <w:sz w:val="24"/>
        </w:rPr>
        <w:t>ș</w:t>
      </w:r>
      <w:r>
        <w:rPr>
          <w:rFonts w:ascii="Times New Roman" w:hAnsi="Times New Roman"/>
          <w:noProof/>
          <w:sz w:val="24"/>
        </w:rPr>
        <w:t>i al Directivei 92/43/CEE, inclusiv punerea în aplicare a măsurilor de atenuare necesare.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Planul național de reîmpădurire și investiția emblematică de la Parnitha (numărul</w:t>
      </w:r>
      <w:r>
        <w:rPr>
          <w:rFonts w:ascii="Times New Roman" w:hAnsi="Times New Roman"/>
          <w:noProof/>
          <w:sz w:val="24"/>
        </w:rPr>
        <w:t xml:space="preserve"> de identificare al măsurii: 16849)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investiție are două părți. În primul rând, refacerea a 16 500 ha de ecosisteme forestiere degradate în Grecia. Proiectul acoperă atât studiile de reîmpădurire, cât și punerea lor în aplicare. În al doilea rând, u</w:t>
      </w:r>
      <w:r>
        <w:rPr>
          <w:rFonts w:ascii="Times New Roman" w:hAnsi="Times New Roman"/>
          <w:noProof/>
          <w:sz w:val="24"/>
        </w:rPr>
        <w:t>n proiect emblematic pentru Muntele Parnitha, la nord de Atena, care va restabili mediul său natural, îl va proteja mai bine împotriva incendiilor forestiere, va îmbunătăți accesul la acesta și va reconstrui instalațiile abandonate pentru utilizări ușoare.</w:t>
      </w:r>
      <w:r>
        <w:rPr>
          <w:rFonts w:ascii="Times New Roman" w:hAnsi="Times New Roman"/>
          <w:noProof/>
          <w:sz w:val="24"/>
        </w:rPr>
        <w:t xml:space="preserv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Infrastructuri de gestionare a apelor urbane reziduale și a nămolurilor rezultate din tratarea apelor uzate (numărul de identificare al măsurii: 16846)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reduce p</w:t>
      </w:r>
      <w:r>
        <w:rPr>
          <w:rFonts w:ascii="Times New Roman" w:hAnsi="Times New Roman"/>
          <w:noProof/>
          <w:sz w:val="24"/>
        </w:rPr>
        <w:t>oluarea mediului natural și a celor provocate de om care rezultă din tratarea apelor reziduale, prin construirea de noi infrastructuri și prin modernizarea infrastructurii existente. Acesta constă în trei subproiecte: (a) construirea a 37 de noi infrastruc</w:t>
      </w:r>
      <w:r>
        <w:rPr>
          <w:rFonts w:ascii="Times New Roman" w:hAnsi="Times New Roman"/>
          <w:noProof/>
          <w:sz w:val="24"/>
        </w:rPr>
        <w:t>turi de rețele de canalizare și stații de epurare a apelor reziduale, (b) modernizarea, extinderea și modernizarea a 11 stații de epurare a apelor uzate și reutilizarea apei tratate și (c) construirea a 16 infrastructuri de gestionare a nămolurilor din sta</w:t>
      </w:r>
      <w:r>
        <w:rPr>
          <w:rFonts w:ascii="Times New Roman" w:hAnsi="Times New Roman"/>
          <w:noProof/>
          <w:sz w:val="24"/>
        </w:rPr>
        <w:t>ț</w:t>
      </w:r>
      <w:r>
        <w:rPr>
          <w:rFonts w:ascii="Times New Roman" w:hAnsi="Times New Roman"/>
          <w:noProof/>
          <w:sz w:val="24"/>
        </w:rPr>
        <w:t>iile de epurare a apelor reziduale. Partea din investiție legată de modernizarea și modernizarea a 11 stații de epurare a apelor uzate trebuie să respecte cerința ca reînnoirea sistemului de tratare a apelor reziduale de la un capăt la altul să conducă la</w:t>
      </w:r>
      <w:r>
        <w:rPr>
          <w:rFonts w:ascii="Times New Roman" w:hAnsi="Times New Roman"/>
          <w:noProof/>
          <w:sz w:val="24"/>
        </w:rPr>
        <w:t xml:space="preserve"> o scădere a consumului mediu de energie cu cel puțin 10 %, realizată exclusiv prin măsuri de eficiență energetică, și nu prin modificări semnificative sau modificări ale sarcinii. Se preconizează că această măsură nu aduce prejudicii semnificative obiecti</w:t>
      </w:r>
      <w:r>
        <w:rPr>
          <w:rFonts w:ascii="Times New Roman" w:hAnsi="Times New Roman"/>
          <w:noProof/>
          <w:sz w:val="24"/>
        </w:rPr>
        <w:t>velor de mediu în sensul articolului 17 din Regulamentul (UE) 2020/852, ținând seama de descrierea măsurii și de măsurile de atenuare stabilite în planul de redresare și reziliență, în conformitate cu Orientările tehnice bazate pe principiul de „a nu aduce</w:t>
      </w:r>
      <w:r>
        <w:rPr>
          <w:rFonts w:ascii="Times New Roman" w:hAnsi="Times New Roman"/>
          <w:noProof/>
          <w:sz w:val="24"/>
        </w:rPr>
        <w:t xml:space="preserve"> prejudicii semnificative” (2021/C58/01). În special, măsura face obiectul unei evaluări a impactului asupra mediului (EIM) în temeiul Directivei 2011/92/UE, precum și al unor evaluări relevante în contextul Directivei 2000/60/CE și al Directivei 92/43/CEE</w:t>
      </w:r>
      <w:r>
        <w:rPr>
          <w:rFonts w:ascii="Times New Roman" w:hAnsi="Times New Roman"/>
          <w:noProof/>
          <w:sz w:val="24"/>
        </w:rPr>
        <w:t>, inclusiv punerea în aplicare a măsurilor de atenuare necesare.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Investiții în rețeaua națională de irigații prin intermediul schemelor de parteneriat public-privat (număru</w:t>
      </w:r>
      <w:r>
        <w:rPr>
          <w:rFonts w:ascii="Times New Roman" w:hAnsi="Times New Roman"/>
          <w:noProof/>
          <w:sz w:val="24"/>
        </w:rPr>
        <w:t>l de identificare al măsurii: 16285)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este un program holistic pentru modernizarea și modernizarea cadrului național de agromediu, de îmbunătățire a terenurilor și de reabilitare. Aceste investiții consolidează reziliența și competitivitatea sect</w:t>
      </w:r>
      <w:r>
        <w:rPr>
          <w:rFonts w:ascii="Times New Roman" w:hAnsi="Times New Roman"/>
          <w:noProof/>
          <w:sz w:val="24"/>
        </w:rPr>
        <w:t>orului agricol, stimulează aprovizionarea și calitatea apei disponibile, raționalizează consumul de apă, atenuează riscurile de salinizare și deșertificare și abordează conservarea și protejarea biodiversității și a habitatelor naturale. Această măsură cup</w:t>
      </w:r>
      <w:r>
        <w:rPr>
          <w:rFonts w:ascii="Times New Roman" w:hAnsi="Times New Roman"/>
          <w:noProof/>
          <w:sz w:val="24"/>
        </w:rPr>
        <w:t>rinde, de asemenea, o reformă a cadrului instituțional, organizațional și operațional al rețelelor colective de irigații. Măsura impune ca toate lucrările să respecte următoarele principii: (i) se pun în aplicare toate măsurile de adaptare la schimbările c</w:t>
      </w:r>
      <w:r>
        <w:rPr>
          <w:rFonts w:ascii="Times New Roman" w:hAnsi="Times New Roman"/>
          <w:noProof/>
          <w:sz w:val="24"/>
        </w:rPr>
        <w:t xml:space="preserve">limatice fezabile din punct de vedere tehnic și relevante din punct de vedere ecologic, precum și atenuarea eventualelor efecte negative asupra apelor și a habitatelor și speciilor relevante, în cazul în care sunt necesare măsuri suplimentare; (ii) pentru </w:t>
      </w:r>
      <w:r>
        <w:rPr>
          <w:rFonts w:ascii="Times New Roman" w:hAnsi="Times New Roman"/>
          <w:noProof/>
          <w:sz w:val="24"/>
        </w:rPr>
        <w:t xml:space="preserve">un baraj nou construit, să se asigure că acesta nu are ca rezultat deteriorarea și nici nu compromite atingerea unei stări bune a corpurilor de apă relevante și conectate. Se preconizează că această măsură nu aduce prejudicii semnificative obiectivelor de </w:t>
      </w:r>
      <w:r>
        <w:rPr>
          <w:rFonts w:ascii="Times New Roman" w:hAnsi="Times New Roman"/>
          <w:noProof/>
          <w:sz w:val="24"/>
        </w:rPr>
        <w:t>mediu în sensul articolului 17 din Regulamentul (UE) 2020/852, ținând seama de descrierea măsurii și de măsurile de atenuare stabilite în planul de redresare și reziliență, în conformitate cu Orientările tehnice bazate pe principiul de „a nu aduce prejudic</w:t>
      </w:r>
      <w:r>
        <w:rPr>
          <w:rFonts w:ascii="Times New Roman" w:hAnsi="Times New Roman"/>
          <w:noProof/>
          <w:sz w:val="24"/>
        </w:rPr>
        <w:t xml:space="preserve">ii semnificative” (2021/C58/01). În special, pentru fiecare subinvestiție, se asigură respectarea deplină a cerințelor legislației UE, inclusiv a Directivei-cadru privind apa, înainte, în timpul și după începerea lucrărilor de construcție. În plus, măsura </w:t>
      </w:r>
      <w:r>
        <w:rPr>
          <w:rFonts w:ascii="Times New Roman" w:hAnsi="Times New Roman"/>
          <w:noProof/>
          <w:sz w:val="24"/>
        </w:rPr>
        <w:t>face obiectul unei evaluări a impactului asupra mediului (EIM) în temeiul Directivei 2011/92/UE, precum și al unor evaluări relevante în contextul Directivei 2000/60/CE și al Directivei 92/43/CEE, inclusiv punerea în aplicare a măsurilor de atenuare necesa</w:t>
      </w:r>
      <w:r>
        <w:rPr>
          <w:rFonts w:ascii="Times New Roman" w:hAnsi="Times New Roman"/>
          <w:noProof/>
          <w:sz w:val="24"/>
        </w:rPr>
        <w:t>re.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Infrastructuri de alimentare cu apă potabilă și de salvare (numărul de identificare al măsurii: 16850)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urmărește să îmbunătățească disponibilitatea și calita</w:t>
      </w:r>
      <w:r>
        <w:rPr>
          <w:rFonts w:ascii="Times New Roman" w:hAnsi="Times New Roman"/>
          <w:noProof/>
          <w:sz w:val="24"/>
        </w:rPr>
        <w:t>tea apei potabile și să reducă riscurile de relocare și de sănătate publică legate de infrastructura de alimentare cu apă. Investiția constă în patru subproiecte: (a) construirea de noi infrastructuri de alimentare cu apă în șapte zone și trei stații de de</w:t>
      </w:r>
      <w:r>
        <w:rPr>
          <w:rFonts w:ascii="Times New Roman" w:hAnsi="Times New Roman"/>
          <w:noProof/>
          <w:sz w:val="24"/>
        </w:rPr>
        <w:t>salinizare, (b) crearea de sisteme de telemetrie — de control la distanță pentru detectarea scurgerilor în rețelele de alimentare cu apă, (c) achiziționarea de hidrometre digitale și (d) alte acțiuni de economisire a apei. Investiția trebuie să respecte ur</w:t>
      </w:r>
      <w:r>
        <w:rPr>
          <w:rFonts w:ascii="Times New Roman" w:hAnsi="Times New Roman"/>
          <w:noProof/>
          <w:sz w:val="24"/>
        </w:rPr>
        <w:t>mătoarele cerințe, (i) ca sistemul nou construit să aibă un indice mediu de scurgere a infrastructurii (ILI) care va fi mai mic sau egal cu 1,5 și (ii) ca activitatea de renovare să reducă scurgerile cu mai mult de 20 % și (iii) ca unitățile de desalinizar</w:t>
      </w:r>
      <w:r>
        <w:rPr>
          <w:rFonts w:ascii="Times New Roman" w:hAnsi="Times New Roman"/>
          <w:noProof/>
          <w:sz w:val="24"/>
        </w:rPr>
        <w:t>e să fie conectate la surse regenerabile de energie. Se preconizează că această măsură nu aduce prejudicii semnificative obiectivelor de mediu în sensul articolului 17 din Regulamentul (UE) 2020/852, ținând seama de descrierea măsurii și de măsurile de ate</w:t>
      </w:r>
      <w:r>
        <w:rPr>
          <w:rFonts w:ascii="Times New Roman" w:hAnsi="Times New Roman"/>
          <w:noProof/>
          <w:sz w:val="24"/>
        </w:rPr>
        <w:t>nuare stabilite în planul de redresare și reziliență, în conformitate cu Orientările tehnice bazate pe principiul de „a nu aduce prejudicii semnificative” (2021/C58/01). În special, măsura face obiectul unei evaluări a impactului asupra mediului (EIM) în t</w:t>
      </w:r>
      <w:r>
        <w:rPr>
          <w:rFonts w:ascii="Times New Roman" w:hAnsi="Times New Roman"/>
          <w:noProof/>
          <w:sz w:val="24"/>
        </w:rPr>
        <w:t>emeiul Directivei 2011/92/UE, precum și al unor evaluări relevante în contextul Directivei 2000/60/CE și al Directivei 92/43/CEE, inclusiv punerea în aplicare a măsurilor de atenuare necesare. Implementarea investiției trebuie finalizată până la 31 decembr</w:t>
      </w:r>
      <w:r>
        <w:rPr>
          <w:rFonts w:ascii="Times New Roman" w:hAnsi="Times New Roman"/>
          <w:noProof/>
          <w:sz w:val="24"/>
        </w:rPr>
        <w:t>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Mijloace aeriene de gestionare a crizelor (numărul de identificare al măsurii: 16911)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livrarea mijloacelor aeriene achiziționate și modernizarea aeronavelor existente utilizate pentru protecția civilă, cum ar fi el</w:t>
      </w:r>
      <w:r>
        <w:rPr>
          <w:rFonts w:ascii="Times New Roman" w:hAnsi="Times New Roman"/>
          <w:noProof/>
          <w:sz w:val="24"/>
        </w:rPr>
        <w:t>icopterele de uz medical, transportul și instalarea infrastructurii de urgență, dronele pentru supravegherea aeriană și aeronavele pentru stingerea incendiilor. Se preconizează că această măsură nu aduce prejudicii semnificative obiectivelor de mediu în se</w:t>
      </w:r>
      <w:r>
        <w:rPr>
          <w:rFonts w:ascii="Times New Roman" w:hAnsi="Times New Roman"/>
          <w:noProof/>
          <w:sz w:val="24"/>
        </w:rPr>
        <w:t>nsul articolului 17 din Regulamentul (UE) 2020/852, ținând seama de descrierea măsurii și de măsurile de atenuare stabilite în planul de redresare și reziliență, în conformitate cu Orientările tehnice bazate pe principiul de „a nu aduce prejudicii semnific</w:t>
      </w:r>
      <w:r>
        <w:rPr>
          <w:rFonts w:ascii="Times New Roman" w:hAnsi="Times New Roman"/>
          <w:noProof/>
          <w:sz w:val="24"/>
        </w:rPr>
        <w:t>ative” (2021/C58/01). În special, toate aeronavele cu destinație specială trebuie să fie active de tip „best in class”.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Proiecte de atenuare a inundațiilor (identificatorul</w:t>
      </w:r>
      <w:r>
        <w:rPr>
          <w:rFonts w:ascii="Times New Roman" w:hAnsi="Times New Roman"/>
          <w:noProof/>
          <w:sz w:val="24"/>
        </w:rPr>
        <w:t xml:space="preserve"> măsurii: 16882)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cuprinde intervenții de reducere a riscurilor de inundații, de furnizare a apei pentru irigații în zonele care se confruntă cu secetă în timpul verii și de îmbunătățire a eficienței gestionării apelor de suprafață în mai multe zone din Grecia. M</w:t>
      </w:r>
      <w:r>
        <w:rPr>
          <w:rFonts w:ascii="Times New Roman" w:hAnsi="Times New Roman"/>
          <w:noProof/>
          <w:sz w:val="24"/>
        </w:rPr>
        <w:t>ăsura impune ca toate lucrările să respecte următoarele principii: (i) se pun în aplicare toate măsurile de atenuare fezabile din punct de vedere tehnic și relevante din punct de vedere ecologic pentru a reduce efectele negative asupra apelor și asupra hab</w:t>
      </w:r>
      <w:r>
        <w:rPr>
          <w:rFonts w:ascii="Times New Roman" w:hAnsi="Times New Roman"/>
          <w:noProof/>
          <w:sz w:val="24"/>
        </w:rPr>
        <w:t>itatelor și speciilor relevante; (ii) pentru un baraj nou construit, să se asigure că acesta nu are ca rezultat deteriorarea și nici nu compromite atingerea unei stări bune a corpurilor de apă relevante și conectate. Se preconizează că această măsură nu ad</w:t>
      </w:r>
      <w:r>
        <w:rPr>
          <w:rFonts w:ascii="Times New Roman" w:hAnsi="Times New Roman"/>
          <w:noProof/>
          <w:sz w:val="24"/>
        </w:rPr>
        <w:t>uce prejudicii semnificative obiectivelor de mediu în sensul articolului 17 din Regulamentul (UE) 2020/852, ținând seama de descrierea măsurii și de măsurile de atenuare stabilite în planul de redresare și reziliență, în conformitate cu Orientările tehnice</w:t>
      </w:r>
      <w:r>
        <w:rPr>
          <w:rFonts w:ascii="Times New Roman" w:hAnsi="Times New Roman"/>
          <w:noProof/>
          <w:sz w:val="24"/>
        </w:rPr>
        <w:t xml:space="preserve"> bazate pe principiul de „a nu aduce prejudicii semnificative” (2021/C58/01). În special, pentru fiecare subinvestiție, se asigură respectarea deplină a cerințelor Directivei-cadru privind apa (Directiva 2000/60/CE) înainte, în timpul și după începerea luc</w:t>
      </w:r>
      <w:r>
        <w:rPr>
          <w:rFonts w:ascii="Times New Roman" w:hAnsi="Times New Roman"/>
          <w:noProof/>
          <w:sz w:val="24"/>
        </w:rPr>
        <w:t>rărilor de construcție. În plus, măsura face obiectul unei evaluări a impactului asupra mediului (EIM) în temeiul Directivei 2011/92/UE, precum și al unor evaluări relevante în contextul Directivei 2000/60/CE și al Directivei 92/43/CEE, inclusiv punerea în</w:t>
      </w:r>
      <w:r>
        <w:rPr>
          <w:rFonts w:ascii="Times New Roman" w:hAnsi="Times New Roman"/>
          <w:noProof/>
          <w:sz w:val="24"/>
        </w:rPr>
        <w:t xml:space="preserve"> aplicare a măsurilor de atenuare necesare. Implementarea investiției trebuie finalizată până la 31 decembrie 2025.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Echipamente de combatere a incendiilor forestiere, de prevenire și de reacție (numărul de identificare al măsurii: 16912)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w:t>
      </w:r>
      <w:r>
        <w:rPr>
          <w:rFonts w:ascii="Times New Roman" w:hAnsi="Times New Roman"/>
          <w:noProof/>
          <w:sz w:val="24"/>
        </w:rPr>
        <w:t xml:space="preserve">tiția constă în livrarea echipamentelor de combatere a incendiilor forestiere, de prevenire și de reacție achiziționate; dezvoltarea de proiecte de prevenire pentru regiuni și autorități locale; și sprijin pentru Secretariatul General al organizațiilor de </w:t>
      </w:r>
      <w:r>
        <w:rPr>
          <w:rFonts w:ascii="Times New Roman" w:hAnsi="Times New Roman"/>
          <w:noProof/>
          <w:sz w:val="24"/>
        </w:rPr>
        <w:t>voluntariat din domeniul protecției civile.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Protecția biodiversității ca motor al creșterii durabile (numărul de identificare al măsurii: 16851)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următo</w:t>
      </w:r>
      <w:r>
        <w:rPr>
          <w:rFonts w:ascii="Times New Roman" w:hAnsi="Times New Roman"/>
          <w:noProof/>
          <w:sz w:val="24"/>
        </w:rPr>
        <w:t>arele proiecte: (a) crearea unei rețele naționale de drumuri și trasee de drumeții, (b) consolidarea protecției mediului prin punerea în aplicare a unui sistem național de monitorizare permanentă a speciilor și a tipurilor de habitate, (c) instituirea unui</w:t>
      </w:r>
      <w:r>
        <w:rPr>
          <w:rFonts w:ascii="Times New Roman" w:hAnsi="Times New Roman"/>
          <w:noProof/>
          <w:sz w:val="24"/>
        </w:rPr>
        <w:t xml:space="preserve"> sistem național de supraveghere a zonelor protejate, (d) introducerea aplicațiilor multimedia, a bioclimei și a modernizării energetice a instalațiilor de construcții ale unităților de gestionare a zonelor protejate, (e) modernizarea centrelor de informar</w:t>
      </w:r>
      <w:r>
        <w:rPr>
          <w:rFonts w:ascii="Times New Roman" w:hAnsi="Times New Roman"/>
          <w:noProof/>
          <w:sz w:val="24"/>
        </w:rPr>
        <w:t>e ale unităților de management al zonelor protejate, (f) crearea unei platforme digitale integrate pentru a oferi informații cu privire la zonele protejate, cum ar fi ecoturismul, și (g) promovarea produselor locale sub o marcă umbrelă „Nature Greece”. Imp</w:t>
      </w:r>
      <w:r>
        <w:rPr>
          <w:rFonts w:ascii="Times New Roman" w:hAnsi="Times New Roman"/>
          <w:noProof/>
          <w:sz w:val="24"/>
        </w:rPr>
        <w:t>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Infrastructură — Instituirea unui sistem național strategic de gestionare a riscurilor de dezastre (numărul de identificare al măsurii: 16909)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cuprinde modernizarea</w:t>
      </w:r>
      <w:r>
        <w:rPr>
          <w:rFonts w:ascii="Times New Roman" w:hAnsi="Times New Roman"/>
          <w:noProof/>
          <w:sz w:val="24"/>
        </w:rPr>
        <w:t xml:space="preserve"> și furnizarea de echipamente digitale pentru clădirile Secretariatului General pentru Protecție Civilă, precum și dezvoltarea de centre de administrare mobilă și de management la fața locului, cum ar fi controlul supravegherii aeriene și echipamentele de </w:t>
      </w:r>
      <w:r>
        <w:rPr>
          <w:rFonts w:ascii="Times New Roman" w:hAnsi="Times New Roman"/>
          <w:noProof/>
          <w:sz w:val="24"/>
        </w:rPr>
        <w:t>telecomunicații.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Sistemul de monitorizare și gestionare (identificatorul măsurii: 16910)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furnizarea de infrastructură digitală pentru Secretariatul Gen</w:t>
      </w:r>
      <w:r>
        <w:rPr>
          <w:rFonts w:ascii="Times New Roman" w:hAnsi="Times New Roman"/>
          <w:noProof/>
          <w:sz w:val="24"/>
        </w:rPr>
        <w:t>eral pentru Protecție Civilă, cum ar fi un sistem de monitorizare GPS, un sistem de avertizare rapidă, sisteme de detectare a incendiilor și de stingere a incendiilor și stații de comunicare în caz de urgență. Implementarea investiției trebuie finalizată p</w:t>
      </w:r>
      <w:r>
        <w:rPr>
          <w:rFonts w:ascii="Times New Roman" w:hAnsi="Times New Roman"/>
          <w:noProof/>
          <w:sz w:val="24"/>
        </w:rPr>
        <w:t>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Punerea în aplicare a centrelor regionale de protecție civilă (PEKEPP) prin intermediul sistemelor PPP (numărul de identificare al măsurii: 16283)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Construirea a 13 centre regionale de protecție civilă prin parteneriate</w:t>
      </w:r>
      <w:r>
        <w:rPr>
          <w:rFonts w:ascii="Times New Roman" w:hAnsi="Times New Roman"/>
          <w:noProof/>
          <w:sz w:val="24"/>
        </w:rPr>
        <w:t xml:space="preserve"> public-privat. Obiectivul investiției este de a asigura gestionarea la timp și eficace a riscurilor și a crizelor la nivel regional. Clădirile nou construite trebuie să respecte o cerere de energie primară (PED) care este cu cel puțin 20 % mai mică decât </w:t>
      </w:r>
      <w:r>
        <w:rPr>
          <w:rFonts w:ascii="Times New Roman" w:hAnsi="Times New Roman"/>
          <w:noProof/>
          <w:sz w:val="24"/>
        </w:rPr>
        <w:t>cerința NZEB (clădiri al căror consum de energie este aproape egal cu zero, directivele naționale). Se preconizează că această măsură nu aduce prejudicii semnificative obiectivelor de mediu în sensul articolului 17 din Regulamentul (UE) 2020/852, ținând se</w:t>
      </w:r>
      <w:r>
        <w:rPr>
          <w:rFonts w:ascii="Times New Roman" w:hAnsi="Times New Roman"/>
          <w:noProof/>
          <w:sz w:val="24"/>
        </w:rPr>
        <w:t xml:space="preserve">ama de descrierea măsurii și de măsurile de atenuare stabilite în planul de redresare și reziliență, în conformitate cu Orientările tehnice bazate pe principiul de „a nu aduce prejudicii semnificative” (2021/C58/01). În special, măsura impune operatorilor </w:t>
      </w:r>
      <w:r>
        <w:rPr>
          <w:rFonts w:ascii="Times New Roman" w:hAnsi="Times New Roman"/>
          <w:noProof/>
          <w:sz w:val="24"/>
        </w:rPr>
        <w:t>economici care efectuează lucrări de construcții să se asigure că cel puțin 70 % (în greutate) din deșeurile nepericuloase provenite din activități de construcție și demolări [cu excepția materialelor geologice naturale menționate în categoria 17 05 04 din</w:t>
      </w:r>
      <w:r>
        <w:rPr>
          <w:rFonts w:ascii="Times New Roman" w:hAnsi="Times New Roman"/>
          <w:noProof/>
          <w:sz w:val="24"/>
        </w:rPr>
        <w:t xml:space="preserve"> Lista europeană a deșeurilor stabilită prin Decizia 2000/532/CE din 3 mai 2000 de înlocuire a Deciziei 94/3/CE de stabilire a unei liste de deșeuri în temeiul articolului 1 litera a) din Directiva 75/442/CEE a Consiliului privind deșeurile și a Deciziei 9</w:t>
      </w:r>
      <w:r>
        <w:rPr>
          <w:rFonts w:ascii="Times New Roman" w:hAnsi="Times New Roman"/>
          <w:noProof/>
          <w:sz w:val="24"/>
        </w:rPr>
        <w:t>4/904/CE a Consiliului de stabilire a unei liste de deșeuri periculoase în temeiul articolului 1 alineatul (4) din Directiva 91/689/CEE a Consiliului privind deșeurile periculoase [notificată cu numărul de document C (2000) 1147] generate pe șantier sunt p</w:t>
      </w:r>
      <w:r>
        <w:rPr>
          <w:rFonts w:ascii="Times New Roman" w:hAnsi="Times New Roman"/>
          <w:noProof/>
          <w:sz w:val="24"/>
        </w:rPr>
        <w:t>regătite pentru reutilizare, reciclare și alte deșeuri, inclusiv operațiunile de rambleiere care utilizează deșeuri pentru a înlocui alte materiale, în conformitate cu ierarhia deșeurilor și cu Protocolul UE privind gestionarea deșeurilor din construcții ș</w:t>
      </w:r>
      <w:r>
        <w:rPr>
          <w:rFonts w:ascii="Times New Roman" w:hAnsi="Times New Roman"/>
          <w:noProof/>
          <w:sz w:val="24"/>
        </w:rPr>
        <w:t>i demolări. Implementarea investiției trebuie finalizată până la 31 decembrie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Legea privind gestionarea deșeurilor pentru punerea în aplicare a depozitării și reciclării durabile a deșeurilor (numărul de identificare al măsurii: 16772)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w:t>
      </w:r>
      <w:r>
        <w:rPr>
          <w:rFonts w:ascii="Times New Roman" w:hAnsi="Times New Roman"/>
          <w:noProof/>
          <w:sz w:val="24"/>
        </w:rPr>
        <w:t>tă reformă cuprinde o revizuire a legislației existente privind gestionarea deșeurilor, cu scopul de a permite tranziția către o economie circulară. În special, reforma introduce stimulente pentru ca municipalitățile să atingă rate de reciclare mai ridicat</w:t>
      </w:r>
      <w:r>
        <w:rPr>
          <w:rFonts w:ascii="Times New Roman" w:hAnsi="Times New Roman"/>
          <w:noProof/>
          <w:sz w:val="24"/>
        </w:rPr>
        <w:t>e, să asigure colectarea separată a deșeurilor biologice până la sfârșitul anului 2022 și a deșeurilor metalice, a hârtiei, a sticlei și a plasticului, să extindă sistemul „responsabilității producătorului”, să modernizeze funcționarea instalațiilor de sor</w:t>
      </w:r>
      <w:r>
        <w:rPr>
          <w:rFonts w:ascii="Times New Roman" w:hAnsi="Times New Roman"/>
          <w:noProof/>
          <w:sz w:val="24"/>
        </w:rPr>
        <w:t>tare a reciclării și să simplifice legislația în jurul punctelor verzi. Reforma sprijină atingerea obiectivelor de creștere a ratelor de reutilizare și reciclare a deșeurilor municipale solide la 60 % și de reducere a ratei de depozitare a deșeurilor la 10</w:t>
      </w:r>
      <w:r>
        <w:rPr>
          <w:rFonts w:ascii="Times New Roman" w:hAnsi="Times New Roman"/>
          <w:noProof/>
          <w:sz w:val="24"/>
        </w:rPr>
        <w:t> % până în 2030. Autoritatea națională de reglementare a deșeurilor instituită în contextul acestei reforme este responsabilă, printre altele, de asigurarea solidității politicii de stabilire a prețurilor, de supravegherea punerii în aplicare a gestionării</w:t>
      </w:r>
      <w:r>
        <w:rPr>
          <w:rFonts w:ascii="Times New Roman" w:hAnsi="Times New Roman"/>
          <w:noProof/>
          <w:sz w:val="24"/>
        </w:rPr>
        <w:t xml:space="preserve"> deșeurilor în întreaga țară și de supravegherea funcționării corespunzătoare a utilităților regionale și locale de gestionare a deșeurilor. Implementarea reformei trebuie finalizată până la 30 iunie 2023.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Instituirea unei noi autorități de reglem</w:t>
      </w:r>
      <w:r>
        <w:rPr>
          <w:rFonts w:ascii="Times New Roman" w:hAnsi="Times New Roman"/>
          <w:noProof/>
          <w:sz w:val="24"/>
        </w:rPr>
        <w:t>entare în domeniul apei și al apelor reziduale (numărul de identificare al măsurii: 16979)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instituie un organism unic, Autoritatea Națională de Reglementare în Domeniul Apelor (ANRA), responsabil cu punerea în aplicare a politicii de gestionare raț</w:t>
      </w:r>
      <w:r>
        <w:rPr>
          <w:rFonts w:ascii="Times New Roman" w:hAnsi="Times New Roman"/>
          <w:noProof/>
          <w:sz w:val="24"/>
        </w:rPr>
        <w:t>ională a resurselor de apă, elaborată de Ministerul Mediului și Energiei. Se preconizează că noua autoritate va consolida cadrul instituțional și va supraveghea sectorul, inclusiv raționalizarea politicii tarifare a apei în conformitate cu principiul „polu</w:t>
      </w:r>
      <w:r>
        <w:rPr>
          <w:rFonts w:ascii="Times New Roman" w:hAnsi="Times New Roman"/>
          <w:noProof/>
          <w:sz w:val="24"/>
        </w:rPr>
        <w:t>atorul plătește” și asigurarea sustenabilității serviciilor de alimentare cu apă în Grecia. Implementarea reformei trebuie finalizată până la 31 decembrie 2023.</w:t>
      </w:r>
    </w:p>
    <w:p w:rsidR="00780A28" w:rsidRDefault="00780A28">
      <w:pPr>
        <w:spacing w:before="120" w:after="120" w:line="240" w:lineRule="auto"/>
        <w:ind w:left="709"/>
        <w:jc w:val="both"/>
        <w:rPr>
          <w:rFonts w:ascii="Times New Roman" w:hAnsi="Times New Roman" w:cs="Times New Roman"/>
          <w:b/>
          <w:noProof/>
          <w:sz w:val="24"/>
          <w:u w:val="single"/>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63"/>
          <w:headerReference w:type="default" r:id="rId64"/>
          <w:footerReference w:type="even" r:id="rId65"/>
          <w:footerReference w:type="default" r:id="rId66"/>
          <w:headerReference w:type="first" r:id="rId67"/>
          <w:footerReference w:type="first" r:id="rId68"/>
          <w:pgSz w:w="11907" w:h="16839"/>
          <w:pgMar w:top="1134" w:right="1418" w:bottom="1134" w:left="1418" w:header="709" w:footer="709" w:gutter="0"/>
          <w:cols w:space="720"/>
          <w:docGrid w:linePitch="360"/>
        </w:sectPr>
      </w:pPr>
    </w:p>
    <w:p w:rsidR="00780A28" w:rsidRDefault="001867D7">
      <w:pPr>
        <w:keepNext/>
        <w:keepLines/>
        <w:spacing w:before="40" w:after="0" w:line="240" w:lineRule="auto"/>
        <w:jc w:val="both"/>
        <w:outlineLvl w:val="4"/>
        <w:rPr>
          <w:rFonts w:ascii="Times New Roman" w:hAnsi="Times New Roman" w:cs="Times New Roman"/>
          <w:b/>
          <w:bCs/>
          <w:noProof/>
          <w:sz w:val="24"/>
          <w:u w:val="single"/>
        </w:rPr>
      </w:pPr>
      <w:r>
        <w:rPr>
          <w:rFonts w:ascii="Times New Roman" w:hAnsi="Times New Roman"/>
          <w:b/>
          <w:bCs/>
          <w:noProof/>
          <w:sz w:val="24"/>
          <w:u w:val="single"/>
        </w:rPr>
        <w:t xml:space="preserve">D.2. </w:t>
      </w:r>
      <w:r>
        <w:rPr>
          <w:rFonts w:ascii="Times New Roman" w:hAnsi="Times New Roman"/>
          <w:b/>
          <w:noProof/>
          <w:sz w:val="24"/>
          <w:u w:val="single"/>
        </w:rPr>
        <w:tab/>
      </w:r>
      <w:r>
        <w:rPr>
          <w:rFonts w:ascii="Times New Roman" w:hAnsi="Times New Roman"/>
          <w:b/>
          <w:bCs/>
          <w:noProof/>
          <w:sz w:val="24"/>
          <w:u w:val="single"/>
        </w:rPr>
        <w:t xml:space="preserve">Jaloane, ținte, indicatori și </w:t>
      </w:r>
      <w:r>
        <w:rPr>
          <w:rFonts w:ascii="Times New Roman" w:hAnsi="Times New Roman"/>
          <w:b/>
          <w:bCs/>
          <w:noProof/>
          <w:sz w:val="24"/>
          <w:u w:val="single"/>
        </w:rPr>
        <w:t>calendarul de monitorizare și implementare aplicabile sprijinului financiar nerambursabil</w:t>
      </w:r>
    </w:p>
    <w:p w:rsidR="00780A28" w:rsidRDefault="00780A28">
      <w:pPr>
        <w:keepNext/>
        <w:keepLines/>
        <w:spacing w:before="40" w:after="0" w:line="240" w:lineRule="auto"/>
        <w:jc w:val="both"/>
        <w:outlineLvl w:val="4"/>
        <w:rPr>
          <w:rFonts w:ascii="Cambria" w:eastAsia="Times New Roman" w:hAnsi="Cambria"/>
          <w:noProof/>
          <w:color w:val="365F91"/>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Reforma esențială 4: Gestionarea deșeurilor și reforma apei pentru utilizarea durabilă a resurselor</w:t>
      </w:r>
    </w:p>
    <w:tbl>
      <w:tblPr>
        <w:tblpPr w:leftFromText="180" w:rightFromText="180" w:vertAnchor="text" w:tblpX="113" w:tblpY="1"/>
        <w:tblOverlap w:val="never"/>
        <w:tblW w:w="15759" w:type="dxa"/>
        <w:tblLayout w:type="fixed"/>
        <w:tblLook w:val="04A0" w:firstRow="1" w:lastRow="0" w:firstColumn="1" w:lastColumn="0" w:noHBand="0" w:noVBand="1"/>
      </w:tblPr>
      <w:tblGrid>
        <w:gridCol w:w="1027"/>
        <w:gridCol w:w="1797"/>
        <w:gridCol w:w="1124"/>
        <w:gridCol w:w="1032"/>
        <w:gridCol w:w="1468"/>
        <w:gridCol w:w="980"/>
        <w:gridCol w:w="908"/>
        <w:gridCol w:w="892"/>
        <w:gridCol w:w="803"/>
        <w:gridCol w:w="709"/>
        <w:gridCol w:w="5019"/>
      </w:tblGrid>
      <w:tr w:rsidR="00780A28">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w:t>
            </w:r>
            <w:r>
              <w:rPr>
                <w:rFonts w:ascii="Times New Roman" w:hAnsi="Times New Roman"/>
                <w:b/>
                <w:bCs/>
                <w:noProof/>
                <w:sz w:val="18"/>
                <w:szCs w:val="18"/>
              </w:rPr>
              <w:t>tă</w:t>
            </w:r>
          </w:p>
        </w:tc>
        <w:tc>
          <w:tcPr>
            <w:tcW w:w="1032"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780"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512"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Calendar orientativ pentru atingerea jaloanelor/</w:t>
            </w:r>
            <w:r>
              <w:rPr>
                <w:rFonts w:ascii="Times New Roman" w:hAnsi="Times New Roman"/>
                <w:b/>
                <w:bCs/>
                <w:noProof/>
                <w:sz w:val="18"/>
                <w:szCs w:val="18"/>
              </w:rPr>
              <w:br/>
              <w:t xml:space="preserve">țintelor </w:t>
            </w:r>
          </w:p>
        </w:tc>
        <w:tc>
          <w:tcPr>
            <w:tcW w:w="5019"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2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32"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8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0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89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0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0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5019"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56</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4 - 1.4. Utilizarea durabilă a resurselor, reziliența la schimbările climatice și protecția mediului — 16772_Legea privind gestionarea deșeurilor pentru punerea în aplicare a depozitării și reciclării durabile a deșeurilor</w:t>
            </w:r>
          </w:p>
        </w:tc>
        <w:tc>
          <w:tcPr>
            <w:tcW w:w="11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w:t>
            </w:r>
            <w:r>
              <w:rPr>
                <w:noProof/>
                <w:color w:val="006100"/>
                <w:sz w:val="18"/>
                <w:szCs w:val="18"/>
              </w:rPr>
              <w:t>are a legislației privind gestionarea deșeurilor</w:t>
            </w:r>
          </w:p>
        </w:tc>
        <w:tc>
          <w:tcPr>
            <w:tcW w:w="14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w:t>
            </w:r>
          </w:p>
        </w:tc>
        <w:tc>
          <w:tcPr>
            <w:tcW w:w="9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50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unei legi privind reciclarea și depozitarea deșeurilor, precum și introducerea de stimulente pentru municipalități în vederea atingerii unor</w:t>
            </w:r>
            <w:r>
              <w:rPr>
                <w:noProof/>
                <w:color w:val="006100"/>
                <w:sz w:val="18"/>
                <w:szCs w:val="18"/>
              </w:rPr>
              <w:t xml:space="preserve"> rate ridicate de reutilizare și reciclare și punerea în aplicare a unei taxe pentru depozitarea deșeurilor. Taxa de depozitare a deșeurilor se aplică începând cu primul trimestru al anului 2022, iar tarifele cresc progresiv până când ating pragul superior</w:t>
            </w:r>
            <w:r>
              <w:rPr>
                <w:noProof/>
                <w:color w:val="006100"/>
                <w:sz w:val="18"/>
                <w:szCs w:val="18"/>
              </w:rPr>
              <w:t xml:space="preserve"> al taxei de depozitare a deșeurilor până în al treilea trimestru al anului 2024.</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57</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protecția mediului — 16772_Legea privind gestionarea deșeurilor pentru punerea în </w:t>
            </w:r>
            <w:r>
              <w:rPr>
                <w:noProof/>
                <w:color w:val="006100"/>
                <w:sz w:val="18"/>
                <w:szCs w:val="18"/>
              </w:rPr>
              <w:t>aplicare a depozitării și reciclării durabile a deșeurilor</w:t>
            </w:r>
          </w:p>
        </w:tc>
        <w:tc>
          <w:tcPr>
            <w:tcW w:w="11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privind gestionarea deșeurilor</w:t>
            </w:r>
          </w:p>
        </w:tc>
        <w:tc>
          <w:tcPr>
            <w:tcW w:w="14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w:t>
            </w:r>
          </w:p>
        </w:tc>
        <w:tc>
          <w:tcPr>
            <w:tcW w:w="9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0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jc w:val="both"/>
              <w:rPr>
                <w:rFonts w:eastAsia="Times New Roman" w:cs="Calibri"/>
                <w:noProof/>
                <w:color w:val="006100"/>
                <w:sz w:val="18"/>
                <w:szCs w:val="18"/>
              </w:rPr>
            </w:pPr>
            <w:r>
              <w:rPr>
                <w:noProof/>
                <w:color w:val="006100"/>
                <w:sz w:val="18"/>
                <w:szCs w:val="18"/>
              </w:rPr>
              <w:t>Intrarea în vigoare a legii:</w:t>
            </w:r>
          </w:p>
          <w:p w:rsidR="00780A28" w:rsidRDefault="001867D7">
            <w:pPr>
              <w:numPr>
                <w:ilvl w:val="0"/>
                <w:numId w:val="52"/>
              </w:numPr>
              <w:spacing w:after="0" w:line="240" w:lineRule="auto"/>
              <w:jc w:val="both"/>
              <w:rPr>
                <w:rFonts w:eastAsia="Times New Roman" w:cs="Calibri"/>
                <w:noProof/>
                <w:color w:val="006100"/>
                <w:sz w:val="18"/>
                <w:szCs w:val="18"/>
              </w:rPr>
            </w:pPr>
            <w:r>
              <w:rPr>
                <w:noProof/>
                <w:color w:val="006100"/>
                <w:sz w:val="18"/>
                <w:szCs w:val="18"/>
              </w:rPr>
              <w:t xml:space="preserve">înființarea unei autorități naționale de </w:t>
            </w:r>
            <w:r>
              <w:rPr>
                <w:noProof/>
                <w:color w:val="006100"/>
                <w:sz w:val="18"/>
                <w:szCs w:val="18"/>
              </w:rPr>
              <w:t>reglementare a deșeurilor, funcționarea și responsabilitățile acesteia;</w:t>
            </w:r>
          </w:p>
          <w:p w:rsidR="00780A28" w:rsidRDefault="001867D7">
            <w:pPr>
              <w:numPr>
                <w:ilvl w:val="0"/>
                <w:numId w:val="52"/>
              </w:numPr>
              <w:spacing w:after="0" w:line="240" w:lineRule="auto"/>
              <w:jc w:val="both"/>
              <w:rPr>
                <w:noProof/>
              </w:rPr>
            </w:pPr>
            <w:r>
              <w:rPr>
                <w:noProof/>
                <w:color w:val="006100"/>
                <w:sz w:val="18"/>
                <w:szCs w:val="18"/>
              </w:rPr>
              <w:t>Reforma organismelor regionale și locale de gestionare a deșeurilor (FOSDA); precum și</w:t>
            </w:r>
          </w:p>
          <w:p w:rsidR="00780A28" w:rsidRDefault="001867D7">
            <w:pPr>
              <w:numPr>
                <w:ilvl w:val="0"/>
                <w:numId w:val="52"/>
              </w:numPr>
              <w:spacing w:after="0" w:line="240" w:lineRule="auto"/>
              <w:jc w:val="both"/>
              <w:rPr>
                <w:noProof/>
              </w:rPr>
            </w:pPr>
            <w:r>
              <w:rPr>
                <w:noProof/>
                <w:color w:val="006100"/>
                <w:sz w:val="18"/>
                <w:szCs w:val="18"/>
              </w:rPr>
              <w:t xml:space="preserve">Introducerea unor politici solide de stabilire a costurilor și de stabilire a prețurilor în </w:t>
            </w:r>
            <w:r>
              <w:rPr>
                <w:noProof/>
                <w:color w:val="006100"/>
                <w:sz w:val="18"/>
                <w:szCs w:val="18"/>
              </w:rPr>
              <w:t>conformitate cu principiile „plătește în funcție de cantitatea produsă” și „poluatorul plătește”.</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58</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protecția mediului — 16979_Constituirea unei noi autorități de </w:t>
            </w:r>
            <w:r>
              <w:rPr>
                <w:noProof/>
                <w:color w:val="006100"/>
                <w:sz w:val="18"/>
                <w:szCs w:val="18"/>
              </w:rPr>
              <w:t>reglementare în domeniul apei și al apelor reziduale</w:t>
            </w:r>
          </w:p>
        </w:tc>
        <w:tc>
          <w:tcPr>
            <w:tcW w:w="11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legii privind autoritatea de reglementare în domeniul apei</w:t>
            </w:r>
          </w:p>
        </w:tc>
        <w:tc>
          <w:tcPr>
            <w:tcW w:w="14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w:t>
            </w:r>
          </w:p>
        </w:tc>
        <w:tc>
          <w:tcPr>
            <w:tcW w:w="9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0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unei legi privind înființarea și funcționarea </w:t>
            </w:r>
            <w:r>
              <w:rPr>
                <w:noProof/>
                <w:color w:val="006100"/>
                <w:sz w:val="18"/>
                <w:szCs w:val="18"/>
              </w:rPr>
              <w:t>unei noi Autorități de Reglementare în domeniul apei și apelor uzate.</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59</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protecția mediului — 16772_Legea privind gestionarea deșeurilor pentru punerea în aplicare a </w:t>
            </w:r>
            <w:r>
              <w:rPr>
                <w:noProof/>
                <w:color w:val="006100"/>
                <w:sz w:val="18"/>
                <w:szCs w:val="18"/>
              </w:rPr>
              <w:t>depozitării și reciclării durabile a deșeurilor</w:t>
            </w:r>
          </w:p>
        </w:tc>
        <w:tc>
          <w:tcPr>
            <w:tcW w:w="11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Înființarea și funcționarea autorității de reglementare în domeniul gestionării deșeurilor</w:t>
            </w:r>
          </w:p>
        </w:tc>
        <w:tc>
          <w:tcPr>
            <w:tcW w:w="14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unei decizii ministeriale comune și a tuturor măsurilor administrative și legislative necesare pentru înființarea Autorității </w:t>
            </w:r>
          </w:p>
        </w:tc>
        <w:tc>
          <w:tcPr>
            <w:tcW w:w="9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50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Noua Autoritate Națională de Reglementare a Deșeurilor este dotată cu personal și dotare cu spaț</w:t>
            </w:r>
            <w:r>
              <w:rPr>
                <w:noProof/>
                <w:color w:val="006100"/>
                <w:sz w:val="18"/>
                <w:szCs w:val="18"/>
              </w:rPr>
              <w:t>ii.</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60</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4 - 1.4. Utilizarea durabilă a resurselor, reziliența la schimbările climatice și protecția mediului — 16979_Constituirea unei noi autorități de reglementare în domeniul apei și al apelor reziduale</w:t>
            </w:r>
          </w:p>
        </w:tc>
        <w:tc>
          <w:tcPr>
            <w:tcW w:w="11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Înființarea și funcționarea autorității de </w:t>
            </w:r>
            <w:r>
              <w:rPr>
                <w:noProof/>
                <w:color w:val="006100"/>
                <w:sz w:val="18"/>
                <w:szCs w:val="18"/>
              </w:rPr>
              <w:t>reglementare în domeniul gospodăririi apelor</w:t>
            </w:r>
          </w:p>
        </w:tc>
        <w:tc>
          <w:tcPr>
            <w:tcW w:w="14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unei decizii ministeriale comune și a tuturor măsurilor administrative și legislative necesare pentru înființarea Autorității </w:t>
            </w:r>
          </w:p>
        </w:tc>
        <w:tc>
          <w:tcPr>
            <w:tcW w:w="9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50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Noua Autoritate Națională de Reglementare în domeni</w:t>
            </w:r>
            <w:r>
              <w:rPr>
                <w:noProof/>
                <w:color w:val="006100"/>
                <w:sz w:val="18"/>
                <w:szCs w:val="18"/>
              </w:rPr>
              <w:t>ul Apelor și Apelor este dotată cu personal și dotare cu spații.</w:t>
            </w:r>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5: Planul național de reîmpădurire și protecția biodiversității</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Măsurile incluse în acest grup sunt:</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Planul național de reîmpădurire și investiția emblematică de la Parnitha (ID: </w:t>
      </w:r>
      <w:r>
        <w:rPr>
          <w:rFonts w:ascii="Times New Roman" w:hAnsi="Times New Roman"/>
          <w:noProof/>
          <w:sz w:val="24"/>
        </w:rPr>
        <w:t>16849)</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Protecția biodiversității ca motor al creșterii durabile (ID: 16851) </w:t>
      </w:r>
    </w:p>
    <w:tbl>
      <w:tblPr>
        <w:tblpPr w:leftFromText="180" w:rightFromText="180" w:vertAnchor="text" w:tblpX="113" w:tblpY="1"/>
        <w:tblOverlap w:val="never"/>
        <w:tblW w:w="15615" w:type="dxa"/>
        <w:tblLook w:val="04A0" w:firstRow="1" w:lastRow="0" w:firstColumn="1" w:lastColumn="0" w:noHBand="0" w:noVBand="1"/>
      </w:tblPr>
      <w:tblGrid>
        <w:gridCol w:w="1062"/>
        <w:gridCol w:w="1881"/>
        <w:gridCol w:w="1107"/>
        <w:gridCol w:w="1275"/>
        <w:gridCol w:w="1560"/>
        <w:gridCol w:w="992"/>
        <w:gridCol w:w="992"/>
        <w:gridCol w:w="866"/>
        <w:gridCol w:w="888"/>
        <w:gridCol w:w="823"/>
        <w:gridCol w:w="4440"/>
      </w:tblGrid>
      <w:tr w:rsidR="00780A28">
        <w:trPr>
          <w:trHeight w:val="328"/>
        </w:trPr>
        <w:tc>
          <w:tcPr>
            <w:tcW w:w="1062" w:type="dxa"/>
            <w:vMerge w:val="restart"/>
            <w:tcBorders>
              <w:top w:val="single" w:sz="4" w:space="0" w:color="auto"/>
              <w:left w:val="single" w:sz="4" w:space="0" w:color="auto"/>
              <w:right w:val="single" w:sz="4" w:space="0" w:color="auto"/>
            </w:tcBorders>
            <w:shd w:val="clear" w:color="auto" w:fill="B8CCE4"/>
            <w:noWrap/>
            <w:vAlign w:val="center"/>
          </w:tcPr>
          <w:p w:rsidR="00780A28" w:rsidRDefault="001867D7">
            <w:pPr>
              <w:pageBreakBefore/>
              <w:spacing w:after="0" w:line="240" w:lineRule="auto"/>
              <w:rPr>
                <w:rFonts w:eastAsia="Times New Roman" w:cs="Calibri"/>
                <w:noProof/>
                <w:color w:val="006100"/>
                <w:sz w:val="18"/>
                <w:szCs w:val="18"/>
              </w:rPr>
            </w:pPr>
            <w:r>
              <w:rPr>
                <w:rFonts w:ascii="Times New Roman" w:hAnsi="Times New Roman"/>
                <w:b/>
                <w:bCs/>
                <w:noProof/>
                <w:sz w:val="18"/>
                <w:szCs w:val="18"/>
              </w:rPr>
              <w:t>Număr secvențial</w:t>
            </w:r>
          </w:p>
        </w:tc>
        <w:tc>
          <w:tcPr>
            <w:tcW w:w="1881" w:type="dxa"/>
            <w:vMerge w:val="restart"/>
            <w:tcBorders>
              <w:top w:val="single" w:sz="4" w:space="0" w:color="auto"/>
              <w:left w:val="single" w:sz="4" w:space="0" w:color="auto"/>
              <w:right w:val="single" w:sz="4" w:space="0" w:color="auto"/>
            </w:tcBorders>
            <w:shd w:val="clear" w:color="auto" w:fill="B8CCE4"/>
            <w:noWrap/>
            <w:vAlign w:val="center"/>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Măsură conexă (reformă sau investiție)</w:t>
            </w:r>
          </w:p>
        </w:tc>
        <w:tc>
          <w:tcPr>
            <w:tcW w:w="993" w:type="dxa"/>
            <w:vMerge w:val="restart"/>
            <w:tcBorders>
              <w:top w:val="single" w:sz="4" w:space="0" w:color="auto"/>
              <w:left w:val="single" w:sz="4" w:space="0" w:color="auto"/>
              <w:right w:val="single" w:sz="4" w:space="0" w:color="auto"/>
            </w:tcBorders>
            <w:shd w:val="clear" w:color="auto" w:fill="B8CCE4"/>
            <w:noWrap/>
            <w:vAlign w:val="center"/>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Jalon/Țintă</w:t>
            </w:r>
          </w:p>
        </w:tc>
        <w:tc>
          <w:tcPr>
            <w:tcW w:w="1275" w:type="dxa"/>
            <w:vMerge w:val="restart"/>
            <w:tcBorders>
              <w:top w:val="single" w:sz="4" w:space="0" w:color="auto"/>
              <w:left w:val="nil"/>
              <w:right w:val="single" w:sz="4" w:space="0" w:color="auto"/>
            </w:tcBorders>
            <w:shd w:val="clear" w:color="auto" w:fill="B8CCE4"/>
            <w:noWrap/>
            <w:vAlign w:val="center"/>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Nume</w:t>
            </w:r>
          </w:p>
        </w:tc>
        <w:tc>
          <w:tcPr>
            <w:tcW w:w="1560" w:type="dxa"/>
            <w:vMerge w:val="restart"/>
            <w:tcBorders>
              <w:top w:val="single" w:sz="4" w:space="0" w:color="auto"/>
              <w:left w:val="single" w:sz="4" w:space="0" w:color="auto"/>
              <w:right w:val="single" w:sz="4" w:space="0" w:color="auto"/>
            </w:tcBorders>
            <w:shd w:val="clear" w:color="auto" w:fill="B8CCE4"/>
            <w:noWrap/>
            <w:vAlign w:val="center"/>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Indicatori calitativi (pentru jaloane)</w:t>
            </w:r>
          </w:p>
        </w:tc>
        <w:tc>
          <w:tcPr>
            <w:tcW w:w="2693" w:type="dxa"/>
            <w:gridSpan w:val="3"/>
            <w:tcBorders>
              <w:top w:val="single" w:sz="4" w:space="0" w:color="auto"/>
              <w:left w:val="nil"/>
              <w:bottom w:val="single" w:sz="4" w:space="0" w:color="auto"/>
              <w:right w:val="single" w:sz="4" w:space="0" w:color="auto"/>
            </w:tcBorders>
            <w:shd w:val="clear" w:color="auto" w:fill="B8CCE4"/>
            <w:noWrap/>
            <w:vAlign w:val="center"/>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Indicatori cantitativi (pentru ținte)</w:t>
            </w:r>
          </w:p>
        </w:tc>
        <w:tc>
          <w:tcPr>
            <w:tcW w:w="1711" w:type="dxa"/>
            <w:gridSpan w:val="2"/>
            <w:tcBorders>
              <w:top w:val="single" w:sz="4" w:space="0" w:color="auto"/>
              <w:left w:val="nil"/>
              <w:bottom w:val="single" w:sz="4" w:space="0" w:color="auto"/>
              <w:right w:val="single" w:sz="4" w:space="0" w:color="auto"/>
            </w:tcBorders>
            <w:shd w:val="clear" w:color="auto" w:fill="B8CCE4"/>
            <w:noWrap/>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 xml:space="preserve">Calendar orientativ pentru </w:t>
            </w:r>
            <w:r>
              <w:rPr>
                <w:rFonts w:ascii="Times New Roman" w:hAnsi="Times New Roman"/>
                <w:b/>
                <w:bCs/>
                <w:noProof/>
                <w:sz w:val="18"/>
                <w:szCs w:val="18"/>
              </w:rPr>
              <w:t>atingerea jaloanelor/țintelor</w:t>
            </w:r>
          </w:p>
        </w:tc>
        <w:tc>
          <w:tcPr>
            <w:tcW w:w="4440" w:type="dxa"/>
            <w:vMerge w:val="restart"/>
            <w:tcBorders>
              <w:top w:val="single" w:sz="4" w:space="0" w:color="auto"/>
              <w:left w:val="nil"/>
              <w:right w:val="single" w:sz="4" w:space="0" w:color="auto"/>
            </w:tcBorders>
            <w:shd w:val="clear" w:color="auto" w:fill="B8CCE4"/>
            <w:noWrap/>
            <w:vAlign w:val="center"/>
          </w:tcPr>
          <w:p w:rsidR="00780A28" w:rsidRDefault="001867D7">
            <w:pPr>
              <w:spacing w:after="0" w:line="240" w:lineRule="auto"/>
              <w:rPr>
                <w:rFonts w:eastAsia="Times New Roman" w:cs="Calibri"/>
                <w:noProof/>
                <w:color w:val="006100"/>
                <w:sz w:val="18"/>
                <w:szCs w:val="18"/>
              </w:rPr>
            </w:pPr>
            <w:r>
              <w:rPr>
                <w:rFonts w:ascii="Times New Roman" w:hAnsi="Times New Roman"/>
                <w:b/>
                <w:bCs/>
                <w:noProof/>
                <w:sz w:val="18"/>
                <w:szCs w:val="18"/>
              </w:rPr>
              <w:t>Descrierea fiecărui jalon și a fiecărei ținte</w:t>
            </w:r>
          </w:p>
        </w:tc>
      </w:tr>
      <w:tr w:rsidR="00780A28">
        <w:trPr>
          <w:trHeight w:val="328"/>
        </w:trPr>
        <w:tc>
          <w:tcPr>
            <w:tcW w:w="1062" w:type="dxa"/>
            <w:vMerge/>
            <w:tcBorders>
              <w:left w:val="single" w:sz="4" w:space="0" w:color="auto"/>
              <w:bottom w:val="single" w:sz="4" w:space="0" w:color="000000"/>
              <w:right w:val="single" w:sz="4" w:space="0" w:color="auto"/>
            </w:tcBorders>
            <w:shd w:val="clear" w:color="auto" w:fill="B8CCE4"/>
            <w:noWrap/>
            <w:vAlign w:val="center"/>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881" w:type="dxa"/>
            <w:vMerge/>
            <w:tcBorders>
              <w:left w:val="single" w:sz="4" w:space="0" w:color="auto"/>
              <w:bottom w:val="single" w:sz="4" w:space="0" w:color="000000"/>
              <w:right w:val="single" w:sz="4" w:space="0" w:color="auto"/>
            </w:tcBorders>
            <w:shd w:val="clear" w:color="auto" w:fill="B8CCE4"/>
            <w:noWrap/>
            <w:vAlign w:val="center"/>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93" w:type="dxa"/>
            <w:vMerge/>
            <w:tcBorders>
              <w:left w:val="single" w:sz="4" w:space="0" w:color="auto"/>
              <w:bottom w:val="single" w:sz="4" w:space="0" w:color="000000"/>
              <w:right w:val="single" w:sz="4" w:space="0" w:color="auto"/>
            </w:tcBorders>
            <w:shd w:val="clear" w:color="auto" w:fill="B8CCE4"/>
            <w:noWrap/>
            <w:vAlign w:val="center"/>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75" w:type="dxa"/>
            <w:vMerge/>
            <w:tcBorders>
              <w:left w:val="nil"/>
              <w:bottom w:val="single" w:sz="4" w:space="0" w:color="000000"/>
              <w:right w:val="single" w:sz="4" w:space="0" w:color="auto"/>
            </w:tcBorders>
            <w:shd w:val="clear" w:color="auto" w:fill="B8CCE4"/>
            <w:noWrap/>
            <w:vAlign w:val="center"/>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60" w:type="dxa"/>
            <w:vMerge/>
            <w:tcBorders>
              <w:left w:val="single" w:sz="4" w:space="0" w:color="auto"/>
              <w:bottom w:val="single" w:sz="4" w:space="0" w:color="000000"/>
              <w:right w:val="single" w:sz="4" w:space="0" w:color="auto"/>
            </w:tcBorders>
            <w:shd w:val="clear" w:color="auto" w:fill="B8CCE4"/>
            <w:noWrap/>
            <w:vAlign w:val="center"/>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92" w:type="dxa"/>
            <w:tcBorders>
              <w:left w:val="nil"/>
              <w:bottom w:val="single" w:sz="4" w:space="0" w:color="auto"/>
              <w:right w:val="single" w:sz="4" w:space="0" w:color="auto"/>
            </w:tcBorders>
            <w:shd w:val="clear" w:color="auto" w:fill="B8CCE4"/>
            <w:noWrap/>
            <w:vAlign w:val="center"/>
          </w:tcPr>
          <w:p w:rsidR="00780A28" w:rsidRDefault="001867D7">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92" w:type="dxa"/>
            <w:tcBorders>
              <w:left w:val="nil"/>
              <w:bottom w:val="single" w:sz="4" w:space="0" w:color="auto"/>
              <w:right w:val="single" w:sz="4" w:space="0" w:color="auto"/>
            </w:tcBorders>
            <w:shd w:val="clear" w:color="auto" w:fill="B8CCE4"/>
            <w:vAlign w:val="center"/>
          </w:tcPr>
          <w:p w:rsidR="00780A28" w:rsidRDefault="001867D7">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Valoare de referință</w:t>
            </w:r>
          </w:p>
        </w:tc>
        <w:tc>
          <w:tcPr>
            <w:tcW w:w="709" w:type="dxa"/>
            <w:tcBorders>
              <w:top w:val="single" w:sz="4" w:space="0" w:color="auto"/>
              <w:left w:val="nil"/>
              <w:bottom w:val="single" w:sz="4" w:space="0" w:color="auto"/>
              <w:right w:val="single" w:sz="4" w:space="0" w:color="auto"/>
            </w:tcBorders>
            <w:shd w:val="clear" w:color="auto" w:fill="B8CCE4"/>
            <w:vAlign w:val="center"/>
          </w:tcPr>
          <w:p w:rsidR="00780A28" w:rsidRDefault="001867D7">
            <w:pPr>
              <w:spacing w:after="0" w:line="240" w:lineRule="auto"/>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88" w:type="dxa"/>
            <w:tcBorders>
              <w:top w:val="single" w:sz="4" w:space="0" w:color="auto"/>
              <w:left w:val="nil"/>
              <w:bottom w:val="single" w:sz="4" w:space="0" w:color="auto"/>
              <w:right w:val="single" w:sz="4" w:space="0" w:color="auto"/>
            </w:tcBorders>
            <w:shd w:val="clear" w:color="auto" w:fill="B8CCE4"/>
            <w:noWrap/>
            <w:vAlign w:val="center"/>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823" w:type="dxa"/>
            <w:tcBorders>
              <w:top w:val="single" w:sz="4" w:space="0" w:color="auto"/>
              <w:left w:val="nil"/>
              <w:bottom w:val="single" w:sz="4" w:space="0" w:color="auto"/>
              <w:right w:val="single" w:sz="4" w:space="0" w:color="auto"/>
            </w:tcBorders>
            <w:shd w:val="clear" w:color="auto" w:fill="B8CCE4"/>
            <w:vAlign w:val="center"/>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440" w:type="dxa"/>
            <w:vMerge/>
            <w:tcBorders>
              <w:left w:val="nil"/>
              <w:bottom w:val="single" w:sz="4" w:space="0" w:color="auto"/>
              <w:right w:val="single" w:sz="4" w:space="0" w:color="auto"/>
            </w:tcBorders>
            <w:shd w:val="clear" w:color="auto" w:fill="B8CCE4"/>
            <w:noWrap/>
            <w:vAlign w:val="center"/>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61</w:t>
            </w:r>
          </w:p>
        </w:tc>
        <w:tc>
          <w:tcPr>
            <w:tcW w:w="18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4 - 1.4. Utilizarea durabilă a resurselor, reziliența la schimbările climatice și protecția mediului — 16849_Planul național de reîmpădurire și investiția emblematică Parnitha</w:t>
            </w: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7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Reîmpădurire — contracte </w:t>
            </w:r>
          </w:p>
        </w:tc>
        <w:tc>
          <w:tcPr>
            <w:tcW w:w="15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tuturor </w:t>
            </w:r>
            <w:r>
              <w:rPr>
                <w:noProof/>
                <w:color w:val="006100"/>
                <w:sz w:val="18"/>
                <w:szCs w:val="18"/>
              </w:rPr>
              <w:t>contractelor</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82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44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tuturor contractelor pentru ambele subproiecte privind reîmpădurirea:</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 Refacerea a 16 500 ha de ecosisteme forestiere degradate în Grecia, utilizând în principal specii indigene; precum și </w:t>
            </w:r>
          </w:p>
          <w:p w:rsidR="00780A28" w:rsidRDefault="001867D7">
            <w:pPr>
              <w:spacing w:after="0" w:line="240" w:lineRule="auto"/>
              <w:rPr>
                <w:rFonts w:eastAsia="Times New Roman" w:cs="Calibri"/>
                <w:noProof/>
                <w:color w:val="006100"/>
                <w:sz w:val="18"/>
                <w:szCs w:val="18"/>
              </w:rPr>
            </w:pPr>
            <w:r>
              <w:rPr>
                <w:noProof/>
                <w:color w:val="006100"/>
                <w:sz w:val="18"/>
                <w:szCs w:val="18"/>
              </w:rPr>
              <w:t>2. Refacerea medi</w:t>
            </w:r>
            <w:r>
              <w:rPr>
                <w:noProof/>
                <w:color w:val="006100"/>
                <w:sz w:val="18"/>
                <w:szCs w:val="18"/>
              </w:rPr>
              <w:t>ului din Muntele Parnitha.</w:t>
            </w:r>
          </w:p>
        </w:tc>
      </w:tr>
      <w:tr w:rsidR="00780A28">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62</w:t>
            </w:r>
          </w:p>
        </w:tc>
        <w:tc>
          <w:tcPr>
            <w:tcW w:w="18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4 - 1.4. Utilizarea durabilă a resurselor, reziliența la schimbările climatice și protecția mediului — 16849_Planul național de reîmpădurire și investiția emblematică Parnitha</w:t>
            </w: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7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Reîmpădurire — Finalizarea subproiectului 2</w:t>
            </w:r>
            <w:r>
              <w:rPr>
                <w:noProof/>
                <w:color w:val="006100"/>
                <w:sz w:val="18"/>
                <w:szCs w:val="18"/>
              </w:rPr>
              <w:t xml:space="preserve"> (Mt Parnitha)</w:t>
            </w:r>
          </w:p>
        </w:tc>
        <w:tc>
          <w:tcPr>
            <w:tcW w:w="15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Certificarea de către Ministerul Mediului a finalizării subproiectului nr. 2</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82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44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Muntele Parnitha (al doilea subproiect privind reîmpădurirea).</w:t>
            </w:r>
          </w:p>
        </w:tc>
      </w:tr>
      <w:tr w:rsidR="00780A28">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63</w:t>
            </w:r>
          </w:p>
        </w:tc>
        <w:tc>
          <w:tcPr>
            <w:tcW w:w="18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w:t>
            </w:r>
            <w:r>
              <w:rPr>
                <w:noProof/>
                <w:color w:val="006100"/>
                <w:sz w:val="18"/>
                <w:szCs w:val="18"/>
              </w:rPr>
              <w:t>schimbările climatice și protecția mediului — 16849_Planul național de reîmpădurire și investiția emblematică Parnitha</w:t>
            </w: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7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Reîmpădurire — Finalizarea subproiectului 1 (Restaurarea a 16 500 ha)</w:t>
            </w:r>
          </w:p>
        </w:tc>
        <w:tc>
          <w:tcPr>
            <w:tcW w:w="15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Certificat de reîmpădurire de 16 500 ha eliberat de </w:t>
            </w:r>
            <w:r>
              <w:rPr>
                <w:noProof/>
                <w:color w:val="006100"/>
                <w:sz w:val="18"/>
                <w:szCs w:val="18"/>
              </w:rPr>
              <w:t>Ministerul Mediului</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2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44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tuturor lucrărilor de refacere a 16 500 ha de ecosisteme forestiere degradate în Grecia. (Reîmpădurire — subproiectul unu).</w:t>
            </w:r>
          </w:p>
        </w:tc>
      </w:tr>
      <w:tr w:rsidR="00780A28">
        <w:trPr>
          <w:trHeight w:val="313"/>
        </w:trPr>
        <w:tc>
          <w:tcPr>
            <w:tcW w:w="1062"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64</w:t>
            </w:r>
          </w:p>
        </w:tc>
        <w:tc>
          <w:tcPr>
            <w:tcW w:w="18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w:t>
            </w:r>
            <w:r>
              <w:rPr>
                <w:noProof/>
                <w:color w:val="006100"/>
                <w:sz w:val="18"/>
                <w:szCs w:val="18"/>
              </w:rPr>
              <w:t>protecția mediului — 16851_Protecția biodiversității ca motor al creșterii durabile</w:t>
            </w: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7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Biodiversitate — Finalizare</w:t>
            </w:r>
          </w:p>
        </w:tc>
        <w:tc>
          <w:tcPr>
            <w:tcW w:w="15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Certificarea de către Ministerul Mediului a finalizării tuturor subproiectelor</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2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44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tuturor subproiectelor de protecție </w:t>
            </w:r>
            <w:r>
              <w:rPr>
                <w:noProof/>
                <w:color w:val="006100"/>
                <w:sz w:val="18"/>
                <w:szCs w:val="18"/>
              </w:rPr>
              <w:t xml:space="preserve">a biodiversității, inclusiv crearea unei rețele naționale de drumuri și trasee de drumeții, refacerea teraselor legate de protecția biodiversității, stabilirea unor protocoale de monitorizare uniforme și a sistemului operațional corespunzător, precum și a </w:t>
            </w:r>
            <w:r>
              <w:rPr>
                <w:noProof/>
                <w:color w:val="006100"/>
                <w:sz w:val="18"/>
                <w:szCs w:val="18"/>
              </w:rPr>
              <w:t>planului orizontal privind sistemul de patrulare pentru toate zonele protejate din Grecia.</w:t>
            </w:r>
          </w:p>
        </w:tc>
      </w:tr>
    </w:tbl>
    <w:p w:rsidR="00780A28" w:rsidRDefault="001867D7">
      <w:pPr>
        <w:keepNext/>
        <w:keepLines/>
        <w:spacing w:before="240" w:after="0" w:line="240" w:lineRule="auto"/>
        <w:jc w:val="both"/>
        <w:outlineLvl w:val="4"/>
        <w:rPr>
          <w:rFonts w:ascii="Cambria" w:eastAsia="Times New Roman" w:hAnsi="Cambria"/>
          <w:noProof/>
          <w:color w:val="365F91"/>
          <w:sz w:val="24"/>
        </w:rPr>
      </w:pPr>
      <w:r>
        <w:rPr>
          <w:rFonts w:ascii="Cambria" w:hAnsi="Cambria"/>
          <w:noProof/>
          <w:color w:val="365F91"/>
          <w:sz w:val="24"/>
        </w:rPr>
        <w:t>Grupa 6: Apă uzată &amp; infrastructură de alimentare cu apă, economii de apă</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Măsurile incluse în acest grup sunt:</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Infrastructurile de gestionare a apelor urbane </w:t>
      </w:r>
      <w:r>
        <w:rPr>
          <w:rFonts w:ascii="Times New Roman" w:hAnsi="Times New Roman"/>
          <w:noProof/>
          <w:sz w:val="24"/>
        </w:rPr>
        <w:t>reziduale și a nămolurilor (ID: 16846)</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Infrastructurile de alimentare cu apă potabilă și de economisire (ID: 16850)</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Proiectul de protecție împotriva inundațiilor (ID: 16882)</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Proiecte de alimentare cu apă (ID: 16898)</w:t>
      </w:r>
    </w:p>
    <w:p w:rsidR="00780A28" w:rsidRDefault="00780A28">
      <w:pPr>
        <w:spacing w:before="120" w:after="120" w:line="240" w:lineRule="auto"/>
        <w:rPr>
          <w:rFonts w:ascii="Times New Roman" w:hAnsi="Times New Roman" w:cs="Times New Roman"/>
          <w:noProof/>
          <w:sz w:val="24"/>
        </w:rPr>
      </w:pPr>
    </w:p>
    <w:tbl>
      <w:tblPr>
        <w:tblW w:w="15615" w:type="dxa"/>
        <w:tblLook w:val="04A0" w:firstRow="1" w:lastRow="0" w:firstColumn="1" w:lastColumn="0" w:noHBand="0" w:noVBand="1"/>
      </w:tblPr>
      <w:tblGrid>
        <w:gridCol w:w="966"/>
        <w:gridCol w:w="1866"/>
        <w:gridCol w:w="1135"/>
        <w:gridCol w:w="1377"/>
        <w:gridCol w:w="1665"/>
        <w:gridCol w:w="819"/>
        <w:gridCol w:w="896"/>
        <w:gridCol w:w="866"/>
        <w:gridCol w:w="1068"/>
        <w:gridCol w:w="673"/>
        <w:gridCol w:w="4284"/>
      </w:tblGrid>
      <w:tr w:rsidR="00780A28">
        <w:trPr>
          <w:trHeight w:val="939"/>
          <w:tblHeader/>
        </w:trPr>
        <w:tc>
          <w:tcPr>
            <w:tcW w:w="96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86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Măsură conexă </w:t>
            </w:r>
            <w:r>
              <w:rPr>
                <w:rFonts w:ascii="Times New Roman" w:hAnsi="Times New Roman"/>
                <w:b/>
                <w:bCs/>
                <w:noProof/>
                <w:sz w:val="18"/>
                <w:szCs w:val="18"/>
              </w:rPr>
              <w:t>(reformă sau investiție)</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37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6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579"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741"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286"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rPr>
        <w:tc>
          <w:tcPr>
            <w:tcW w:w="96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865"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76"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6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81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895"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865"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106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67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286"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trPr>
        <w:tc>
          <w:tcPr>
            <w:tcW w:w="96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65</w:t>
            </w:r>
          </w:p>
        </w:tc>
        <w:tc>
          <w:tcPr>
            <w:tcW w:w="18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4 - 1.4. Utilizarea durabilă a resurselor, reziliența la schimbările climatice și protecția mediului — 16882_Proiecte de atenuare a inundațiilor</w:t>
            </w:r>
          </w:p>
        </w:tc>
        <w:tc>
          <w:tcPr>
            <w:tcW w:w="11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contractelor de protecție împotriva </w:t>
            </w:r>
            <w:r>
              <w:rPr>
                <w:noProof/>
                <w:color w:val="006100"/>
                <w:sz w:val="18"/>
                <w:szCs w:val="18"/>
              </w:rPr>
              <w:t>inundațiilor</w:t>
            </w:r>
          </w:p>
        </w:tc>
        <w:tc>
          <w:tcPr>
            <w:tcW w:w="16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pentru toate contractele</w:t>
            </w:r>
          </w:p>
        </w:tc>
        <w:tc>
          <w:tcPr>
            <w:tcW w:w="8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286"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Notificarea atribuirii tuturor contractelor de lucrări de atenuare a inundațiilor în cele 4 regiuni: Lasithi Creta, regiunea Amvrakia-Amfilohia, regiunea Loutraki și regiunea Oreokastr</w:t>
            </w:r>
            <w:r>
              <w:rPr>
                <w:noProof/>
                <w:color w:val="006100"/>
                <w:sz w:val="18"/>
                <w:szCs w:val="18"/>
              </w:rPr>
              <w:t>o. Pentru fiecare subinvestiție, respectarea deplină a cerințelor Directivei-cadru privind apa este asigurată și demonstrată înainte de începerea lucrărilor de construcție.</w:t>
            </w:r>
          </w:p>
        </w:tc>
      </w:tr>
      <w:tr w:rsidR="00780A28">
        <w:trPr>
          <w:trHeight w:val="313"/>
        </w:trPr>
        <w:tc>
          <w:tcPr>
            <w:tcW w:w="96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66</w:t>
            </w:r>
          </w:p>
        </w:tc>
        <w:tc>
          <w:tcPr>
            <w:tcW w:w="18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w:t>
            </w:r>
            <w:r>
              <w:rPr>
                <w:noProof/>
                <w:color w:val="006100"/>
                <w:sz w:val="18"/>
                <w:szCs w:val="18"/>
              </w:rPr>
              <w:t>ș</w:t>
            </w:r>
            <w:r>
              <w:rPr>
                <w:noProof/>
                <w:color w:val="006100"/>
                <w:sz w:val="18"/>
                <w:szCs w:val="18"/>
              </w:rPr>
              <w:t>i protecția mediului — 16850_Aprovizionarea cu apă potabilă și infrastructuri de salvare</w:t>
            </w:r>
          </w:p>
        </w:tc>
        <w:tc>
          <w:tcPr>
            <w:tcW w:w="11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Emiterea unei cereri de exprimare a interesului pentru acțiunile de economisire a apei</w:t>
            </w:r>
          </w:p>
        </w:tc>
        <w:tc>
          <w:tcPr>
            <w:tcW w:w="16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Cerere de exprimare a interesului emisă de Ministerul Mediului </w:t>
            </w:r>
          </w:p>
        </w:tc>
        <w:tc>
          <w:tcPr>
            <w:tcW w:w="8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6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28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Emiterea unei cereri de exprimare a interesului pentru programul de acțiuni de economisire a apei, pentru a include cerința ca sistemul să fie construit astfel încât să aibă un consum mediu de energie &lt; = 0,5 kWh sau un indice de scurgere a infrastruc</w:t>
            </w:r>
            <w:r>
              <w:rPr>
                <w:noProof/>
                <w:color w:val="006100"/>
                <w:sz w:val="18"/>
                <w:szCs w:val="18"/>
              </w:rPr>
              <w:t>turii (ILI) de &lt; = 1,5.</w:t>
            </w:r>
          </w:p>
        </w:tc>
      </w:tr>
      <w:tr w:rsidR="00780A28">
        <w:trPr>
          <w:trHeight w:val="313"/>
        </w:trPr>
        <w:tc>
          <w:tcPr>
            <w:tcW w:w="96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67</w:t>
            </w:r>
          </w:p>
        </w:tc>
        <w:tc>
          <w:tcPr>
            <w:tcW w:w="18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4 - 1.4. Utilizarea durabilă a resurselor, reziliența la schimbările climatice și protecția mediului — Proiecte de aprovizionare 16898_WATER</w:t>
            </w:r>
          </w:p>
        </w:tc>
        <w:tc>
          <w:tcPr>
            <w:tcW w:w="11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contractului pentru proiecte de alimentare cu apă</w:t>
            </w:r>
          </w:p>
        </w:tc>
        <w:tc>
          <w:tcPr>
            <w:tcW w:w="16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tuturor contractelor</w:t>
            </w:r>
          </w:p>
        </w:tc>
        <w:tc>
          <w:tcPr>
            <w:tcW w:w="8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28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contractului pentru toate proiectele de infrastructură de alimentare cu apă: </w:t>
            </w:r>
          </w:p>
          <w:p w:rsidR="00780A28" w:rsidRDefault="001867D7">
            <w:pPr>
              <w:spacing w:after="0" w:line="240" w:lineRule="auto"/>
              <w:rPr>
                <w:rFonts w:eastAsia="Times New Roman" w:cs="Calibri"/>
                <w:noProof/>
                <w:color w:val="006100"/>
                <w:sz w:val="18"/>
                <w:szCs w:val="18"/>
              </w:rPr>
            </w:pPr>
            <w:r>
              <w:rPr>
                <w:noProof/>
                <w:color w:val="006100"/>
                <w:sz w:val="18"/>
                <w:szCs w:val="18"/>
              </w:rPr>
              <w:t>1. Sisteme de alimentare cu apă pentru prefecturile din Preveza — Arta — Lefkada</w:t>
            </w:r>
          </w:p>
          <w:p w:rsidR="00780A28" w:rsidRDefault="001867D7">
            <w:pPr>
              <w:spacing w:after="0" w:line="240" w:lineRule="auto"/>
              <w:rPr>
                <w:rFonts w:eastAsia="Times New Roman" w:cs="Calibri"/>
                <w:noProof/>
                <w:color w:val="006100"/>
                <w:sz w:val="18"/>
                <w:szCs w:val="18"/>
              </w:rPr>
            </w:pPr>
            <w:r>
              <w:rPr>
                <w:noProof/>
                <w:color w:val="006100"/>
                <w:sz w:val="18"/>
                <w:szCs w:val="18"/>
              </w:rPr>
              <w:t>2. Sistemele de ali</w:t>
            </w:r>
            <w:r>
              <w:rPr>
                <w:noProof/>
                <w:color w:val="006100"/>
                <w:sz w:val="18"/>
                <w:szCs w:val="18"/>
              </w:rPr>
              <w:t xml:space="preserve">mentare cu apă din insula Lesbos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3. Alimentarea cu apă a insulei Corfu </w:t>
            </w:r>
          </w:p>
          <w:p w:rsidR="00780A28" w:rsidRDefault="00780A28">
            <w:pPr>
              <w:spacing w:after="0" w:line="240" w:lineRule="auto"/>
              <w:ind w:left="56"/>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Pentru fiecare subinvestiție, respectarea deplină a cerințelor Directivei-cadru privind apa este asigurată și demonstrată înainte de începerea lucrărilor de construcție.</w:t>
            </w:r>
          </w:p>
        </w:tc>
      </w:tr>
      <w:tr w:rsidR="00780A28">
        <w:trPr>
          <w:trHeight w:val="313"/>
        </w:trPr>
        <w:tc>
          <w:tcPr>
            <w:tcW w:w="96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68</w:t>
            </w:r>
          </w:p>
        </w:tc>
        <w:tc>
          <w:tcPr>
            <w:tcW w:w="18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4 - 1.4.</w:t>
            </w:r>
            <w:r>
              <w:rPr>
                <w:noProof/>
                <w:color w:val="006100"/>
                <w:sz w:val="18"/>
                <w:szCs w:val="18"/>
              </w:rPr>
              <w:t xml:space="preserve"> Utilizarea durabilă a resurselor, reziliența la schimbările climatice și protecția mediului — 16846_noua infrastructură — Infrastructurile de gestionare a apelor urbane reziduale și a nămolurilor rezultate din tratarea apelor uzate</w:t>
            </w:r>
          </w:p>
        </w:tc>
        <w:tc>
          <w:tcPr>
            <w:tcW w:w="11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w:t>
            </w:r>
            <w:r>
              <w:rPr>
                <w:noProof/>
                <w:color w:val="006100"/>
                <w:sz w:val="18"/>
                <w:szCs w:val="18"/>
              </w:rPr>
              <w:t>uirii contractelor pentru proiecte privind apele reziduale</w:t>
            </w:r>
          </w:p>
        </w:tc>
        <w:tc>
          <w:tcPr>
            <w:tcW w:w="16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tuturor contractelor</w:t>
            </w:r>
          </w:p>
        </w:tc>
        <w:tc>
          <w:tcPr>
            <w:tcW w:w="8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28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 pentru proiecte de gestionare a apelor reziduale și a nămolurilor:</w:t>
            </w:r>
          </w:p>
          <w:p w:rsidR="00780A28" w:rsidRDefault="001867D7">
            <w:pPr>
              <w:spacing w:after="0" w:line="240" w:lineRule="auto"/>
              <w:rPr>
                <w:rFonts w:eastAsia="Times New Roman" w:cs="Calibri"/>
                <w:noProof/>
                <w:color w:val="006100"/>
                <w:sz w:val="18"/>
                <w:szCs w:val="18"/>
              </w:rPr>
            </w:pPr>
            <w:r>
              <w:rPr>
                <w:noProof/>
                <w:color w:val="006100"/>
                <w:sz w:val="18"/>
                <w:szCs w:val="18"/>
              </w:rPr>
              <w:t>1. Infrastructura rețelei de canalizare</w:t>
            </w:r>
            <w:r>
              <w:rPr>
                <w:noProof/>
                <w:color w:val="006100"/>
                <w:sz w:val="18"/>
                <w:szCs w:val="18"/>
              </w:rPr>
              <w:t xml:space="preserve"> și instalațiile de tratare a apelor reziduale (WWTP).</w:t>
            </w:r>
          </w:p>
          <w:p w:rsidR="00780A28" w:rsidRDefault="001867D7">
            <w:pPr>
              <w:spacing w:after="0" w:line="240" w:lineRule="auto"/>
              <w:rPr>
                <w:rFonts w:eastAsia="Times New Roman" w:cs="Calibri"/>
                <w:noProof/>
                <w:color w:val="006100"/>
                <w:sz w:val="18"/>
                <w:szCs w:val="18"/>
              </w:rPr>
            </w:pPr>
            <w:r>
              <w:rPr>
                <w:noProof/>
                <w:color w:val="006100"/>
                <w:sz w:val="18"/>
                <w:szCs w:val="18"/>
              </w:rPr>
              <w:t>2. Modernizarea, extinderea și modernizarea instalațiilor de tratare a apelor reziduale și reutilizarea apei tratate.</w:t>
            </w:r>
          </w:p>
          <w:p w:rsidR="00780A28" w:rsidRDefault="001867D7">
            <w:pPr>
              <w:spacing w:after="0" w:line="240" w:lineRule="auto"/>
              <w:rPr>
                <w:rFonts w:eastAsia="Times New Roman" w:cs="Calibri"/>
                <w:noProof/>
                <w:color w:val="006100"/>
                <w:sz w:val="18"/>
                <w:szCs w:val="18"/>
              </w:rPr>
            </w:pPr>
            <w:r>
              <w:rPr>
                <w:noProof/>
                <w:color w:val="006100"/>
                <w:sz w:val="18"/>
                <w:szCs w:val="18"/>
              </w:rPr>
              <w:t>3. Implementarea infrastructurii de gestionare a nămolurilor din instalațiile de tr</w:t>
            </w:r>
            <w:r>
              <w:rPr>
                <w:noProof/>
                <w:color w:val="006100"/>
                <w:sz w:val="18"/>
                <w:szCs w:val="18"/>
              </w:rPr>
              <w:t>atare a apelor reziduale.</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Toate contractele trebuie să includă cerința ca sistemul de tratare a apelor reziduale construit de la un capăt la altul să aibă un consum net de energie egal cu zero.</w:t>
            </w:r>
          </w:p>
        </w:tc>
      </w:tr>
      <w:tr w:rsidR="00780A28">
        <w:trPr>
          <w:trHeight w:val="313"/>
        </w:trPr>
        <w:tc>
          <w:tcPr>
            <w:tcW w:w="96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69</w:t>
            </w:r>
          </w:p>
        </w:tc>
        <w:tc>
          <w:tcPr>
            <w:tcW w:w="18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w:t>
            </w:r>
            <w:r>
              <w:rPr>
                <w:noProof/>
                <w:color w:val="006100"/>
                <w:sz w:val="18"/>
                <w:szCs w:val="18"/>
              </w:rPr>
              <w:t>schimbările climatice și protecția mediului — 16882_Proiecte de atenuare a inundațiilor</w:t>
            </w:r>
          </w:p>
        </w:tc>
        <w:tc>
          <w:tcPr>
            <w:tcW w:w="11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a 60 % din lucrările de atenuare a inundațiilor</w:t>
            </w:r>
          </w:p>
        </w:tc>
        <w:tc>
          <w:tcPr>
            <w:tcW w:w="16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unui inginer independent certificat de Ministerul Infrastructurii</w:t>
            </w:r>
          </w:p>
        </w:tc>
        <w:tc>
          <w:tcPr>
            <w:tcW w:w="8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28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a </w:t>
            </w:r>
            <w:r>
              <w:rPr>
                <w:noProof/>
                <w:color w:val="006100"/>
                <w:sz w:val="18"/>
                <w:szCs w:val="18"/>
              </w:rPr>
              <w:t>60 % din valoarea lucrărilor pentru proiectele de atenuare a inundațiilor în cele 4 regiuni: Lasithi Creta, regiunea Amvrakia-Amfilohia, regiunea Loutraki și regiunea Oreokastro.</w:t>
            </w:r>
          </w:p>
        </w:tc>
      </w:tr>
      <w:tr w:rsidR="00780A28">
        <w:trPr>
          <w:trHeight w:val="313"/>
        </w:trPr>
        <w:tc>
          <w:tcPr>
            <w:tcW w:w="96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70</w:t>
            </w:r>
          </w:p>
        </w:tc>
        <w:tc>
          <w:tcPr>
            <w:tcW w:w="18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w:t>
            </w:r>
            <w:r>
              <w:rPr>
                <w:noProof/>
                <w:color w:val="006100"/>
                <w:sz w:val="18"/>
                <w:szCs w:val="18"/>
              </w:rPr>
              <w:t>climatice și protecția mediului — Proiecte de aprovizionare 16898_WATER</w:t>
            </w:r>
          </w:p>
        </w:tc>
        <w:tc>
          <w:tcPr>
            <w:tcW w:w="11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a 60 % din proiectele de alimentare cu apă</w:t>
            </w:r>
          </w:p>
        </w:tc>
        <w:tc>
          <w:tcPr>
            <w:tcW w:w="16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unui inginer independent certificat de Ministerul Infrastructurii </w:t>
            </w:r>
          </w:p>
        </w:tc>
        <w:tc>
          <w:tcPr>
            <w:tcW w:w="8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28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a 60 % din valoarea </w:t>
            </w:r>
            <w:r>
              <w:rPr>
                <w:noProof/>
                <w:color w:val="006100"/>
                <w:sz w:val="18"/>
                <w:szCs w:val="18"/>
              </w:rPr>
              <w:t>lucrărilor pentru cele trei subproiecte de alimentare cu apă:</w:t>
            </w:r>
          </w:p>
          <w:p w:rsidR="00780A28" w:rsidRDefault="001867D7">
            <w:pPr>
              <w:spacing w:after="0" w:line="240" w:lineRule="auto"/>
              <w:rPr>
                <w:rFonts w:eastAsia="Times New Roman" w:cs="Calibri"/>
                <w:noProof/>
                <w:color w:val="006100"/>
                <w:sz w:val="18"/>
                <w:szCs w:val="18"/>
              </w:rPr>
            </w:pPr>
            <w:r>
              <w:rPr>
                <w:noProof/>
                <w:color w:val="006100"/>
                <w:sz w:val="18"/>
                <w:szCs w:val="18"/>
              </w:rPr>
              <w:t>1. Sisteme de alimentare cu apă pentru prefecturile din Preveza — Arta — Lefkada;</w:t>
            </w:r>
          </w:p>
          <w:p w:rsidR="00780A28" w:rsidRDefault="001867D7">
            <w:pPr>
              <w:spacing w:after="0" w:line="240" w:lineRule="auto"/>
              <w:rPr>
                <w:rFonts w:eastAsia="Times New Roman" w:cs="Calibri"/>
                <w:noProof/>
                <w:color w:val="006100"/>
                <w:sz w:val="18"/>
                <w:szCs w:val="18"/>
              </w:rPr>
            </w:pPr>
            <w:r>
              <w:rPr>
                <w:noProof/>
                <w:color w:val="006100"/>
                <w:sz w:val="18"/>
                <w:szCs w:val="18"/>
              </w:rPr>
              <w:t>2. Sistemele de alimentare cu apă din insula Lesbos;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3. Alimentarea cu apă a insulei Corfu. </w:t>
            </w:r>
          </w:p>
        </w:tc>
      </w:tr>
      <w:tr w:rsidR="00780A28">
        <w:trPr>
          <w:trHeight w:val="313"/>
        </w:trPr>
        <w:tc>
          <w:tcPr>
            <w:tcW w:w="96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71</w:t>
            </w:r>
          </w:p>
        </w:tc>
        <w:tc>
          <w:tcPr>
            <w:tcW w:w="18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w:t>
            </w:r>
            <w:r>
              <w:rPr>
                <w:noProof/>
                <w:color w:val="006100"/>
                <w:sz w:val="18"/>
                <w:szCs w:val="18"/>
              </w:rPr>
              <w:t>1.4. Utilizarea durabilă a resurselor, reziliența la schimbările climatice și protecția mediului — 16850_Aprovizionarea cu apă potabilă și infrastructuri de salvare</w:t>
            </w:r>
          </w:p>
        </w:tc>
        <w:tc>
          <w:tcPr>
            <w:tcW w:w="11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a 50 % din acțiunile de economisire a apei și de furnizare a apei</w:t>
            </w:r>
          </w:p>
        </w:tc>
        <w:tc>
          <w:tcPr>
            <w:tcW w:w="16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unui inginer independent certificat de Ministerul Mediului și Energiei</w:t>
            </w:r>
          </w:p>
        </w:tc>
        <w:tc>
          <w:tcPr>
            <w:tcW w:w="8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28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acțiunilor de economisire a apei pentru 50 % din gospodării și finalizarea cu 50 % a valorii lucrărilor pentru proiectele de alimentare cu apă. </w:t>
            </w:r>
          </w:p>
        </w:tc>
      </w:tr>
      <w:tr w:rsidR="00780A28">
        <w:trPr>
          <w:trHeight w:val="313"/>
        </w:trPr>
        <w:tc>
          <w:tcPr>
            <w:tcW w:w="96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72</w:t>
            </w:r>
          </w:p>
        </w:tc>
        <w:tc>
          <w:tcPr>
            <w:tcW w:w="18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w:t>
            </w:r>
            <w:r>
              <w:rPr>
                <w:noProof/>
                <w:color w:val="006100"/>
                <w:sz w:val="18"/>
                <w:szCs w:val="18"/>
              </w:rPr>
              <w:t>1.4. Utilizarea durabilă a resurselor, reziliența la schimbările climatice și protecția mediului — 16846_noua infrastructură — Infrastructurile de gestionare a apelor urbane reziduale și a nămolurilor rezultate din tratarea apelor uzate</w:t>
            </w:r>
          </w:p>
        </w:tc>
        <w:tc>
          <w:tcPr>
            <w:tcW w:w="11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a</w:t>
            </w:r>
            <w:r>
              <w:rPr>
                <w:noProof/>
                <w:color w:val="006100"/>
                <w:sz w:val="18"/>
                <w:szCs w:val="18"/>
              </w:rPr>
              <w:t xml:space="preserve"> 50 % din lucrările de tratare a apelor reziduale</w:t>
            </w:r>
          </w:p>
        </w:tc>
        <w:tc>
          <w:tcPr>
            <w:tcW w:w="16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de finalizare întocmit de inginer independent, certificat de Ministerul Mediului și Energiei</w:t>
            </w:r>
          </w:p>
        </w:tc>
        <w:tc>
          <w:tcPr>
            <w:tcW w:w="8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28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a 50 % din valoarea lucrărilor pentru infrastructurile de gestionare a apelor </w:t>
            </w:r>
            <w:r>
              <w:rPr>
                <w:noProof/>
                <w:color w:val="006100"/>
                <w:sz w:val="18"/>
                <w:szCs w:val="18"/>
              </w:rPr>
              <w:t>urbane reziduale și a nămolurilor.</w:t>
            </w:r>
          </w:p>
        </w:tc>
      </w:tr>
      <w:tr w:rsidR="00780A28">
        <w:trPr>
          <w:trHeight w:val="313"/>
        </w:trPr>
        <w:tc>
          <w:tcPr>
            <w:tcW w:w="96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73</w:t>
            </w:r>
          </w:p>
        </w:tc>
        <w:tc>
          <w:tcPr>
            <w:tcW w:w="18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protecția mediului — 16846_noua infrastructură — Infrastructurile de gestionare a apelor urbane reziduale și a nămolurilor rezultate </w:t>
            </w:r>
            <w:r>
              <w:rPr>
                <w:noProof/>
                <w:color w:val="006100"/>
                <w:sz w:val="18"/>
                <w:szCs w:val="18"/>
              </w:rPr>
              <w:t>din tratarea apelor uzate</w:t>
            </w:r>
          </w:p>
        </w:tc>
        <w:tc>
          <w:tcPr>
            <w:tcW w:w="11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infrastructurilor de gestionare a apelor urbane reziduale și a nămolurilor</w:t>
            </w:r>
          </w:p>
        </w:tc>
        <w:tc>
          <w:tcPr>
            <w:tcW w:w="16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de finalizare întocmit de inginer independent, certificat de Ministerul Mediului și Energiei</w:t>
            </w:r>
          </w:p>
        </w:tc>
        <w:tc>
          <w:tcPr>
            <w:tcW w:w="8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28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tuturor proiectelor de gestionare a apelor urbane reziduale și a nămolurilor: </w:t>
            </w:r>
          </w:p>
          <w:p w:rsidR="00780A28" w:rsidRDefault="001867D7">
            <w:pPr>
              <w:spacing w:after="0" w:line="240" w:lineRule="auto"/>
              <w:rPr>
                <w:rFonts w:eastAsia="Times New Roman" w:cs="Calibri"/>
                <w:noProof/>
                <w:color w:val="006100"/>
                <w:sz w:val="18"/>
                <w:szCs w:val="18"/>
              </w:rPr>
            </w:pPr>
            <w:r>
              <w:rPr>
                <w:noProof/>
                <w:color w:val="006100"/>
                <w:sz w:val="18"/>
                <w:szCs w:val="18"/>
              </w:rPr>
              <w:t>1. Infrastructura rețelei de canalizare și instalațiile de tratare a apelor reziduale (WWTP);</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2. Modernizarea, extinderea și modernizarea instalațiilor de tratare a </w:t>
            </w:r>
            <w:r>
              <w:rPr>
                <w:noProof/>
                <w:color w:val="006100"/>
                <w:sz w:val="18"/>
                <w:szCs w:val="18"/>
              </w:rPr>
              <w:t>apelor reziduale și reutilizarea apei tratate;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3. Implementarea infrastructurii de gestionare a nămolurilor din instalațiile de tratare a apelor reziduale.</w:t>
            </w:r>
          </w:p>
        </w:tc>
      </w:tr>
      <w:tr w:rsidR="00780A28">
        <w:trPr>
          <w:trHeight w:val="313"/>
        </w:trPr>
        <w:tc>
          <w:tcPr>
            <w:tcW w:w="96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74</w:t>
            </w:r>
          </w:p>
        </w:tc>
        <w:tc>
          <w:tcPr>
            <w:tcW w:w="186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w:t>
            </w:r>
            <w:r>
              <w:rPr>
                <w:noProof/>
                <w:color w:val="006100"/>
                <w:sz w:val="18"/>
                <w:szCs w:val="18"/>
              </w:rPr>
              <w:t>protecția mediului — 16850_Aprovizionarea cu apă potabilă și infrastructuri de salvare</w:t>
            </w:r>
          </w:p>
        </w:tc>
        <w:tc>
          <w:tcPr>
            <w:tcW w:w="11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aprovizionării cu apă potabilă și a infrastructurilor de salvare</w:t>
            </w:r>
          </w:p>
        </w:tc>
        <w:tc>
          <w:tcPr>
            <w:tcW w:w="16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 de finalizare întocmit de inginer independent, certificat de Ministerul </w:t>
            </w:r>
            <w:r>
              <w:rPr>
                <w:noProof/>
                <w:color w:val="006100"/>
                <w:sz w:val="18"/>
                <w:szCs w:val="18"/>
              </w:rPr>
              <w:t>Mediului și Energiei</w:t>
            </w:r>
          </w:p>
        </w:tc>
        <w:tc>
          <w:tcPr>
            <w:tcW w:w="81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28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tuturor proiectelor, inclusiv: </w:t>
            </w:r>
          </w:p>
          <w:p w:rsidR="00780A28" w:rsidRDefault="001867D7">
            <w:pPr>
              <w:spacing w:after="0" w:line="240" w:lineRule="auto"/>
              <w:rPr>
                <w:rFonts w:eastAsia="Times New Roman" w:cs="Calibri"/>
                <w:noProof/>
                <w:color w:val="006100"/>
                <w:sz w:val="18"/>
                <w:szCs w:val="18"/>
              </w:rPr>
            </w:pPr>
            <w:r>
              <w:rPr>
                <w:noProof/>
                <w:color w:val="006100"/>
                <w:sz w:val="18"/>
                <w:szCs w:val="18"/>
              </w:rPr>
              <w:t>1: Infrastructuri de alimentare cu apă în șapte zone</w:t>
            </w:r>
          </w:p>
          <w:p w:rsidR="00780A28" w:rsidRDefault="001867D7">
            <w:pPr>
              <w:spacing w:after="0" w:line="240" w:lineRule="auto"/>
              <w:rPr>
                <w:rFonts w:eastAsia="Times New Roman" w:cs="Calibri"/>
                <w:noProof/>
                <w:color w:val="006100"/>
                <w:sz w:val="18"/>
                <w:szCs w:val="18"/>
              </w:rPr>
            </w:pPr>
            <w:r>
              <w:rPr>
                <w:noProof/>
                <w:color w:val="006100"/>
                <w:sz w:val="18"/>
                <w:szCs w:val="18"/>
              </w:rPr>
              <w:t>2: Trei uzine de desalinizare</w:t>
            </w:r>
          </w:p>
          <w:p w:rsidR="00780A28" w:rsidRDefault="001867D7">
            <w:pPr>
              <w:spacing w:after="0" w:line="240" w:lineRule="auto"/>
              <w:rPr>
                <w:rFonts w:eastAsia="Times New Roman" w:cs="Calibri"/>
                <w:noProof/>
                <w:color w:val="006100"/>
                <w:sz w:val="18"/>
                <w:szCs w:val="18"/>
              </w:rPr>
            </w:pPr>
            <w:r>
              <w:rPr>
                <w:noProof/>
                <w:color w:val="006100"/>
                <w:sz w:val="18"/>
                <w:szCs w:val="18"/>
              </w:rPr>
              <w:t>3 : Telemetrie — Proiecte de control la distanță pentru detectarea scurgerilor în rețelele de ali</w:t>
            </w:r>
            <w:r>
              <w:rPr>
                <w:noProof/>
                <w:color w:val="006100"/>
                <w:sz w:val="18"/>
                <w:szCs w:val="18"/>
              </w:rPr>
              <w:t>mentare cu apă</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Achiziționarea contoarelor de apă digitale </w:t>
            </w:r>
          </w:p>
          <w:p w:rsidR="00780A28" w:rsidRDefault="001867D7">
            <w:pPr>
              <w:spacing w:after="0" w:line="240" w:lineRule="auto"/>
              <w:rPr>
                <w:rFonts w:eastAsia="Times New Roman" w:cs="Calibri"/>
                <w:noProof/>
                <w:color w:val="006100"/>
                <w:sz w:val="18"/>
                <w:szCs w:val="18"/>
              </w:rPr>
            </w:pPr>
            <w:r>
              <w:rPr>
                <w:noProof/>
                <w:color w:val="006100"/>
                <w:sz w:val="18"/>
                <w:szCs w:val="18"/>
              </w:rPr>
              <w:t>5: Acțiuni de economisire a apei cel puțin 45 000 de gospodării și 10 000 de întreprinderi</w:t>
            </w:r>
          </w:p>
        </w:tc>
      </w:tr>
      <w:tr w:rsidR="00780A28">
        <w:trPr>
          <w:trHeight w:val="313"/>
        </w:trPr>
        <w:tc>
          <w:tcPr>
            <w:tcW w:w="96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75</w:t>
            </w:r>
          </w:p>
        </w:tc>
        <w:tc>
          <w:tcPr>
            <w:tcW w:w="186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protecția </w:t>
            </w:r>
            <w:r>
              <w:rPr>
                <w:noProof/>
                <w:color w:val="006100"/>
                <w:sz w:val="18"/>
                <w:szCs w:val="18"/>
              </w:rPr>
              <w:t>mediului — 16882_Proiecte de atenuare a inundațiilor</w:t>
            </w:r>
          </w:p>
        </w:tc>
        <w:tc>
          <w:tcPr>
            <w:tcW w:w="11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proiectelor de atenuare a inundațiilor</w:t>
            </w:r>
          </w:p>
        </w:tc>
        <w:tc>
          <w:tcPr>
            <w:tcW w:w="16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de finalizare întocmit de inginer independent, certificat de Ministerul Mediului și Energiei</w:t>
            </w:r>
          </w:p>
        </w:tc>
        <w:tc>
          <w:tcPr>
            <w:tcW w:w="81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28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proiectelor de atenuare</w:t>
            </w:r>
            <w:r>
              <w:rPr>
                <w:noProof/>
                <w:color w:val="006100"/>
                <w:sz w:val="18"/>
                <w:szCs w:val="18"/>
              </w:rPr>
              <w:t xml:space="preserve"> a inundațiilor în cele patru regiuni: Lasithi Creta, regiunea Amvrakia-Amfilohia, regiunea Loutraki și regiunea Oreokastro.</w:t>
            </w:r>
          </w:p>
        </w:tc>
      </w:tr>
      <w:tr w:rsidR="00780A28">
        <w:trPr>
          <w:trHeight w:val="313"/>
        </w:trPr>
        <w:tc>
          <w:tcPr>
            <w:tcW w:w="96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76</w:t>
            </w:r>
          </w:p>
        </w:tc>
        <w:tc>
          <w:tcPr>
            <w:tcW w:w="186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protecția mediului — Proiecte de </w:t>
            </w:r>
            <w:r>
              <w:rPr>
                <w:noProof/>
                <w:color w:val="006100"/>
                <w:sz w:val="18"/>
                <w:szCs w:val="18"/>
              </w:rPr>
              <w:t>aprovizionare 16898_WATER</w:t>
            </w:r>
          </w:p>
        </w:tc>
        <w:tc>
          <w:tcPr>
            <w:tcW w:w="11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proiectelor de alimentare cu apă</w:t>
            </w:r>
          </w:p>
        </w:tc>
        <w:tc>
          <w:tcPr>
            <w:tcW w:w="16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de finalizare întocmit de inginer independent, certificat de Ministerul Mediului și Energiei</w:t>
            </w:r>
          </w:p>
        </w:tc>
        <w:tc>
          <w:tcPr>
            <w:tcW w:w="81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6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28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a trei subproiecte de alimentare cu apă (a) Preveza — </w:t>
            </w:r>
            <w:r>
              <w:rPr>
                <w:noProof/>
                <w:color w:val="006100"/>
                <w:sz w:val="18"/>
                <w:szCs w:val="18"/>
              </w:rPr>
              <w:t>Arta — Lefkada, b) Corfu și c) Lesbos: lucrări de admisie și de captare a apei, conducte, stații de stocare și pompare finalizate și în funcțiune.</w:t>
            </w:r>
          </w:p>
        </w:tc>
      </w:tr>
    </w:tbl>
    <w:p w:rsidR="00780A28" w:rsidRDefault="001867D7">
      <w:pPr>
        <w:keepNext/>
        <w:keepLines/>
        <w:spacing w:before="360" w:after="0" w:line="240" w:lineRule="auto"/>
        <w:jc w:val="both"/>
        <w:outlineLvl w:val="4"/>
        <w:rPr>
          <w:rFonts w:ascii="Cambria" w:eastAsia="Times New Roman" w:hAnsi="Cambria"/>
          <w:noProof/>
          <w:color w:val="365F91"/>
          <w:sz w:val="24"/>
        </w:rPr>
      </w:pPr>
      <w:r>
        <w:rPr>
          <w:rFonts w:ascii="Cambria" w:hAnsi="Cambria"/>
          <w:noProof/>
          <w:color w:val="365F91"/>
          <w:sz w:val="24"/>
        </w:rPr>
        <w:t>Grupa 7: Proiecte de protecție civilă</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Măsurile incluse în acest grup sunt:</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Mijloace aeriene de gestionare </w:t>
      </w:r>
      <w:r>
        <w:rPr>
          <w:rFonts w:ascii="Times New Roman" w:hAnsi="Times New Roman"/>
          <w:noProof/>
          <w:sz w:val="24"/>
        </w:rPr>
        <w:t>a crizelor (ID: 16911)</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Dezvoltarea unui sistem inovator de monitorizare și gestionare (ID: 16910)</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Instituirea unui sistem național strategic de gestionare a riscurilor de dezastre (ID: 16909)</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 xml:space="preserve">Echipamente de combatere a incendiilor forestiere, de </w:t>
      </w:r>
      <w:r>
        <w:rPr>
          <w:rFonts w:ascii="Times New Roman" w:hAnsi="Times New Roman"/>
          <w:noProof/>
          <w:sz w:val="24"/>
        </w:rPr>
        <w:t>prevenire și de reacție (ID: 16912)</w:t>
      </w:r>
    </w:p>
    <w:p w:rsidR="00780A28" w:rsidRDefault="001867D7">
      <w:pPr>
        <w:spacing w:before="120" w:after="120" w:line="240" w:lineRule="auto"/>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Punerea în aplicare a centrelor regionale de protecție civilă (PEKEPP) prin intermediul sistemelor PPP (ID: 16283)</w:t>
      </w:r>
    </w:p>
    <w:tbl>
      <w:tblPr>
        <w:tblpPr w:leftFromText="180" w:rightFromText="180" w:vertAnchor="text" w:tblpXSpec="right" w:tblpY="1"/>
        <w:tblOverlap w:val="never"/>
        <w:tblW w:w="15588" w:type="dxa"/>
        <w:tblLayout w:type="fixed"/>
        <w:tblLook w:val="04A0" w:firstRow="1" w:lastRow="0" w:firstColumn="1" w:lastColumn="0" w:noHBand="0" w:noVBand="1"/>
      </w:tblPr>
      <w:tblGrid>
        <w:gridCol w:w="1129"/>
        <w:gridCol w:w="1276"/>
        <w:gridCol w:w="1183"/>
        <w:gridCol w:w="944"/>
        <w:gridCol w:w="1134"/>
        <w:gridCol w:w="802"/>
        <w:gridCol w:w="1080"/>
        <w:gridCol w:w="960"/>
        <w:gridCol w:w="701"/>
        <w:gridCol w:w="851"/>
        <w:gridCol w:w="5528"/>
      </w:tblGrid>
      <w:tr w:rsidR="00780A28">
        <w:trPr>
          <w:trHeight w:val="927"/>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944"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Indicatori calitativi (pentru </w:t>
            </w:r>
            <w:r>
              <w:rPr>
                <w:rFonts w:ascii="Times New Roman" w:hAnsi="Times New Roman"/>
                <w:b/>
                <w:bCs/>
                <w:noProof/>
                <w:sz w:val="18"/>
                <w:szCs w:val="18"/>
              </w:rPr>
              <w:t>jaloane)</w:t>
            </w:r>
          </w:p>
        </w:tc>
        <w:tc>
          <w:tcPr>
            <w:tcW w:w="2842"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552"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44"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80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1080"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701"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trPr>
        <w:tc>
          <w:tcPr>
            <w:tcW w:w="1129"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77</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4 - 1.4. Utilizarea durabilă a resurselor, reziliența la schimbările climatice și protecția mediului — 16283_Implementarea centrelor regionale de protecție civilă (PEKEPP) prin intermediul programelor PPP</w:t>
            </w:r>
          </w:p>
        </w:tc>
        <w:tc>
          <w:tcPr>
            <w:tcW w:w="118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4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Licitație pentru 13 centre region</w:t>
            </w:r>
            <w:r>
              <w:rPr>
                <w:noProof/>
                <w:color w:val="006100"/>
                <w:sz w:val="18"/>
                <w:szCs w:val="18"/>
              </w:rPr>
              <w:t>ale</w:t>
            </w: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Publicarea anunțului de participare</w:t>
            </w:r>
          </w:p>
        </w:tc>
        <w:tc>
          <w:tcPr>
            <w:tcW w:w="80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8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552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Publicarea anunțului de participare pentru construirea a 13 centre regionale de protecție civilă.</w:t>
            </w:r>
          </w:p>
        </w:tc>
      </w:tr>
      <w:tr w:rsidR="00780A28">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78</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protecția mediului — </w:t>
            </w:r>
            <w:r>
              <w:rPr>
                <w:noProof/>
                <w:color w:val="006100"/>
                <w:sz w:val="18"/>
                <w:szCs w:val="18"/>
              </w:rPr>
              <w:t>16910_Sistemul de monitorizare și gestionare</w:t>
            </w:r>
          </w:p>
        </w:tc>
        <w:tc>
          <w:tcPr>
            <w:tcW w:w="118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4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Contract pentru GPS</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contractelor </w:t>
            </w:r>
          </w:p>
        </w:tc>
        <w:tc>
          <w:tcPr>
            <w:tcW w:w="8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52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contractului pentru sistemul de monitorizare GPS și sistemul de avertizare rapidă. </w:t>
            </w:r>
          </w:p>
        </w:tc>
      </w:tr>
      <w:tr w:rsidR="00780A28">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79</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w:t>
            </w:r>
            <w:r>
              <w:rPr>
                <w:noProof/>
                <w:color w:val="006100"/>
                <w:sz w:val="18"/>
                <w:szCs w:val="18"/>
              </w:rPr>
              <w:t>durabilă a resurselor, reziliența la schimbările climatice și protecția mediului — 16911_Mijloace aeriene pentru gestionarea crizelor</w:t>
            </w:r>
          </w:p>
        </w:tc>
        <w:tc>
          <w:tcPr>
            <w:tcW w:w="118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4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Achiziționarea a două elicoptere Sikorsky</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contractelor </w:t>
            </w:r>
          </w:p>
        </w:tc>
        <w:tc>
          <w:tcPr>
            <w:tcW w:w="8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552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w:t>
            </w:r>
            <w:r>
              <w:rPr>
                <w:noProof/>
                <w:color w:val="006100"/>
                <w:sz w:val="18"/>
                <w:szCs w:val="18"/>
              </w:rPr>
              <w:t>contractului pentru achiziționarea a două elicoptere Sikorsky pentru protecție civilă și pentru stingerea incendiilor.</w:t>
            </w:r>
          </w:p>
        </w:tc>
      </w:tr>
      <w:tr w:rsidR="00780A28">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80</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protecția mediului — 16283_Implementarea centrelor </w:t>
            </w:r>
            <w:r>
              <w:rPr>
                <w:noProof/>
                <w:color w:val="006100"/>
                <w:sz w:val="18"/>
                <w:szCs w:val="18"/>
              </w:rPr>
              <w:t>regionale de protecție civilă (PEKEPP) prin intermediul programelor PPP</w:t>
            </w:r>
          </w:p>
        </w:tc>
        <w:tc>
          <w:tcPr>
            <w:tcW w:w="118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94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a 13 clădiri</w:t>
            </w:r>
          </w:p>
        </w:tc>
        <w:tc>
          <w:tcPr>
            <w:tcW w:w="113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centrelor regionale de protecție civilă puse în funcțiune de la finalizarea construcției </w:t>
            </w:r>
          </w:p>
        </w:tc>
        <w:tc>
          <w:tcPr>
            <w:tcW w:w="108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6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w:t>
            </w:r>
          </w:p>
        </w:tc>
        <w:tc>
          <w:tcPr>
            <w:tcW w:w="70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552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construcției și punerii în </w:t>
            </w:r>
            <w:r>
              <w:rPr>
                <w:noProof/>
                <w:color w:val="006100"/>
                <w:sz w:val="18"/>
                <w:szCs w:val="18"/>
              </w:rPr>
              <w:t>funcțiune a 13 centre regionale de protecție civilă.</w:t>
            </w:r>
          </w:p>
        </w:tc>
      </w:tr>
      <w:tr w:rsidR="00780A28">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81</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magenta"/>
              </w:rPr>
            </w:pPr>
            <w:r>
              <w:rPr>
                <w:noProof/>
                <w:color w:val="006100"/>
                <w:sz w:val="18"/>
                <w:szCs w:val="18"/>
              </w:rPr>
              <w:t>4 - 1.4. Utilizarea durabilă a resurselor, reziliența la schimbările climatice și protecția mediului — 16910_Sistemul de monitorizare și gestionare</w:t>
            </w:r>
          </w:p>
        </w:tc>
        <w:tc>
          <w:tcPr>
            <w:tcW w:w="118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4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sistemului de monitorizare și </w:t>
            </w:r>
            <w:r>
              <w:rPr>
                <w:noProof/>
                <w:color w:val="006100"/>
                <w:sz w:val="18"/>
                <w:szCs w:val="18"/>
              </w:rPr>
              <w:t>gestionare pentru protecția civilă</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 certificată prin raportul Ministerului de Interne</w:t>
            </w:r>
          </w:p>
        </w:tc>
        <w:tc>
          <w:tcPr>
            <w:tcW w:w="8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următoarelor acțiuni:</w:t>
            </w:r>
          </w:p>
          <w:p w:rsidR="00780A28" w:rsidRDefault="001867D7">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 xml:space="preserve">Sistemul de monitorizare GPS utilizat de Serviciul elen de pompieri, precum și vehiculele Centrului regional de </w:t>
            </w:r>
            <w:r>
              <w:rPr>
                <w:noProof/>
                <w:color w:val="006100"/>
                <w:sz w:val="18"/>
                <w:szCs w:val="18"/>
              </w:rPr>
              <w:t>operațiuni de protecție civilă (utilaje de proiect etc.). Extinderea sistemului informatic „implicat” al Serviciului elen de pompieri;</w:t>
            </w:r>
          </w:p>
          <w:p w:rsidR="00780A28" w:rsidRDefault="001867D7">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Sistemul de avertizare timpurie;</w:t>
            </w:r>
          </w:p>
          <w:p w:rsidR="00780A28" w:rsidRDefault="001867D7">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Sisteme de detectare a incendiilor și de stingere a incendiilor;</w:t>
            </w:r>
          </w:p>
          <w:p w:rsidR="00780A28" w:rsidRDefault="001867D7">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Stații de comunicație d</w:t>
            </w:r>
            <w:r>
              <w:rPr>
                <w:noProof/>
                <w:color w:val="006100"/>
                <w:sz w:val="18"/>
                <w:szCs w:val="18"/>
              </w:rPr>
              <w:t>e urgență și furnizarea de date climatice din zonele de interes; precum și</w:t>
            </w:r>
          </w:p>
          <w:p w:rsidR="00780A28" w:rsidRDefault="001867D7">
            <w:pPr>
              <w:numPr>
                <w:ilvl w:val="0"/>
                <w:numId w:val="47"/>
              </w:numPr>
              <w:spacing w:before="120" w:after="0" w:line="259" w:lineRule="auto"/>
              <w:contextualSpacing/>
              <w:jc w:val="both"/>
              <w:rPr>
                <w:rFonts w:eastAsia="Times New Roman" w:cs="Calibri"/>
                <w:noProof/>
                <w:color w:val="006100"/>
                <w:sz w:val="18"/>
                <w:szCs w:val="18"/>
              </w:rPr>
            </w:pPr>
            <w:r>
              <w:rPr>
                <w:noProof/>
                <w:color w:val="006100"/>
                <w:sz w:val="18"/>
                <w:szCs w:val="18"/>
              </w:rPr>
              <w:t>Rețea de comunicații fără fir.</w:t>
            </w:r>
          </w:p>
          <w:p w:rsidR="00780A28" w:rsidRDefault="00780A28">
            <w:pPr>
              <w:spacing w:after="0" w:line="240" w:lineRule="auto"/>
              <w:rPr>
                <w:rFonts w:eastAsia="Times New Roman" w:cs="Calibri"/>
                <w:noProof/>
                <w:color w:val="006100"/>
                <w:sz w:val="18"/>
                <w:szCs w:val="18"/>
                <w:lang w:eastAsia="en-GB"/>
              </w:rPr>
            </w:pPr>
          </w:p>
        </w:tc>
      </w:tr>
      <w:tr w:rsidR="00780A28">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82</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protecția mediului — 16911_Mijloace aeriene pentru gestionarea </w:t>
            </w:r>
            <w:r>
              <w:rPr>
                <w:noProof/>
                <w:color w:val="006100"/>
                <w:sz w:val="18"/>
                <w:szCs w:val="18"/>
              </w:rPr>
              <w:t>crizelor</w:t>
            </w:r>
          </w:p>
        </w:tc>
        <w:tc>
          <w:tcPr>
            <w:tcW w:w="118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4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de mijloace aeriene de gestionare a crizelor</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 certificată printr-un raport al Ministerului de Interne</w:t>
            </w:r>
          </w:p>
        </w:tc>
        <w:tc>
          <w:tcPr>
            <w:tcW w:w="8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următoarelor acțiuni:</w:t>
            </w:r>
          </w:p>
          <w:p w:rsidR="00780A28" w:rsidRDefault="001867D7">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 xml:space="preserve">Livrarea a 2 elicoptere utilitare de dimensiune medie — de </w:t>
            </w:r>
            <w:r>
              <w:rPr>
                <w:noProof/>
                <w:color w:val="006100"/>
                <w:sz w:val="18"/>
                <w:szCs w:val="18"/>
              </w:rPr>
              <w:t>uz medical;</w:t>
            </w:r>
          </w:p>
          <w:p w:rsidR="00780A28" w:rsidRDefault="001867D7">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Livrarea de vehicule aeriene fără pilot — vehicule aeriene fără pilot (drone) pentru supravegherea aeriană;</w:t>
            </w:r>
          </w:p>
          <w:p w:rsidR="00780A28" w:rsidRDefault="001867D7">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Modernizare — modernizarea a 7 Canadair CL415;</w:t>
            </w:r>
          </w:p>
          <w:p w:rsidR="00780A28" w:rsidRDefault="001867D7">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S-64 elicoptere cu decolare-aterizare verticală Skycrane;</w:t>
            </w:r>
          </w:p>
          <w:p w:rsidR="00780A28" w:rsidRDefault="001867D7">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 xml:space="preserve">Livrarea unui elicopter pentru </w:t>
            </w:r>
            <w:r>
              <w:rPr>
                <w:noProof/>
                <w:color w:val="006100"/>
                <w:sz w:val="18"/>
                <w:szCs w:val="18"/>
              </w:rPr>
              <w:t>transportul echipei GSCP de gestionare a incidentelor;</w:t>
            </w:r>
          </w:p>
          <w:p w:rsidR="00780A28" w:rsidRDefault="001867D7">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Livrarea a 11 aeronave amfibii de tip tractor de stingere a incendiilor pentru complexele insulare; precum și</w:t>
            </w:r>
          </w:p>
          <w:p w:rsidR="00780A28" w:rsidRDefault="001867D7">
            <w:pPr>
              <w:numPr>
                <w:ilvl w:val="0"/>
                <w:numId w:val="48"/>
              </w:numPr>
              <w:spacing w:before="120" w:after="0" w:line="259" w:lineRule="auto"/>
              <w:contextualSpacing/>
              <w:jc w:val="both"/>
              <w:rPr>
                <w:rFonts w:eastAsia="Times New Roman" w:cs="Calibri"/>
                <w:noProof/>
                <w:color w:val="006100"/>
                <w:sz w:val="18"/>
                <w:szCs w:val="18"/>
              </w:rPr>
            </w:pPr>
            <w:r>
              <w:rPr>
                <w:noProof/>
                <w:color w:val="006100"/>
                <w:sz w:val="18"/>
                <w:szCs w:val="18"/>
              </w:rPr>
              <w:t>Modernizare — modernizarea a două (2) Super Pumas.</w:t>
            </w:r>
          </w:p>
        </w:tc>
      </w:tr>
      <w:tr w:rsidR="00780A28">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83</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magenta"/>
              </w:rPr>
            </w:pPr>
            <w:r>
              <w:rPr>
                <w:noProof/>
                <w:color w:val="006100"/>
                <w:sz w:val="18"/>
                <w:szCs w:val="18"/>
              </w:rPr>
              <w:t xml:space="preserve">4 - 1.4. Utilizarea durabilă a </w:t>
            </w:r>
            <w:r>
              <w:rPr>
                <w:noProof/>
                <w:color w:val="006100"/>
                <w:sz w:val="18"/>
                <w:szCs w:val="18"/>
              </w:rPr>
              <w:t>resurselor, reziliența la schimbările climatice și protecția mediului — 16912_Echipamente de combatere a incendiilor forestiere, de prevenire și de reacție</w:t>
            </w:r>
          </w:p>
        </w:tc>
        <w:tc>
          <w:tcPr>
            <w:tcW w:w="118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4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echipamentelor de combatere a pădurilor</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 certificată prin raportul </w:t>
            </w:r>
            <w:r>
              <w:rPr>
                <w:noProof/>
                <w:color w:val="006100"/>
                <w:sz w:val="18"/>
                <w:szCs w:val="18"/>
              </w:rPr>
              <w:t>Ministerului de Interne</w:t>
            </w:r>
          </w:p>
        </w:tc>
        <w:tc>
          <w:tcPr>
            <w:tcW w:w="8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următoarelor acțiuni:</w:t>
            </w:r>
          </w:p>
          <w:p w:rsidR="00780A28" w:rsidRDefault="001867D7">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Livrarea motoarelor de incendiu și a altor vehicule de intervenție;</w:t>
            </w:r>
          </w:p>
          <w:p w:rsidR="00780A28" w:rsidRDefault="001867D7">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Dezvoltarea de proiecte de prevenire. Livrarea echipamentelor de construcție;</w:t>
            </w:r>
          </w:p>
          <w:p w:rsidR="00780A28" w:rsidRDefault="001867D7">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 xml:space="preserve">Livrarea de vehicule pentru GSCP, </w:t>
            </w:r>
            <w:r>
              <w:rPr>
                <w:noProof/>
                <w:color w:val="006100"/>
                <w:sz w:val="18"/>
                <w:szCs w:val="18"/>
              </w:rPr>
              <w:t>centrele regionale/locale de operațiuni de protecție civilă și organizațiile de voluntariat; precum și</w:t>
            </w:r>
          </w:p>
          <w:p w:rsidR="00780A28" w:rsidRDefault="001867D7">
            <w:pPr>
              <w:numPr>
                <w:ilvl w:val="0"/>
                <w:numId w:val="49"/>
              </w:numPr>
              <w:spacing w:before="120" w:after="0" w:line="259" w:lineRule="auto"/>
              <w:contextualSpacing/>
              <w:jc w:val="both"/>
              <w:rPr>
                <w:rFonts w:eastAsia="Times New Roman" w:cs="Calibri"/>
                <w:noProof/>
                <w:color w:val="006100"/>
                <w:sz w:val="18"/>
                <w:szCs w:val="18"/>
              </w:rPr>
            </w:pPr>
            <w:r>
              <w:rPr>
                <w:noProof/>
                <w:color w:val="006100"/>
                <w:sz w:val="18"/>
                <w:szCs w:val="18"/>
              </w:rPr>
              <w:t xml:space="preserve">Livrarea de poduri transportabile flexibile. </w:t>
            </w:r>
          </w:p>
        </w:tc>
      </w:tr>
      <w:tr w:rsidR="00780A28">
        <w:trPr>
          <w:trHeight w:val="309"/>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84</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4 - 1.4. Utilizarea durabilă a resurselor, reziliența la schimbările climatice și protecția mediului — </w:t>
            </w:r>
            <w:r>
              <w:rPr>
                <w:noProof/>
                <w:color w:val="006100"/>
                <w:sz w:val="18"/>
                <w:szCs w:val="18"/>
              </w:rPr>
              <w:t>16909_Infrastructură — Instituirea unei gestionări naționale strategice a riscurilor de dezastre</w:t>
            </w:r>
          </w:p>
        </w:tc>
        <w:tc>
          <w:tcPr>
            <w:tcW w:w="118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4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gestionării riscurilor de dezastre la nivel național</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 certificată prin raportul Ministerului de Interne </w:t>
            </w:r>
          </w:p>
        </w:tc>
        <w:tc>
          <w:tcPr>
            <w:tcW w:w="8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52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w:t>
            </w:r>
            <w:r>
              <w:rPr>
                <w:noProof/>
                <w:color w:val="006100"/>
                <w:sz w:val="18"/>
                <w:szCs w:val="18"/>
              </w:rPr>
              <w:t>următoarelor acțiuni:</w:t>
            </w:r>
          </w:p>
          <w:p w:rsidR="00780A28" w:rsidRDefault="001867D7">
            <w:pPr>
              <w:numPr>
                <w:ilvl w:val="0"/>
                <w:numId w:val="50"/>
              </w:numPr>
              <w:spacing w:before="120" w:after="0" w:line="259" w:lineRule="auto"/>
              <w:contextualSpacing/>
              <w:jc w:val="both"/>
              <w:rPr>
                <w:rFonts w:eastAsia="Times New Roman" w:cs="Calibri"/>
                <w:noProof/>
                <w:color w:val="006100"/>
                <w:sz w:val="18"/>
                <w:szCs w:val="18"/>
              </w:rPr>
            </w:pPr>
            <w:r>
              <w:rPr>
                <w:noProof/>
                <w:color w:val="006100"/>
                <w:sz w:val="18"/>
                <w:szCs w:val="18"/>
              </w:rPr>
              <w:t>Înființarea unui centru național strategic de gestionare a riscurilor de dezastre în clădirile Atlantas și Faros.</w:t>
            </w:r>
          </w:p>
          <w:p w:rsidR="00780A28" w:rsidRDefault="001867D7">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Livrarea de echipamente de telecomunicații pentru cele 13 centre regionale de operațiuni de protecție civilă.</w:t>
            </w:r>
          </w:p>
          <w:p w:rsidR="00780A28" w:rsidRDefault="001867D7">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Construire</w:t>
            </w:r>
            <w:r>
              <w:rPr>
                <w:noProof/>
                <w:color w:val="006100"/>
                <w:sz w:val="18"/>
                <w:szCs w:val="18"/>
              </w:rPr>
              <w:t>a de noi clădiri și echipamente de birou pentru instituțiile educaționale de protecție civilă și de pompieri.</w:t>
            </w:r>
          </w:p>
          <w:p w:rsidR="00780A28" w:rsidRDefault="001867D7">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Construirea unui centru de control și gestionare a supravegherii aeriene.</w:t>
            </w:r>
          </w:p>
          <w:p w:rsidR="00780A28" w:rsidRDefault="001867D7">
            <w:pPr>
              <w:numPr>
                <w:ilvl w:val="0"/>
                <w:numId w:val="51"/>
              </w:numPr>
              <w:spacing w:before="120" w:after="0" w:line="259" w:lineRule="auto"/>
              <w:contextualSpacing/>
              <w:jc w:val="both"/>
              <w:rPr>
                <w:rFonts w:eastAsia="Times New Roman" w:cs="Calibri"/>
                <w:noProof/>
                <w:color w:val="006100"/>
                <w:sz w:val="18"/>
                <w:szCs w:val="18"/>
              </w:rPr>
            </w:pPr>
            <w:r>
              <w:rPr>
                <w:noProof/>
                <w:color w:val="006100"/>
                <w:sz w:val="18"/>
                <w:szCs w:val="18"/>
              </w:rPr>
              <w:t>Furnizarea de centre mobile de administrare și control la fața locului î</w:t>
            </w:r>
            <w:r>
              <w:rPr>
                <w:noProof/>
                <w:color w:val="006100"/>
                <w:sz w:val="18"/>
                <w:szCs w:val="18"/>
              </w:rPr>
              <w:t>n cele 13 regiuni.</w:t>
            </w:r>
          </w:p>
        </w:tc>
      </w:tr>
    </w:tbl>
    <w:p w:rsidR="00780A28" w:rsidRDefault="001867D7">
      <w:pPr>
        <w:spacing w:before="120" w:after="120" w:line="240" w:lineRule="auto"/>
        <w:rPr>
          <w:rFonts w:ascii="Times New Roman" w:hAnsi="Times New Roman" w:cs="Times New Roman"/>
          <w:noProof/>
          <w:sz w:val="24"/>
        </w:rPr>
        <w:sectPr w:rsidR="00780A28">
          <w:headerReference w:type="even" r:id="rId69"/>
          <w:headerReference w:type="default" r:id="rId70"/>
          <w:footerReference w:type="even" r:id="rId71"/>
          <w:footerReference w:type="default" r:id="rId72"/>
          <w:headerReference w:type="first" r:id="rId73"/>
          <w:footerReference w:type="first" r:id="rId74"/>
          <w:pgSz w:w="16839" w:h="11907" w:orient="landscape"/>
          <w:pgMar w:top="720" w:right="720" w:bottom="720" w:left="720" w:header="709" w:footer="709" w:gutter="0"/>
          <w:cols w:space="720"/>
          <w:docGrid w:linePitch="360"/>
        </w:sectPr>
      </w:pPr>
      <w:r>
        <w:rPr>
          <w:rFonts w:ascii="Times New Roman" w:hAnsi="Times New Roman"/>
          <w:noProof/>
          <w:sz w:val="24"/>
        </w:rPr>
        <w:br w:type="textWrapping" w:clear="all"/>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t xml:space="preserve"> </w:t>
      </w:r>
      <w:r>
        <w:rPr>
          <w:rFonts w:ascii="Times New Roman" w:hAnsi="Times New Roman"/>
          <w:noProof/>
          <w:sz w:val="24"/>
        </w:rPr>
        <w:tab/>
      </w:r>
    </w:p>
    <w:p w:rsidR="00780A28" w:rsidRDefault="001867D7">
      <w:pPr>
        <w:spacing w:before="120" w:after="120" w:line="240" w:lineRule="auto"/>
        <w:ind w:firstLine="709"/>
        <w:jc w:val="both"/>
        <w:rPr>
          <w:rFonts w:ascii="Times New Roman" w:hAnsi="Times New Roman" w:cs="Times New Roman"/>
          <w:b/>
          <w:bCs/>
          <w:noProof/>
          <w:sz w:val="24"/>
        </w:rPr>
      </w:pPr>
      <w:r>
        <w:rPr>
          <w:rFonts w:ascii="Times New Roman" w:hAnsi="Times New Roman"/>
          <w:b/>
          <w:bCs/>
          <w:noProof/>
          <w:sz w:val="24"/>
        </w:rPr>
        <w:t>E. COMPONENTA 2.1: CONECTARE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componentă a planului de redresare și reziliență al Greciei conține măsuri menite să încurajeze și să faciliteze </w:t>
      </w:r>
      <w:r>
        <w:rPr>
          <w:rFonts w:ascii="Times New Roman" w:hAnsi="Times New Roman"/>
          <w:noProof/>
          <w:sz w:val="24"/>
        </w:rPr>
        <w:t>implementarea pe scară largă a rețelelor de foarte mare capacitate, inclusiv a rețelelor 5G și a fibrelor optice, în conformitate cu obiectivele UE în materie de conectivitate 2025 5G și gigabit, precum și dezvoltarea unei constelații de sateliți de mici d</w:t>
      </w:r>
      <w:r>
        <w:rPr>
          <w:rFonts w:ascii="Times New Roman" w:hAnsi="Times New Roman"/>
          <w:noProof/>
          <w:sz w:val="24"/>
        </w:rPr>
        <w:t>imensiuni. Investițiile incluse în cadrul acestei componente se referă la instalarea infrastructurii de fibră optică în clădiri, la dezvoltarea rețelelor 5G care acoperă toate autostrăzile principale din Grecia, la instalarea de cabluri submarine din fibră</w:t>
      </w:r>
      <w:r>
        <w:rPr>
          <w:rFonts w:ascii="Times New Roman" w:hAnsi="Times New Roman"/>
          <w:noProof/>
          <w:sz w:val="24"/>
        </w:rPr>
        <w:t xml:space="preserve"> optică pentru a conecta Grecia continentală cu insulele grecești și Cipru și la utilizarea tehnologiilor și aplicațiilor spațiale prin dezvoltarea unei constelații de sateliți de mici dimensiuni care să sprijine servicii de conectivitate sigure, combinate</w:t>
      </w:r>
      <w:r>
        <w:rPr>
          <w:rFonts w:ascii="Times New Roman" w:hAnsi="Times New Roman"/>
          <w:noProof/>
          <w:sz w:val="24"/>
        </w:rPr>
        <w:t xml:space="preserve"> cu aplicații multifuncționale pentru observarea Pământului. Reformele incluse în această componentă stabilesc un cadru pentru facilitarea trecerii la conexiuni rapide în bandă largă și a tranziției către tehnologia 5G.</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Toate investițiile și reformele prop</w:t>
      </w:r>
      <w:r>
        <w:rPr>
          <w:rFonts w:ascii="Times New Roman" w:hAnsi="Times New Roman"/>
          <w:noProof/>
          <w:sz w:val="24"/>
        </w:rPr>
        <w:t>use abordează provocările generate de nevoia tot mai mare de conectivitate și de observare și supraveghere a Pământului. Măsurile sprijină abordarea recomandării specifice fiecărei țări privind investițiile publice și private (recomandarea specifică 3/2020</w:t>
      </w:r>
      <w:r>
        <w:rPr>
          <w:rFonts w:ascii="Times New Roman" w:hAnsi="Times New Roman"/>
          <w:noProof/>
          <w:sz w:val="24"/>
        </w:rPr>
        <w:t>), care solicită Greciei să își concentreze investițiile asupra tranziției digitale și, în special, asupra infrastructurii digitale de foarte mare capacitate. De asemenea, acestea răspund în mod eficace tranziției digitale și/sau provocărilor generate de a</w:t>
      </w:r>
      <w:r>
        <w:rPr>
          <w:rFonts w:ascii="Times New Roman" w:hAnsi="Times New Roman"/>
          <w:noProof/>
          <w:sz w:val="24"/>
        </w:rPr>
        <w:t xml:space="preserve">ceasta, întrucât se preconizează că acestea vor contribui în mod semnificativ la îmbunătățirea conectivității de foarte mare viteză în Grecia. Este de așteptat ca nicio măsură din cadrul acestei componente să nu afecteze în mod semnificativ obiectivele de </w:t>
      </w:r>
      <w:r>
        <w:rPr>
          <w:rFonts w:ascii="Times New Roman" w:hAnsi="Times New Roman"/>
          <w:noProof/>
          <w:sz w:val="24"/>
        </w:rPr>
        <w:t>mediu în sensul articolului 17 din Regulamentul (UE) 2020/852, ținând seama de descrierea măsurilor și a măsurilor de atenuare stabilite în planul de redresare și reziliență în conformitate cu Orientările tehnice bazate pe principiul de „a nu aduce prejudi</w:t>
      </w:r>
      <w:r>
        <w:rPr>
          <w:rFonts w:ascii="Times New Roman" w:hAnsi="Times New Roman"/>
          <w:noProof/>
          <w:sz w:val="24"/>
        </w:rPr>
        <w:t>cii semnificative” (2021/C58/01).</w:t>
      </w:r>
    </w:p>
    <w:p w:rsidR="00780A28" w:rsidRDefault="001867D7">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E.1.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Sateliți de mici dimensiuni (număr de identificare a măsurii: 16855)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vizează </w:t>
      </w:r>
      <w:r>
        <w:rPr>
          <w:rFonts w:ascii="Times New Roman" w:hAnsi="Times New Roman"/>
          <w:noProof/>
          <w:sz w:val="24"/>
        </w:rPr>
        <w:t xml:space="preserve">dezvoltarea unei constelații de sateliți de mici dimensiuni care să sprijine serviciile de conectivitate, precum și aplicațiile de observare a Pământului în domeniile cartografierii, transportului maritim, agriculturii de precizie, amenajării teritoriului </w:t>
      </w:r>
      <w:r>
        <w:rPr>
          <w:rFonts w:ascii="Times New Roman" w:hAnsi="Times New Roman"/>
          <w:noProof/>
          <w:sz w:val="24"/>
        </w:rPr>
        <w:t>ș</w:t>
      </w:r>
      <w:r>
        <w:rPr>
          <w:rFonts w:ascii="Times New Roman" w:hAnsi="Times New Roman"/>
          <w:noProof/>
          <w:sz w:val="24"/>
        </w:rPr>
        <w:t>i altele.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Tranziția către tehnologia 5G, facilitând dezvoltarea de servicii la distanță inovatoare (numărul de identificare al măsurii: 16844)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stabilește o bază pentr</w:t>
      </w:r>
      <w:r>
        <w:rPr>
          <w:rFonts w:ascii="Times New Roman" w:hAnsi="Times New Roman"/>
          <w:noProof/>
          <w:sz w:val="24"/>
        </w:rPr>
        <w:t>u tranziția către tehnologia 5G. Prima etapă a reformei se axează pe punerea în aplicare a cadrului legislativ și de reglementare, în special prin utilizarea a 25 % din veniturile obținute din licitațiile 5G în mai multe benzi pentru a sprijini fondul inov</w:t>
      </w:r>
      <w:r>
        <w:rPr>
          <w:rFonts w:ascii="Times New Roman" w:hAnsi="Times New Roman"/>
          <w:noProof/>
          <w:sz w:val="24"/>
        </w:rPr>
        <w:t>ator Phaistos, care investește în întreprinderi și proiecte care furnizează produse și servicii 5G. A doua etapă include un proces de identificare a oportunităților și riscurilor suplimentare în ceea ce privește dezvoltarea rețelelor 5G, raționalizarea pro</w:t>
      </w:r>
      <w:r>
        <w:rPr>
          <w:rFonts w:ascii="Times New Roman" w:hAnsi="Times New Roman"/>
          <w:noProof/>
          <w:sz w:val="24"/>
        </w:rPr>
        <w:t>cedurilor și evaluarea cerințelor și a riscurilor în aplicațiile economice specifice (cum ar fi transportul). Implementarea reformei trebuie finalizată până la 30 septembrie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Coridoarele 5G — Dezvoltarea rețelelor 5G care asigură acoperire</w:t>
      </w:r>
      <w:r>
        <w:rPr>
          <w:rFonts w:ascii="Times New Roman" w:hAnsi="Times New Roman"/>
          <w:noProof/>
          <w:sz w:val="24"/>
        </w:rPr>
        <w:t>a tuturor autostrăzilor grecești care fac parte din rețelele transeuropene de transport (numărul de identificare al măsurii: 16834)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dezvoltarea infrastructurii de rețea 5G de-a lungul principalelor autostrăzi grecești care fac parte di</w:t>
      </w:r>
      <w:r>
        <w:rPr>
          <w:rFonts w:ascii="Times New Roman" w:hAnsi="Times New Roman"/>
          <w:noProof/>
          <w:sz w:val="24"/>
        </w:rPr>
        <w:t>n rețelele transeuropene de transport pentru a răspunde nevoilor de mobilitate conectată și autonomă. Se preconizează că implementarea investiției va începe la 31 decembrie 2021 și va fi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Trecerea la conexiuni </w:t>
      </w:r>
      <w:r>
        <w:rPr>
          <w:rFonts w:ascii="Times New Roman" w:hAnsi="Times New Roman"/>
          <w:noProof/>
          <w:sz w:val="24"/>
        </w:rPr>
        <w:t>rapide în bandă largă — tranziția către conexiuni în bandă largă de mare viteză (de foarte mare viteză) de 100/200 Mbps și consolidarea cererii de bandă largă ultrarapidă (numărul de identificare al măsurii: 16857)</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reformă constă în conceperea și p</w:t>
      </w:r>
      <w:r>
        <w:rPr>
          <w:rFonts w:ascii="Times New Roman" w:hAnsi="Times New Roman"/>
          <w:noProof/>
          <w:sz w:val="24"/>
        </w:rPr>
        <w:t>unerea în aplicare a unui plan de acțiune pentru tranziția la conexiuni în bandă largă de 100/200 Mbps (Ultrafast) prin instalarea de fibră optică și a echipamentelor aferente în clădiri, precum și a cablurilor submarine în cazul insulelor grecești, permiț</w:t>
      </w:r>
      <w:r>
        <w:rPr>
          <w:rFonts w:ascii="Times New Roman" w:hAnsi="Times New Roman"/>
          <w:noProof/>
          <w:sz w:val="24"/>
        </w:rPr>
        <w:t>ând o acoperire mai mare a conexiunilor la rețelele de foarte mare viteză. Planul include acțiuni, activități prealabile, calendare, precum și orice modificări necesare ale cadrului legislativ și de reglementare existent pentru a însoți și monitoriza tranz</w:t>
      </w:r>
      <w:r>
        <w:rPr>
          <w:rFonts w:ascii="Times New Roman" w:hAnsi="Times New Roman"/>
          <w:noProof/>
          <w:sz w:val="24"/>
        </w:rPr>
        <w:t>iția către conexiuni în bandă largă de foarte mare viteză. Implementarea reformei trebuie finalizată până la 30 iunie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Cabluri din fibre submarine (ID de măsură: 16962)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instalarea de cabluri din fibre submarine moderne</w:t>
      </w:r>
      <w:r>
        <w:rPr>
          <w:rFonts w:ascii="Times New Roman" w:hAnsi="Times New Roman"/>
          <w:noProof/>
          <w:sz w:val="24"/>
        </w:rPr>
        <w:t xml:space="preserve"> care vor conecta Grecia continentală cu insulele sale și cu Cipru. Scopul său este de a elimina un obstacol major în calea disponibilității serviciilor în bandă largă de mare viteză pentru utilizatorii finali, atât prin intermediul rețelelor fixe, cât și </w:t>
      </w:r>
      <w:r>
        <w:rPr>
          <w:rFonts w:ascii="Times New Roman" w:hAnsi="Times New Roman"/>
          <w:noProof/>
          <w:sz w:val="24"/>
        </w:rPr>
        <w:t>al celor mobile, și de a spori capacitatea și reziliența infrastructurii de racordare în sprijinul tehnologiei 5G.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Infrastructura de fibră optică din clădiri (numărul de id</w:t>
      </w:r>
      <w:r>
        <w:rPr>
          <w:rFonts w:ascii="Times New Roman" w:hAnsi="Times New Roman"/>
          <w:noProof/>
          <w:sz w:val="24"/>
        </w:rPr>
        <w:t>entificare al măsurii: 16818)</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promovează instalarea infrastructurii de fibră optică în clădirile rezidențiale și comerciale și conectarea utilizatorilor finali la rețelele de foarte mare capacitate (VHCN) pe baza unui sistem de subvenționare a c</w:t>
      </w:r>
      <w:r>
        <w:rPr>
          <w:rFonts w:ascii="Times New Roman" w:hAnsi="Times New Roman"/>
          <w:noProof/>
          <w:sz w:val="24"/>
        </w:rPr>
        <w:t>ererii (voucher) care subvenționează (a) costurile cablării interne și (b) taxele de conectare (taxa unică de instalare a serviciilor în bandă largă). Implementarea investiției trebuie finalizată până la 31 decembrie 2025.</w:t>
      </w:r>
    </w:p>
    <w:p w:rsidR="00780A28" w:rsidRDefault="00780A28">
      <w:pPr>
        <w:spacing w:before="120" w:after="120" w:line="240" w:lineRule="auto"/>
        <w:ind w:left="709"/>
        <w:jc w:val="both"/>
        <w:rPr>
          <w:rFonts w:ascii="Times New Roman" w:hAnsi="Times New Roman" w:cs="Times New Roman"/>
          <w:b/>
          <w:bCs/>
          <w:noProof/>
          <w:sz w:val="24"/>
          <w:u w:val="single"/>
        </w:rPr>
      </w:pPr>
    </w:p>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75"/>
          <w:headerReference w:type="default" r:id="rId76"/>
          <w:footerReference w:type="even" r:id="rId77"/>
          <w:footerReference w:type="default" r:id="rId78"/>
          <w:headerReference w:type="first" r:id="rId79"/>
          <w:footerReference w:type="first" r:id="rId80"/>
          <w:pgSz w:w="11907" w:h="16839"/>
          <w:pgMar w:top="1134" w:right="1418" w:bottom="1134" w:left="1418" w:header="709" w:footer="709" w:gutter="0"/>
          <w:cols w:space="720"/>
          <w:docGrid w:linePitch="360"/>
        </w:sectPr>
      </w:pPr>
    </w:p>
    <w:p w:rsidR="00780A28" w:rsidRDefault="001867D7">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E.2.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p>
    <w:p w:rsidR="00780A28" w:rsidRDefault="00780A28">
      <w:pPr>
        <w:keepNext/>
        <w:keepLines/>
        <w:spacing w:before="40" w:after="0" w:line="240" w:lineRule="auto"/>
        <w:ind w:firstLine="709"/>
        <w:jc w:val="both"/>
        <w:outlineLvl w:val="4"/>
        <w:rPr>
          <w:rFonts w:ascii="Cambria" w:eastAsia="Times New Roman" w:hAnsi="Cambria"/>
          <w:noProof/>
          <w:color w:val="365F91"/>
          <w:sz w:val="24"/>
        </w:rPr>
      </w:pPr>
    </w:p>
    <w:p w:rsidR="00780A28" w:rsidRDefault="001867D7">
      <w:pPr>
        <w:keepNext/>
        <w:keepLines/>
        <w:spacing w:before="40" w:after="0" w:line="240" w:lineRule="auto"/>
        <w:ind w:firstLine="709"/>
        <w:jc w:val="both"/>
        <w:outlineLvl w:val="4"/>
        <w:rPr>
          <w:rFonts w:ascii="Cambria" w:eastAsia="Times New Roman" w:hAnsi="Cambria"/>
          <w:noProof/>
          <w:color w:val="365F91"/>
          <w:sz w:val="24"/>
        </w:rPr>
      </w:pPr>
      <w:r>
        <w:rPr>
          <w:rFonts w:ascii="Cambria" w:hAnsi="Cambria"/>
          <w:noProof/>
          <w:color w:val="365F91"/>
          <w:sz w:val="24"/>
        </w:rPr>
        <w:t>Grupa 8: Conectivitatea</w:t>
      </w:r>
    </w:p>
    <w:p w:rsidR="00780A28" w:rsidRDefault="001867D7">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Măsurile incluse în acest grup sunt:</w:t>
      </w:r>
    </w:p>
    <w:p w:rsidR="00780A28" w:rsidRDefault="001867D7">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 xml:space="preserve">Tranziția către tehnologia 5G, facilitând </w:t>
      </w:r>
      <w:r>
        <w:rPr>
          <w:rFonts w:ascii="Times New Roman" w:hAnsi="Times New Roman"/>
          <w:noProof/>
          <w:sz w:val="24"/>
        </w:rPr>
        <w:t>dezvoltarea de servicii la distanță inovatoare. (ID: 16844)</w:t>
      </w:r>
    </w:p>
    <w:p w:rsidR="00780A28" w:rsidRDefault="001867D7">
      <w:pPr>
        <w:spacing w:before="120" w:after="120" w:line="240" w:lineRule="auto"/>
        <w:ind w:left="1418" w:hanging="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Trecerea la conexiuni rapide în bandă largă — tranziția către conexiuni în bandă largă de mare viteză (de foarte mare viteză) de 100/200 Mbps și consolidarea cererii de bandă largă ultrarapidă (</w:t>
      </w:r>
      <w:r>
        <w:rPr>
          <w:rFonts w:ascii="Times New Roman" w:hAnsi="Times New Roman"/>
          <w:noProof/>
          <w:sz w:val="24"/>
        </w:rPr>
        <w:t>ID: 16857)</w:t>
      </w:r>
    </w:p>
    <w:p w:rsidR="00780A28" w:rsidRDefault="001867D7">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Infrastructura de fibră optică din clădiri (ID: 16818)</w:t>
      </w:r>
    </w:p>
    <w:p w:rsidR="00780A28" w:rsidRDefault="001867D7">
      <w:pPr>
        <w:spacing w:before="120" w:after="120" w:line="240" w:lineRule="auto"/>
        <w:ind w:left="1418" w:hanging="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Coridoarele 5G — Dezvoltarea rețelelor 5G care vor asigura acoperirea tuturor autostrăzilor grecești care fac parte din rețelele transeuropene de transport (ID: 16834)</w:t>
      </w:r>
    </w:p>
    <w:p w:rsidR="00780A28" w:rsidRDefault="001867D7">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Sateliți de mici</w:t>
      </w:r>
      <w:r>
        <w:rPr>
          <w:rFonts w:ascii="Times New Roman" w:hAnsi="Times New Roman"/>
          <w:noProof/>
          <w:sz w:val="24"/>
        </w:rPr>
        <w:t xml:space="preserve"> dimensiuni (ID: 16855)</w:t>
      </w:r>
    </w:p>
    <w:p w:rsidR="00780A28" w:rsidRDefault="001867D7">
      <w:pPr>
        <w:spacing w:before="120" w:after="120" w:line="240" w:lineRule="auto"/>
        <w:ind w:left="709"/>
        <w:jc w:val="both"/>
        <w:rPr>
          <w:rFonts w:ascii="Times New Roman" w:hAnsi="Times New Roman" w:cs="Times New Roman"/>
          <w:noProof/>
          <w:sz w:val="24"/>
          <w:szCs w:val="24"/>
        </w:rPr>
      </w:pPr>
      <w:r>
        <w:rPr>
          <w:rFonts w:ascii="Times New Roman" w:hAnsi="Times New Roman"/>
          <w:noProof/>
          <w:sz w:val="24"/>
        </w:rPr>
        <w:t>●</w:t>
      </w:r>
      <w:r>
        <w:rPr>
          <w:rFonts w:ascii="Times New Roman" w:hAnsi="Times New Roman"/>
          <w:noProof/>
          <w:sz w:val="24"/>
          <w:szCs w:val="24"/>
        </w:rPr>
        <w:tab/>
      </w:r>
      <w:r>
        <w:rPr>
          <w:rFonts w:ascii="Times New Roman" w:hAnsi="Times New Roman"/>
          <w:noProof/>
          <w:sz w:val="24"/>
        </w:rPr>
        <w:t>Cabluri din fibre submarine (ID: 16962)</w:t>
      </w:r>
    </w:p>
    <w:tbl>
      <w:tblPr>
        <w:tblW w:w="15446" w:type="dxa"/>
        <w:jc w:val="center"/>
        <w:tblLayout w:type="fixed"/>
        <w:tblLook w:val="04A0" w:firstRow="1" w:lastRow="0" w:firstColumn="1" w:lastColumn="0" w:noHBand="0" w:noVBand="1"/>
      </w:tblPr>
      <w:tblGrid>
        <w:gridCol w:w="1129"/>
        <w:gridCol w:w="1152"/>
        <w:gridCol w:w="917"/>
        <w:gridCol w:w="926"/>
        <w:gridCol w:w="1134"/>
        <w:gridCol w:w="992"/>
        <w:gridCol w:w="992"/>
        <w:gridCol w:w="876"/>
        <w:gridCol w:w="825"/>
        <w:gridCol w:w="1276"/>
        <w:gridCol w:w="5227"/>
      </w:tblGrid>
      <w:tr w:rsidR="00780A28">
        <w:trPr>
          <w:trHeight w:val="927"/>
          <w:tblHeade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w:t>
            </w:r>
            <w:r>
              <w:rPr>
                <w:rFonts w:ascii="Times New Roman" w:hAnsi="Times New Roman"/>
                <w:b/>
                <w:bCs/>
                <w:noProof/>
                <w:sz w:val="18"/>
                <w:szCs w:val="18"/>
              </w:rPr>
              <w:br/>
              <w:t>Țintă</w:t>
            </w:r>
          </w:p>
        </w:tc>
        <w:tc>
          <w:tcPr>
            <w:tcW w:w="926"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860"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2101"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52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blHeader/>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26"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876"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25"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1276"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522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85</w:t>
            </w:r>
          </w:p>
        </w:tc>
        <w:tc>
          <w:tcPr>
            <w:tcW w:w="11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5 - </w:t>
            </w:r>
            <w:r>
              <w:rPr>
                <w:noProof/>
                <w:color w:val="006100"/>
                <w:sz w:val="18"/>
                <w:szCs w:val="18"/>
              </w:rPr>
              <w:t>2.1. CONNECT — 16818_Infrastructura de fibră optică din clădiri</w:t>
            </w:r>
          </w:p>
        </w:tc>
        <w:tc>
          <w:tcPr>
            <w:tcW w:w="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(contractelor) pentru proiectul „Infrastructura de fibră optică din clădiri”</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strike/>
                <w:noProof/>
                <w:color w:val="006100"/>
                <w:sz w:val="18"/>
                <w:szCs w:val="18"/>
              </w:rPr>
            </w:pPr>
            <w:r>
              <w:rPr>
                <w:noProof/>
                <w:color w:val="006100"/>
                <w:sz w:val="18"/>
                <w:szCs w:val="18"/>
              </w:rPr>
              <w:t xml:space="preserve">Notificarea atribuirii contractului (contractelor) </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2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w:t>
            </w:r>
            <w:r>
              <w:rPr>
                <w:noProof/>
                <w:color w:val="006100"/>
                <w:sz w:val="18"/>
                <w:szCs w:val="18"/>
              </w:rPr>
              <w:t>i (contractelor) ca urmare a finalizării cu succes a procedurii de licitație pentru proiectul „Infrastructura de fibră optică din clădiri”.</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Autoritatea de supraveghere a societății informaționale/Ministerul guvernanței digitale se asigură că toate cereril</w:t>
            </w:r>
            <w:r>
              <w:rPr>
                <w:noProof/>
                <w:color w:val="006100"/>
                <w:sz w:val="18"/>
                <w:szCs w:val="18"/>
              </w:rPr>
              <w:t>e depuse sunt examinate pentru a confirma dacă cererile răspund în mod corespunzător cerințelor cererii. La selectarea contractantului adecvat, Societatea Informațională S.A./Ministerul Guvernanței Digitale procedează la atribuirea contractului care define</w:t>
            </w:r>
            <w:r>
              <w:rPr>
                <w:noProof/>
                <w:color w:val="006100"/>
                <w:sz w:val="18"/>
                <w:szCs w:val="18"/>
              </w:rPr>
              <w:t>ș</w:t>
            </w:r>
            <w:r>
              <w:rPr>
                <w:noProof/>
                <w:color w:val="006100"/>
                <w:sz w:val="18"/>
                <w:szCs w:val="18"/>
              </w:rPr>
              <w:t>te obligațiile, rolurile și responsabilitățile părților contractante.</w:t>
            </w:r>
          </w:p>
        </w:tc>
      </w:tr>
      <w:tr w:rsidR="00780A28">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86</w:t>
            </w:r>
          </w:p>
        </w:tc>
        <w:tc>
          <w:tcPr>
            <w:tcW w:w="11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5 - 2.1. Conectare — 16962_Cabluri din fibre submarine</w:t>
            </w:r>
          </w:p>
          <w:p w:rsidR="00780A28" w:rsidRDefault="00780A28">
            <w:pPr>
              <w:spacing w:after="0" w:line="240" w:lineRule="auto"/>
              <w:rPr>
                <w:rFonts w:eastAsia="Times New Roman" w:cs="Calibri"/>
                <w:noProof/>
                <w:color w:val="006100"/>
                <w:sz w:val="18"/>
                <w:szCs w:val="18"/>
                <w:lang w:eastAsia="en-GB"/>
              </w:rPr>
            </w:pPr>
          </w:p>
          <w:p w:rsidR="00780A28" w:rsidRDefault="00780A28">
            <w:pPr>
              <w:spacing w:after="0" w:line="240" w:lineRule="auto"/>
              <w:rPr>
                <w:rFonts w:eastAsia="Times New Roman" w:cs="Calibri"/>
                <w:noProof/>
                <w:color w:val="006100"/>
                <w:sz w:val="18"/>
                <w:szCs w:val="18"/>
                <w:lang w:eastAsia="en-GB"/>
              </w:rPr>
            </w:pPr>
          </w:p>
          <w:p w:rsidR="00780A28" w:rsidRDefault="00780A28">
            <w:pPr>
              <w:spacing w:after="0" w:line="240" w:lineRule="auto"/>
              <w:rPr>
                <w:rFonts w:eastAsia="Times New Roman" w:cs="Calibri"/>
                <w:noProof/>
                <w:color w:val="006100"/>
                <w:sz w:val="18"/>
                <w:szCs w:val="18"/>
                <w:lang w:eastAsia="en-GB"/>
              </w:rPr>
            </w:pPr>
          </w:p>
        </w:tc>
        <w:tc>
          <w:tcPr>
            <w:tcW w:w="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(contractelor) pentru proiectul „Cabluri din fibre submarine”</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strike/>
                <w:noProof/>
                <w:color w:val="006100"/>
                <w:sz w:val="18"/>
                <w:szCs w:val="18"/>
              </w:rPr>
            </w:pPr>
            <w:r>
              <w:rPr>
                <w:noProof/>
                <w:color w:val="006100"/>
                <w:sz w:val="18"/>
                <w:szCs w:val="18"/>
              </w:rPr>
              <w:t xml:space="preserve">Notificarea atribuirii contractului (contractelor) </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52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(contractelor) ca urmare a finalizării cu succes a procedurii de licitație pentru proiectul „Cabluri din fibre submarine”.</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Autoritatea de supraveghere a societății info</w:t>
            </w:r>
            <w:r>
              <w:rPr>
                <w:noProof/>
                <w:color w:val="006100"/>
                <w:sz w:val="18"/>
                <w:szCs w:val="18"/>
              </w:rPr>
              <w:t xml:space="preserve">rmaționale/Ministerul guvernanței digitale examinează toate propunerile depuse și confirmă dacă cererile răspund în mod corespunzător cerințelor RFP.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La selectarea contractantului adecvat, Societatea Informațională S.A./Ministerul Guvernanței Digitale pr</w:t>
            </w:r>
            <w:r>
              <w:rPr>
                <w:noProof/>
                <w:color w:val="006100"/>
                <w:sz w:val="18"/>
                <w:szCs w:val="18"/>
              </w:rPr>
              <w:t>ocedează la atribuirea contractului, care definește obligațiile, rolurile și responsabilitățile ambelor părți implicate în misiune.</w:t>
            </w:r>
          </w:p>
        </w:tc>
      </w:tr>
      <w:tr w:rsidR="00780A28">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87</w:t>
            </w:r>
          </w:p>
        </w:tc>
        <w:tc>
          <w:tcPr>
            <w:tcW w:w="11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5 - 2.1. Conectare — 16855_Număr de sateliți de mici dimensiuni</w:t>
            </w:r>
          </w:p>
          <w:p w:rsidR="00780A28" w:rsidRDefault="00780A28">
            <w:pPr>
              <w:spacing w:after="0" w:line="240" w:lineRule="auto"/>
              <w:rPr>
                <w:rFonts w:eastAsia="Times New Roman" w:cs="Calibri"/>
                <w:noProof/>
                <w:color w:val="006100"/>
                <w:sz w:val="18"/>
                <w:szCs w:val="18"/>
                <w:lang w:eastAsia="en-GB"/>
              </w:rPr>
            </w:pPr>
          </w:p>
        </w:tc>
        <w:tc>
          <w:tcPr>
            <w:tcW w:w="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contractului (contractelor) pentru </w:t>
            </w:r>
            <w:r>
              <w:rPr>
                <w:noProof/>
                <w:color w:val="006100"/>
                <w:sz w:val="18"/>
                <w:szCs w:val="18"/>
              </w:rPr>
              <w:t>proiectul „Sateliți mici”</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contractului (contractelor) </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52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(contractelor) ca urmare a finalizării cu succes a procesului de licitație pentru proiectul „Mici sateliți”.</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Autoritatea de supraveghere a societății informaționale/Ministerul guvernanței digitale se asigură că toate propunerile prezentate sunt examinate pentru a confirma dacă cererile răspund în mod corespunzător cerințelor RFP.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La selectarea contractantului a</w:t>
            </w:r>
            <w:r>
              <w:rPr>
                <w:noProof/>
                <w:color w:val="006100"/>
                <w:sz w:val="18"/>
                <w:szCs w:val="18"/>
              </w:rPr>
              <w:t>decvat, Societatea Informațională S.A./Ministerul Guvernanței Digitale procedează la atribuirea contractului, care definește obligațiile, rolurile și responsabilitățile ambelor părți implicate în misiune.</w:t>
            </w:r>
          </w:p>
        </w:tc>
      </w:tr>
      <w:tr w:rsidR="00780A28">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88</w:t>
            </w:r>
          </w:p>
        </w:tc>
        <w:tc>
          <w:tcPr>
            <w:tcW w:w="11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5 - 2.1. Conectare — Coridoare 16834_5G — </w:t>
            </w:r>
            <w:r>
              <w:rPr>
                <w:noProof/>
                <w:color w:val="006100"/>
                <w:sz w:val="18"/>
                <w:szCs w:val="18"/>
              </w:rPr>
              <w:t>Dezvoltarea rețelelor 5G care asigură acoperirea tuturor autostrăzilor grecești care fac parte din rețelele transeuropene de transport</w:t>
            </w:r>
          </w:p>
        </w:tc>
        <w:tc>
          <w:tcPr>
            <w:tcW w:w="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(contractelor) pentru proiectul „coridoarelor 5G”</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contractului (cont</w:t>
            </w:r>
            <w:r>
              <w:rPr>
                <w:noProof/>
                <w:color w:val="006100"/>
                <w:sz w:val="18"/>
                <w:szCs w:val="18"/>
              </w:rPr>
              <w:t xml:space="preserve">ractelor) </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52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(contractelor) în urma finalizării cu succes a procedurii de licitație pentru proiectul „coridoarele 5G”.</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Autoritatea de supraveghere a societății informaționale/Ministerul guvernanței digitale se asigură că toate propunerile prezentate sunt examinate pentru a confirma dacă cererile răspund în mod corespunzător cerințelor RFP.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La selectarea contractantului a</w:t>
            </w:r>
            <w:r>
              <w:rPr>
                <w:noProof/>
                <w:color w:val="006100"/>
                <w:sz w:val="18"/>
                <w:szCs w:val="18"/>
              </w:rPr>
              <w:t>decvat, Societatea Informațională S.A./Ministerul Guvernanței Digitale procedează la atribuirea contractului, care definește obligațiile, rolurile și responsabilitățile ambelor părți implicate în misiune.</w:t>
            </w:r>
          </w:p>
        </w:tc>
      </w:tr>
      <w:tr w:rsidR="00780A28">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89</w:t>
            </w:r>
          </w:p>
        </w:tc>
        <w:tc>
          <w:tcPr>
            <w:tcW w:w="11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5 - 2.1. Conectare — 16962_Cabluri din fibre </w:t>
            </w:r>
            <w:r>
              <w:rPr>
                <w:noProof/>
                <w:color w:val="006100"/>
                <w:sz w:val="18"/>
                <w:szCs w:val="18"/>
              </w:rPr>
              <w:t>submarine</w:t>
            </w:r>
          </w:p>
        </w:tc>
        <w:tc>
          <w:tcPr>
            <w:tcW w:w="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9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„Cabluri din fibre submarine”</w:t>
            </w:r>
          </w:p>
        </w:tc>
        <w:tc>
          <w:tcPr>
            <w:tcW w:w="113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Km de cabluri din fibre submarine instalate </w:t>
            </w: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8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1 370</w:t>
            </w:r>
          </w:p>
        </w:tc>
        <w:tc>
          <w:tcPr>
            <w:tcW w:w="8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1 370 km de cabluri submarine din fibră instalate pentru a interconecta Grecia cu Cipru și pentru a conecta insule mari </w:t>
            </w:r>
            <w:r>
              <w:rPr>
                <w:noProof/>
                <w:color w:val="006100"/>
                <w:sz w:val="18"/>
                <w:szCs w:val="18"/>
              </w:rPr>
              <w:t>precum Lesbos, Syros, Creta, precum și insule de dimensiuni medii (cum ar fi Karpathos, Kalymnos, Ikaria și Patmos).</w:t>
            </w:r>
          </w:p>
        </w:tc>
      </w:tr>
      <w:tr w:rsidR="00780A28">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90</w:t>
            </w:r>
          </w:p>
        </w:tc>
        <w:tc>
          <w:tcPr>
            <w:tcW w:w="11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5 - 2.1. CONNECT — 16818_Infrastructura de fibră optică din clădiri</w:t>
            </w:r>
          </w:p>
        </w:tc>
        <w:tc>
          <w:tcPr>
            <w:tcW w:w="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9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„Infrastructura de fibră optică din </w:t>
            </w:r>
            <w:r>
              <w:rPr>
                <w:noProof/>
                <w:color w:val="006100"/>
                <w:sz w:val="18"/>
                <w:szCs w:val="18"/>
              </w:rPr>
              <w:t>clădiri”</w:t>
            </w:r>
          </w:p>
        </w:tc>
        <w:tc>
          <w:tcPr>
            <w:tcW w:w="113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clădiri private conectate complet la infrastructura optică din fibră optică Fiber To The Home (FTTH)</w:t>
            </w: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8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120 000</w:t>
            </w:r>
          </w:p>
        </w:tc>
        <w:tc>
          <w:tcPr>
            <w:tcW w:w="8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120 000 clădiri private conectate integral la infrastructura FTTH pentru fibră optică.</w:t>
            </w:r>
          </w:p>
        </w:tc>
      </w:tr>
      <w:tr w:rsidR="00780A28">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91</w:t>
            </w:r>
          </w:p>
        </w:tc>
        <w:tc>
          <w:tcPr>
            <w:tcW w:w="11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5 - 2.1. Conectare — </w:t>
            </w:r>
            <w:r>
              <w:rPr>
                <w:noProof/>
                <w:color w:val="006100"/>
                <w:sz w:val="18"/>
                <w:szCs w:val="18"/>
              </w:rPr>
              <w:t>Coridoare 16834_5G — Dezvoltarea rețelelor 5G care asigură acoperirea tuturor autostrăzilor grecești care fac parte din rețelele transeuropene de transport</w:t>
            </w:r>
          </w:p>
        </w:tc>
        <w:tc>
          <w:tcPr>
            <w:tcW w:w="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9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„coridoarele 5G” </w:t>
            </w:r>
          </w:p>
        </w:tc>
        <w:tc>
          <w:tcPr>
            <w:tcW w:w="113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Km de infrastructură 5G instalată </w:t>
            </w: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8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1 918</w:t>
            </w:r>
          </w:p>
        </w:tc>
        <w:tc>
          <w:tcPr>
            <w:tcW w:w="8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Instalarea a 1 918 km de infrastructură 5G în toate autostrăzile grecești.</w:t>
            </w:r>
          </w:p>
        </w:tc>
      </w:tr>
      <w:tr w:rsidR="00780A28">
        <w:trPr>
          <w:trHeight w:val="309"/>
          <w:jc w:val="center"/>
        </w:trPr>
        <w:tc>
          <w:tcPr>
            <w:tcW w:w="1129"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92</w:t>
            </w:r>
          </w:p>
        </w:tc>
        <w:tc>
          <w:tcPr>
            <w:tcW w:w="11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5 - 2.1. Conectare — 16855_Număr de sateliți de mici dimensiuni</w:t>
            </w:r>
          </w:p>
        </w:tc>
        <w:tc>
          <w:tcPr>
            <w:tcW w:w="9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9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„sateliți mici” </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Rapoarte de punere în funcțiune pe orbită în urma lansării de sateliți de mici dimensiuni </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2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Proiectul-pilot începe operațiuni de rutină, iar constelația de sateliți mici este lansată și pusă pe orbită.</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Realizarea proiectului este evaluată pentru</w:t>
            </w:r>
            <w:r>
              <w:rPr>
                <w:noProof/>
                <w:color w:val="006100"/>
                <w:sz w:val="18"/>
                <w:szCs w:val="18"/>
              </w:rPr>
              <w:t xml:space="preserve"> performanța sa (dacă sateliții mici sprijină servicii de telecomunicații securizate, împreună cu aplicațiile de observare a Pământului în domeniile cartografierii, transportului maritim, agriculturii de precizie, amenajării teritoriului și altor sectoare </w:t>
            </w:r>
            <w:r>
              <w:rPr>
                <w:noProof/>
                <w:color w:val="006100"/>
                <w:sz w:val="18"/>
                <w:szCs w:val="18"/>
              </w:rPr>
              <w:t>ale economiei).</w:t>
            </w:r>
          </w:p>
        </w:tc>
      </w:tr>
    </w:tbl>
    <w:p w:rsidR="00780A28" w:rsidRDefault="00780A28">
      <w:pPr>
        <w:spacing w:before="120" w:after="120" w:line="240" w:lineRule="auto"/>
        <w:ind w:left="709"/>
        <w:jc w:val="both"/>
        <w:rPr>
          <w:rFonts w:ascii="Times New Roman" w:hAnsi="Times New Roman" w:cs="Times New Roman"/>
          <w:noProof/>
          <w:sz w:val="24"/>
          <w:szCs w:val="24"/>
        </w:rPr>
        <w:sectPr w:rsidR="00780A28">
          <w:headerReference w:type="even" r:id="rId81"/>
          <w:headerReference w:type="default" r:id="rId82"/>
          <w:footerReference w:type="even" r:id="rId83"/>
          <w:footerReference w:type="default" r:id="rId84"/>
          <w:headerReference w:type="first" r:id="rId85"/>
          <w:footerReference w:type="first" r:id="rId86"/>
          <w:pgSz w:w="16839" w:h="11907" w:orient="landscape"/>
          <w:pgMar w:top="1417" w:right="1134" w:bottom="1417" w:left="1134"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F. COMPONENTA 2.2: MODERNIZAREA</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Componenta „Modernizare” a planului de redresare și reziliență al Greciei vizează modernizarea administrației publice prin îmbunătățirea modelului său operațional și furnizarea de servicii de înaltă calitate pentru cetățeni și întreprinderi. Accelerarea ef</w:t>
      </w:r>
      <w:r>
        <w:rPr>
          <w:rFonts w:ascii="Times New Roman" w:hAnsi="Times New Roman"/>
          <w:noProof/>
          <w:sz w:val="24"/>
        </w:rPr>
        <w:t>orturilor de îmbunătățire a performanței digitale a administrației publice acționează ca un catalizator pentru atingerea acestui obiectiv. Obiectivul privind reformele și investițiile: (a) transformarea digitală a organizațiilor din sectorul public, inclus</w:t>
      </w:r>
      <w:r>
        <w:rPr>
          <w:rFonts w:ascii="Times New Roman" w:hAnsi="Times New Roman"/>
          <w:noProof/>
          <w:sz w:val="24"/>
        </w:rPr>
        <w:t>iv digitalizarea arhivelor și îmbunătățirea serviciilor digitale; (b) îmbunătățirea proceselor operaționale, urmată de încorporarea sistemelor informatice moderne; (c) o interoperabilitate sporită între sisteme și date; (d) strategii și politici ample în m</w:t>
      </w:r>
      <w:r>
        <w:rPr>
          <w:rFonts w:ascii="Times New Roman" w:hAnsi="Times New Roman"/>
          <w:noProof/>
          <w:sz w:val="24"/>
        </w:rPr>
        <w:t xml:space="preserve">aterie de securitate cibernetică și de guvernanță a datelor; precum și (e) utilizarea extinsă a tehnologiilor avansate, cum ar fi </w:t>
      </w:r>
      <w:r>
        <w:rPr>
          <w:rFonts w:ascii="Times New Roman" w:hAnsi="Times New Roman"/>
          <w:i/>
          <w:noProof/>
          <w:sz w:val="24"/>
        </w:rPr>
        <w:t>cloud computing</w:t>
      </w:r>
      <w:r>
        <w:rPr>
          <w:rFonts w:ascii="Times New Roman" w:hAnsi="Times New Roman"/>
          <w:noProof/>
          <w:sz w:val="24"/>
        </w:rPr>
        <w:t>-ul, inteligența artificială și volumele mari de date.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Componenta urmărește să abordeze provocarea reprezentată</w:t>
      </w:r>
      <w:r>
        <w:rPr>
          <w:rFonts w:ascii="Times New Roman" w:hAnsi="Times New Roman"/>
          <w:noProof/>
          <w:sz w:val="24"/>
        </w:rPr>
        <w:t xml:space="preserve"> de modernizarea și digitalizarea administrației publice, raționalizând și simplificând, în același timp, procesele și procedurile sale esențiale. Acesta sprijină abordarea Recomandării specifice fiecărei țări privind investițiile publice și private (recom</w:t>
      </w:r>
      <w:r>
        <w:rPr>
          <w:rFonts w:ascii="Times New Roman" w:hAnsi="Times New Roman"/>
          <w:noProof/>
          <w:sz w:val="24"/>
        </w:rPr>
        <w:t>andările specifice fiecărei țări 3 2020 și 2 2019) prin îmbunătățirea eficacității și a digitalizării administrației publice. Este de așteptat ca nicio măsură din cadrul acestei componente să nu afecteze în mod semnificativ obiectivele de mediu în sensul a</w:t>
      </w:r>
      <w:r>
        <w:rPr>
          <w:rFonts w:ascii="Times New Roman" w:hAnsi="Times New Roman"/>
          <w:noProof/>
          <w:sz w:val="24"/>
        </w:rPr>
        <w:t>rticolului 17 din Regulamentul (UE) 2020/852, ținând seama de descrierea măsurilor și a măsurilor de atenuare stabilite în planul de redresare și reziliență în conformitate cu Orientările tehnice bazate pe principiul de „a nu aduce prejudicii semnificative</w:t>
      </w:r>
      <w:r>
        <w:rPr>
          <w:rFonts w:ascii="Times New Roman" w:hAnsi="Times New Roman"/>
          <w:noProof/>
          <w:sz w:val="24"/>
        </w:rPr>
        <w:t>” (2021/C58/01).</w:t>
      </w:r>
    </w:p>
    <w:p w:rsidR="00780A28" w:rsidRDefault="001867D7">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F.1.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Către servicii orientate către client ale administrației publice prin simplificarea și îmbunătățirea proceselor, îmbunătățirea sistemelor și respectarea strategiilor și politicilor europene (numărul de identificare al măsurii: 16929)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Obiectivul reformei e</w:t>
      </w:r>
      <w:r>
        <w:rPr>
          <w:rFonts w:ascii="Times New Roman" w:hAnsi="Times New Roman"/>
          <w:noProof/>
          <w:sz w:val="24"/>
        </w:rPr>
        <w:t>ste furnizarea de servicii orientate către utilizator pentru cetățenii și întreprinderile elene și îmbunătățirea funcționării interne a administrației publice elene. Reforma constă în punerea în aplicare a unei strategii pe termen mediu pentru reducerea sa</w:t>
      </w:r>
      <w:r>
        <w:rPr>
          <w:rFonts w:ascii="Times New Roman" w:hAnsi="Times New Roman"/>
          <w:noProof/>
          <w:sz w:val="24"/>
        </w:rPr>
        <w:t>rcinii administrative și crearea de servicii centrate pe client în cadrul administrației publice, precum și în îmbunătățirea proceselor, îmbunătățirea sistemelor și conformitatea cu strategiile și politicile europene, prin 1) adoptarea unor modificări de r</w:t>
      </w:r>
      <w:r>
        <w:rPr>
          <w:rFonts w:ascii="Times New Roman" w:hAnsi="Times New Roman"/>
          <w:noProof/>
          <w:sz w:val="24"/>
        </w:rPr>
        <w:t>eglementare în vederea stabilirii unei baze de reglementare ample pentru interconectarea și interoperabilitatea registrelor și serviciilor pentru schimbul de date între organizațiile publice naționale, în conformitate cu noul cadru european de interoperabi</w:t>
      </w:r>
      <w:r>
        <w:rPr>
          <w:rFonts w:ascii="Times New Roman" w:hAnsi="Times New Roman"/>
          <w:noProof/>
          <w:sz w:val="24"/>
        </w:rPr>
        <w:t>litate; și 2) punerea în aplicare a Programului național de simplificare a proceselor, inclusiv înființarea registrului național de proceduri și înființarea completă a Observatorului pentru monitorizarea impactului reglementărilor și a Registrului Național</w:t>
      </w:r>
      <w:r>
        <w:rPr>
          <w:rFonts w:ascii="Times New Roman" w:hAnsi="Times New Roman"/>
          <w:noProof/>
          <w:sz w:val="24"/>
        </w:rPr>
        <w:t xml:space="preserve"> de Proceduri („Diavlos”). Reforma include finalizarea simplificării/digitalizării: procesele de evaluare a impactului, cererea de acordare a cetățeniei, înființarea de întreprinderi individuale, simplificarea procedurilor legate de „evenimentele de viață”</w:t>
      </w:r>
      <w:r>
        <w:rPr>
          <w:rFonts w:ascii="Times New Roman" w:hAnsi="Times New Roman"/>
          <w:noProof/>
          <w:sz w:val="24"/>
        </w:rPr>
        <w:t xml:space="preserve"> ale cetățenilor, inclusiv nașterea, decesul și divorțul, simplificarea procedurilor judiciare legate de avocați, hotărârile judecătorești, semnăturile digitale, certificatele eliberate de instanțe, reînnoirea permisului de conducere și funcționarea myfoto</w:t>
      </w:r>
      <w:r>
        <w:rPr>
          <w:rFonts w:ascii="Times New Roman" w:hAnsi="Times New Roman"/>
          <w:noProof/>
          <w:sz w:val="24"/>
        </w:rPr>
        <w:t>.gov.gr și circulația electronică a documentelor în cadrul administrației publice. Principalele priorități de reformă includ, de asemenea, procesele de achiziții publice, cerințele de înființare pentru toate tipurile de societăți comerciale și procesele ul</w:t>
      </w:r>
      <w:r>
        <w:rPr>
          <w:rFonts w:ascii="Times New Roman" w:hAnsi="Times New Roman"/>
          <w:noProof/>
          <w:sz w:val="24"/>
        </w:rPr>
        <w:t>terioare înregistrării, cererile de asigurări sociale și fiscale, precum și alte procese birocratice legate de ocuparea forței de muncă, de planificare, de plată și de monitorizare pentru gestiunea financiară. Implementarea reformei trebuie finalizată până</w:t>
      </w:r>
      <w:r>
        <w:rPr>
          <w:rFonts w:ascii="Times New Roman" w:hAnsi="Times New Roman"/>
          <w:noProof/>
          <w:sz w:val="24"/>
        </w:rPr>
        <w:t xml:space="preserve">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Digitalizarea arhivelor și a serviciilor conexe (numărul de identificare al măsurii: 16778)</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digitalizarea principalelor arhive din diferite sectoare (justiție, sănătate, arhivele generale ale statului</w:t>
      </w:r>
      <w:r>
        <w:rPr>
          <w:rFonts w:ascii="Times New Roman" w:hAnsi="Times New Roman"/>
          <w:noProof/>
          <w:sz w:val="24"/>
        </w:rPr>
        <w:t xml:space="preserve">, urbanism, exproprieri, cadastru, imigrație și azil, afaceri maritime) și integrarea în sistemele informatice relevante, precum și în punerea în aplicare pilot a stocării sigure a sectorului public și a arhivelor „mai largi” din sectorul public (un total </w:t>
      </w:r>
      <w:r>
        <w:rPr>
          <w:rFonts w:ascii="Times New Roman" w:hAnsi="Times New Roman"/>
          <w:noProof/>
          <w:sz w:val="24"/>
        </w:rPr>
        <w:t>de nouă subproiecte). Mai precis, subproiectele respective cuprind punerea în aplicare a digitalizării și alte acțiuni necesare în legătură cu următoarele arhive: 1) 300 000 000 pagini fizice (A3/A4 cu și fără legătură, inclusiv OCR și procesul de anonimiz</w:t>
      </w:r>
      <w:r>
        <w:rPr>
          <w:rFonts w:ascii="Times New Roman" w:hAnsi="Times New Roman"/>
          <w:noProof/>
          <w:sz w:val="24"/>
        </w:rPr>
        <w:t>are) ale sistemului de justiție, 2) 190 000 000 de examinări imagistice de diferite dimensiuni (raze X, Axial, Cameră C magnetică, cardiografii) ale sistemului de sănătate publică, 3) 55 000 000 pagini fizice (A4/A3 cu și fără legătură) ale Arhivelor Gener</w:t>
      </w:r>
      <w:r>
        <w:rPr>
          <w:rFonts w:ascii="Times New Roman" w:hAnsi="Times New Roman"/>
          <w:noProof/>
          <w:sz w:val="24"/>
        </w:rPr>
        <w:t>ale ale Statului (30 000 000 A3/A4 pagini pentru agențiile centrale și locale și 25 000 000 A2/A1/A0 pagini pentru agențiile centrale); 4) 61 500 000 pagini (A4 legate și neconsolidate) din sistemul de imigrație și azil, 5) 17 000 000 pagini fizice (A0, A1</w:t>
      </w:r>
      <w:r>
        <w:rPr>
          <w:rFonts w:ascii="Times New Roman" w:hAnsi="Times New Roman"/>
          <w:noProof/>
          <w:sz w:val="24"/>
        </w:rPr>
        <w:t>, A3) de exproprieri, 6) 387 200 000 arhive de imagini și geocodificarea fișierelor (digitizarea a 217 200 000 de înregistrări/documente fizice de diferite dimensiuni și crearea de metadate și de geocodare pentru 170 000 000 de dosare) ale agențiilor de pl</w:t>
      </w:r>
      <w:r>
        <w:rPr>
          <w:rFonts w:ascii="Times New Roman" w:hAnsi="Times New Roman"/>
          <w:noProof/>
          <w:sz w:val="24"/>
        </w:rPr>
        <w:t>anificare urbană, 7) 600 000 000 (A0/A1/A3) titluri de proprietate și documentele respective la oficiile ipotecare ale Cadastrului; 8) 7 000 000 de înregistrări fizice (A4/A3 legate și neconsolidate) ale afacerilor maritime (registrul navelor, dosarele com</w:t>
      </w:r>
      <w:r>
        <w:rPr>
          <w:rFonts w:ascii="Times New Roman" w:hAnsi="Times New Roman"/>
          <w:noProof/>
          <w:sz w:val="24"/>
        </w:rPr>
        <w:t>paniilor, dosarele personale ale navigatorilor, alte dosare maritime) și 9) implementarea pilot a unui model de păstrare a arhivelor pentru stocarea în condiții de siguranță a aproximativ 65 000 000 de dosare (Α5/Α4/Α3/Α2/Α1/Α0) în alte arhive ale sectorul</w:t>
      </w:r>
      <w:r>
        <w:rPr>
          <w:rFonts w:ascii="Times New Roman" w:hAnsi="Times New Roman"/>
          <w:noProof/>
          <w:sz w:val="24"/>
        </w:rPr>
        <w:t xml:space="preserve">ui public. Aceasta este o investiție esențială pentru o administrație publică mai eficientă. Scopul său este de a reduce costul furnizării de servicii către public de către administrația publică, în timp ce se preconizează că un acces mai bun la arhive va </w:t>
      </w:r>
      <w:r>
        <w:rPr>
          <w:rFonts w:ascii="Times New Roman" w:hAnsi="Times New Roman"/>
          <w:noProof/>
          <w:sz w:val="24"/>
        </w:rPr>
        <w:t>duce, de asemenea, la economii semnificative de costuri și la eliberarea resurselor.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CRM pentru administrația publică (numărul de identificare al măsurii: 16810)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w:t>
      </w:r>
      <w:r>
        <w:rPr>
          <w:rFonts w:ascii="Times New Roman" w:hAnsi="Times New Roman"/>
          <w:noProof/>
          <w:sz w:val="24"/>
        </w:rPr>
        <w:t xml:space="preserve"> vizează conceperea, dezvoltarea, punerea în aplicare și operarea unui sistem integrat de gestionare a întregului ciclu de viață al relației administrației publice cu cetățenii și întreprinderile. Proiectul îmbunătățește capacitatea existentă a administraț</w:t>
      </w:r>
      <w:r>
        <w:rPr>
          <w:rFonts w:ascii="Times New Roman" w:hAnsi="Times New Roman"/>
          <w:noProof/>
          <w:sz w:val="24"/>
        </w:rPr>
        <w:t>iei publice de a-și monitoriza interacțiunile și tranzacțiile cu cetățenii și întreprinderile. Sistemul utilizează informațiile colectate de cetățeni și întreprinderi pentru a personaliza abordarea și a promova un nivel mai ridicat de servicii. Investițiil</w:t>
      </w:r>
      <w:r>
        <w:rPr>
          <w:rFonts w:ascii="Times New Roman" w:hAnsi="Times New Roman"/>
          <w:noProof/>
          <w:sz w:val="24"/>
        </w:rPr>
        <w:t>e includ a) servicii de integrare și interoperabilitate prin adoptarea unor metodologii moderne de proiectare și dezvoltare a software-ului; b) accesul la mecanismul de sprijinire a serviciilor, care este un set de instrumente pentru dezvoltarea de noi apl</w:t>
      </w:r>
      <w:r>
        <w:rPr>
          <w:rFonts w:ascii="Times New Roman" w:hAnsi="Times New Roman"/>
          <w:noProof/>
          <w:sz w:val="24"/>
        </w:rPr>
        <w:t xml:space="preserve">icații bazate pe tehnologia cu un cod scăzut; c) o platformă de gestionare a relațiilor cu clienții (CRM), care va colecta și gestiona toate datele cetățenilor deserviți și va coordona executarea proceselor comerciale, indiferent de serviciul de inițiere; </w:t>
      </w:r>
      <w:r>
        <w:rPr>
          <w:rFonts w:ascii="Times New Roman" w:hAnsi="Times New Roman"/>
          <w:noProof/>
          <w:sz w:val="24"/>
        </w:rPr>
        <w:t xml:space="preserve">d) un sistem de gestionare a consensului cetățenilor pentru accesul la serviciile electronice Servicii ale centrelor de contact, prin intermediul cărora se realizează serviciul cetățenilor și al întreprinderilor prin utilizarea canalelor tradiționale, cum </w:t>
      </w:r>
      <w:r>
        <w:rPr>
          <w:rFonts w:ascii="Times New Roman" w:hAnsi="Times New Roman"/>
          <w:noProof/>
          <w:sz w:val="24"/>
        </w:rPr>
        <w:t>ar fi centrele de apel, dar și prin utilizarea canalelor moderne, cum ar fi formularele web, platformele de comunicare socială, aplicațiile de mesagerie, aplicația Teleconference; e) actualizarea platformei digitale KEP și legătura acesteia cu sistemul uni</w:t>
      </w:r>
      <w:r>
        <w:rPr>
          <w:rFonts w:ascii="Times New Roman" w:hAnsi="Times New Roman"/>
          <w:noProof/>
          <w:sz w:val="24"/>
        </w:rPr>
        <w:t>ficat de gestionare a cazurilor cetățenești, centrul de apel și gov.gr; f) simplificarea și îmbunătățirea proceselor și a serviciilor legate de prezența fizică a „clienților” prin extinderea infrastructurii existente myKEPLive și integrarea acesteia într-u</w:t>
      </w:r>
      <w:r>
        <w:rPr>
          <w:rFonts w:ascii="Times New Roman" w:hAnsi="Times New Roman"/>
          <w:noProof/>
          <w:sz w:val="24"/>
        </w:rPr>
        <w:t>n sistem de programare a programărilor prezenței fizice. Implementarea investiției trebuie finalizată până la 31 decembrie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Modernizarea în continuare a ghișeelor unice ale administrației publice (numărul de identificare al măsurii: 16780)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constă în modernizarea în continuare a centrelor de servicii pentru cetățeni (PSC), prin modernizarea infrastructurii acestora și a perifericelor lor, precum și în instalarea de noi echipamente de teleconferință și de noi aplicații compatibile </w:t>
      </w:r>
      <w:r>
        <w:rPr>
          <w:rFonts w:ascii="Times New Roman" w:hAnsi="Times New Roman"/>
          <w:noProof/>
          <w:sz w:val="24"/>
        </w:rPr>
        <w:t>cu locul de muncă digital modern (sisteme de evaluare, aplicații mobile, automate de tichete, gestionarea cozilor &amp; sisteme inteligente de notificare). Investiția include: a) modernizarea echipamentelor tehnologice existente, b) gestionarea modernă a cozil</w:t>
      </w:r>
      <w:r>
        <w:rPr>
          <w:rFonts w:ascii="Times New Roman" w:hAnsi="Times New Roman"/>
          <w:noProof/>
          <w:sz w:val="24"/>
        </w:rPr>
        <w:t>or &amp; sisteme de notificare inteligentă c) sisteme de evaluare a clienților (cetățeni). Implementarea investiției trebuie finalizată până la 31 decembrie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Noul sistem pentru achizițiile publice (numărul de identificare al măsurii: 16736)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w:t>
      </w:r>
      <w:r>
        <w:rPr>
          <w:rFonts w:ascii="Times New Roman" w:hAnsi="Times New Roman"/>
          <w:noProof/>
          <w:sz w:val="24"/>
        </w:rPr>
        <w:t>vestiția vizează reproiectarea și punerea în aplicare a unui nou sistem informatic pentru achizițiile publice. Investiția constă în digitalizarea și integrarea întregului ciclu de activitate și a ciclului de viață funcțional al achizițiilor publice, în mod</w:t>
      </w:r>
      <w:r>
        <w:rPr>
          <w:rFonts w:ascii="Times New Roman" w:hAnsi="Times New Roman"/>
          <w:noProof/>
          <w:sz w:val="24"/>
        </w:rPr>
        <w:t>ernizarea serviciilor de interoperabilitate, în integrarea tehnicilor și instrumentelor avansate de achiziții publice ca servicii digitale (eShops și eMarketplaces), precum și în sprijinul TIC pentru Autoritatea Națională Centralizată pentru Achiziții Publ</w:t>
      </w:r>
      <w:r>
        <w:rPr>
          <w:rFonts w:ascii="Times New Roman" w:hAnsi="Times New Roman"/>
          <w:noProof/>
          <w:sz w:val="24"/>
        </w:rPr>
        <w:t>ice în domeniul Sănătății (EKAPY). Investiția include: a) reproiectarea și îmbogățirea portalului</w:t>
      </w:r>
      <w:r>
        <w:rPr>
          <w:noProof/>
        </w:rPr>
        <w:t xml:space="preserve"> </w:t>
      </w:r>
      <w:hyperlink r:id="rId87" w:history="1">
        <w:r>
          <w:rPr>
            <w:rFonts w:ascii="Times New Roman" w:hAnsi="Times New Roman"/>
            <w:noProof/>
            <w:sz w:val="24"/>
          </w:rPr>
          <w:t>www.eprocurement.gov.gr</w:t>
        </w:r>
      </w:hyperlink>
      <w:r>
        <w:rPr>
          <w:noProof/>
        </w:rPr>
        <w:t>;</w:t>
      </w:r>
      <w:r>
        <w:rPr>
          <w:rFonts w:ascii="Times New Roman" w:hAnsi="Times New Roman"/>
          <w:noProof/>
          <w:sz w:val="24"/>
        </w:rPr>
        <w:t xml:space="preserve"> b) subsistemele extinse de adăugiri și de personalizare utilizate pentru licitații; c)</w:t>
      </w:r>
      <w:r>
        <w:rPr>
          <w:rFonts w:ascii="Times New Roman" w:hAnsi="Times New Roman"/>
          <w:noProof/>
          <w:sz w:val="24"/>
        </w:rPr>
        <w:t xml:space="preserve"> reforma, reorganizarea și îmbogățirea Registrului electronic central al achizițiilor publice (KIMDIS), modernizarea și extinderea sistemelor de extragere a datelor statistice și prelucrarea lor ulterioară; d) extinderea configurării și punerii în aplicare</w:t>
      </w:r>
      <w:r>
        <w:rPr>
          <w:rFonts w:ascii="Times New Roman" w:hAnsi="Times New Roman"/>
          <w:noProof/>
          <w:sz w:val="24"/>
        </w:rPr>
        <w:t xml:space="preserve"> a sistemului electronic de achiziții publice (ESIDIS) pentru a sprijini noi strategii și procese operaționale în domeniul achizițiilor publice prin mijloace electronice; e) îmbunătățirea serviciilor de interoperabilitate deja implementate și punerea în ap</w:t>
      </w:r>
      <w:r>
        <w:rPr>
          <w:rFonts w:ascii="Times New Roman" w:hAnsi="Times New Roman"/>
          <w:noProof/>
          <w:sz w:val="24"/>
        </w:rPr>
        <w:t xml:space="preserve">licare a unora noi pentru schimbul de date; f) Servicii de interoperabilitate electronică cu gov.gr, AC, organizații bancare pentru integrarea posibilităților de semnătură digitală a documentelor electronice și a altor date utilizând sistemul și asigurând </w:t>
      </w:r>
      <w:r>
        <w:rPr>
          <w:rFonts w:ascii="Times New Roman" w:hAnsi="Times New Roman"/>
          <w:noProof/>
          <w:sz w:val="24"/>
        </w:rPr>
        <w:t>„nerepudierea”; g) punerea în aplicare a unui mecanism de criptare a datelor stocat în bazele de date ale sistemului pentru a preveni acțiunile răuvoitoare ale administratorilor ESIDIS și G-Cloud; h) un nou studiu de securitate și adăugări și/sau modificăr</w:t>
      </w:r>
      <w:r>
        <w:rPr>
          <w:rFonts w:ascii="Times New Roman" w:hAnsi="Times New Roman"/>
          <w:noProof/>
          <w:sz w:val="24"/>
        </w:rPr>
        <w:t>i ale sistemului pentru a-i spori securitatea, certificarea și intervențiile în vederea îmbunătățirii securității sistemului, pentru a fi certificate printr-o evaluare independentă a securității; i) îmbunătățirea și relansarea sistemului de planificare a a</w:t>
      </w:r>
      <w:r>
        <w:rPr>
          <w:rFonts w:ascii="Times New Roman" w:hAnsi="Times New Roman"/>
          <w:noProof/>
          <w:sz w:val="24"/>
        </w:rPr>
        <w:t>chizițiilor publice pentru un sprijin mai larg al achizițiilor publice și al procedurilor centralizate de achiziții publice prin utilizarea cataloagelor electronice; j) adăugarea cererilor de sprijin ale operatorilor economici: îmbogățirea cererilor de cău</w:t>
      </w:r>
      <w:r>
        <w:rPr>
          <w:rFonts w:ascii="Times New Roman" w:hAnsi="Times New Roman"/>
          <w:noProof/>
          <w:sz w:val="24"/>
        </w:rPr>
        <w:t>tare a ofertelor, date istorice și statistice privind implicarea lor în procesele de achiziții publice, îmbogățirea subsistemelor de informare și comunicare ale furnizorilor și ale autorităților contractante, sistemul de emitere a biletelor pentru adresare</w:t>
      </w:r>
      <w:r>
        <w:rPr>
          <w:rFonts w:ascii="Times New Roman" w:hAnsi="Times New Roman"/>
          <w:noProof/>
          <w:sz w:val="24"/>
        </w:rPr>
        <w:t>a de întrebări și raportarea problemelor de soluționare sau de asistență; k) adăugarea unor capacități de asistent virtual, astfel încât orice persoană interesată să poată adresa întrebări în limbajul natural; l) adăugarea unui sistem electronic de arhivar</w:t>
      </w:r>
      <w:r>
        <w:rPr>
          <w:rFonts w:ascii="Times New Roman" w:hAnsi="Times New Roman"/>
          <w:noProof/>
          <w:sz w:val="24"/>
        </w:rPr>
        <w:t>e a fișierelor (ESIDIS — KIMDIS) care să respecte dispozițiile cadrului juridic pentru fișierele electronice; m) producerea de materiale de formare și acțiuni de publicitate; n) asistență tehnică și servicii de monitorizare a proiectelor; o) un studiu de e</w:t>
      </w:r>
      <w:r>
        <w:rPr>
          <w:rFonts w:ascii="Times New Roman" w:hAnsi="Times New Roman"/>
          <w:noProof/>
          <w:sz w:val="24"/>
        </w:rPr>
        <w:t>valuare a posibilităților și a eficacității instrumentelor existente de achiziții publice electronice și de selecție sau modernizare sau înlocuire a acestora cu instrumente noi și mai eficiente; p) modelarea informațiilor privind clădirile (BIM); q) Spriji</w:t>
      </w:r>
      <w:r>
        <w:rPr>
          <w:rFonts w:ascii="Times New Roman" w:hAnsi="Times New Roman"/>
          <w:noProof/>
          <w:sz w:val="24"/>
        </w:rPr>
        <w:t>n TIC pentru Autoritatea Națională Centralizată pentru Achiziții Publice în domeniul Sănătății (EKAPY).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 a Ministerului Afacerilor Externe (numărul de</w:t>
      </w:r>
      <w:r>
        <w:rPr>
          <w:rFonts w:ascii="Times New Roman" w:hAnsi="Times New Roman"/>
          <w:noProof/>
          <w:sz w:val="24"/>
        </w:rPr>
        <w:t xml:space="preserve"> identificare al măsurii:16742)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vizează modernizarea Ministerului Afacerilor Externe, prin digitalizarea extinsă a operațiunilor sale și a infrastructurilor sale informatice. Investiția constă în: (a) standardizarea proceselor AMF, care asigură </w:t>
      </w:r>
      <w:r>
        <w:rPr>
          <w:rFonts w:ascii="Times New Roman" w:hAnsi="Times New Roman"/>
          <w:noProof/>
          <w:sz w:val="24"/>
        </w:rPr>
        <w:t>viabilitatea planificării strategice și operaționale (PSO) și, prin urmare, succesul acesteia; b) contribuția la promovarea pe scară mai largă a domeniului de activitate al AMF și la cea mai bună utilizare posibilă a resurselor sale prin alinierea acestora</w:t>
      </w:r>
      <w:r>
        <w:rPr>
          <w:rFonts w:ascii="Times New Roman" w:hAnsi="Times New Roman"/>
          <w:noProof/>
          <w:sz w:val="24"/>
        </w:rPr>
        <w:t xml:space="preserve"> la obiectivele urmărite; c) asigurarea accesului direct la informații, în cel mai scurt interval de timp posibil, prin încorporarea unui sprijin pentru căutarea semantică, bazat pe instrumente de inteligență artificială de ultimă generație; d) crearea une</w:t>
      </w:r>
      <w:r>
        <w:rPr>
          <w:rFonts w:ascii="Times New Roman" w:hAnsi="Times New Roman"/>
          <w:noProof/>
          <w:sz w:val="24"/>
        </w:rPr>
        <w:t>i baze de date și a unui centru de informare și de arhivare accesibile și importante pentru îndeplinirea sarcinilor administrative efective și acoperirea cerințelor AMF, pentru a-i permite să exercite mai eficient diplomația publică și economică, e) modern</w:t>
      </w:r>
      <w:r>
        <w:rPr>
          <w:rFonts w:ascii="Times New Roman" w:hAnsi="Times New Roman"/>
          <w:noProof/>
          <w:sz w:val="24"/>
        </w:rPr>
        <w:t>izarea infrastructurii informatice și de securitate a telecomunicațiilor criptografice a Ministerului Afacerilor Externe, în cadrul transformării sale digitale. Implementarea investiției trebuie finalizată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Programe de îmb</w:t>
      </w:r>
      <w:r>
        <w:rPr>
          <w:rFonts w:ascii="Times New Roman" w:hAnsi="Times New Roman"/>
          <w:noProof/>
          <w:sz w:val="24"/>
        </w:rPr>
        <w:t>unătățire a competențelor digitale pentru recruți (numărul de identificare al măsurii: 16826)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integrează un program de formare și certificarea competențelor digitale în serviciul militar obligatoriu. Scopul este de a valorifica timpul de lucru a</w:t>
      </w:r>
      <w:r>
        <w:rPr>
          <w:rFonts w:ascii="Times New Roman" w:hAnsi="Times New Roman"/>
          <w:noProof/>
          <w:sz w:val="24"/>
        </w:rPr>
        <w:t>l recruților pentru a dobândi competențele digitale necesare în prezent în cadrul forțelor armate și al pieței forței de muncă. Punerea în aplicare a acestei investiții se realizează prin modernizarea și extinderea platformei Academiei digitale a cetățenil</w:t>
      </w:r>
      <w:r>
        <w:rPr>
          <w:rFonts w:ascii="Times New Roman" w:hAnsi="Times New Roman"/>
          <w:noProof/>
          <w:sz w:val="24"/>
        </w:rPr>
        <w:t>or și include: a) Accesul personalizat al recruților la portalul de formare, care dispune de mecanisme solide de securitate cibernetică și de descurajare a atacurilor cibernetice, împreună cu arhitectura consolidată de protecție a datelor cu caracter perso</w:t>
      </w:r>
      <w:r>
        <w:rPr>
          <w:rFonts w:ascii="Times New Roman" w:hAnsi="Times New Roman"/>
          <w:noProof/>
          <w:sz w:val="24"/>
        </w:rPr>
        <w:t>nal; b) Configurarea portofoliului electronic (e-portofoliu) al recrutului în care profilul său educațional se va reflecta împreună cu calificările sale existente; (c) dezvoltarea și configurarea programelor de formare a competențelor digitale; d) dezvolta</w:t>
      </w:r>
      <w:r>
        <w:rPr>
          <w:rFonts w:ascii="Times New Roman" w:hAnsi="Times New Roman"/>
          <w:noProof/>
          <w:sz w:val="24"/>
        </w:rPr>
        <w:t>rea și utilizarea unui instrument de autoevaluare e) 50 000 tablete care trebuie achiziționate și furnizate persoanelor recrutate pentru timpul de participare la programele de învățare la distanță; e) certificarea competențelor digitale dobândite în cursul</w:t>
      </w:r>
      <w:r>
        <w:rPr>
          <w:rFonts w:ascii="Times New Roman" w:hAnsi="Times New Roman"/>
          <w:noProof/>
          <w:sz w:val="24"/>
        </w:rPr>
        <w:t xml:space="preserve"> procesului de formare, care se bazează pe cadrele europene și naționale de competențe digitale. Implementarea investiției trebuie finalizată până la 30 iunie 2025.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 a Organizației Naționale a Turismului din Grecia (număr</w:t>
      </w:r>
      <w:r>
        <w:rPr>
          <w:rFonts w:ascii="Times New Roman" w:hAnsi="Times New Roman"/>
          <w:noProof/>
          <w:sz w:val="24"/>
        </w:rPr>
        <w:t>ul de identificare al măsurii: 16791)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Investițiile constau în dezvoltarea capacităților digitale ale Organizației Naționale a Turismului din Grecia, și anume o hartă digitală a turismului, un depozit digital de bunuri culturale ale Greciei și un sistem ino</w:t>
      </w:r>
      <w:r>
        <w:rPr>
          <w:rFonts w:ascii="Times New Roman" w:hAnsi="Times New Roman"/>
          <w:noProof/>
          <w:sz w:val="24"/>
        </w:rPr>
        <w:t>vator care oferă turiștilor și cetățenilor informații care utilizează tehnologia de inteligență artificială de a doua generație. Investițiile includ a) dezvoltarea unei platforme (hartă digitală a turismului) în care vizitatorul să poată fi informat cu pri</w:t>
      </w:r>
      <w:r>
        <w:rPr>
          <w:rFonts w:ascii="Times New Roman" w:hAnsi="Times New Roman"/>
          <w:noProof/>
          <w:sz w:val="24"/>
        </w:rPr>
        <w:t>vire la caracteristicile speciale ale unui produs turistic al unui oraș sau al unei insule, astfel încât potențialii vizitatori, prin utilizarea acestei platforme, să primească o sursă semnificativă de informații legate de experiențele și interesele prefer</w:t>
      </w:r>
      <w:r>
        <w:rPr>
          <w:rFonts w:ascii="Times New Roman" w:hAnsi="Times New Roman"/>
          <w:noProof/>
          <w:sz w:val="24"/>
        </w:rPr>
        <w:t xml:space="preserve">ate; b) crearea unor instrumente de promovare, cum ar fi aplicații digitale, site-uri web și activități promoționale și un registru care va funcționa și ca o bibliotecă, permițând destinațiilor și părților interesate să execute strategii de promovare bine </w:t>
      </w:r>
      <w:r>
        <w:rPr>
          <w:rFonts w:ascii="Times New Roman" w:hAnsi="Times New Roman"/>
          <w:noProof/>
          <w:sz w:val="24"/>
        </w:rPr>
        <w:t>concepute și durabile; c) dezvoltarea unui sistem inovator de informare a turiștilor, cu informații – chioșcuri cu ecrane tactile în noduri principale, precum și hărți cu straturi istorice, geografice și culturale, inclusiv toate bunurile și activitățile c</w:t>
      </w:r>
      <w:r>
        <w:rPr>
          <w:rFonts w:ascii="Times New Roman" w:hAnsi="Times New Roman"/>
          <w:noProof/>
          <w:sz w:val="24"/>
        </w:rPr>
        <w:t>ulturale, puse la dispoziție cu ușurință, din aplicația mobilă. Implementarea investiției trebuie finalizată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Strategia și politicile de securitate cibernetică pentru sectorul public &amp; Servicii avansate de securitate pentru i</w:t>
      </w:r>
      <w:r>
        <w:rPr>
          <w:rFonts w:ascii="Times New Roman" w:hAnsi="Times New Roman"/>
          <w:noProof/>
          <w:sz w:val="24"/>
        </w:rPr>
        <w:t>nfrastructurile critice naționale (numărul de identificare al măsurii: 16823)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vizează elaborarea și punerea în aplicare a unei strategii de securitate cibernetică și a unui set de politici în materie de securitate cibernetică, care vizează creștere</w:t>
      </w:r>
      <w:r>
        <w:rPr>
          <w:rFonts w:ascii="Times New Roman" w:hAnsi="Times New Roman"/>
          <w:noProof/>
          <w:sz w:val="24"/>
        </w:rPr>
        <w:t xml:space="preserve">a fiabilității și a securității sistemelor și datelor sau informațiilor din sectorul public și îmbunătățirea încrederii cetățenilor în interacțiunea lor cu sectorul public. În plus, reforma include punerea în aplicare a Centrului național de operațiuni de </w:t>
      </w:r>
      <w:r>
        <w:rPr>
          <w:rFonts w:ascii="Times New Roman" w:hAnsi="Times New Roman"/>
          <w:noProof/>
          <w:sz w:val="24"/>
        </w:rPr>
        <w:t>securitate cibernetică (SOC), precum și furnizarea de servicii avansate de securitate (SOC și DDoS) în infrastructura critică G-Cloud, cu scopul de a îmbunătăți în mod sistematic și continuu securitatea și de a limita amenințările la adresa securității cib</w:t>
      </w:r>
      <w:r>
        <w:rPr>
          <w:rFonts w:ascii="Times New Roman" w:hAnsi="Times New Roman"/>
          <w:noProof/>
          <w:sz w:val="24"/>
        </w:rPr>
        <w:t xml:space="preserve">ernetice la adresa infrastructurilor centrale ale sectorului public și a sistemelor de informații care funcționează prin intermediul acestuia. Implementarea reformei trebuie finalizată până la 31 decembrie 2024.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Interoperabilitatea și dezvolta</w:t>
      </w:r>
      <w:r>
        <w:rPr>
          <w:rFonts w:ascii="Times New Roman" w:hAnsi="Times New Roman"/>
          <w:noProof/>
          <w:sz w:val="24"/>
        </w:rPr>
        <w:t>rea serviciilor web (numărul de identificare al măsurii: 16779)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constă în dezvoltarea unei infrastructuri centrale de interoperabilitate pentru gestionarea integrată a serviciilor, precum și în dezvoltarea și furnizarea de interfețe pentru </w:t>
      </w:r>
      <w:r>
        <w:rPr>
          <w:rFonts w:ascii="Times New Roman" w:hAnsi="Times New Roman"/>
          <w:noProof/>
          <w:sz w:val="24"/>
        </w:rPr>
        <w:t>administrația publică, care să faciliteze schimbul de informații între agențiile guvernamentale și furnizarea de servicii online interactive. Investiția include a) punerea în aplicare a serviciilor de internet și documentația aferentă; b) integrarea servic</w:t>
      </w:r>
      <w:r>
        <w:rPr>
          <w:rFonts w:ascii="Times New Roman" w:hAnsi="Times New Roman"/>
          <w:noProof/>
          <w:sz w:val="24"/>
        </w:rPr>
        <w:t>iilor în gov.gr c) definirea și efectuarea testelor de control necesare; d) operarea-pilot a serviciilor web; e) transferul de servicii web în producție (implementare finală după faza-pilot) f) sprijin pentru noile servicii web. Implementarea investiției t</w:t>
      </w:r>
      <w:r>
        <w:rPr>
          <w:rFonts w:ascii="Times New Roman" w:hAnsi="Times New Roman"/>
          <w:noProof/>
          <w:sz w:val="24"/>
        </w:rPr>
        <w:t>rebuie finalizată până la 31 decembrie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Interconectarea și interoperabilitatea registrelor, sistemelor și serviciilor pentru schimbul de date între organizațiile publice naționale (numărul de identificare al măsurii:16782)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vizează ela</w:t>
      </w:r>
      <w:r>
        <w:rPr>
          <w:rFonts w:ascii="Times New Roman" w:hAnsi="Times New Roman"/>
          <w:noProof/>
          <w:sz w:val="24"/>
        </w:rPr>
        <w:t>borarea unui cadru cuprinzător și a unei foi de parcurs pentru interconectarea și interoperabilitatea registrelor și serviciilor pentru schimbul de date între organizațiile publice, în conformitate cu noul Cadru european de interoperabilitate (EIF). Reform</w:t>
      </w:r>
      <w:r>
        <w:rPr>
          <w:rFonts w:ascii="Times New Roman" w:hAnsi="Times New Roman"/>
          <w:noProof/>
          <w:sz w:val="24"/>
        </w:rPr>
        <w:t>a facilitează furnizarea de servicii publice digitale interoperabile, personalizate și ușor de utilizat pentru cetățeni și întreprinderi. Reforma introduce modificări organizaționale, procedurale și legislative pentru a) alinia actualul Cadru național de i</w:t>
      </w:r>
      <w:r>
        <w:rPr>
          <w:rFonts w:ascii="Times New Roman" w:hAnsi="Times New Roman"/>
          <w:noProof/>
          <w:sz w:val="24"/>
        </w:rPr>
        <w:t>nteroperabilitate al Greciei (eGIF) la versiunea actuală a Cadrului european de interoperabilitate (EIF), b) conectarea surselor de date și a infrastructurilor digitale naționale, regionale și locale relevante la sistemul european de schimb de date bazat p</w:t>
      </w:r>
      <w:r>
        <w:rPr>
          <w:rFonts w:ascii="Times New Roman" w:hAnsi="Times New Roman"/>
          <w:noProof/>
          <w:sz w:val="24"/>
        </w:rPr>
        <w:t>e principiul „o singură dată” (OOP), instituit prin Regulamentul privind portalul digital unic, și c) revizuiește și analizează sistemele și datele pentru a viza digitalizarea certificatelor și a documentelor oficiale. Implementarea reformei trebuie finali</w:t>
      </w:r>
      <w:r>
        <w:rPr>
          <w:rFonts w:ascii="Times New Roman" w:hAnsi="Times New Roman"/>
          <w:noProof/>
          <w:sz w:val="24"/>
        </w:rPr>
        <w:t>zată până la 31 decembrie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Studii de clasificare a datelor pentru sistemele de informații din sectorul public (numărul de identificare al măsurii:16965)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vizează definirea modelului pentru studiile de clasificare a datelor privin</w:t>
      </w:r>
      <w:r>
        <w:rPr>
          <w:rFonts w:ascii="Times New Roman" w:hAnsi="Times New Roman"/>
          <w:noProof/>
          <w:sz w:val="24"/>
        </w:rPr>
        <w:t>d sistemele informatice din sectorul public instalate în Cloudul guvernamental din sectorul public (G­Cloud), operat de Secretariatul General al Sistemelor Informatice pentru Administrație Publică (GSISPA). Investiția constă în conceperea și standardizarea</w:t>
      </w:r>
      <w:r>
        <w:rPr>
          <w:rFonts w:ascii="Times New Roman" w:hAnsi="Times New Roman"/>
          <w:noProof/>
          <w:sz w:val="24"/>
        </w:rPr>
        <w:t xml:space="preserve"> studiilor de clasificare a datelor pentru sistemele centrale de informații și în realizarea a 220 studii corespunzătoare pentru toate sistemele de informații centrale deja instalate și aplicațiile din sectorul public. Modelul este utilizat, de asemenea, d</w:t>
      </w:r>
      <w:r>
        <w:rPr>
          <w:rFonts w:ascii="Times New Roman" w:hAnsi="Times New Roman"/>
          <w:noProof/>
          <w:sz w:val="24"/>
        </w:rPr>
        <w:t>e toate sistemele de informații viitoare înainte de instalarea lor la G-Cloud. Implementarea investiției trebuie finalizată până la 31 decembrie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Centrul de interoperabilitate de generație următoare (KED) (numărul de identificare al măsuri</w:t>
      </w:r>
      <w:r>
        <w:rPr>
          <w:rFonts w:ascii="Times New Roman" w:hAnsi="Times New Roman"/>
          <w:noProof/>
          <w:sz w:val="24"/>
        </w:rPr>
        <w:t>i:16964)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vizează modernizarea Centrului de interoperabilitate al Secretariatului General al Sistemelor Informatice pentru Administrație Publică (GSISPA) pentru a putea asigura interoperabilitatea interinstituțională și intersistemică cu o dispon</w:t>
      </w:r>
      <w:r>
        <w:rPr>
          <w:rFonts w:ascii="Times New Roman" w:hAnsi="Times New Roman"/>
          <w:noProof/>
          <w:sz w:val="24"/>
        </w:rPr>
        <w:t>ibilitate ridicată. Investiția constă în a) un studiu de fezabilitate și de securitate b) furnizarea și instalarea licențelor necesare pentru baza de date și platforma de aplicații cloud hibride c) proiectarea și punerea în aplicare a Centrului de interope</w:t>
      </w:r>
      <w:r>
        <w:rPr>
          <w:rFonts w:ascii="Times New Roman" w:hAnsi="Times New Roman"/>
          <w:noProof/>
          <w:sz w:val="24"/>
        </w:rPr>
        <w:t>rabilitate de nouă generație (KED), d) implementarea de noi servicii web în cadrul Centrului de interoperabilitate de nouă generație (KED). Implementarea investiției trebuie finalizată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 xml:space="preserve">Registre electronice (numărul de </w:t>
      </w:r>
      <w:r>
        <w:rPr>
          <w:rFonts w:ascii="Times New Roman" w:hAnsi="Times New Roman"/>
          <w:noProof/>
          <w:sz w:val="24"/>
        </w:rPr>
        <w:t>identificare al măsurii:16824)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stabilirea interoperabilității și a interfețelor între registrele existente ale organismelor centrale ale administrației publice, precum și în colectarea și extinderea registrelor pentru a duce treptat la</w:t>
      </w:r>
      <w:r>
        <w:rPr>
          <w:rFonts w:ascii="Times New Roman" w:hAnsi="Times New Roman"/>
          <w:noProof/>
          <w:sz w:val="24"/>
        </w:rPr>
        <w:t xml:space="preserve"> buna funcționare și la buna funcționare a serviciilor publice digitale, utilizând registre interconectate și actualizate care conțin înregistrări de date curățate. În acest scop, investiția facilitează </w:t>
      </w:r>
      <w:r>
        <w:rPr>
          <w:rFonts w:ascii="Times New Roman" w:hAnsi="Times New Roman"/>
          <w:noProof/>
          <w:sz w:val="24"/>
        </w:rPr>
        <w:tab/>
        <w:t>colectarea și extinderea registrelor existente, într</w:t>
      </w:r>
      <w:r>
        <w:rPr>
          <w:rFonts w:ascii="Times New Roman" w:hAnsi="Times New Roman"/>
          <w:noProof/>
          <w:sz w:val="24"/>
        </w:rPr>
        <w:t>-o singură sursă centrală, pentru a duce treptat la buna funcționare și la buna funcționare a serviciilor publice digitale. Acestea includ a) date într-un singur loc: registrele sunt accesibile printr-o singură interfață și pot fi consultate; b) date actua</w:t>
      </w:r>
      <w:r>
        <w:rPr>
          <w:rFonts w:ascii="Times New Roman" w:hAnsi="Times New Roman"/>
          <w:noProof/>
          <w:sz w:val="24"/>
        </w:rPr>
        <w:t>lizate: toate datele din registre sunt actualizate și gata de utilizare. Fiecare registru este accesat prin intermediul unei API. c) date curate: până la sfârșitul proiectului, datele din registre sunt curate la cel mai bun nivel posibil, iar procedurile ș</w:t>
      </w:r>
      <w:r>
        <w:rPr>
          <w:rFonts w:ascii="Times New Roman" w:hAnsi="Times New Roman"/>
          <w:noProof/>
          <w:sz w:val="24"/>
        </w:rPr>
        <w:t>i politicile privind datele curate sunt instituite d) registre conexe: se asigură interoperabilitatea.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Registrul turismului e-MHTE (numărul de identificare al măsurii:16785</w:t>
      </w:r>
      <w:r>
        <w:rPr>
          <w:rFonts w:ascii="Times New Roman" w:hAnsi="Times New Roman"/>
          <w:noProof/>
          <w:sz w:val="24"/>
        </w:rPr>
        <w:t>)</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dezvoltarea unei platforme digitale de înregistrare pentru întreprinderile din domeniul turismului (e-MHTE), care vizează interacțiunea cu alte registre publice și sisteme informatice. Toate datele și funcțiile registrului existent (</w:t>
      </w:r>
      <w:r>
        <w:rPr>
          <w:rFonts w:ascii="Times New Roman" w:hAnsi="Times New Roman"/>
          <w:noProof/>
          <w:sz w:val="24"/>
        </w:rPr>
        <w:t>MΗTE) sunt transferate către noua platformă pentru a oferi servicii mai bune și îmbunătățite, eliberarea de noi licențe de operare și reînnoirea celor existente. Investiția implică, de asemenea, digitalizarea arhivei (1 875 000 de dosare ale Diviziei pentr</w:t>
      </w:r>
      <w:r>
        <w:rPr>
          <w:rFonts w:ascii="Times New Roman" w:hAnsi="Times New Roman"/>
          <w:noProof/>
          <w:sz w:val="24"/>
        </w:rPr>
        <w:t>u amenajarea teritoriului și infrastructură), inclusiv meta-marcare și stocare. Implementarea investiției trebuie finalizată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Încorporarea noilor tehnologii și tendințe în direcția serviciilor avansate ale administrației publ</w:t>
      </w:r>
      <w:r>
        <w:rPr>
          <w:rFonts w:ascii="Times New Roman" w:hAnsi="Times New Roman"/>
          <w:noProof/>
          <w:sz w:val="24"/>
        </w:rPr>
        <w:t>ice, creșterea eficienței și a eficacității, precum și reducerea costurilor de exploatare, modernizare și întreținere a sistemelor (numărul de identificare al măsurii:16928)</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constă în dezvoltarea unui cadru holistic care urmărește să aducă progrese</w:t>
      </w:r>
      <w:r>
        <w:rPr>
          <w:rFonts w:ascii="Times New Roman" w:hAnsi="Times New Roman"/>
          <w:noProof/>
          <w:sz w:val="24"/>
        </w:rPr>
        <w:t>le tehnologice (</w:t>
      </w:r>
      <w:r>
        <w:rPr>
          <w:rFonts w:ascii="Times New Roman" w:hAnsi="Times New Roman"/>
          <w:i/>
          <w:noProof/>
          <w:sz w:val="24"/>
        </w:rPr>
        <w:t>cloud computing</w:t>
      </w:r>
      <w:r>
        <w:rPr>
          <w:rFonts w:ascii="Times New Roman" w:hAnsi="Times New Roman"/>
          <w:noProof/>
          <w:sz w:val="24"/>
        </w:rPr>
        <w:t>, Business Intelligence, Artificial Intelligence — AI, învățarea automată, tehnologia registrelor distribuite — DLT) în administrația publică în scopul colectării, prelucrării, prezentării și stocării eficiente a datelor, fac</w:t>
      </w:r>
      <w:r>
        <w:rPr>
          <w:rFonts w:ascii="Times New Roman" w:hAnsi="Times New Roman"/>
          <w:noProof/>
          <w:sz w:val="24"/>
        </w:rPr>
        <w:t>ilitând astfel îmbunătățirea serviciilor digitale, a procesului decizional adecvat și a funcționării și întreținerii eficiente a sistemelor și a infrastructurii. 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Orașe intelig</w:t>
      </w:r>
      <w:r>
        <w:rPr>
          <w:rFonts w:ascii="Times New Roman" w:hAnsi="Times New Roman"/>
          <w:noProof/>
          <w:sz w:val="24"/>
        </w:rPr>
        <w:t>ente (numărul de identificare al măsurii:16854)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urmărește transformarea treptată a 11 orașe grecești în „orașe inteligente” prin dezvoltarea de noi infrastructuri, platforme digitale și sisteme informatice. Soluțiile pentru orașe inteligente le </w:t>
      </w:r>
      <w:r>
        <w:rPr>
          <w:rFonts w:ascii="Times New Roman" w:hAnsi="Times New Roman"/>
          <w:noProof/>
          <w:sz w:val="24"/>
        </w:rPr>
        <w:t>permit orașelor să utilizeze tehnologia, informațiile și datele deschise pentru a îmbunătăți infrastructura orașelor și serviciile electronice, dar și pentru a stimula creșterea economică determinată de comunitate. Investiția urmărește, de asemenea, să spr</w:t>
      </w:r>
      <w:r>
        <w:rPr>
          <w:rFonts w:ascii="Times New Roman" w:hAnsi="Times New Roman"/>
          <w:noProof/>
          <w:sz w:val="24"/>
        </w:rPr>
        <w:t>ijine apariția unor modele municipale de orașe inteligente pe care restul municipalităților să le urmeze, în logica planurilor de punere în aplicare. Măsura constă în două subproiecte: 1) inițiativa de investiții în orașele inteligente din Grecia, care inv</w:t>
      </w:r>
      <w:r>
        <w:rPr>
          <w:rFonts w:ascii="Times New Roman" w:hAnsi="Times New Roman"/>
          <w:noProof/>
          <w:sz w:val="24"/>
        </w:rPr>
        <w:t>estește în cele 11 orașe, dintre care patru au fost deja selectate (Atena, Salonic, Pireu și Trikala), iar alte șapte vor fi selectate pe baza propunerilor elaborate de orașe. 2) un mecanism de sprijin pentru punerea în aplicare și monitorizarea performanț</w:t>
      </w:r>
      <w:r>
        <w:rPr>
          <w:rFonts w:ascii="Times New Roman" w:hAnsi="Times New Roman"/>
          <w:noProof/>
          <w:sz w:val="24"/>
        </w:rPr>
        <w:t>ei inițiativei. Subproiectul 1 impune beneficiarilor să pregătească un plan detaliat de punere în aplicare, împreună cu o strategie urbană inteligentă și un plan de acțiune pe zece ani, care să fie corelate cu obiectivele strategice locale, regionale și na</w:t>
      </w:r>
      <w:r>
        <w:rPr>
          <w:rFonts w:ascii="Times New Roman" w:hAnsi="Times New Roman"/>
          <w:noProof/>
          <w:sz w:val="24"/>
        </w:rPr>
        <w:t>ț</w:t>
      </w:r>
      <w:r>
        <w:rPr>
          <w:rFonts w:ascii="Times New Roman" w:hAnsi="Times New Roman"/>
          <w:noProof/>
          <w:sz w:val="24"/>
        </w:rPr>
        <w:t>ionale.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 xml:space="preserve">Furnizarea infrastructurii și a serviciului central de </w:t>
      </w:r>
      <w:r>
        <w:rPr>
          <w:rFonts w:ascii="Times New Roman" w:hAnsi="Times New Roman"/>
          <w:i/>
          <w:noProof/>
          <w:sz w:val="24"/>
        </w:rPr>
        <w:t>cloud computing</w:t>
      </w:r>
      <w:r>
        <w:rPr>
          <w:rFonts w:ascii="Times New Roman" w:hAnsi="Times New Roman"/>
          <w:noProof/>
          <w:sz w:val="24"/>
        </w:rPr>
        <w:t xml:space="preserve"> (numărul de identificare al măsurii:16853)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urmărește să consolideze funcționarea </w:t>
      </w:r>
      <w:r>
        <w:rPr>
          <w:rFonts w:ascii="Times New Roman" w:hAnsi="Times New Roman"/>
          <w:noProof/>
          <w:sz w:val="24"/>
        </w:rPr>
        <w:t xml:space="preserve">instituțiilor-cheie din cadrul Ministerului Guvernanței Digitale, și anume GSISPA și IDIKA SA, prin implementarea infrastructurii și serviciilor de </w:t>
      </w:r>
      <w:r>
        <w:rPr>
          <w:rFonts w:ascii="Times New Roman" w:hAnsi="Times New Roman"/>
          <w:i/>
          <w:noProof/>
          <w:sz w:val="24"/>
        </w:rPr>
        <w:t>cloud computing</w:t>
      </w:r>
      <w:r>
        <w:rPr>
          <w:rFonts w:ascii="Times New Roman" w:hAnsi="Times New Roman"/>
          <w:noProof/>
          <w:sz w:val="24"/>
        </w:rPr>
        <w:t xml:space="preserve"> (în conformitate cu Legea nr. 4727/2020), urmând cele mai bune practici internaționale pentr</w:t>
      </w:r>
      <w:r>
        <w:rPr>
          <w:rFonts w:ascii="Times New Roman" w:hAnsi="Times New Roman"/>
          <w:noProof/>
          <w:sz w:val="24"/>
        </w:rPr>
        <w:t>u implementarea infrastructurii și serviciilor publice de cloud (G-Cloud). Proiectul vizează realizarea unei infrastructuri cloud hibride moderne, formată din doi locatari: Una pentru G-Cloud și alta pentru H-Cloud. Fiecare chiriaș trebuie să aibă componen</w:t>
      </w:r>
      <w:r>
        <w:rPr>
          <w:rFonts w:ascii="Times New Roman" w:hAnsi="Times New Roman"/>
          <w:noProof/>
          <w:sz w:val="24"/>
        </w:rPr>
        <w:t>ta privată de cloud și componenta publică de cloud într-un mediu unificat de gestionare și furnizare a serviciilor. Implementarea investiției trebuie finalizată până la 30 iunie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Centrele de date ale furnizorului de servicii de cloud trebuie să respec</w:t>
      </w:r>
      <w:r>
        <w:rPr>
          <w:rFonts w:ascii="Times New Roman" w:hAnsi="Times New Roman"/>
          <w:noProof/>
          <w:sz w:val="24"/>
        </w:rPr>
        <w:t>te „Codul european de conduită privind eficiența energetică a Centrului de date”. Cerința este în conformitate cu Regulamentul (UE) 2018/1999 al Parlamentului European și al Consiliului din 11 decembrie 2018 privind guvernanța uniunii energetice și a acțiu</w:t>
      </w:r>
      <w:r>
        <w:rPr>
          <w:rFonts w:ascii="Times New Roman" w:hAnsi="Times New Roman"/>
          <w:noProof/>
          <w:sz w:val="24"/>
        </w:rPr>
        <w:t>nilor climatice, prin sprijinirea tranziției verzi și prin contribuția la realizarea obiectivelor climatice ale Uniunii pentru 2030 prevăzute la articolul 2 alineatul (11), astfel cum a fost modificat prin articolul10 din Legea europeană a climei și în con</w:t>
      </w:r>
      <w:r>
        <w:rPr>
          <w:rFonts w:ascii="Times New Roman" w:hAnsi="Times New Roman"/>
          <w:noProof/>
          <w:sz w:val="24"/>
        </w:rPr>
        <w:t>formitate cu obiectivul neutralității climatice a UE până în 2050 și al tranziției digitale, contribuind astfel la convergența economică și socială ascendentă, restabilind și promovând creșterea durabilă și integrarea economiilor Uniunii.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Moder</w:t>
      </w:r>
      <w:r>
        <w:rPr>
          <w:rFonts w:ascii="Times New Roman" w:hAnsi="Times New Roman"/>
          <w:noProof/>
          <w:sz w:val="24"/>
        </w:rPr>
        <w:t xml:space="preserve">nizarea infrastructurii și serviciilor de </w:t>
      </w:r>
      <w:r>
        <w:rPr>
          <w:rFonts w:ascii="Times New Roman" w:hAnsi="Times New Roman"/>
          <w:i/>
          <w:noProof/>
          <w:sz w:val="24"/>
        </w:rPr>
        <w:t>cloud computing</w:t>
      </w:r>
      <w:r>
        <w:rPr>
          <w:rFonts w:ascii="Times New Roman" w:hAnsi="Times New Roman"/>
          <w:noProof/>
          <w:sz w:val="24"/>
        </w:rPr>
        <w:t xml:space="preserve"> ale infrastructurilor naționale de cercetare și tehnologie (GRNET) (numărul de identificare al măsurii:16955)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modernizarea infrastructurilor și serviciilor GRNET, prin (a) moder</w:t>
      </w:r>
      <w:r>
        <w:rPr>
          <w:rFonts w:ascii="Times New Roman" w:hAnsi="Times New Roman"/>
          <w:noProof/>
          <w:sz w:val="24"/>
        </w:rPr>
        <w:t xml:space="preserve">nizarea software-ului și a serviciilor sale de </w:t>
      </w:r>
      <w:r>
        <w:rPr>
          <w:rFonts w:ascii="Times New Roman" w:hAnsi="Times New Roman"/>
          <w:i/>
          <w:noProof/>
          <w:sz w:val="24"/>
        </w:rPr>
        <w:t>cloud computing</w:t>
      </w:r>
      <w:r>
        <w:rPr>
          <w:rFonts w:ascii="Times New Roman" w:hAnsi="Times New Roman"/>
          <w:noProof/>
          <w:sz w:val="24"/>
        </w:rPr>
        <w:t>, adresate în principal membrilor comunității academice și de cercetare, (b) extinderea și modernizarea sistemului național de calcul de înaltă performanță ARIS — Faza B și (c) închirierea infra</w:t>
      </w:r>
      <w:r>
        <w:rPr>
          <w:rFonts w:ascii="Times New Roman" w:hAnsi="Times New Roman"/>
          <w:noProof/>
          <w:sz w:val="24"/>
        </w:rPr>
        <w:t>structurii de fibră optică.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Centrele de date trebuie să respecte „Codul european de conduită privind eficiența energetică a Centrului de date”. Cerința este în conformitate cu Regulame</w:t>
      </w:r>
      <w:r>
        <w:rPr>
          <w:rFonts w:ascii="Times New Roman" w:hAnsi="Times New Roman"/>
          <w:noProof/>
          <w:sz w:val="24"/>
        </w:rPr>
        <w:t>ntul (UE) 2018/1999 al Parlamentului European și al Consiliului din 11 decembrie 2018 privind guvernanța uniunii energetice și a acțiunilor climatice, prin sprijinirea tranziției verzi și prin contribuția la realizarea obiectivelor climatice ale Uniunii pe</w:t>
      </w:r>
      <w:r>
        <w:rPr>
          <w:rFonts w:ascii="Times New Roman" w:hAnsi="Times New Roman"/>
          <w:noProof/>
          <w:sz w:val="24"/>
        </w:rPr>
        <w:t>ntru 2030 prevăzute la articolul 2 alineatul (11), astfel cum a fost modificat prin articolul10 din Legea europeană a climei și în conformitate cu obiectivul neutralității climatice a UE până în 2050 și al tranziției digitale, contribuind astfel la converg</w:t>
      </w:r>
      <w:r>
        <w:rPr>
          <w:rFonts w:ascii="Times New Roman" w:hAnsi="Times New Roman"/>
          <w:noProof/>
          <w:sz w:val="24"/>
        </w:rPr>
        <w:t>ența economică și socială ascendentă, restabilind și promovând creșterea durabilă și integrarea economiilor Uniunii.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Îmbunătățirea continuității activității sectorului public (numărul de identificare al măsurii:16287)</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conce</w:t>
      </w:r>
      <w:r>
        <w:rPr>
          <w:rFonts w:ascii="Times New Roman" w:hAnsi="Times New Roman"/>
          <w:noProof/>
          <w:sz w:val="24"/>
        </w:rPr>
        <w:t>perea și punerea în aplicare a tuturor măsurilor necesare pentru a asigura continuitatea activității în cadrul administrației publice, permițând astfel angajaților oricărei agenții din sectorul public să își desfășoare activitatea la distanță și în condiți</w:t>
      </w:r>
      <w:r>
        <w:rPr>
          <w:rFonts w:ascii="Times New Roman" w:hAnsi="Times New Roman"/>
          <w:noProof/>
          <w:sz w:val="24"/>
        </w:rPr>
        <w:t>i de siguranță. Aceasta include furnizarea infrastructurii necesare pentru dispozitivele corporative (laptopuri) și rețea (VPN) și extinderea serviciilor de tip G-cloud. Investiția va studia inițial nevoile din sectorul public și va elabora un plan de asig</w:t>
      </w:r>
      <w:r>
        <w:rPr>
          <w:rFonts w:ascii="Times New Roman" w:hAnsi="Times New Roman"/>
          <w:noProof/>
          <w:sz w:val="24"/>
        </w:rPr>
        <w:t>urare a continuității activității nu numai pentru grupul orientativ de funcționari publici care urmează să fie acoperiți în timpul punerii în aplicare a acestui proiect (estimat la 71 500), ci și pentru toți funcționarii publici (aproximativ 550 000). În u</w:t>
      </w:r>
      <w:r>
        <w:rPr>
          <w:rFonts w:ascii="Times New Roman" w:hAnsi="Times New Roman"/>
          <w:noProof/>
          <w:sz w:val="24"/>
        </w:rPr>
        <w:t xml:space="preserve">rma planului de asigurare a continuității activității, investiția va asigura îndeplinirea condițiilor prealabile pentru continuitatea activității în întreaga administrație publică. Aceste condiții prealabile includ a) existența unui dispozitiv corporativ, </w:t>
      </w:r>
      <w:r>
        <w:rPr>
          <w:rFonts w:ascii="Times New Roman" w:hAnsi="Times New Roman"/>
          <w:noProof/>
          <w:sz w:val="24"/>
        </w:rPr>
        <w:t>în care sunt instalate sisteme de operare actualizate, precum și programe actualizate de protecție împotriva virușilor; b) accesul la conexiunea la internet prin intermediul unui furnizor de servicii de internet c) conexiunea virtuală privată (VPN) prin re</w:t>
      </w:r>
      <w:r>
        <w:rPr>
          <w:rFonts w:ascii="Times New Roman" w:hAnsi="Times New Roman"/>
          <w:noProof/>
          <w:sz w:val="24"/>
        </w:rPr>
        <w:t>ț</w:t>
      </w:r>
      <w:r>
        <w:rPr>
          <w:rFonts w:ascii="Times New Roman" w:hAnsi="Times New Roman"/>
          <w:noProof/>
          <w:sz w:val="24"/>
        </w:rPr>
        <w:t xml:space="preserve">eaua SYZEFXIS d) prin utilizarea unei conexiuni VPN, accesul securizat la datele și aplicațiile agențiilor publice care sunt necesare pentru ca angajatul să lucreze de la distanță, și, dacă acest lucru nu este posibil, se dezvoltă soluții alternative: e) </w:t>
      </w:r>
      <w:r>
        <w:rPr>
          <w:rFonts w:ascii="Times New Roman" w:hAnsi="Times New Roman"/>
          <w:noProof/>
          <w:sz w:val="24"/>
        </w:rPr>
        <w:t>asistență tehnică.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Extinderea Syzefksis II (numărul de identificare al măsurii:16956)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extinderea Rețelei naționale a sectorului public (SYZEFXIS II) pe</w:t>
      </w:r>
      <w:r>
        <w:rPr>
          <w:rFonts w:ascii="Times New Roman" w:hAnsi="Times New Roman"/>
          <w:noProof/>
          <w:sz w:val="24"/>
        </w:rPr>
        <w:t>ntru a furniza un set de servicii de telecomunicații îmbunătățite pentru toate administrațiile publice, crearea unei rețele a sectorului public (extindere) pentru furnizarea unui set de servicii de telecomunicații îmbunătățite organismelor administrației p</w:t>
      </w:r>
      <w:r>
        <w:rPr>
          <w:rFonts w:ascii="Times New Roman" w:hAnsi="Times New Roman"/>
          <w:noProof/>
          <w:sz w:val="24"/>
        </w:rPr>
        <w:t>ublice pentru o perioadă de trei ani consecutivi și, mai precis, în furnizarea de servicii de acoperire pentru aproximativ 34 000 de clădiri, precum și servicii de telecomunicații fără fir. Aceasta include extinderea actualei rețele naționale de administra</w:t>
      </w:r>
      <w:r>
        <w:rPr>
          <w:rFonts w:ascii="Times New Roman" w:hAnsi="Times New Roman"/>
          <w:noProof/>
          <w:sz w:val="24"/>
        </w:rPr>
        <w:t>ț</w:t>
      </w:r>
      <w:r>
        <w:rPr>
          <w:rFonts w:ascii="Times New Roman" w:hAnsi="Times New Roman"/>
          <w:noProof/>
          <w:sz w:val="24"/>
        </w:rPr>
        <w:t>ie publică „SYZEFXIS”, care acoperă în prezent doar 4 500 puncte de prezență a organismelor. Ca atare, toate organismele publice trebuie să dispună de servicii de telecomunicații îmbunătățite, cu o creștere a vitezelor de acces la internet, oferind astfel</w:t>
      </w:r>
      <w:r>
        <w:rPr>
          <w:rFonts w:ascii="Times New Roman" w:hAnsi="Times New Roman"/>
          <w:noProof/>
          <w:sz w:val="24"/>
        </w:rPr>
        <w:t xml:space="preserve"> conexiuni mai bune cetățenilor.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Strategia de guvernanță a datelor &amp; politici pentru sectorul public (numărul de identificare al măsurii:16827)</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vizează: (a) dezvoltare</w:t>
      </w:r>
      <w:r>
        <w:rPr>
          <w:rFonts w:ascii="Times New Roman" w:hAnsi="Times New Roman"/>
          <w:noProof/>
          <w:sz w:val="24"/>
        </w:rPr>
        <w:t xml:space="preserve">a strategiei și a politicilor guvernamentale în materie de guvernanță a datelor în domeniul </w:t>
      </w:r>
      <w:r>
        <w:rPr>
          <w:rFonts w:ascii="Times New Roman" w:hAnsi="Times New Roman"/>
          <w:i/>
          <w:noProof/>
          <w:sz w:val="24"/>
        </w:rPr>
        <w:t>cloud computingului</w:t>
      </w:r>
      <w:r>
        <w:rPr>
          <w:rFonts w:ascii="Times New Roman" w:hAnsi="Times New Roman"/>
          <w:noProof/>
          <w:sz w:val="24"/>
        </w:rPr>
        <w:t xml:space="preserve"> și (b) instituirea cadrului, a infrastructurii, a capacității și a capacităților pentru guvernanța datelor publice, politica privind datele desc</w:t>
      </w:r>
      <w:r>
        <w:rPr>
          <w:rFonts w:ascii="Times New Roman" w:hAnsi="Times New Roman"/>
          <w:noProof/>
          <w:sz w:val="24"/>
        </w:rPr>
        <w:t>hise și reutilizabile și furnizarea de servicii relevante pentru sectorul public și cel privat. 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BI central — Analiză de date (numărul de identificare al măsurii:16842)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Scopul </w:t>
      </w:r>
      <w:r>
        <w:rPr>
          <w:rFonts w:ascii="Times New Roman" w:hAnsi="Times New Roman"/>
          <w:noProof/>
          <w:sz w:val="24"/>
        </w:rPr>
        <w:t>investiției este de a permite administrației publice să maximizeze valoarea pe care o obține din datele sale prin punerea în aplicare a unei platforme centrale de analiză a datelor de afaceri. Platforma permite agențiilor administrației publice să extragă,</w:t>
      </w:r>
      <w:r>
        <w:rPr>
          <w:rFonts w:ascii="Times New Roman" w:hAnsi="Times New Roman"/>
          <w:noProof/>
          <w:sz w:val="24"/>
        </w:rPr>
        <w:t xml:space="preserve"> să integreze și să interpreteze date din orice sursă și să le utilizeze pentru a analiza informații care le afectează operațiunile și fluxurile de lucru, facilitând astfel procesul decizional. Acest lucru se realizează prin (a) identificarea indicatorilor</w:t>
      </w:r>
      <w:r>
        <w:rPr>
          <w:rFonts w:ascii="Times New Roman" w:hAnsi="Times New Roman"/>
          <w:noProof/>
          <w:sz w:val="24"/>
        </w:rPr>
        <w:t>-cheie de performanță (b) crearea unui dicționar de date, c) crearea unui cadru de guvernanță a datelor (d) elaborarea unui plan arhitectural adecvat, a unei abordări arhitecturale, a unor elemente constitutive și a unor puncte de integrare (e) configurare</w:t>
      </w:r>
      <w:r>
        <w:rPr>
          <w:rFonts w:ascii="Times New Roman" w:hAnsi="Times New Roman"/>
          <w:noProof/>
          <w:sz w:val="24"/>
        </w:rPr>
        <w:t>a unui depozit de date f) integrarea cu sistemul informatic administrativ (g) elaborarea rapoartelor de informații comerciale necesare &amp; Analytics h) asistență tehnică.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Sis</w:t>
      </w:r>
      <w:r>
        <w:rPr>
          <w:rFonts w:ascii="Times New Roman" w:hAnsi="Times New Roman"/>
          <w:noProof/>
          <w:sz w:val="24"/>
        </w:rPr>
        <w:t>temul central de gestionare a documentelor (numărul de identificare al măsurii:16738)</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punerea în aplicare a unui sistem central de gestionare a documentelor care captează, stochează și extrage documente pe suport de hârtie și în format</w:t>
      </w:r>
      <w:r>
        <w:rPr>
          <w:rFonts w:ascii="Times New Roman" w:hAnsi="Times New Roman"/>
          <w:noProof/>
          <w:sz w:val="24"/>
        </w:rPr>
        <w:t xml:space="preserve"> electronic. Acest sistem facilitează interoperabilitatea dintre organizațiile din sectorul public și accelerează prelucrarea cazurilor și a cererilor de servicii ale cetățenilor și întreprinderilor. Investiția include a) furnizarea a 20 000 de semnături d</w:t>
      </w:r>
      <w:r>
        <w:rPr>
          <w:rFonts w:ascii="Times New Roman" w:hAnsi="Times New Roman"/>
          <w:noProof/>
          <w:sz w:val="24"/>
        </w:rPr>
        <w:t>igitale aprobate la distanță; b) dezvoltarea de aplicații pentru interoperabilitate, crearea unui cod QR unic sau a unui identificator unic care să fie încorporat în documentele c) dezvoltarea de subsisteme pentru a acoperi nevoile guvernului pentru semnar</w:t>
      </w:r>
      <w:r>
        <w:rPr>
          <w:rFonts w:ascii="Times New Roman" w:hAnsi="Times New Roman"/>
          <w:noProof/>
          <w:sz w:val="24"/>
        </w:rPr>
        <w:t>ea documentelor cu semnăturile digitale; d) servicii de asistență (inclusiv servicii pentru dezvoltarea studiilor), formare și servicii de asistență. Implementarea investiției trebuie finalizată până la 30 iunie 2025.</w:t>
      </w:r>
    </w:p>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88"/>
          <w:headerReference w:type="default" r:id="rId89"/>
          <w:footerReference w:type="even" r:id="rId90"/>
          <w:footerReference w:type="default" r:id="rId91"/>
          <w:headerReference w:type="first" r:id="rId92"/>
          <w:footerReference w:type="first" r:id="rId93"/>
          <w:pgSz w:w="11907" w:h="16839"/>
          <w:pgMar w:top="1134" w:right="1418" w:bottom="1134" w:left="1418" w:header="709" w:footer="709" w:gutter="0"/>
          <w:cols w:space="720"/>
          <w:docGrid w:linePitch="360"/>
        </w:sectPr>
      </w:pPr>
    </w:p>
    <w:p w:rsidR="00780A28" w:rsidRDefault="001867D7">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F.2.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p>
    <w:p w:rsidR="00780A28" w:rsidRDefault="00780A28">
      <w:pPr>
        <w:keepNext/>
        <w:keepLines/>
        <w:spacing w:before="40" w:after="0" w:line="240" w:lineRule="auto"/>
        <w:jc w:val="both"/>
        <w:outlineLvl w:val="4"/>
        <w:rPr>
          <w:rFonts w:ascii="Cambria" w:eastAsia="Times New Roman" w:hAnsi="Cambria"/>
          <w:noProof/>
          <w:color w:val="365F91"/>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Cea mai importantă investiție 3: Digitalizarea arhivelor și servicii conexe</w:t>
      </w:r>
    </w:p>
    <w:tbl>
      <w:tblPr>
        <w:tblW w:w="15588" w:type="dxa"/>
        <w:tblInd w:w="113" w:type="dxa"/>
        <w:tblLayout w:type="fixed"/>
        <w:tblLook w:val="04A0" w:firstRow="1" w:lastRow="0" w:firstColumn="1" w:lastColumn="0" w:noHBand="0" w:noVBand="1"/>
      </w:tblPr>
      <w:tblGrid>
        <w:gridCol w:w="1027"/>
        <w:gridCol w:w="2229"/>
        <w:gridCol w:w="1134"/>
        <w:gridCol w:w="850"/>
        <w:gridCol w:w="1276"/>
        <w:gridCol w:w="992"/>
        <w:gridCol w:w="992"/>
        <w:gridCol w:w="975"/>
        <w:gridCol w:w="726"/>
        <w:gridCol w:w="993"/>
        <w:gridCol w:w="4394"/>
      </w:tblGrid>
      <w:tr w:rsidR="00780A28">
        <w:trPr>
          <w:trHeight w:val="927"/>
          <w:tblHead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222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ind w:left="-561" w:firstLine="561"/>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Măsură conexă </w:t>
            </w:r>
            <w:r>
              <w:rPr>
                <w:rFonts w:ascii="Times New Roman" w:hAnsi="Times New Roman"/>
                <w:b/>
                <w:bCs/>
                <w:noProof/>
                <w:sz w:val="18"/>
                <w:szCs w:val="18"/>
              </w:rPr>
              <w:t>(reformă sau investiție)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850"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959"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719"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850"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975"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726"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993"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93</w:t>
            </w:r>
          </w:p>
        </w:tc>
        <w:tc>
          <w:tcPr>
            <w:tcW w:w="222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Modernizarea — 16778_Digitizarea arhivelor și a serviciilor conexe</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8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iCs/>
                <w:noProof/>
                <w:color w:val="006100"/>
                <w:sz w:val="18"/>
                <w:szCs w:val="18"/>
              </w:rPr>
            </w:pPr>
            <w:r>
              <w:rPr>
                <w:iCs/>
                <w:noProof/>
                <w:color w:val="006100"/>
                <w:sz w:val="18"/>
                <w:szCs w:val="18"/>
              </w:rPr>
              <w:t>Atribuirea contractului (contractelor) pentru digitizarea arhivelor</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contractului (contractelor) care acoperă toate cele 9 subproiecte ale proiectului de digitalizare a arhivelor </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9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3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(contractelor) pentru a acoperi fiecare dintre următoarele 9 subproiecte, inclusiv toat</w:t>
            </w:r>
            <w:r>
              <w:rPr>
                <w:noProof/>
                <w:color w:val="006100"/>
                <w:sz w:val="18"/>
                <w:szCs w:val="18"/>
              </w:rPr>
              <w:t xml:space="preserve">e componentele lor constitutive: </w:t>
            </w:r>
          </w:p>
          <w:p w:rsidR="00780A28" w:rsidRDefault="001867D7">
            <w:pPr>
              <w:numPr>
                <w:ilvl w:val="0"/>
                <w:numId w:val="53"/>
              </w:numPr>
              <w:spacing w:before="120" w:after="160" w:line="259" w:lineRule="auto"/>
              <w:ind w:left="220" w:hanging="169"/>
              <w:contextualSpacing/>
              <w:jc w:val="both"/>
              <w:rPr>
                <w:rFonts w:eastAsia="Times New Roman" w:cs="Calibri"/>
                <w:noProof/>
                <w:color w:val="006100"/>
                <w:sz w:val="18"/>
                <w:szCs w:val="18"/>
              </w:rPr>
            </w:pPr>
            <w:r>
              <w:rPr>
                <w:noProof/>
                <w:color w:val="006100"/>
                <w:sz w:val="18"/>
                <w:szCs w:val="18"/>
              </w:rPr>
              <w:t>Subproiectul 1 Digitalizarea arhivelor sistemului judiciar</w:t>
            </w:r>
          </w:p>
          <w:p w:rsidR="00780A28" w:rsidRDefault="001867D7">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Subproiectul 2 Digitalizarea arhivelor sistemului de sănătate publică</w:t>
            </w:r>
          </w:p>
          <w:p w:rsidR="00780A28" w:rsidRDefault="001867D7">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Subproiectul 3 Digitalizarea arhivelor generale ale statului</w:t>
            </w:r>
          </w:p>
          <w:p w:rsidR="00780A28" w:rsidRDefault="001867D7">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 xml:space="preserve">Subproiectul 4 Digitalizarea </w:t>
            </w:r>
            <w:r>
              <w:rPr>
                <w:noProof/>
                <w:color w:val="006100"/>
                <w:sz w:val="18"/>
                <w:szCs w:val="18"/>
              </w:rPr>
              <w:t>arhivelor sistemului de imigrație și azil</w:t>
            </w:r>
          </w:p>
          <w:p w:rsidR="00780A28" w:rsidRDefault="001867D7">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Subproiectul 5 Digitalizarea arhivelor exproprierilor</w:t>
            </w:r>
          </w:p>
          <w:p w:rsidR="00780A28" w:rsidRDefault="001867D7">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Subproiectul 6 Digitalizarea arhivelor agențiilor de planificare urbană</w:t>
            </w:r>
          </w:p>
          <w:p w:rsidR="00780A28" w:rsidRDefault="001867D7">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Subproiectul 7A — Digitizarea arhivelor cadastrului (Ktimatologio)</w:t>
            </w:r>
          </w:p>
          <w:p w:rsidR="00780A28" w:rsidRDefault="001867D7">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Subproiectul 7B — Ser</w:t>
            </w:r>
            <w:r>
              <w:rPr>
                <w:noProof/>
                <w:color w:val="006100"/>
                <w:sz w:val="18"/>
                <w:szCs w:val="18"/>
              </w:rPr>
              <w:t>vicii digitale îmbunătățite ale Cadastrului</w:t>
            </w:r>
          </w:p>
          <w:p w:rsidR="00780A28" w:rsidRDefault="001867D7">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Subproiectul 8 — Digitalizarea arhivelor maritime</w:t>
            </w:r>
          </w:p>
          <w:p w:rsidR="00780A28" w:rsidRDefault="001867D7">
            <w:pPr>
              <w:numPr>
                <w:ilvl w:val="0"/>
                <w:numId w:val="53"/>
              </w:numPr>
              <w:spacing w:before="120" w:after="0" w:line="259" w:lineRule="auto"/>
              <w:ind w:left="220" w:hanging="169"/>
              <w:contextualSpacing/>
              <w:jc w:val="both"/>
              <w:rPr>
                <w:rFonts w:eastAsia="Times New Roman" w:cs="Calibri"/>
                <w:noProof/>
                <w:color w:val="006100"/>
                <w:sz w:val="18"/>
                <w:szCs w:val="18"/>
              </w:rPr>
            </w:pPr>
            <w:r>
              <w:rPr>
                <w:noProof/>
                <w:color w:val="006100"/>
                <w:sz w:val="18"/>
                <w:szCs w:val="18"/>
              </w:rPr>
              <w:t>Subproiectul 9 Stocarea securizată a sectorului public și a sectorului public</w:t>
            </w:r>
          </w:p>
          <w:p w:rsidR="00780A28" w:rsidRDefault="001867D7">
            <w:pPr>
              <w:spacing w:after="0" w:line="240" w:lineRule="auto"/>
              <w:rPr>
                <w:rFonts w:eastAsia="Times New Roman" w:cs="Calibri"/>
                <w:noProof/>
                <w:color w:val="006100"/>
                <w:sz w:val="18"/>
                <w:szCs w:val="18"/>
              </w:rPr>
            </w:pPr>
            <w:r>
              <w:rPr>
                <w:noProof/>
                <w:color w:val="006100"/>
                <w:sz w:val="18"/>
                <w:szCs w:val="18"/>
              </w:rPr>
              <w:t>Specificațiile includ calendare și obiective și detaliază, pentru fiecare dintre cel</w:t>
            </w:r>
            <w:r>
              <w:rPr>
                <w:noProof/>
                <w:color w:val="006100"/>
                <w:sz w:val="18"/>
                <w:szCs w:val="18"/>
              </w:rPr>
              <w:t xml:space="preserve">e 9 subproiecte, următoarele: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 digitalizarea înregistrărilor fizice </w:t>
            </w:r>
          </w:p>
          <w:p w:rsidR="00780A28" w:rsidRDefault="001867D7">
            <w:pPr>
              <w:spacing w:after="0" w:line="240" w:lineRule="auto"/>
              <w:rPr>
                <w:rFonts w:eastAsia="Times New Roman" w:cs="Calibri"/>
                <w:noProof/>
                <w:color w:val="006100"/>
                <w:sz w:val="18"/>
                <w:szCs w:val="18"/>
              </w:rPr>
            </w:pPr>
            <w:r>
              <w:rPr>
                <w:noProof/>
                <w:color w:val="006100"/>
                <w:sz w:val="18"/>
                <w:szCs w:val="18"/>
              </w:rPr>
              <w:t>2. migrarea înregistrărilor digitale în sistemele existente (inclusiv fișierele privind justiția în OSDDY-PP/OSDDY-DD; titluri de proprietate în sistemul informatic al registrului func</w:t>
            </w:r>
            <w:r>
              <w:rPr>
                <w:noProof/>
                <w:color w:val="006100"/>
                <w:sz w:val="18"/>
                <w:szCs w:val="18"/>
              </w:rPr>
              <w:t>iar național)</w:t>
            </w:r>
          </w:p>
          <w:p w:rsidR="00780A28" w:rsidRDefault="001867D7">
            <w:pPr>
              <w:spacing w:after="0" w:line="240" w:lineRule="auto"/>
              <w:rPr>
                <w:rFonts w:eastAsia="Times New Roman" w:cs="Calibri"/>
                <w:noProof/>
                <w:color w:val="006100"/>
                <w:sz w:val="18"/>
                <w:szCs w:val="18"/>
              </w:rPr>
            </w:pPr>
            <w:r>
              <w:rPr>
                <w:noProof/>
                <w:color w:val="006100"/>
                <w:sz w:val="18"/>
                <w:szCs w:val="18"/>
              </w:rPr>
              <w:t>3. analiza, proiectarea și implementarea centrelor de date și a infrastructurii situate pe lângă agențiile locale, împreună cu ghișeul unic corespunzător (inclusiv registrul central pentru evidențele pacienților; Sistemul integrat de informaț</w:t>
            </w:r>
            <w:r>
              <w:rPr>
                <w:noProof/>
                <w:color w:val="006100"/>
                <w:sz w:val="18"/>
                <w:szCs w:val="18"/>
              </w:rPr>
              <w:t>ii geografice al hărții digitale unificate a creditelor și cererilor de expropriere; Document &amp; Sistemul digital de gestionare a fișierelor (DMS/DAS) pentru înregistrările cadastrale; instalarea software-ului de gestionare a arhivelor).</w:t>
            </w:r>
          </w:p>
          <w:p w:rsidR="00780A28" w:rsidRDefault="001867D7">
            <w:pPr>
              <w:spacing w:after="0" w:line="240" w:lineRule="auto"/>
              <w:rPr>
                <w:rFonts w:eastAsia="Times New Roman" w:cs="Calibri"/>
                <w:noProof/>
                <w:color w:val="006100"/>
                <w:sz w:val="18"/>
                <w:szCs w:val="18"/>
              </w:rPr>
            </w:pPr>
            <w:r>
              <w:rPr>
                <w:noProof/>
                <w:color w:val="006100"/>
                <w:sz w:val="18"/>
                <w:szCs w:val="18"/>
              </w:rPr>
              <w:t>4. servicii de asis</w:t>
            </w:r>
            <w:r>
              <w:rPr>
                <w:noProof/>
                <w:color w:val="006100"/>
                <w:sz w:val="18"/>
                <w:szCs w:val="18"/>
              </w:rPr>
              <w:t>tență (inclusiv noi servicii electronice legate de căutarea și recuperarea de fișiere pentru cetățeni; administrația publică; cercetători pentru arhivele de stat).</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94</w:t>
            </w:r>
          </w:p>
        </w:tc>
        <w:tc>
          <w:tcPr>
            <w:tcW w:w="222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Modernizarea — 16778_Digitizarea arhivelor și a serviciilor conexe</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8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Digitalizarea arhivelor — prima etapă a punerii în aplicare</w:t>
            </w:r>
          </w:p>
        </w:tc>
        <w:tc>
          <w:tcPr>
            <w:tcW w:w="127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Procentul de arhive digitalizate, meta-etichetate și migrate în sistemele existente, în toate cele 9 subproiecte</w:t>
            </w: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7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30 %</w:t>
            </w:r>
          </w:p>
        </w:tc>
        <w:tc>
          <w:tcPr>
            <w:tcW w:w="7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9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3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digitizării a cel puțin 30 % din totalul arhivelor </w:t>
            </w:r>
            <w:r>
              <w:rPr>
                <w:noProof/>
                <w:color w:val="006100"/>
                <w:sz w:val="18"/>
                <w:szCs w:val="18"/>
              </w:rPr>
              <w:t>pentru toate cele 9 subproiecte, calculată ca număr total de pagini digitalizate.</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95</w:t>
            </w:r>
          </w:p>
        </w:tc>
        <w:tc>
          <w:tcPr>
            <w:tcW w:w="222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6 - 2.2. Modernizarea — 16778_Digitizarea arhivelor și a serviciilor conexe</w:t>
            </w:r>
          </w:p>
        </w:tc>
        <w:tc>
          <w:tcPr>
            <w:tcW w:w="113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Țintă</w:t>
            </w:r>
          </w:p>
        </w:tc>
        <w:tc>
          <w:tcPr>
            <w:tcW w:w="85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Digitalizarea arhivelor — punerea în aplicare integrală</w:t>
            </w:r>
          </w:p>
        </w:tc>
        <w:tc>
          <w:tcPr>
            <w:tcW w:w="1276"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Procentul de arhive </w:t>
            </w:r>
            <w:r>
              <w:rPr>
                <w:noProof/>
                <w:color w:val="006100"/>
                <w:sz w:val="18"/>
                <w:szCs w:val="18"/>
              </w:rPr>
              <w:t>digitalizate, meta-etichetate și migrate în sistemele existente în toate cele 9 subproiecte</w:t>
            </w:r>
          </w:p>
        </w:tc>
        <w:tc>
          <w:tcPr>
            <w:tcW w:w="99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30 %</w:t>
            </w:r>
          </w:p>
        </w:tc>
        <w:tc>
          <w:tcPr>
            <w:tcW w:w="97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90 %</w:t>
            </w:r>
          </w:p>
        </w:tc>
        <w:tc>
          <w:tcPr>
            <w:tcW w:w="72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Q4</w:t>
            </w:r>
          </w:p>
        </w:tc>
        <w:tc>
          <w:tcPr>
            <w:tcW w:w="99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9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Digitizarea a cel puțin 90 % din arhive pentru toate cele 9 subproiecte, calculată ca număr de pagini digitalizate pentru fiecare subproiect. </w:t>
            </w:r>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Reforma esențială 5: Către servicii orientate către client ale administrației publice prin simplificarea și îmbunătățirea proceselor — Interconectarea și interoperabilitatea registrelor, sistemelor și serviciilor</w:t>
      </w:r>
    </w:p>
    <w:tbl>
      <w:tblPr>
        <w:tblW w:w="15615" w:type="dxa"/>
        <w:tblLook w:val="04A0" w:firstRow="1" w:lastRow="0" w:firstColumn="1" w:lastColumn="0" w:noHBand="0" w:noVBand="1"/>
      </w:tblPr>
      <w:tblGrid>
        <w:gridCol w:w="966"/>
        <w:gridCol w:w="1931"/>
        <w:gridCol w:w="1107"/>
        <w:gridCol w:w="1594"/>
        <w:gridCol w:w="2079"/>
        <w:gridCol w:w="910"/>
        <w:gridCol w:w="922"/>
        <w:gridCol w:w="866"/>
        <w:gridCol w:w="596"/>
        <w:gridCol w:w="1020"/>
        <w:gridCol w:w="3624"/>
      </w:tblGrid>
      <w:tr w:rsidR="00780A28">
        <w:trPr>
          <w:trHeight w:val="939"/>
          <w:tblHeader/>
        </w:trPr>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93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w:t>
            </w:r>
            <w:r>
              <w:rPr>
                <w:rFonts w:ascii="Times New Roman" w:hAnsi="Times New Roman"/>
                <w:b/>
                <w:bCs/>
                <w:noProof/>
                <w:sz w:val="18"/>
                <w:szCs w:val="18"/>
              </w:rPr>
              <w:t xml:space="preserve"> investiție)</w:t>
            </w:r>
          </w:p>
        </w:tc>
        <w:tc>
          <w:tcPr>
            <w:tcW w:w="110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594"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207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698"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616"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3624"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rPr>
        <w:tc>
          <w:tcPr>
            <w:tcW w:w="9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931"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0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94"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207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1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22" w:type="dxa"/>
            <w:tcBorders>
              <w:top w:val="nil"/>
              <w:left w:val="nil"/>
              <w:bottom w:val="single" w:sz="4" w:space="0" w:color="auto"/>
              <w:right w:val="single" w:sz="4" w:space="0" w:color="auto"/>
            </w:tcBorders>
            <w:shd w:val="clear" w:color="auto" w:fill="BDD7EE"/>
          </w:tcPr>
          <w:p w:rsidR="00780A28" w:rsidRDefault="00780A28">
            <w:pPr>
              <w:spacing w:after="0" w:line="240" w:lineRule="auto"/>
              <w:rPr>
                <w:rFonts w:ascii="Times New Roman" w:eastAsia="Times New Roman" w:hAnsi="Times New Roman" w:cs="Times New Roman"/>
                <w:b/>
                <w:bCs/>
                <w:noProof/>
                <w:sz w:val="18"/>
                <w:szCs w:val="18"/>
                <w:lang w:eastAsia="en-GB"/>
              </w:rPr>
            </w:pPr>
          </w:p>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86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Obiectiv</w:t>
            </w:r>
          </w:p>
        </w:tc>
        <w:tc>
          <w:tcPr>
            <w:tcW w:w="59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102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3624"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trPr>
        <w:tc>
          <w:tcPr>
            <w:tcW w:w="96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96</w:t>
            </w:r>
          </w:p>
        </w:tc>
        <w:tc>
          <w:tcPr>
            <w:tcW w:w="193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Modernizarea — 16929_Către servicii orientate către client ale administrației publice prin simplificarea și îmbunătățirea proceselor, îmbunătățirea sistemelor și respectarea strategiilor și politicilor</w:t>
            </w:r>
            <w:r>
              <w:rPr>
                <w:noProof/>
                <w:color w:val="006100"/>
                <w:sz w:val="18"/>
                <w:szCs w:val="18"/>
              </w:rPr>
              <w:t xml:space="preserve"> europene</w:t>
            </w:r>
          </w:p>
        </w:tc>
        <w:tc>
          <w:tcPr>
            <w:tcW w:w="110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iCs/>
                <w:noProof/>
                <w:color w:val="006100"/>
                <w:sz w:val="18"/>
                <w:szCs w:val="18"/>
              </w:rPr>
              <w:t>Crearea registrului național de proceduri și punerea în aplicare a planului național de simplificare a procesului (prima etapă)</w:t>
            </w:r>
          </w:p>
        </w:tc>
        <w:tc>
          <w:tcPr>
            <w:tcW w:w="207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Ministerului Guvernanței Digitale care atestă operaționalizarea registrului național de proceduri și fi</w:t>
            </w:r>
            <w:r>
              <w:rPr>
                <w:noProof/>
                <w:color w:val="006100"/>
                <w:sz w:val="18"/>
                <w:szCs w:val="18"/>
              </w:rPr>
              <w:t xml:space="preserve">nalizarea fluxurilor de lucru din prima fază a Programului Național de Simplificare a Procesului </w:t>
            </w:r>
          </w:p>
        </w:tc>
        <w:tc>
          <w:tcPr>
            <w:tcW w:w="91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tcPr>
          <w:p w:rsidR="00780A28" w:rsidRDefault="00780A28">
            <w:pPr>
              <w:spacing w:after="0" w:line="240" w:lineRule="auto"/>
              <w:rPr>
                <w:rFonts w:eastAsia="Times New Roman" w:cs="Calibri"/>
                <w:noProof/>
                <w:color w:val="006100"/>
                <w:sz w:val="18"/>
                <w:szCs w:val="18"/>
                <w:lang w:eastAsia="en-GB"/>
              </w:rPr>
            </w:pP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96" w:type="dxa"/>
            <w:tcBorders>
              <w:top w:val="nil"/>
              <w:left w:val="nil"/>
              <w:bottom w:val="single" w:sz="4" w:space="0" w:color="auto"/>
              <w:right w:val="single" w:sz="4" w:space="0" w:color="auto"/>
            </w:tcBorders>
            <w:shd w:val="clear" w:color="auto" w:fill="C6EFCE"/>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10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624" w:type="dxa"/>
            <w:tcBorders>
              <w:top w:val="nil"/>
              <w:left w:val="nil"/>
              <w:bottom w:val="single" w:sz="4" w:space="0" w:color="auto"/>
              <w:right w:val="single" w:sz="4" w:space="0" w:color="auto"/>
            </w:tcBorders>
            <w:shd w:val="clear" w:color="auto" w:fill="C6EFCE"/>
            <w:noWrap/>
          </w:tcPr>
          <w:p w:rsidR="00780A28" w:rsidRDefault="001867D7">
            <w:pPr>
              <w:spacing w:before="120" w:after="120" w:line="240" w:lineRule="auto"/>
              <w:jc w:val="both"/>
              <w:rPr>
                <w:rFonts w:eastAsia="Times New Roman" w:cs="Calibri"/>
                <w:noProof/>
                <w:color w:val="006100"/>
                <w:sz w:val="18"/>
                <w:szCs w:val="18"/>
              </w:rPr>
            </w:pPr>
            <w:r>
              <w:rPr>
                <w:noProof/>
                <w:color w:val="006100"/>
                <w:sz w:val="18"/>
                <w:szCs w:val="18"/>
              </w:rPr>
              <w:t xml:space="preserve">Operaționalizarea registrului național de proceduri („Diavlos”, în conformitate cu articolul 90 din Legea nr. 4727/2020) și integrarea în portalul </w:t>
            </w:r>
            <w:r>
              <w:rPr>
                <w:noProof/>
                <w:color w:val="006100"/>
                <w:sz w:val="18"/>
                <w:szCs w:val="18"/>
              </w:rPr>
              <w:t>gov.gr; și finalizarea primei etape a fluxurilor de lucru pentru simplificare, conform calendarului prevăzut de Programul național de simplificare a procesului de 4 ani, inclusiv digitalizarea procedurilor de achiziții publice.</w:t>
            </w:r>
          </w:p>
        </w:tc>
      </w:tr>
      <w:tr w:rsidR="00780A28">
        <w:trPr>
          <w:trHeight w:val="313"/>
        </w:trPr>
        <w:tc>
          <w:tcPr>
            <w:tcW w:w="96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97</w:t>
            </w:r>
          </w:p>
        </w:tc>
        <w:tc>
          <w:tcPr>
            <w:tcW w:w="193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6 - 2.2. Modernizarea — </w:t>
            </w:r>
            <w:r>
              <w:rPr>
                <w:noProof/>
                <w:color w:val="006100"/>
                <w:sz w:val="18"/>
                <w:szCs w:val="18"/>
              </w:rPr>
              <w:t>16929_Către servicii orientate către client ale administrației publice prin simplificarea și îmbunătățirea proceselor, îmbunătățirea sistemelor și respectarea strategiilor și politicilor europene</w:t>
            </w:r>
          </w:p>
        </w:tc>
        <w:tc>
          <w:tcPr>
            <w:tcW w:w="110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Punerea în aplicare a planului național de </w:t>
            </w:r>
            <w:r>
              <w:rPr>
                <w:noProof/>
                <w:color w:val="006100"/>
                <w:sz w:val="18"/>
                <w:szCs w:val="18"/>
              </w:rPr>
              <w:t>simplificare a procesului (a doua etapă)</w:t>
            </w:r>
          </w:p>
        </w:tc>
        <w:tc>
          <w:tcPr>
            <w:tcW w:w="207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Ministerului Guvernanței Digitale privind finalizarea celei de-a doua faze a fluxurilor de lucru pentru simplificare în cadrul Programului național de simplificare a procesului </w:t>
            </w:r>
          </w:p>
        </w:tc>
        <w:tc>
          <w:tcPr>
            <w:tcW w:w="91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tcPr>
          <w:p w:rsidR="00780A28" w:rsidRDefault="00780A28">
            <w:pPr>
              <w:spacing w:after="0" w:line="240" w:lineRule="auto"/>
              <w:rPr>
                <w:rFonts w:eastAsia="Times New Roman" w:cs="Calibri"/>
                <w:noProof/>
                <w:color w:val="006100"/>
                <w:sz w:val="18"/>
                <w:szCs w:val="18"/>
                <w:lang w:eastAsia="en-GB"/>
              </w:rPr>
            </w:pP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96" w:type="dxa"/>
            <w:tcBorders>
              <w:top w:val="nil"/>
              <w:left w:val="nil"/>
              <w:bottom w:val="single" w:sz="4" w:space="0" w:color="auto"/>
              <w:right w:val="single" w:sz="4" w:space="0" w:color="auto"/>
            </w:tcBorders>
            <w:shd w:val="clear" w:color="auto" w:fill="C6EFCE"/>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36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celei</w:t>
            </w:r>
            <w:r>
              <w:rPr>
                <w:noProof/>
                <w:color w:val="006100"/>
                <w:sz w:val="18"/>
                <w:szCs w:val="18"/>
              </w:rPr>
              <w:t xml:space="preserve"> de a doua faze a fluxurilor de lucru pentru simplificare, conform calendarului prevăzut de Programul național de simplificare a procesului pe 4 ani, inclusiv digitalizarea proceselor de evaluare a impactului, înființarea de întreprinderi individuale, simp</w:t>
            </w:r>
            <w:r>
              <w:rPr>
                <w:noProof/>
                <w:color w:val="006100"/>
                <w:sz w:val="18"/>
                <w:szCs w:val="18"/>
              </w:rPr>
              <w:t>lificarea procedurilor legate de „evenimentele de viață” ale cetățenilor, inclusiv nașterea, decesul și divorțul, simplificarea procedurilor judiciare legate de avocați, hotărârile judecătorești, semnăturile digitale, certificatele eliberate de instanțe, r</w:t>
            </w:r>
            <w:r>
              <w:rPr>
                <w:noProof/>
                <w:color w:val="006100"/>
                <w:sz w:val="18"/>
                <w:szCs w:val="18"/>
              </w:rPr>
              <w:t xml:space="preserve">eînnoirea permisului de conducere și funcționarea </w:t>
            </w:r>
            <w:hyperlink r:id="rId94" w:history="1">
              <w:r>
                <w:rPr>
                  <w:noProof/>
                  <w:color w:val="0000FF"/>
                  <w:sz w:val="18"/>
                  <w:szCs w:val="18"/>
                  <w:u w:val="single"/>
                </w:rPr>
                <w:t>myfoto.gov.gr</w:t>
              </w:r>
            </w:hyperlink>
            <w:r>
              <w:rPr>
                <w:noProof/>
                <w:color w:val="006100"/>
                <w:sz w:val="18"/>
                <w:szCs w:val="18"/>
              </w:rPr>
              <w:t xml:space="preserve"> și circulația electronică a documentelor în cadrul administrației publice (atestată de circularele emise).</w:t>
            </w:r>
          </w:p>
        </w:tc>
      </w:tr>
      <w:tr w:rsidR="00780A28">
        <w:trPr>
          <w:trHeight w:val="313"/>
        </w:trPr>
        <w:tc>
          <w:tcPr>
            <w:tcW w:w="96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98</w:t>
            </w:r>
          </w:p>
        </w:tc>
        <w:tc>
          <w:tcPr>
            <w:tcW w:w="193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6 - 2.2. Modernizare — </w:t>
            </w:r>
            <w:r>
              <w:rPr>
                <w:noProof/>
                <w:color w:val="006100"/>
                <w:sz w:val="18"/>
                <w:szCs w:val="18"/>
              </w:rPr>
              <w:t>16782_Interconectarea și interoperabilitatea registrelor, sistemelor și serviciilor pentru schimbul de date între organizațiile publice naționale</w:t>
            </w:r>
          </w:p>
        </w:tc>
        <w:tc>
          <w:tcPr>
            <w:tcW w:w="110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Baza de reglementare pentru interconectarea și interoperabilitatea registrelor</w:t>
            </w:r>
          </w:p>
        </w:tc>
        <w:tc>
          <w:tcPr>
            <w:tcW w:w="207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Ministerului </w:t>
            </w:r>
            <w:r>
              <w:rPr>
                <w:noProof/>
                <w:color w:val="006100"/>
                <w:sz w:val="18"/>
                <w:szCs w:val="18"/>
              </w:rPr>
              <w:t>Guvernanței Digitale care atestă adoptarea modificărilor de reglementare, inclusiv a întregii legislații primare și secundare conectate pentru interconectarea și interoperabilitatea registrelor și serviciilor</w:t>
            </w:r>
          </w:p>
        </w:tc>
        <w:tc>
          <w:tcPr>
            <w:tcW w:w="91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tcPr>
          <w:p w:rsidR="00780A28" w:rsidRDefault="00780A28">
            <w:pPr>
              <w:spacing w:after="0" w:line="240" w:lineRule="auto"/>
              <w:rPr>
                <w:rFonts w:eastAsia="Times New Roman" w:cs="Calibri"/>
                <w:noProof/>
                <w:color w:val="006100"/>
                <w:sz w:val="18"/>
                <w:szCs w:val="18"/>
                <w:lang w:eastAsia="en-GB"/>
              </w:rPr>
            </w:pP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96" w:type="dxa"/>
            <w:tcBorders>
              <w:top w:val="nil"/>
              <w:left w:val="nil"/>
              <w:bottom w:val="single" w:sz="4" w:space="0" w:color="auto"/>
              <w:right w:val="single" w:sz="4" w:space="0" w:color="auto"/>
            </w:tcBorders>
            <w:shd w:val="clear" w:color="auto" w:fill="C6EFCE"/>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2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624" w:type="dxa"/>
            <w:tcBorders>
              <w:top w:val="nil"/>
              <w:left w:val="nil"/>
              <w:bottom w:val="single" w:sz="4" w:space="0" w:color="auto"/>
              <w:right w:val="single" w:sz="4" w:space="0" w:color="auto"/>
            </w:tcBorders>
            <w:shd w:val="clear" w:color="auto" w:fill="C6EFCE"/>
            <w:noWrap/>
          </w:tcPr>
          <w:p w:rsidR="00780A28" w:rsidRDefault="001867D7">
            <w:pPr>
              <w:spacing w:before="120" w:after="120" w:line="240" w:lineRule="auto"/>
              <w:jc w:val="both"/>
              <w:rPr>
                <w:rFonts w:eastAsia="Times New Roman" w:cs="Calibri"/>
                <w:noProof/>
                <w:color w:val="006100"/>
                <w:sz w:val="18"/>
                <w:szCs w:val="18"/>
              </w:rPr>
            </w:pPr>
            <w:r>
              <w:rPr>
                <w:noProof/>
                <w:color w:val="006100"/>
                <w:sz w:val="18"/>
                <w:szCs w:val="18"/>
              </w:rPr>
              <w:t>Adoptarea modificărilor de reglement</w:t>
            </w:r>
            <w:r>
              <w:rPr>
                <w:noProof/>
                <w:color w:val="006100"/>
                <w:sz w:val="18"/>
                <w:szCs w:val="18"/>
              </w:rPr>
              <w:t>are pentru a stabili o bază largă de reglementare pentru interconectarea și interoperabilitatea registrelor și serviciilor pentru schimbul de date între organizațiile publice naționale, în conformitate cu noul cadru european de interoperabilitate. Raportar</w:t>
            </w:r>
            <w:r>
              <w:rPr>
                <w:noProof/>
                <w:color w:val="006100"/>
                <w:sz w:val="18"/>
                <w:szCs w:val="18"/>
              </w:rPr>
              <w:t>ea de către Ministerul Guvernanței Digitale cu privire la punerea în aplicare cu succes a planului de acțiune privind simplificarea și îmbunătățirea proceselor, îmbunătățirea sistemelor și conformitatea cu strategiile și politicile europene.</w:t>
            </w:r>
          </w:p>
        </w:tc>
      </w:tr>
      <w:tr w:rsidR="00780A28">
        <w:trPr>
          <w:trHeight w:val="313"/>
        </w:trPr>
        <w:tc>
          <w:tcPr>
            <w:tcW w:w="966"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99</w:t>
            </w:r>
          </w:p>
        </w:tc>
        <w:tc>
          <w:tcPr>
            <w:tcW w:w="193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6 - 2.2.</w:t>
            </w:r>
            <w:r>
              <w:rPr>
                <w:noProof/>
                <w:color w:val="006100"/>
                <w:sz w:val="18"/>
                <w:szCs w:val="18"/>
              </w:rPr>
              <w:t xml:space="preserve"> Modernizarea — 16929_Către servicii orientate către client ale administrației publice prin simplificarea și îmbunătățirea proceselor, îmbunătățirea sistemelor și respectarea strategiilor și politicilor europene</w:t>
            </w:r>
          </w:p>
        </w:tc>
        <w:tc>
          <w:tcPr>
            <w:tcW w:w="110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9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strategiei privind </w:t>
            </w:r>
            <w:r>
              <w:rPr>
                <w:noProof/>
                <w:color w:val="006100"/>
                <w:sz w:val="18"/>
                <w:szCs w:val="18"/>
              </w:rPr>
              <w:t>reducerea sarcinii administrative și a planului național de simplificare a procesului (etapa finală)</w:t>
            </w:r>
          </w:p>
        </w:tc>
        <w:tc>
          <w:tcPr>
            <w:tcW w:w="207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Raportul Ministerului Guvernanței Digitale care atestă finalizarea tuturor fluxurilor de lucru în materie de simplificare și digitalizare în cadrul planulu</w:t>
            </w:r>
            <w:r>
              <w:rPr>
                <w:noProof/>
                <w:color w:val="006100"/>
                <w:sz w:val="18"/>
                <w:szCs w:val="18"/>
              </w:rPr>
              <w:t xml:space="preserve">i de acțiune pe 4 ani pentru Programul național de simplificare a proceselor; </w:t>
            </w:r>
          </w:p>
        </w:tc>
        <w:tc>
          <w:tcPr>
            <w:tcW w:w="910"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922" w:type="dxa"/>
            <w:tcBorders>
              <w:top w:val="nil"/>
              <w:left w:val="nil"/>
              <w:bottom w:val="single" w:sz="4" w:space="0" w:color="auto"/>
              <w:right w:val="single" w:sz="4" w:space="0" w:color="auto"/>
            </w:tcBorders>
            <w:shd w:val="clear" w:color="auto" w:fill="C6EFCE"/>
          </w:tcPr>
          <w:p w:rsidR="00780A28" w:rsidRDefault="00780A28">
            <w:pPr>
              <w:spacing w:after="0" w:line="240" w:lineRule="auto"/>
              <w:rPr>
                <w:rFonts w:eastAsia="Times New Roman" w:cs="Calibri"/>
                <w:noProof/>
                <w:color w:val="006100"/>
                <w:sz w:val="18"/>
                <w:szCs w:val="18"/>
                <w:lang w:eastAsia="en-GB"/>
              </w:rPr>
            </w:pPr>
          </w:p>
        </w:tc>
        <w:tc>
          <w:tcPr>
            <w:tcW w:w="866"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596" w:type="dxa"/>
            <w:tcBorders>
              <w:top w:val="nil"/>
              <w:left w:val="nil"/>
              <w:bottom w:val="single" w:sz="4" w:space="0" w:color="auto"/>
              <w:right w:val="single" w:sz="4" w:space="0" w:color="auto"/>
            </w:tcBorders>
            <w:shd w:val="clear" w:color="auto" w:fill="C6EFCE"/>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2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62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Punerea în aplicare integrală a strategiei pe termen mediu pentru reducerea sarcinii administrative și crearea de servicii centrate pe client în cadrul administrației</w:t>
            </w:r>
            <w:r>
              <w:rPr>
                <w:noProof/>
                <w:color w:val="006100"/>
                <w:sz w:val="18"/>
                <w:szCs w:val="18"/>
              </w:rPr>
              <w:t xml:space="preserve"> publice și îmbunătățirea proceselor, îmbunătățirea sistemelor și conformitatea cu strategiile și politicile europene, prin finalizarea etapei finale de lucru din cadrul Programului național de simplificare a proceselor pe 4 ani. Aceasta include, de asemen</w:t>
            </w:r>
            <w:r>
              <w:rPr>
                <w:noProof/>
                <w:color w:val="006100"/>
                <w:sz w:val="18"/>
                <w:szCs w:val="18"/>
              </w:rPr>
              <w:t>ea, înființarea completă a Observatorului pentru monitorizarea impactului reglementării și a Registrului național de proceduri („Diavlos”) (atestat printr-un raport al Ministerului Guvernanței Digitale).</w:t>
            </w:r>
          </w:p>
        </w:tc>
      </w:tr>
    </w:tbl>
    <w:p w:rsidR="00780A28" w:rsidRDefault="00780A28">
      <w:pPr>
        <w:spacing w:before="120" w:after="120" w:line="240" w:lineRule="auto"/>
        <w:jc w:val="both"/>
        <w:rPr>
          <w:rFonts w:ascii="Times New Roman" w:hAnsi="Times New Roman" w:cs="Times New Roman"/>
          <w:noProof/>
          <w:sz w:val="24"/>
        </w:rPr>
      </w:pPr>
    </w:p>
    <w:p w:rsidR="00780A28" w:rsidRDefault="00780A28">
      <w:pPr>
        <w:spacing w:before="120" w:after="120" w:line="240" w:lineRule="auto"/>
        <w:jc w:val="both"/>
        <w:rPr>
          <w:rFonts w:ascii="Times New Roman" w:hAnsi="Times New Roman" w:cs="Times New Roman"/>
          <w:noProof/>
          <w:sz w:val="24"/>
        </w:rPr>
        <w:sectPr w:rsidR="00780A28">
          <w:headerReference w:type="even" r:id="rId95"/>
          <w:headerReference w:type="default" r:id="rId96"/>
          <w:footerReference w:type="even" r:id="rId97"/>
          <w:footerReference w:type="default" r:id="rId98"/>
          <w:headerReference w:type="first" r:id="rId99"/>
          <w:footerReference w:type="first" r:id="rId100"/>
          <w:pgSz w:w="16839" w:h="11907" w:orient="landscape"/>
          <w:pgMar w:top="720" w:right="720" w:bottom="720" w:left="720" w:header="709" w:footer="709" w:gutter="0"/>
          <w:cols w:space="720"/>
          <w:docGrid w:linePitch="360"/>
        </w:sect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9: Inițiative legate de consolidarea serviciilor digitale sigure și orientate către client, prin utilizarea unor sisteme informatice interoperabile și a unor politici de date deschise</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Măsurile incluse în acest grup sunt:</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r>
      <w:r>
        <w:rPr>
          <w:rFonts w:ascii="Times New Roman" w:hAnsi="Times New Roman"/>
          <w:noProof/>
          <w:sz w:val="24"/>
        </w:rPr>
        <w:t>Gestionarea relațiilor cu clienții pentru administrația publică (ID: 16810)</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Modernizarea în continuare a ghișeelor unice ale administrației publice (ID: 16780)</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Noul sistem pentru achizițiile publice (ID: 16736)</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Transformarea digitală a Ministerului A</w:t>
      </w:r>
      <w:r>
        <w:rPr>
          <w:rFonts w:ascii="Times New Roman" w:hAnsi="Times New Roman"/>
          <w:noProof/>
          <w:sz w:val="24"/>
        </w:rPr>
        <w:t>facerilor Externe (ID: 16742)</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Programe de îmbunătățire a competențelor digitale pentru recruți (ID: 16826)</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Transformarea digitală a Organizației Naționale de Turism din Grecia (ID: 16791)</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Strategia și politicile în materie de securitate cibernetică p</w:t>
      </w:r>
      <w:r>
        <w:rPr>
          <w:rFonts w:ascii="Times New Roman" w:hAnsi="Times New Roman"/>
          <w:noProof/>
          <w:sz w:val="24"/>
        </w:rPr>
        <w:t>entru sectorul public &amp; Înființarea unui centru național de operațiuni de securitate cibernetică (ID: 16823)</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Interoperabilitatea și dezvoltarea serviciilor web (ID: 16779)</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Studii de clasificare a datelor pentru sistemele de informații din sectorul publ</w:t>
      </w:r>
      <w:r>
        <w:rPr>
          <w:rFonts w:ascii="Times New Roman" w:hAnsi="Times New Roman"/>
          <w:noProof/>
          <w:sz w:val="24"/>
        </w:rPr>
        <w:t>ic (ID: 16965)</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Centrul de interoperabilitate de generație următoare (KED) (ID: 16964)</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Eregistrstries (ID: 16824)</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Furnizarea de servicii avansate de securitate în infrastructura critică G-Cloud (ID: 16823)</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Registrul turismului e-MHTE (ID: 16785)</w:t>
      </w:r>
    </w:p>
    <w:p w:rsidR="00780A28" w:rsidRDefault="001867D7">
      <w:pPr>
        <w:spacing w:before="120" w:after="120" w:line="240" w:lineRule="auto"/>
        <w:ind w:left="709"/>
        <w:rPr>
          <w:rFonts w:ascii="Times New Roman" w:hAnsi="Times New Roman" w:cs="Times New Roman"/>
          <w:noProof/>
          <w:sz w:val="24"/>
        </w:rPr>
      </w:pPr>
      <w:r>
        <w:rPr>
          <w:rFonts w:ascii="Times New Roman" w:hAnsi="Times New Roman"/>
          <w:noProof/>
          <w:sz w:val="24"/>
        </w:rPr>
        <w:t>●</w:t>
      </w:r>
      <w:r>
        <w:rPr>
          <w:rFonts w:ascii="Times New Roman" w:hAnsi="Times New Roman"/>
          <w:noProof/>
          <w:sz w:val="24"/>
        </w:rPr>
        <w:tab/>
        <w:t>S</w:t>
      </w:r>
      <w:r>
        <w:rPr>
          <w:rFonts w:ascii="Times New Roman" w:hAnsi="Times New Roman"/>
          <w:noProof/>
          <w:sz w:val="24"/>
        </w:rPr>
        <w:t>istemul central de gestionare a documentelor (ID: 16738)</w:t>
      </w:r>
    </w:p>
    <w:tbl>
      <w:tblPr>
        <w:tblW w:w="0" w:type="auto"/>
        <w:tblInd w:w="113" w:type="dxa"/>
        <w:tblLook w:val="04A0" w:firstRow="1" w:lastRow="0" w:firstColumn="1" w:lastColumn="0" w:noHBand="0" w:noVBand="1"/>
      </w:tblPr>
      <w:tblGrid>
        <w:gridCol w:w="1021"/>
        <w:gridCol w:w="2048"/>
        <w:gridCol w:w="1120"/>
        <w:gridCol w:w="1579"/>
        <w:gridCol w:w="1586"/>
        <w:gridCol w:w="876"/>
        <w:gridCol w:w="956"/>
        <w:gridCol w:w="899"/>
        <w:gridCol w:w="895"/>
        <w:gridCol w:w="795"/>
        <w:gridCol w:w="3727"/>
      </w:tblGrid>
      <w:tr w:rsidR="00780A28">
        <w:trPr>
          <w:trHeight w:val="939"/>
          <w:tblHeader/>
        </w:trPr>
        <w:tc>
          <w:tcPr>
            <w:tcW w:w="10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2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565"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szCs w:val="18"/>
              </w:rPr>
              <w:t>Indicatori calitativi (pentru jaloane)</w:t>
            </w:r>
          </w:p>
        </w:tc>
        <w:tc>
          <w:tcPr>
            <w:tcW w:w="2743"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szCs w:val="18"/>
              </w:rPr>
              <w:t>Indicatori cantitativi (pentru ținte)</w:t>
            </w:r>
          </w:p>
        </w:tc>
        <w:tc>
          <w:tcPr>
            <w:tcW w:w="1697"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37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blHeader/>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565"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880"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903"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99"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98"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374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r>
      <w:tr w:rsidR="00780A28">
        <w:trPr>
          <w:trHeight w:val="313"/>
        </w:trPr>
        <w:tc>
          <w:tcPr>
            <w:tcW w:w="102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100</w:t>
            </w:r>
          </w:p>
        </w:tc>
        <w:tc>
          <w:tcPr>
            <w:tcW w:w="202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16779_Interoperabilitate și dezvoltarea serviciilor web</w:t>
            </w:r>
          </w:p>
        </w:tc>
        <w:tc>
          <w:tcPr>
            <w:tcW w:w="112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pentru proiectul de dezvoltare a interoperabilității și a serviciilor web</w:t>
            </w:r>
          </w:p>
        </w:tc>
        <w:tc>
          <w:tcPr>
            <w:tcW w:w="157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88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4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w:t>
            </w:r>
            <w:r>
              <w:rPr>
                <w:noProof/>
                <w:color w:val="006100"/>
                <w:sz w:val="18"/>
                <w:szCs w:val="18"/>
              </w:rPr>
              <w:t xml:space="preserve">lui pentru proiectul de dezvoltare a interoperabilității și a serviciilor web. </w:t>
            </w:r>
          </w:p>
          <w:p w:rsidR="00780A28" w:rsidRDefault="001867D7">
            <w:pPr>
              <w:spacing w:after="0" w:line="240" w:lineRule="auto"/>
              <w:rPr>
                <w:rFonts w:eastAsia="Times New Roman" w:cs="Calibri"/>
                <w:noProof/>
                <w:color w:val="006100"/>
                <w:sz w:val="18"/>
                <w:szCs w:val="18"/>
              </w:rPr>
            </w:pPr>
            <w:r>
              <w:rPr>
                <w:noProof/>
                <w:color w:val="006100"/>
                <w:sz w:val="18"/>
                <w:szCs w:val="18"/>
              </w:rPr>
              <w:t>Ministerul/Secretariatul General al Sistemelor Informatice pentru Sectorul Public/Societatea Informațională va examina toate propunerile depuse și va confirma dacă cererile răs</w:t>
            </w:r>
            <w:r>
              <w:rPr>
                <w:noProof/>
                <w:color w:val="006100"/>
                <w:sz w:val="18"/>
                <w:szCs w:val="18"/>
              </w:rPr>
              <w:t>pund în mod corespunzător cerințelor RfP. La selectarea contractantului adecvat, ministerul procedează la atribuirea unui contract care definește obligațiile, rolurile și responsabilitățile ambelor părți implicate în misiune.</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101</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6 - 2.2. Modernizare — </w:t>
            </w:r>
            <w:r>
              <w:rPr>
                <w:noProof/>
                <w:color w:val="006100"/>
                <w:sz w:val="18"/>
                <w:szCs w:val="18"/>
              </w:rPr>
              <w:t>16810_CRM pentru administrația publică</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contractului pentru CRM pentru administrația publică </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pentru CRM pentru administrația publică. Ministerul/Secretariatul General al Sistemelor Informatice pentru Sectorul Public/Societatea Informațională SA examinează toate propunerile depuse și confirmă dacă cererile răspund în mod cor</w:t>
            </w:r>
            <w:r>
              <w:rPr>
                <w:noProof/>
                <w:color w:val="006100"/>
                <w:sz w:val="18"/>
                <w:szCs w:val="18"/>
              </w:rPr>
              <w:t xml:space="preserve">espunzător cerințelor RFP.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La selectarea partenerului extern corespunzător, ministerul procedează la atribuirea unui contract care definește obligațiile, rolurile și responsabilitățile ambelor părți implicate în misiune.</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102</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6 - 2.2. Modernizare — </w:t>
            </w:r>
            <w:r>
              <w:rPr>
                <w:noProof/>
                <w:color w:val="006100"/>
                <w:sz w:val="18"/>
                <w:szCs w:val="18"/>
              </w:rPr>
              <w:t>16780_Modernizarea în continuare a ghișeelor unice ale administrației publice</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pentru modernizarea în continuare a ghișeelor unice ale administrației publice</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contractului pentru modernizarea ghișeelor unice ale administrației publice. </w:t>
            </w:r>
          </w:p>
          <w:p w:rsidR="00780A28" w:rsidRDefault="001867D7">
            <w:pPr>
              <w:spacing w:after="0" w:line="240" w:lineRule="auto"/>
              <w:rPr>
                <w:rFonts w:eastAsia="Times New Roman" w:cs="Calibri"/>
                <w:noProof/>
                <w:color w:val="006100"/>
                <w:sz w:val="18"/>
                <w:szCs w:val="18"/>
              </w:rPr>
            </w:pPr>
            <w:r>
              <w:rPr>
                <w:noProof/>
                <w:color w:val="006100"/>
                <w:sz w:val="18"/>
                <w:szCs w:val="18"/>
              </w:rPr>
              <w:t>Ministerul/Secretariatul General al Sistemelor Informatice pentru Sectorul Public/Societatea Informațională SA se asigură că toate propunerile depuse sunt examinate și</w:t>
            </w:r>
            <w:r>
              <w:rPr>
                <w:noProof/>
                <w:color w:val="006100"/>
                <w:sz w:val="18"/>
                <w:szCs w:val="18"/>
              </w:rPr>
              <w:t xml:space="preserve"> confirmă dacă cererile răspund în mod corespunzător cerințelor RFP. La selectarea partenerului extern corespunzător, ministerul procedează la atribuirea unui contract care definește obligațiile, rolurile și responsabilitățile ambelor părți implicate în mi</w:t>
            </w:r>
            <w:r>
              <w:rPr>
                <w:noProof/>
                <w:color w:val="006100"/>
                <w:sz w:val="18"/>
                <w:szCs w:val="18"/>
              </w:rPr>
              <w:t>siune.</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103</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Modernizarea — 16736_noul sistem pentru achizițiile publice</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pentru noul sistem de achiziții publice</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contractului pentru proiectul nou sistem de </w:t>
            </w:r>
            <w:r>
              <w:rPr>
                <w:noProof/>
                <w:color w:val="006100"/>
                <w:sz w:val="18"/>
                <w:szCs w:val="18"/>
              </w:rPr>
              <w:t>achiziții publice. Ministerul/Secretariatul General al Sistemelor Informatice pentru Sectorul Public/Societatea Informațională va examina toate propunerile depuse și va confirma dacă cererile răspund în mod corespunzător cerințelor RfP. La selectarea contr</w:t>
            </w:r>
            <w:r>
              <w:rPr>
                <w:noProof/>
                <w:color w:val="006100"/>
                <w:sz w:val="18"/>
                <w:szCs w:val="18"/>
              </w:rPr>
              <w:t>actantului adecvat, organismul responsabil procedează la atribuirea unui contract care definește obligațiile, rolurile și responsabilitățile ambelor părți implicate în misiune.</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104</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6 - 2.2. Modernizare — 16823_Strategia și politicile de securitate </w:t>
            </w:r>
            <w:r>
              <w:rPr>
                <w:noProof/>
                <w:color w:val="006100"/>
                <w:sz w:val="18"/>
                <w:szCs w:val="18"/>
              </w:rPr>
              <w:t>cibernetică pentru sectorul public &amp; servicii avansate de securitate pentru infrastructurile naționale critice</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pentru strategia de securitate cibernetică</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contractului </w:t>
            </w:r>
            <w:r>
              <w:rPr>
                <w:noProof/>
                <w:color w:val="006100"/>
                <w:sz w:val="18"/>
                <w:szCs w:val="18"/>
              </w:rPr>
              <w:t>pentru strategia și politicile în materie de securitate cibernetică ale proiectului pentru sectorul public &amp; servicii avansate de securitate pentru infrastructurile critice naționale. La selectarea consultantului extern adecvat, ministerul procedează la at</w:t>
            </w:r>
            <w:r>
              <w:rPr>
                <w:noProof/>
                <w:color w:val="006100"/>
                <w:sz w:val="18"/>
                <w:szCs w:val="18"/>
              </w:rPr>
              <w:t>ribuirea unui contract care definește obligațiile, rolurile și responsabilitățile ambelor părți implicate în misiune.</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105</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16826_Programe de îmbunătățire a competențelor digitale pentru recruți</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contractelor pentru </w:t>
            </w:r>
            <w:r>
              <w:rPr>
                <w:noProof/>
                <w:color w:val="006100"/>
                <w:sz w:val="18"/>
                <w:szCs w:val="18"/>
              </w:rPr>
              <w:t>programe de îmbunătățire a competențelor digitale pentru recruți</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Atribuirea contractului pentru programele de îmbunătățire a competențelor digitale pentru recruți. Ministerul examinează toate propunerile </w:t>
            </w:r>
            <w:r>
              <w:rPr>
                <w:noProof/>
                <w:color w:val="006100"/>
                <w:sz w:val="18"/>
                <w:szCs w:val="18"/>
              </w:rPr>
              <w:t>depuse și confirmă dacă cererile răspund în mod corespunzător cerințelor RFP. La selectarea partenerului extern corespunzător, ministerul procedează la atribuirea unui contract care definește obligațiile, rolurile și responsabilitățile ambelor părți implic</w:t>
            </w:r>
            <w:r>
              <w:rPr>
                <w:noProof/>
                <w:color w:val="006100"/>
                <w:sz w:val="18"/>
                <w:szCs w:val="18"/>
              </w:rPr>
              <w:t>ate în misiune.</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106</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16742_Transformarea digitală a Ministerului Afacerilor Externe</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pentru transformarea digitală al Ministerului Afacerilor Externe</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pentru transformarea digitală al Ministerului Afacerilor Externe. Ministerul examinează toate propunerile depuse și confirmă dacă cererile răspund în mod corespunzător cerințelor RFP. La selectarea partenerului extern corespunzător,</w:t>
            </w:r>
            <w:r>
              <w:rPr>
                <w:noProof/>
                <w:color w:val="006100"/>
                <w:sz w:val="18"/>
                <w:szCs w:val="18"/>
              </w:rPr>
              <w:t xml:space="preserve"> ministerul procedează la atribuirea unui contract care definește obligațiile, rolurile și responsabilitățile ambelor părți implicate în misiune.</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107</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16824_ERegistries</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contractelor pentru registrele electronice</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pentru proiectul de registre electronice. Ministerul/Secretariatul General al Sistemelor Informatice pentru Sectorul Public/Societatea Informațională SA examinează toate propunerile dep</w:t>
            </w:r>
            <w:r>
              <w:rPr>
                <w:noProof/>
                <w:color w:val="006100"/>
                <w:sz w:val="18"/>
                <w:szCs w:val="18"/>
              </w:rPr>
              <w:t>use și confirmă dacă cererile răspund în mod corespunzător cerințelor RFP. La selectarea partenerului extern corespunzător, ministerul procedează la atribuirea unui contract care definește obligațiile, rolurile și responsabilitățile ambelor părți implicate</w:t>
            </w:r>
            <w:r>
              <w:rPr>
                <w:noProof/>
                <w:color w:val="006100"/>
                <w:sz w:val="18"/>
                <w:szCs w:val="18"/>
              </w:rPr>
              <w:t xml:space="preserve"> în misiune.</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108</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16779_Interoperabilitate și dezvoltarea serviciilor web</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„Interoperabilitate și dezvoltarea serviciilor web” </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Ministerului Guvernanței Digitale care documentează finalizarea </w:t>
            </w:r>
            <w:r>
              <w:rPr>
                <w:noProof/>
                <w:color w:val="006100"/>
                <w:sz w:val="18"/>
                <w:szCs w:val="18"/>
              </w:rPr>
              <w:t>proiectului privind interoperabilitatea sistemelor și finalizarea datelor deschise</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Interoperabilitatea și dezvoltarea serviciilor web.</w:t>
            </w:r>
          </w:p>
          <w:p w:rsidR="00780A28" w:rsidRDefault="001867D7">
            <w:pPr>
              <w:spacing w:after="0" w:line="240" w:lineRule="auto"/>
              <w:rPr>
                <w:rFonts w:eastAsia="Times New Roman" w:cs="Calibri"/>
                <w:noProof/>
                <w:color w:val="006100"/>
                <w:sz w:val="18"/>
                <w:szCs w:val="18"/>
              </w:rPr>
            </w:pPr>
            <w:r>
              <w:rPr>
                <w:noProof/>
                <w:color w:val="006100"/>
                <w:sz w:val="18"/>
                <w:szCs w:val="18"/>
              </w:rPr>
              <w:t>Infrastructura și sistemele respective sunt evaluate pentru noile funcționalități. Ac</w:t>
            </w:r>
            <w:r>
              <w:rPr>
                <w:noProof/>
                <w:color w:val="006100"/>
                <w:sz w:val="18"/>
                <w:szCs w:val="18"/>
              </w:rPr>
              <w:t>ceptare/performanță (stres etc.)/regresie. În plus, evaluarea include obiectivul privind datele deschise. [Punerea în aplicare a Registrului metadatelor din Grecia (astfel cum este definit în Registrul de interoperabilitate) și a unui portal central al reg</w:t>
            </w:r>
            <w:r>
              <w:rPr>
                <w:noProof/>
                <w:color w:val="006100"/>
                <w:sz w:val="18"/>
                <w:szCs w:val="18"/>
              </w:rPr>
              <w:t>istrului central, care este un punct central de acces la principalele registre ale țării].</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109</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16810_CRM pentru administrația publică</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CRM pentru administrația publică</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Ministerului Guvernanței </w:t>
            </w:r>
            <w:r>
              <w:rPr>
                <w:noProof/>
                <w:color w:val="006100"/>
                <w:sz w:val="18"/>
                <w:szCs w:val="18"/>
              </w:rPr>
              <w:t>Digitale privind documentarea implementării sistemului integrat de gestionare a întregului ciclu de viață al relației administrației publice cu cetățenii și întreprinderile</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Sistemul de gestionare a relațiilor cu clienții</w:t>
            </w:r>
            <w:r>
              <w:rPr>
                <w:noProof/>
                <w:color w:val="006100"/>
                <w:sz w:val="18"/>
                <w:szCs w:val="18"/>
              </w:rPr>
              <w:t xml:space="preserve"> pentru administrația publică, care permite gestionarea interacțiunilor administrației publice cu cetățenii și întreprinderile.</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110</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16780_Modernizarea în continuare a ghișeelor unice ale administrației publice</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w:t>
            </w:r>
            <w:r>
              <w:rPr>
                <w:noProof/>
                <w:color w:val="006100"/>
                <w:sz w:val="18"/>
                <w:szCs w:val="18"/>
              </w:rPr>
              <w:t>proiectului „ghișee unice”</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 final de proiect al Ministerului Guvernanței Digitale care documentează finalizarea modernizării în continuare a ghișeelor unice ale administrației publice. </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Modernizarea în continuare a</w:t>
            </w:r>
            <w:r>
              <w:rPr>
                <w:noProof/>
                <w:color w:val="006100"/>
                <w:sz w:val="18"/>
                <w:szCs w:val="18"/>
              </w:rPr>
              <w:t xml:space="preserve"> ghișeelor unice ale administrației publice, inclusiv modernizarea în continuare a ghișeelor unice ale administrației publice prin achiziționarea a 6 000 calculatoare/imprimante/tablete utilizate pentru procesul de semnătură electronică, a 200 de sisteme d</w:t>
            </w:r>
            <w:r>
              <w:rPr>
                <w:noProof/>
                <w:color w:val="006100"/>
                <w:sz w:val="18"/>
                <w:szCs w:val="18"/>
              </w:rPr>
              <w:t>e gestionare a cozilor de așteptare și de notificare inteligentă, a 1 000 terminale de feedback, a platformei de evaluare &amp; aplicații mobile și a utilizării acestora.</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111</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6 - 2.2. Modernizare — 16965_Studii de clasificare a datelor pentru sistemele de </w:t>
            </w:r>
            <w:r>
              <w:rPr>
                <w:noProof/>
                <w:color w:val="006100"/>
                <w:sz w:val="18"/>
                <w:szCs w:val="18"/>
              </w:rPr>
              <w:t>informații din sectorul public</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studiilor de clasificare a datelor proiectului</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Ministerului Guvernanței Digitale care documentează finalizarea proiectului. Studii de clasificare a datelor pentru sistemele de informații din </w:t>
            </w:r>
            <w:r>
              <w:rPr>
                <w:noProof/>
                <w:color w:val="006100"/>
                <w:sz w:val="18"/>
                <w:szCs w:val="18"/>
              </w:rPr>
              <w:t>sectorul public</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Studii de clasificare a datelor pentru sistemele de informații din sectorul public, care furnizează studiile de clasificare a datelor din 220. </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112</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16823_Strategia și politicile de</w:t>
            </w:r>
            <w:r>
              <w:rPr>
                <w:noProof/>
                <w:color w:val="006100"/>
                <w:sz w:val="18"/>
                <w:szCs w:val="18"/>
              </w:rPr>
              <w:t xml:space="preserve"> securitate cibernetică pentru sectorul public &amp; servicii avansate de securitate pentru infrastructurile naționale critice</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Strategia de securitate cibernetică</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Ministerului Guvernanței Digitale privind documentarea </w:t>
            </w:r>
            <w:r>
              <w:rPr>
                <w:noProof/>
                <w:color w:val="006100"/>
                <w:sz w:val="18"/>
                <w:szCs w:val="18"/>
              </w:rPr>
              <w:t>punerii în aplicare a noii strategii și politici de securitate cibernetică în administrația publică și a proiectelor incluse în aceasta</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„Noua strategie și politici de securitate cibernetică în administrația publică”, care</w:t>
            </w:r>
            <w:r>
              <w:rPr>
                <w:noProof/>
                <w:color w:val="006100"/>
                <w:sz w:val="18"/>
                <w:szCs w:val="18"/>
              </w:rPr>
              <w:t xml:space="preserve"> pune în aplicare modificări în ceea ce privește procesele și procedurile referitoare la securitatea cibernetică, precum și instituirea și punerea în funcțiune a Centrului național de operațiuni de securitate (SOC), în conformitate cu noua strategie.</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113</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Modernizarea — 16738_Sistemul central de gestionare a documentelor</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privind sistemul central de gestionare a documentelor </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final al Ministerului Guvernanței Digitale care documentează finalizarea sistemului </w:t>
            </w:r>
            <w:r>
              <w:rPr>
                <w:noProof/>
                <w:color w:val="006100"/>
                <w:sz w:val="18"/>
                <w:szCs w:val="18"/>
              </w:rPr>
              <w:t>central de gestionare a documentelor</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sistemului central de gestionare a documentelor, inclusiv punerea în funcțiune a 130 000 de semnături digitale la distanță, susținute de aplicații și de un serviciu de asistență.</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114</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6 - 2.2. </w:t>
            </w:r>
            <w:r>
              <w:rPr>
                <w:noProof/>
                <w:color w:val="006100"/>
                <w:sz w:val="18"/>
                <w:szCs w:val="18"/>
              </w:rPr>
              <w:t>Modernizare — 16742_Transformarea digitală a Ministerului Afacerilor Externe</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transformării digitale a Ministerului Afacerilor Externe</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Ministerului Afacerilor Externe care documentează finalizarea tuturor subproiectelor </w:t>
            </w:r>
            <w:r>
              <w:rPr>
                <w:noProof/>
                <w:color w:val="006100"/>
                <w:sz w:val="18"/>
                <w:szCs w:val="18"/>
              </w:rPr>
              <w:t>proiectului „Digitalizarea Ministerului Afacerilor Externe”</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transformării digitale a Ministerului Afacerilor Externe, inclusiv (1) sistemul de sprijin pentru planificarea strategică și operațională, (2) digitalizarea arhivelor </w:t>
            </w:r>
            <w:r>
              <w:rPr>
                <w:noProof/>
                <w:color w:val="006100"/>
                <w:sz w:val="18"/>
                <w:szCs w:val="18"/>
              </w:rPr>
              <w:t>diplomatice și istorice, (3) Platforma Centrului global de informare digitală și (4) modernizarea criptotehnologiei IT &amp; Infrastructura de securitate a telecomunicațiilor.</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115</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Modernizarea — 16791_Transformarea digitală a Organizației Naționale a</w:t>
            </w:r>
            <w:r>
              <w:rPr>
                <w:noProof/>
                <w:color w:val="006100"/>
                <w:sz w:val="18"/>
                <w:szCs w:val="18"/>
              </w:rPr>
              <w:t xml:space="preserve"> Turismului din Grecia</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digitalizării Organizației Naționale a Turismului din Grecia </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Organizației Naționale a Turismului din Grecia care documentează finalizarea proiectului „Transformarea digitală a Organizației Naționale a </w:t>
            </w:r>
            <w:r>
              <w:rPr>
                <w:noProof/>
                <w:color w:val="006100"/>
                <w:sz w:val="18"/>
                <w:szCs w:val="18"/>
              </w:rPr>
              <w:t>Turismului din Grecia”</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transformării digitale a Organizației Naționale a Turismului din Grecia, inclusiv crearea (1) unei hărți turistice digitale, (2) a unui depozit digital de bunuri culturale ale Greciei și (3) a unui nou sistem d</w:t>
            </w:r>
            <w:r>
              <w:rPr>
                <w:noProof/>
                <w:color w:val="006100"/>
                <w:sz w:val="18"/>
                <w:szCs w:val="18"/>
              </w:rPr>
              <w:t>e informare turistică.</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116</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Modernizarea — 16964_Centrul de interoperabilitate de nouă generație (KED)</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Centrului de interoperabilitate de nouă generație</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Ministerului Guvernanței Digitale care documentează finalizarea </w:t>
            </w:r>
            <w:r>
              <w:rPr>
                <w:noProof/>
                <w:color w:val="006100"/>
                <w:sz w:val="18"/>
                <w:szCs w:val="18"/>
              </w:rPr>
              <w:t>proiectului „Centrul de interoperabilitate de nouă generație”.</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Centrului de interoperabilitate de nouă generație (KED), inclusiv finalizarea studiului de fezabilitate și de securitate, înființarea centrului și implementarea serviciil</w:t>
            </w:r>
            <w:r>
              <w:rPr>
                <w:noProof/>
                <w:color w:val="006100"/>
                <w:sz w:val="18"/>
                <w:szCs w:val="18"/>
              </w:rPr>
              <w:t>or web relevante.</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117</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Modernizarea — 16785_Registrul turismului e-MHTE</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registrului digital al turismului </w:t>
            </w:r>
          </w:p>
        </w:tc>
        <w:tc>
          <w:tcPr>
            <w:tcW w:w="157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final al Ministerului Turismului care documentează operaționalizarea platformei „New e-MHTE”</w:t>
            </w:r>
          </w:p>
        </w:tc>
        <w:tc>
          <w:tcPr>
            <w:tcW w:w="88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w:t>
            </w:r>
            <w:r>
              <w:rPr>
                <w:noProof/>
                <w:color w:val="006100"/>
                <w:sz w:val="18"/>
                <w:szCs w:val="18"/>
              </w:rPr>
              <w:t xml:space="preserve"> platformei „e-MHTE” a Registrului de turism.</w:t>
            </w:r>
          </w:p>
        </w:tc>
      </w:tr>
      <w:tr w:rsidR="00780A28">
        <w:trPr>
          <w:trHeight w:val="313"/>
        </w:trPr>
        <w:tc>
          <w:tcPr>
            <w:tcW w:w="102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118</w:t>
            </w:r>
          </w:p>
        </w:tc>
        <w:tc>
          <w:tcPr>
            <w:tcW w:w="20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16826_Programe de îmbunătățire a competențelor digitale pentru recruți</w:t>
            </w:r>
          </w:p>
        </w:tc>
        <w:tc>
          <w:tcPr>
            <w:tcW w:w="11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56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57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8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recruți formați</w:t>
            </w:r>
          </w:p>
        </w:tc>
        <w:tc>
          <w:tcPr>
            <w:tcW w:w="96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0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150 000</w:t>
            </w:r>
          </w:p>
        </w:tc>
        <w:tc>
          <w:tcPr>
            <w:tcW w:w="8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Modernizarea programului „Ameliorarea competențelor digitale” pentru recruți, cu 150 000 de recruți formați. </w:t>
            </w:r>
          </w:p>
        </w:tc>
      </w:tr>
      <w:tr w:rsidR="00780A28">
        <w:trPr>
          <w:trHeight w:val="313"/>
        </w:trPr>
        <w:tc>
          <w:tcPr>
            <w:tcW w:w="102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119</w:t>
            </w:r>
          </w:p>
        </w:tc>
        <w:tc>
          <w:tcPr>
            <w:tcW w:w="202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Modernizarea — 16736_noul sistem pentru achizițiile publice</w:t>
            </w:r>
          </w:p>
        </w:tc>
        <w:tc>
          <w:tcPr>
            <w:tcW w:w="112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noului sistem de achiziții publice </w:t>
            </w:r>
          </w:p>
        </w:tc>
        <w:tc>
          <w:tcPr>
            <w:tcW w:w="157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w:t>
            </w:r>
            <w:r>
              <w:rPr>
                <w:noProof/>
                <w:color w:val="006100"/>
                <w:sz w:val="18"/>
                <w:szCs w:val="18"/>
              </w:rPr>
              <w:t>Ministerului Guvernanței Digitale care documentează punerea în aplicare a proiectului „Noul sistem de achiziții publice”</w:t>
            </w:r>
          </w:p>
        </w:tc>
        <w:tc>
          <w:tcPr>
            <w:tcW w:w="88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noului sistem pentru achiziții publice, inclusiv (1) actualizarea versiunilor sistemelor operaționale și integra</w:t>
            </w:r>
            <w:r>
              <w:rPr>
                <w:noProof/>
                <w:color w:val="006100"/>
                <w:sz w:val="18"/>
                <w:szCs w:val="18"/>
              </w:rPr>
              <w:t>rea noului sistem în sistemele actuale, (2) disponibilitatea noilor funcționalități ale sistemului și a rapoartelor de sistem, (3) finalizarea reproiectării sistemului electronic național de achiziții publice și a Registrului central al achizițiilor public</w:t>
            </w:r>
            <w:r>
              <w:rPr>
                <w:noProof/>
                <w:color w:val="006100"/>
                <w:sz w:val="18"/>
                <w:szCs w:val="18"/>
              </w:rPr>
              <w:t>e electronice (KIMDIS), (4) disponibilitatea serviciilor de interoperabilitate cu gov.gr; și operaționalizarea (5) mecanismului de criptare a datelor, (6) asistentului virtual, (7) sistemului de arhivare electronică, (8) noului sistem pentru Autoritatea Na</w:t>
            </w:r>
            <w:r>
              <w:rPr>
                <w:noProof/>
                <w:color w:val="006100"/>
                <w:sz w:val="18"/>
                <w:szCs w:val="18"/>
              </w:rPr>
              <w:t>ț</w:t>
            </w:r>
            <w:r>
              <w:rPr>
                <w:noProof/>
                <w:color w:val="006100"/>
                <w:sz w:val="18"/>
                <w:szCs w:val="18"/>
              </w:rPr>
              <w:t>ională Centralizată pentru Achiziții Publice în domeniul Sănătății (EKAPY) și (9) sistemului de modelare a informațiilor privind clădirile (Building Information Modelling — BIM).</w:t>
            </w:r>
          </w:p>
        </w:tc>
      </w:tr>
      <w:tr w:rsidR="00780A28">
        <w:trPr>
          <w:trHeight w:val="313"/>
        </w:trPr>
        <w:tc>
          <w:tcPr>
            <w:tcW w:w="102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120</w:t>
            </w:r>
          </w:p>
        </w:tc>
        <w:tc>
          <w:tcPr>
            <w:tcW w:w="202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16824_Eregistrări</w:t>
            </w:r>
          </w:p>
        </w:tc>
        <w:tc>
          <w:tcPr>
            <w:tcW w:w="112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6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Eregistrstries </w:t>
            </w:r>
          </w:p>
        </w:tc>
        <w:tc>
          <w:tcPr>
            <w:tcW w:w="157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Ministerului Guvernanței Digitale care documentează punerea în aplicare a „registrelor electronice”</w:t>
            </w:r>
          </w:p>
        </w:tc>
        <w:tc>
          <w:tcPr>
            <w:tcW w:w="88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9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„registrelor electronice”, inclusiv a interoperabilității acestora și a interfețelor</w:t>
            </w:r>
            <w:r>
              <w:rPr>
                <w:noProof/>
                <w:color w:val="006100"/>
                <w:sz w:val="18"/>
                <w:szCs w:val="18"/>
              </w:rPr>
              <w:t xml:space="preserve"> cu registrele existente în administrația publică.</w:t>
            </w:r>
          </w:p>
        </w:tc>
      </w:tr>
    </w:tbl>
    <w:p w:rsidR="00780A28" w:rsidRDefault="00780A28">
      <w:pPr>
        <w:spacing w:before="120" w:after="120" w:line="240" w:lineRule="auto"/>
        <w:ind w:left="709"/>
        <w:rPr>
          <w:rFonts w:ascii="Times New Roman" w:hAnsi="Times New Roman" w:cs="Times New Roman"/>
          <w:noProof/>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10: Inițiative legate de integrarea noilor tehnologii în tranziția digitală și modernizarea administrației publice</w:t>
      </w:r>
    </w:p>
    <w:p w:rsidR="00780A28" w:rsidRDefault="001867D7">
      <w:pPr>
        <w:numPr>
          <w:ilvl w:val="0"/>
          <w:numId w:val="43"/>
        </w:numPr>
        <w:spacing w:before="120" w:after="0" w:line="240" w:lineRule="auto"/>
        <w:jc w:val="both"/>
        <w:rPr>
          <w:rFonts w:ascii="Times New Roman" w:hAnsi="Times New Roman" w:cs="Times New Roman"/>
          <w:noProof/>
        </w:rPr>
      </w:pPr>
      <w:r>
        <w:rPr>
          <w:rFonts w:ascii="Times New Roman" w:hAnsi="Times New Roman"/>
          <w:noProof/>
          <w:sz w:val="24"/>
        </w:rPr>
        <w:t xml:space="preserve">Încorporarea noilor tehnologii și tendințe în direcția serviciilor avansate ale </w:t>
      </w:r>
      <w:r>
        <w:rPr>
          <w:rFonts w:ascii="Times New Roman" w:hAnsi="Times New Roman"/>
          <w:noProof/>
          <w:sz w:val="24"/>
        </w:rPr>
        <w:t>administrației publice, creșterea eficienței și a eficacității, precum și reducerea costurilor de exploatare, modernizare și întreținere a sistemelor (ID: 16928)</w:t>
      </w:r>
    </w:p>
    <w:p w:rsidR="00780A28" w:rsidRDefault="001867D7">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Orașe inteligente (ID: 16854)</w:t>
      </w:r>
    </w:p>
    <w:p w:rsidR="00780A28" w:rsidRDefault="001867D7">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Furnizarea infrastructurii și a serviciului central de </w:t>
      </w:r>
      <w:r>
        <w:rPr>
          <w:rFonts w:ascii="Times New Roman" w:hAnsi="Times New Roman"/>
          <w:i/>
          <w:noProof/>
          <w:sz w:val="24"/>
        </w:rPr>
        <w:t xml:space="preserve">cloud </w:t>
      </w:r>
      <w:r>
        <w:rPr>
          <w:rFonts w:ascii="Times New Roman" w:hAnsi="Times New Roman"/>
          <w:i/>
          <w:noProof/>
          <w:sz w:val="24"/>
        </w:rPr>
        <w:t>computing</w:t>
      </w:r>
      <w:r>
        <w:rPr>
          <w:rFonts w:ascii="Times New Roman" w:hAnsi="Times New Roman"/>
          <w:noProof/>
          <w:sz w:val="24"/>
        </w:rPr>
        <w:t xml:space="preserve"> (ID: 16853)</w:t>
      </w:r>
    </w:p>
    <w:p w:rsidR="00780A28" w:rsidRDefault="001867D7">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Modernizarea infrastructurii și serviciilor de </w:t>
      </w:r>
      <w:r>
        <w:rPr>
          <w:rFonts w:ascii="Times New Roman" w:hAnsi="Times New Roman"/>
          <w:i/>
          <w:noProof/>
          <w:sz w:val="24"/>
        </w:rPr>
        <w:t>cloud computing</w:t>
      </w:r>
      <w:r>
        <w:rPr>
          <w:rFonts w:ascii="Times New Roman" w:hAnsi="Times New Roman"/>
          <w:noProof/>
          <w:sz w:val="24"/>
        </w:rPr>
        <w:t xml:space="preserve"> ale infrastructurilor naționale de cercetare și tehnologie (GRNET) (ID: 16955)</w:t>
      </w:r>
    </w:p>
    <w:p w:rsidR="00780A28" w:rsidRDefault="001867D7">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Îmbunătățirea continuității activității sectorului public (ID: 16287)</w:t>
      </w:r>
    </w:p>
    <w:p w:rsidR="00780A28" w:rsidRDefault="001867D7">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Extinderea Syzefksis I</w:t>
      </w:r>
      <w:r>
        <w:rPr>
          <w:rFonts w:ascii="Times New Roman" w:hAnsi="Times New Roman"/>
          <w:noProof/>
          <w:sz w:val="24"/>
        </w:rPr>
        <w:t>I (ID: 16956)</w:t>
      </w:r>
    </w:p>
    <w:p w:rsidR="00780A28" w:rsidRDefault="001867D7">
      <w:pPr>
        <w:numPr>
          <w:ilvl w:val="0"/>
          <w:numId w:val="43"/>
        </w:numPr>
        <w:spacing w:before="120" w:after="0" w:line="240" w:lineRule="auto"/>
        <w:jc w:val="both"/>
        <w:rPr>
          <w:rFonts w:ascii="Times New Roman" w:hAnsi="Times New Roman" w:cs="Times New Roman"/>
          <w:noProof/>
          <w:sz w:val="24"/>
        </w:rPr>
      </w:pPr>
      <w:r>
        <w:rPr>
          <w:rFonts w:ascii="Times New Roman" w:hAnsi="Times New Roman"/>
          <w:noProof/>
          <w:sz w:val="24"/>
        </w:rPr>
        <w:t>Strategia de guvernanță a datelor &amp; politici pentru sectorul public (ID: 16827)</w:t>
      </w:r>
    </w:p>
    <w:p w:rsidR="00780A28" w:rsidRDefault="001867D7">
      <w:pPr>
        <w:numPr>
          <w:ilvl w:val="0"/>
          <w:numId w:val="43"/>
        </w:numPr>
        <w:spacing w:before="120" w:after="120" w:line="240" w:lineRule="auto"/>
        <w:jc w:val="both"/>
        <w:rPr>
          <w:rFonts w:ascii="Times New Roman" w:hAnsi="Times New Roman" w:cs="Times New Roman"/>
          <w:noProof/>
          <w:sz w:val="24"/>
        </w:rPr>
      </w:pPr>
      <w:r>
        <w:rPr>
          <w:rFonts w:ascii="Times New Roman" w:hAnsi="Times New Roman"/>
          <w:noProof/>
          <w:sz w:val="24"/>
        </w:rPr>
        <w:t>BI central — Analiză de date (ID: 16842)</w:t>
      </w:r>
    </w:p>
    <w:tbl>
      <w:tblPr>
        <w:tblW w:w="15863" w:type="dxa"/>
        <w:jc w:val="center"/>
        <w:tblLook w:val="04A0" w:firstRow="1" w:lastRow="0" w:firstColumn="1" w:lastColumn="0" w:noHBand="0" w:noVBand="1"/>
      </w:tblPr>
      <w:tblGrid>
        <w:gridCol w:w="1027"/>
        <w:gridCol w:w="2533"/>
        <w:gridCol w:w="1107"/>
        <w:gridCol w:w="1393"/>
        <w:gridCol w:w="1416"/>
        <w:gridCol w:w="1343"/>
        <w:gridCol w:w="896"/>
        <w:gridCol w:w="1006"/>
        <w:gridCol w:w="959"/>
        <w:gridCol w:w="709"/>
        <w:gridCol w:w="3727"/>
      </w:tblGrid>
      <w:tr w:rsidR="00780A28">
        <w:trPr>
          <w:trHeight w:val="939"/>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pageBreakBefore/>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393"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szCs w:val="18"/>
              </w:rPr>
              <w:t>Indicatori calitativi (pentru jaloane)</w:t>
            </w:r>
          </w:p>
        </w:tc>
        <w:tc>
          <w:tcPr>
            <w:tcW w:w="3206"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szCs w:val="18"/>
              </w:rPr>
              <w:t>Indicator</w:t>
            </w:r>
            <w:r>
              <w:rPr>
                <w:rFonts w:ascii="Times New Roman" w:hAnsi="Times New Roman"/>
                <w:b/>
                <w:noProof/>
                <w:sz w:val="18"/>
                <w:szCs w:val="18"/>
              </w:rPr>
              <w:t>i cantitativi (pentru ținte)</w:t>
            </w:r>
          </w:p>
        </w:tc>
        <w:tc>
          <w:tcPr>
            <w:tcW w:w="1668"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36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253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393"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39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343"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1006"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959"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09" w:type="dxa"/>
            <w:tcBorders>
              <w:top w:val="single" w:sz="4" w:space="0" w:color="auto"/>
              <w:left w:val="nil"/>
              <w:bottom w:val="single" w:sz="4" w:space="0" w:color="auto"/>
              <w:right w:val="single" w:sz="4" w:space="0" w:color="auto"/>
            </w:tcBorders>
            <w:shd w:val="clear" w:color="auto" w:fill="BDD7EE"/>
            <w:vAlign w:val="center"/>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367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ind w:right="690"/>
              <w:rPr>
                <w:rFonts w:ascii="Times New Roman" w:eastAsia="Times New Roman" w:hAnsi="Times New Roman" w:cs="Times New Roman"/>
                <w:b/>
                <w:noProof/>
                <w:sz w:val="18"/>
                <w:szCs w:val="18"/>
                <w:lang w:eastAsia="en-GB"/>
              </w:rPr>
            </w:pP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121</w:t>
            </w:r>
          </w:p>
        </w:tc>
        <w:tc>
          <w:tcPr>
            <w:tcW w:w="253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Modernizarea — 16842_Central BI — Analiză de date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contractului Central Business Intelligence (BI) </w:t>
            </w:r>
          </w:p>
        </w:tc>
        <w:tc>
          <w:tcPr>
            <w:tcW w:w="13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134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67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Ministerul Guvernanței Digitale atribuie contracte pentru BI central — Date. </w:t>
            </w:r>
            <w:r>
              <w:rPr>
                <w:noProof/>
                <w:color w:val="006100"/>
                <w:sz w:val="18"/>
                <w:szCs w:val="18"/>
              </w:rPr>
              <w:t>Analiza, care cuprinde:</w:t>
            </w:r>
          </w:p>
          <w:p w:rsidR="00780A28" w:rsidRDefault="001867D7">
            <w:pPr>
              <w:spacing w:after="0" w:line="240" w:lineRule="auto"/>
              <w:ind w:left="383" w:hanging="284"/>
              <w:rPr>
                <w:rFonts w:eastAsia="Times New Roman" w:cs="Calibri"/>
                <w:noProof/>
                <w:color w:val="006100"/>
                <w:sz w:val="18"/>
                <w:szCs w:val="18"/>
              </w:rPr>
            </w:pPr>
            <w:r>
              <w:rPr>
                <w:noProof/>
                <w:color w:val="006100"/>
                <w:sz w:val="18"/>
                <w:szCs w:val="18"/>
              </w:rPr>
              <w:t>a)</w:t>
            </w:r>
            <w:r>
              <w:rPr>
                <w:noProof/>
                <w:color w:val="006100"/>
                <w:sz w:val="18"/>
                <w:szCs w:val="18"/>
              </w:rPr>
              <w:tab/>
              <w:t>Dezvoltarea și validarea unui cadru de guvernanță a datelor, dicționarul de date &amp; identificarea indicatorilor-cheie de performanță</w:t>
            </w:r>
          </w:p>
          <w:p w:rsidR="00780A28" w:rsidRDefault="001867D7">
            <w:pPr>
              <w:spacing w:after="0" w:line="240" w:lineRule="auto"/>
              <w:ind w:left="383" w:hanging="284"/>
              <w:rPr>
                <w:rFonts w:eastAsia="Times New Roman" w:cs="Calibri"/>
                <w:noProof/>
                <w:color w:val="006100"/>
                <w:sz w:val="18"/>
                <w:szCs w:val="18"/>
              </w:rPr>
            </w:pPr>
            <w:r>
              <w:rPr>
                <w:noProof/>
                <w:color w:val="006100"/>
                <w:sz w:val="18"/>
                <w:szCs w:val="18"/>
              </w:rPr>
              <w:t>b)</w:t>
            </w:r>
            <w:r>
              <w:rPr>
                <w:noProof/>
                <w:color w:val="006100"/>
                <w:sz w:val="18"/>
                <w:szCs w:val="18"/>
              </w:rPr>
              <w:tab/>
              <w:t>Identificarea indicatorilor-cheie de performanță</w:t>
            </w:r>
          </w:p>
          <w:p w:rsidR="00780A28" w:rsidRDefault="001867D7">
            <w:pPr>
              <w:spacing w:after="0" w:line="240" w:lineRule="auto"/>
              <w:ind w:left="383" w:hanging="284"/>
              <w:rPr>
                <w:rFonts w:eastAsia="Times New Roman" w:cs="Calibri"/>
                <w:noProof/>
                <w:color w:val="006100"/>
                <w:sz w:val="18"/>
                <w:szCs w:val="18"/>
              </w:rPr>
            </w:pPr>
            <w:r>
              <w:rPr>
                <w:noProof/>
                <w:color w:val="006100"/>
                <w:sz w:val="18"/>
                <w:szCs w:val="18"/>
              </w:rPr>
              <w:t>c)</w:t>
            </w:r>
            <w:r>
              <w:rPr>
                <w:noProof/>
                <w:color w:val="006100"/>
                <w:sz w:val="18"/>
                <w:szCs w:val="18"/>
              </w:rPr>
              <w:tab/>
              <w:t>Dicționarul de date</w:t>
            </w:r>
          </w:p>
          <w:p w:rsidR="00780A28" w:rsidRDefault="001867D7">
            <w:pPr>
              <w:spacing w:after="0" w:line="240" w:lineRule="auto"/>
              <w:ind w:left="383" w:hanging="284"/>
              <w:rPr>
                <w:rFonts w:eastAsia="Times New Roman" w:cs="Calibri"/>
                <w:noProof/>
                <w:color w:val="006100"/>
                <w:sz w:val="18"/>
                <w:szCs w:val="18"/>
              </w:rPr>
            </w:pPr>
            <w:r>
              <w:rPr>
                <w:noProof/>
                <w:color w:val="006100"/>
                <w:sz w:val="18"/>
                <w:szCs w:val="18"/>
              </w:rPr>
              <w:t>d)</w:t>
            </w:r>
            <w:r>
              <w:rPr>
                <w:noProof/>
                <w:color w:val="006100"/>
                <w:sz w:val="18"/>
                <w:szCs w:val="18"/>
              </w:rPr>
              <w:tab/>
              <w:t>Cadrul de guvernanț</w:t>
            </w:r>
            <w:r>
              <w:rPr>
                <w:noProof/>
                <w:color w:val="006100"/>
                <w:sz w:val="18"/>
                <w:szCs w:val="18"/>
              </w:rPr>
              <w:t>ă a datelor</w:t>
            </w:r>
          </w:p>
          <w:p w:rsidR="00780A28" w:rsidRDefault="001867D7">
            <w:pPr>
              <w:spacing w:after="0" w:line="240" w:lineRule="auto"/>
              <w:ind w:left="383" w:hanging="284"/>
              <w:rPr>
                <w:rFonts w:eastAsia="Times New Roman" w:cs="Calibri"/>
                <w:noProof/>
                <w:color w:val="006100"/>
                <w:sz w:val="18"/>
                <w:szCs w:val="18"/>
              </w:rPr>
            </w:pPr>
            <w:r>
              <w:rPr>
                <w:noProof/>
                <w:color w:val="006100"/>
                <w:sz w:val="18"/>
                <w:szCs w:val="18"/>
              </w:rPr>
              <w:t>e)</w:t>
            </w:r>
            <w:r>
              <w:rPr>
                <w:noProof/>
                <w:color w:val="006100"/>
                <w:sz w:val="18"/>
                <w:szCs w:val="18"/>
              </w:rPr>
              <w:tab/>
              <w:t>Conceperea abordării arhitecturale &amp; Puncte de integrare</w:t>
            </w:r>
          </w:p>
          <w:p w:rsidR="00780A28" w:rsidRDefault="001867D7">
            <w:pPr>
              <w:spacing w:after="0" w:line="240" w:lineRule="auto"/>
              <w:ind w:left="383" w:hanging="284"/>
              <w:rPr>
                <w:rFonts w:eastAsia="Times New Roman" w:cs="Calibri"/>
                <w:noProof/>
                <w:color w:val="006100"/>
                <w:sz w:val="18"/>
                <w:szCs w:val="18"/>
              </w:rPr>
            </w:pPr>
            <w:r>
              <w:rPr>
                <w:noProof/>
                <w:color w:val="006100"/>
                <w:sz w:val="18"/>
                <w:szCs w:val="18"/>
              </w:rPr>
              <w:t>f)</w:t>
            </w:r>
            <w:r>
              <w:rPr>
                <w:noProof/>
                <w:color w:val="006100"/>
                <w:sz w:val="18"/>
                <w:szCs w:val="18"/>
              </w:rPr>
              <w:tab/>
              <w:t>Configurația depozitului de date</w:t>
            </w:r>
          </w:p>
          <w:p w:rsidR="00780A28" w:rsidRDefault="001867D7">
            <w:pPr>
              <w:spacing w:after="0" w:line="240" w:lineRule="auto"/>
              <w:ind w:left="383" w:hanging="284"/>
              <w:rPr>
                <w:rFonts w:eastAsia="Times New Roman" w:cs="Calibri"/>
                <w:noProof/>
                <w:color w:val="006100"/>
                <w:sz w:val="18"/>
                <w:szCs w:val="18"/>
              </w:rPr>
            </w:pPr>
            <w:r>
              <w:rPr>
                <w:noProof/>
                <w:color w:val="006100"/>
                <w:sz w:val="18"/>
                <w:szCs w:val="18"/>
              </w:rPr>
              <w:t>g)</w:t>
            </w:r>
            <w:r>
              <w:rPr>
                <w:noProof/>
                <w:color w:val="006100"/>
                <w:sz w:val="18"/>
                <w:szCs w:val="18"/>
              </w:rPr>
              <w:tab/>
              <w:t>Integrarea cu sistemele informatice back-office</w:t>
            </w:r>
          </w:p>
          <w:p w:rsidR="00780A28" w:rsidRDefault="001867D7">
            <w:pPr>
              <w:spacing w:after="0" w:line="240" w:lineRule="auto"/>
              <w:ind w:left="383" w:hanging="284"/>
              <w:rPr>
                <w:rFonts w:eastAsia="Times New Roman" w:cs="Calibri"/>
                <w:noProof/>
                <w:color w:val="006100"/>
                <w:sz w:val="18"/>
                <w:szCs w:val="18"/>
              </w:rPr>
            </w:pPr>
            <w:r>
              <w:rPr>
                <w:noProof/>
                <w:color w:val="006100"/>
                <w:sz w:val="18"/>
                <w:szCs w:val="18"/>
              </w:rPr>
              <w:t>h)</w:t>
            </w:r>
            <w:r>
              <w:rPr>
                <w:noProof/>
                <w:color w:val="006100"/>
                <w:sz w:val="18"/>
                <w:szCs w:val="18"/>
              </w:rPr>
              <w:tab/>
              <w:t>Elaborarea rapoartelor BI &amp; Analiză</w:t>
            </w:r>
          </w:p>
          <w:p w:rsidR="00780A28" w:rsidRDefault="001867D7">
            <w:pPr>
              <w:spacing w:after="0" w:line="240" w:lineRule="auto"/>
              <w:ind w:left="383" w:hanging="284"/>
              <w:rPr>
                <w:rFonts w:eastAsia="Times New Roman" w:cs="Calibri"/>
                <w:noProof/>
                <w:color w:val="006100"/>
                <w:sz w:val="18"/>
                <w:szCs w:val="18"/>
              </w:rPr>
            </w:pPr>
            <w:r>
              <w:rPr>
                <w:noProof/>
                <w:color w:val="006100"/>
                <w:sz w:val="18"/>
                <w:szCs w:val="18"/>
              </w:rPr>
              <w:t>i)</w:t>
            </w:r>
            <w:r>
              <w:rPr>
                <w:noProof/>
                <w:color w:val="006100"/>
                <w:sz w:val="18"/>
                <w:szCs w:val="18"/>
              </w:rPr>
              <w:tab/>
              <w:t xml:space="preserve">Sprijin pentru operațiunile BI Ecosystem pe o perioadă </w:t>
            </w:r>
            <w:r>
              <w:rPr>
                <w:noProof/>
                <w:color w:val="006100"/>
                <w:sz w:val="18"/>
                <w:szCs w:val="18"/>
              </w:rPr>
              <w:t>de 3 ani</w:t>
            </w:r>
          </w:p>
          <w:p w:rsidR="00780A28" w:rsidRDefault="001867D7">
            <w:pPr>
              <w:spacing w:after="0" w:line="240" w:lineRule="auto"/>
              <w:ind w:left="383" w:hanging="284"/>
              <w:rPr>
                <w:rFonts w:eastAsia="Times New Roman" w:cs="Calibri"/>
                <w:noProof/>
                <w:color w:val="006100"/>
                <w:sz w:val="18"/>
                <w:szCs w:val="18"/>
              </w:rPr>
            </w:pPr>
            <w:r>
              <w:rPr>
                <w:noProof/>
                <w:color w:val="006100"/>
                <w:sz w:val="18"/>
                <w:szCs w:val="18"/>
              </w:rPr>
              <w:t>j)</w:t>
            </w:r>
            <w:r>
              <w:rPr>
                <w:noProof/>
                <w:color w:val="006100"/>
                <w:sz w:val="18"/>
                <w:szCs w:val="18"/>
              </w:rPr>
              <w:tab/>
              <w:t>Taxe de licență pentru 200 de utilizatori cu privilegii super admin și 200 TB de depozitare.</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122</w:t>
            </w:r>
          </w:p>
        </w:tc>
        <w:tc>
          <w:tcPr>
            <w:tcW w:w="253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6 - 2.2. Modernizare — 16853 Furnizarea de infrastructuri și servicii de </w:t>
            </w:r>
            <w:r>
              <w:rPr>
                <w:i/>
                <w:noProof/>
                <w:color w:val="006100"/>
                <w:sz w:val="18"/>
                <w:szCs w:val="18"/>
              </w:rPr>
              <w:t>cloud computing</w:t>
            </w:r>
            <w:r>
              <w:rPr>
                <w:noProof/>
                <w:color w:val="006100"/>
                <w:sz w:val="18"/>
                <w:szCs w:val="18"/>
              </w:rPr>
              <w:t xml:space="preserve"> centrale)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infrastructurii și a serviciului central de </w:t>
            </w:r>
            <w:r>
              <w:rPr>
                <w:i/>
                <w:noProof/>
                <w:color w:val="006100"/>
                <w:sz w:val="18"/>
                <w:szCs w:val="18"/>
              </w:rPr>
              <w:t>cloud computing</w:t>
            </w:r>
          </w:p>
        </w:tc>
        <w:tc>
          <w:tcPr>
            <w:tcW w:w="13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Ministerului Guvernanței Digitale care documentează finalizarea creării tuturor componentelor proiectului și parametrarea infrastructurii pentru proiectul central de infrastructură și servicii de </w:t>
            </w:r>
            <w:r>
              <w:rPr>
                <w:i/>
                <w:noProof/>
                <w:color w:val="006100"/>
                <w:sz w:val="18"/>
                <w:szCs w:val="18"/>
              </w:rPr>
              <w:t>cloud computing</w:t>
            </w:r>
            <w:r>
              <w:rPr>
                <w:noProof/>
                <w:color w:val="006100"/>
                <w:sz w:val="18"/>
                <w:szCs w:val="18"/>
              </w:rPr>
              <w:t>.</w:t>
            </w:r>
          </w:p>
        </w:tc>
        <w:tc>
          <w:tcPr>
            <w:tcW w:w="134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67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integrală a</w:t>
            </w:r>
            <w:r>
              <w:rPr>
                <w:noProof/>
                <w:color w:val="006100"/>
                <w:sz w:val="18"/>
                <w:szCs w:val="18"/>
              </w:rPr>
              <w:t xml:space="preserve"> configurării tuturor componentelor proiectului și parametrarea infrastructurii pentru proiectul central de infrastructură și servicii de </w:t>
            </w:r>
            <w:r>
              <w:rPr>
                <w:i/>
                <w:noProof/>
                <w:color w:val="006100"/>
                <w:sz w:val="18"/>
                <w:szCs w:val="18"/>
              </w:rPr>
              <w:t>cloud computing</w:t>
            </w:r>
            <w:r>
              <w:rPr>
                <w:noProof/>
                <w:color w:val="006100"/>
                <w:sz w:val="18"/>
                <w:szCs w:val="18"/>
              </w:rPr>
              <w:t xml:space="preserve">. Introducerea și operaționalizarea proiectului central de infrastructură și servicii de </w:t>
            </w:r>
            <w:r>
              <w:rPr>
                <w:i/>
                <w:noProof/>
                <w:color w:val="006100"/>
                <w:sz w:val="18"/>
                <w:szCs w:val="18"/>
              </w:rPr>
              <w:t>cloud computin</w:t>
            </w:r>
            <w:r>
              <w:rPr>
                <w:i/>
                <w:noProof/>
                <w:color w:val="006100"/>
                <w:sz w:val="18"/>
                <w:szCs w:val="18"/>
              </w:rPr>
              <w:t>g</w:t>
            </w:r>
            <w:r>
              <w:rPr>
                <w:noProof/>
                <w:color w:val="006100"/>
                <w:sz w:val="18"/>
                <w:szCs w:val="18"/>
              </w:rPr>
              <w:t>. Noua infrastructură instalată include mașini virtuale și rețele virtuale corespunzătoare (infrastructură ca serviciu), platformă ca serviciu, rețele informatice de trei margini, trei interfețe speciale de fibră optică de mare viteză și servicii de forma</w:t>
            </w:r>
            <w:r>
              <w:rPr>
                <w:noProof/>
                <w:color w:val="006100"/>
                <w:sz w:val="18"/>
                <w:szCs w:val="18"/>
              </w:rPr>
              <w:t>re și asistență pentru întregul proiect.</w:t>
            </w:r>
          </w:p>
          <w:p w:rsidR="00780A28" w:rsidRDefault="001867D7">
            <w:pPr>
              <w:spacing w:after="0" w:line="240" w:lineRule="auto"/>
              <w:rPr>
                <w:rFonts w:eastAsia="Times New Roman" w:cs="Calibri"/>
                <w:noProof/>
                <w:color w:val="006100"/>
                <w:sz w:val="18"/>
                <w:szCs w:val="18"/>
              </w:rPr>
            </w:pPr>
            <w:r>
              <w:rPr>
                <w:noProof/>
                <w:color w:val="006100"/>
                <w:sz w:val="18"/>
                <w:szCs w:val="18"/>
              </w:rPr>
              <w:t>Centrele de date ale furnizorului de servicii de cloud trebuie să respecte „Codul european de conduită privind eficiența energetică a Centrului de date”.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123</w:t>
            </w:r>
          </w:p>
        </w:tc>
        <w:tc>
          <w:tcPr>
            <w:tcW w:w="253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16854_Orașe inteligente</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Implementarea integrală a proiectelor privind orașele inteligente</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de orașe care au implementat infrastructuri, platforme și sisteme pentru a sprijini transformarea acestora în orașe inteligente </w:t>
            </w: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w:t>
            </w:r>
          </w:p>
          <w:p w:rsidR="00780A28" w:rsidRDefault="00780A28">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Să pună în aplicare proiecte pentru a facilita transformarea a 11 orașe grecești în orașe inteligente prin investiții în orașe și infrastructuri durabile inteligente &amp; Sisteme pentru un viitor urban ecologic &amp; durabil. Astfel de investiții includ: a) Dispo</w:t>
            </w:r>
            <w:r>
              <w:rPr>
                <w:noProof/>
                <w:color w:val="006100"/>
                <w:sz w:val="18"/>
                <w:szCs w:val="18"/>
              </w:rPr>
              <w:t>nibilitatea și utilizarea datelor deschise care să consolideze dezvoltarea pe piață a unor soluții și produse inovatoare pentru orașele inteligente (cum ar fi aplicațiile IO, volumele mari de date și cloudul.) b) utilizarea rețelelor fixe și wireless exist</w:t>
            </w:r>
            <w:r>
              <w:rPr>
                <w:noProof/>
                <w:color w:val="006100"/>
                <w:sz w:val="18"/>
                <w:szCs w:val="18"/>
              </w:rPr>
              <w:t>ente; c) Activarea comunității academice și de cercetare pentru organizarea de acțiuni inovatoare complementare; d) platforme care contribuie la crearea seriilor cronologice de date ale orașelor deschise și e) crearea unei jumătăți digitale”, precum și a a</w:t>
            </w:r>
            <w:r>
              <w:rPr>
                <w:noProof/>
                <w:color w:val="006100"/>
                <w:sz w:val="18"/>
                <w:szCs w:val="18"/>
              </w:rPr>
              <w:t xml:space="preserve">ltor soluții și servicii centrate pe cetățeni care sunt incluse în proiectarea participativă. </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124</w:t>
            </w:r>
          </w:p>
        </w:tc>
        <w:tc>
          <w:tcPr>
            <w:tcW w:w="253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highlight w:val="yellow"/>
              </w:rPr>
            </w:pPr>
            <w:r>
              <w:rPr>
                <w:noProof/>
                <w:color w:val="006100"/>
                <w:sz w:val="18"/>
                <w:szCs w:val="18"/>
              </w:rPr>
              <w:t xml:space="preserve">6 - 2.2. Modernizarea — 16928_Încorporarea noilor tehnologii și tendințe către serviciile avansate ale administrației publice, creșterea eficienței și </w:t>
            </w:r>
            <w:r>
              <w:rPr>
                <w:noProof/>
                <w:color w:val="006100"/>
                <w:sz w:val="18"/>
                <w:szCs w:val="18"/>
              </w:rPr>
              <w:t>eficacității și scăderea costurilor de exploatare, modernizare și întreținere a sistemelor</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p w:rsidR="00780A28" w:rsidRDefault="00780A28">
            <w:pPr>
              <w:spacing w:after="0" w:line="240" w:lineRule="auto"/>
              <w:rPr>
                <w:rFonts w:eastAsia="Times New Roman" w:cs="Calibri"/>
                <w:noProof/>
                <w:color w:val="006100"/>
                <w:sz w:val="18"/>
                <w:szCs w:val="18"/>
                <w:lang w:eastAsia="en-GB"/>
              </w:rPr>
            </w:pP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noilor tehnologii pentru administrația publică</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Ministerului Guvernanței Digitale care sintetizează modul în care au fost abordate nevoile</w:t>
            </w:r>
            <w:r>
              <w:rPr>
                <w:noProof/>
                <w:color w:val="006100"/>
                <w:sz w:val="18"/>
                <w:szCs w:val="18"/>
              </w:rPr>
              <w:t xml:space="preserve"> și lacunele în ceea ce privește soluțiile tehnologice în administrația publică</w:t>
            </w: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Să pună în aplicare noi tehnologii și instrumente pentru a facilita tranziția și modernizarea digitală a administrației publice, pentru a reduce costurile operaționa</w:t>
            </w:r>
            <w:r>
              <w:rPr>
                <w:noProof/>
                <w:color w:val="006100"/>
                <w:sz w:val="18"/>
                <w:szCs w:val="18"/>
              </w:rPr>
              <w:t xml:space="preserve">le și pentru a spori valoarea serviciilor publice oferite. </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125</w:t>
            </w:r>
          </w:p>
        </w:tc>
        <w:tc>
          <w:tcPr>
            <w:tcW w:w="253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6 - 2.2. Modernizarea — 16955_Actualizarea infrastructurii și serviciilor de </w:t>
            </w:r>
            <w:r>
              <w:rPr>
                <w:i/>
                <w:noProof/>
                <w:color w:val="006100"/>
                <w:sz w:val="18"/>
                <w:szCs w:val="18"/>
              </w:rPr>
              <w:t>cloud computing</w:t>
            </w:r>
            <w:r>
              <w:rPr>
                <w:noProof/>
                <w:color w:val="006100"/>
                <w:sz w:val="18"/>
                <w:szCs w:val="18"/>
              </w:rPr>
              <w:t xml:space="preserve"> ale infrastructurilor naționale de cercetare și tehnologie (GRNET)</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GRNET </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 final de încheiere a implementării integrale a tuturor subproiectelor pentru modernizarea infrastructurii și serviciilor de </w:t>
            </w:r>
            <w:r>
              <w:rPr>
                <w:i/>
                <w:noProof/>
                <w:color w:val="006100"/>
                <w:sz w:val="18"/>
                <w:szCs w:val="18"/>
              </w:rPr>
              <w:t>cloud computing</w:t>
            </w:r>
            <w:r>
              <w:rPr>
                <w:noProof/>
                <w:color w:val="006100"/>
                <w:sz w:val="18"/>
                <w:szCs w:val="18"/>
              </w:rPr>
              <w:t xml:space="preserve"> ale infrastructurilor naționale de cercetare și tehnologie (GRNET) de către Ministerul Guvernanței Digitale</w:t>
            </w: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modernizării infrastructurii și serviciilor de </w:t>
            </w:r>
            <w:r>
              <w:rPr>
                <w:i/>
                <w:noProof/>
                <w:color w:val="006100"/>
                <w:sz w:val="18"/>
                <w:szCs w:val="18"/>
              </w:rPr>
              <w:t>cloud computing</w:t>
            </w:r>
            <w:r>
              <w:rPr>
                <w:noProof/>
                <w:color w:val="006100"/>
                <w:sz w:val="18"/>
                <w:szCs w:val="18"/>
              </w:rPr>
              <w:t xml:space="preserve"> ale infrastructurilor naționale de cercetare și tehnologie (GRNET).</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Furnizarea de supercalculatoare/înlocuirea unei părți a sistemului național existent</w:t>
            </w:r>
          </w:p>
          <w:p w:rsidR="00780A28" w:rsidRDefault="001867D7">
            <w:pPr>
              <w:spacing w:after="0" w:line="240" w:lineRule="auto"/>
              <w:rPr>
                <w:rFonts w:eastAsia="Times New Roman" w:cs="Calibri"/>
                <w:noProof/>
                <w:color w:val="006100"/>
                <w:sz w:val="18"/>
                <w:szCs w:val="18"/>
              </w:rPr>
            </w:pPr>
            <w:r>
              <w:rPr>
                <w:noProof/>
                <w:color w:val="006100"/>
                <w:sz w:val="18"/>
                <w:szCs w:val="18"/>
              </w:rPr>
              <w:t>Actualizări/modif</w:t>
            </w:r>
            <w:r>
              <w:rPr>
                <w:noProof/>
                <w:color w:val="006100"/>
                <w:sz w:val="18"/>
                <w:szCs w:val="18"/>
              </w:rPr>
              <w:t>icări ale centrului de date pentru a sprijini noul supercalculator</w:t>
            </w:r>
          </w:p>
          <w:p w:rsidR="00780A28" w:rsidRDefault="001867D7">
            <w:pPr>
              <w:spacing w:after="0" w:line="240" w:lineRule="auto"/>
              <w:rPr>
                <w:rFonts w:eastAsia="Times New Roman" w:cs="Calibri"/>
                <w:noProof/>
                <w:color w:val="006100"/>
                <w:sz w:val="18"/>
                <w:szCs w:val="18"/>
              </w:rPr>
            </w:pPr>
            <w:r>
              <w:rPr>
                <w:noProof/>
                <w:color w:val="006100"/>
                <w:sz w:val="18"/>
                <w:szCs w:val="18"/>
              </w:rPr>
              <w:t>Instalarea, configurarea, migrarea, operarea pilot, controlul și evaluarea performanței hardware-ului.</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126</w:t>
            </w:r>
          </w:p>
        </w:tc>
        <w:tc>
          <w:tcPr>
            <w:tcW w:w="253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6 - 2.2. Modernizare — 16287_Consolidarea continuității activității sectorului </w:t>
            </w:r>
            <w:r>
              <w:rPr>
                <w:noProof/>
                <w:color w:val="006100"/>
                <w:sz w:val="18"/>
                <w:szCs w:val="18"/>
              </w:rPr>
              <w:t>public</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p w:rsidR="00780A28" w:rsidRDefault="00780A28">
            <w:pPr>
              <w:spacing w:after="0" w:line="240" w:lineRule="auto"/>
              <w:rPr>
                <w:rFonts w:eastAsia="Times New Roman" w:cs="Calibri"/>
                <w:noProof/>
                <w:color w:val="006100"/>
                <w:sz w:val="18"/>
                <w:szCs w:val="18"/>
                <w:lang w:eastAsia="en-GB"/>
              </w:rPr>
            </w:pPr>
          </w:p>
          <w:p w:rsidR="00780A28" w:rsidRDefault="00780A28">
            <w:pPr>
              <w:spacing w:after="0" w:line="240" w:lineRule="auto"/>
              <w:rPr>
                <w:rFonts w:eastAsia="Times New Roman" w:cs="Calibri"/>
                <w:noProof/>
                <w:color w:val="006100"/>
                <w:sz w:val="18"/>
                <w:szCs w:val="18"/>
                <w:lang w:eastAsia="en-GB"/>
              </w:rPr>
            </w:pP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continuității activității din sectorul public </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final al Ministerului Guvernanței Digitale care documentează finalizarea proiectului privind continuitatea activității sectorului public, inclusiv furnizarea celor 71500 </w:t>
            </w:r>
            <w:r>
              <w:rPr>
                <w:noProof/>
                <w:color w:val="006100"/>
                <w:sz w:val="18"/>
                <w:szCs w:val="18"/>
              </w:rPr>
              <w:t>laptopuri corporative.</w:t>
            </w: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de îmbunătățire a continuității activității sectorului public, inclusiv finalizarea planului de continuitate a activității și furnizarea laptopurilor corporative.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127</w:t>
            </w:r>
          </w:p>
        </w:tc>
        <w:tc>
          <w:tcPr>
            <w:tcW w:w="253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6 - 2.2. Modernizare — </w:t>
            </w:r>
            <w:r>
              <w:rPr>
                <w:noProof/>
                <w:color w:val="006100"/>
                <w:sz w:val="18"/>
                <w:szCs w:val="18"/>
              </w:rPr>
              <w:t>16956_Extinderea Syzefksis II</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Syzefksis II</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Document de sinteză privind verificarea implementării noii infrastructuri, registrul entităților rețelei din sectorul public, sistemul de management al securității, ancheta, mecanismul de monitor</w:t>
            </w:r>
            <w:r>
              <w:rPr>
                <w:noProof/>
                <w:color w:val="006100"/>
                <w:sz w:val="18"/>
                <w:szCs w:val="18"/>
              </w:rPr>
              <w:t>izare, furnizarea de echipamente în cadrul extinderii Syzefksis II de către Ministerul Guvernanței Digitale</w:t>
            </w: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extinderii Syzefksis II.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În schema de punere în aplicare sunt incluse următoarele subproiecte: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Modernizarea interconexiunilor rețelei din sectorul public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Conectarea/deconectarea/relocarea/fuzionarea și modernizarea serviciilor entităților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Sprijin/Întreținere a unui registru al entităților din rețeaua sectorului public (Site Survey) </w:t>
            </w:r>
          </w:p>
          <w:p w:rsidR="00780A28" w:rsidRDefault="001867D7">
            <w:pPr>
              <w:spacing w:after="0" w:line="240" w:lineRule="auto"/>
              <w:rPr>
                <w:rFonts w:eastAsia="Times New Roman" w:cs="Calibri"/>
                <w:noProof/>
                <w:color w:val="006100"/>
                <w:sz w:val="18"/>
                <w:szCs w:val="18"/>
              </w:rPr>
            </w:pPr>
            <w:r>
              <w:rPr>
                <w:noProof/>
                <w:color w:val="006100"/>
                <w:sz w:val="18"/>
                <w:szCs w:val="18"/>
              </w:rPr>
              <w:t>— Acțiun</w:t>
            </w:r>
            <w:r>
              <w:rPr>
                <w:noProof/>
                <w:color w:val="006100"/>
                <w:sz w:val="18"/>
                <w:szCs w:val="18"/>
              </w:rPr>
              <w:t>i de publicitate și promovare a rețelei sectorului public (finalizare până la Q3/2024)</w:t>
            </w:r>
          </w:p>
          <w:p w:rsidR="00780A28" w:rsidRDefault="001867D7">
            <w:pPr>
              <w:spacing w:after="0" w:line="240" w:lineRule="auto"/>
              <w:rPr>
                <w:rFonts w:eastAsia="Times New Roman" w:cs="Calibri"/>
                <w:noProof/>
                <w:color w:val="006100"/>
                <w:sz w:val="18"/>
                <w:szCs w:val="18"/>
              </w:rPr>
            </w:pPr>
            <w:r>
              <w:rPr>
                <w:noProof/>
                <w:color w:val="006100"/>
                <w:sz w:val="18"/>
                <w:szCs w:val="18"/>
              </w:rPr>
              <w:t>— Autoritatea de securitate și Sistemul de management al securității informațiilor (SIS) al rețelei din sectorul public</w:t>
            </w:r>
          </w:p>
          <w:p w:rsidR="00780A28" w:rsidRDefault="001867D7">
            <w:pPr>
              <w:spacing w:after="0" w:line="240" w:lineRule="auto"/>
              <w:rPr>
                <w:rFonts w:eastAsia="Times New Roman" w:cs="Calibri"/>
                <w:noProof/>
                <w:color w:val="006100"/>
                <w:sz w:val="18"/>
                <w:szCs w:val="18"/>
              </w:rPr>
            </w:pPr>
            <w:r>
              <w:rPr>
                <w:noProof/>
                <w:color w:val="006100"/>
                <w:sz w:val="18"/>
                <w:szCs w:val="18"/>
              </w:rPr>
              <w:t>— Monitorizarea, controlul calității, sprijinul p</w:t>
            </w:r>
            <w:r>
              <w:rPr>
                <w:noProof/>
                <w:color w:val="006100"/>
                <w:sz w:val="18"/>
                <w:szCs w:val="18"/>
              </w:rPr>
              <w:t xml:space="preserve">entru punerea în aplicare și asistența la acceptarea finală a sistemelor structurate de cablu ale rețelei sectorului public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Sprijinirea și monitorizarea fazelor de implementare a studiului de teren και din SYZEFXIS II. </w:t>
            </w:r>
          </w:p>
          <w:p w:rsidR="00780A28" w:rsidRDefault="001867D7">
            <w:pPr>
              <w:spacing w:after="0" w:line="240" w:lineRule="auto"/>
              <w:rPr>
                <w:rFonts w:eastAsia="Times New Roman" w:cs="Calibri"/>
                <w:noProof/>
                <w:color w:val="006100"/>
                <w:sz w:val="18"/>
                <w:szCs w:val="18"/>
              </w:rPr>
            </w:pPr>
            <w:r>
              <w:rPr>
                <w:noProof/>
                <w:color w:val="006100"/>
                <w:sz w:val="18"/>
                <w:szCs w:val="18"/>
              </w:rPr>
              <w:t>— Furnizarea de echipamente pentr</w:t>
            </w:r>
            <w:r>
              <w:rPr>
                <w:noProof/>
                <w:color w:val="006100"/>
                <w:sz w:val="18"/>
                <w:szCs w:val="18"/>
              </w:rPr>
              <w:t xml:space="preserve">u întreruperea furnizării de energie electrică în anumite entități din sectorul public — Rețeaua sectorului public. </w:t>
            </w:r>
          </w:p>
          <w:p w:rsidR="00780A28" w:rsidRDefault="001867D7">
            <w:pPr>
              <w:spacing w:after="0" w:line="240" w:lineRule="auto"/>
              <w:rPr>
                <w:rFonts w:eastAsia="Times New Roman" w:cs="Calibri"/>
                <w:noProof/>
                <w:color w:val="006100"/>
                <w:sz w:val="18"/>
                <w:szCs w:val="18"/>
              </w:rPr>
            </w:pPr>
            <w:r>
              <w:rPr>
                <w:noProof/>
                <w:color w:val="006100"/>
                <w:sz w:val="18"/>
                <w:szCs w:val="18"/>
              </w:rPr>
              <w:t>— Next Generation Public Sector Network Design Services (PSN Next Gen) — Modernizarea infrastructurii rețelei școlare panelenice (SchoolNet</w:t>
            </w:r>
            <w:r>
              <w:rPr>
                <w:noProof/>
                <w:color w:val="006100"/>
                <w:sz w:val="18"/>
                <w:szCs w:val="18"/>
              </w:rPr>
              <w:t xml:space="preserve">). </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128</w:t>
            </w:r>
          </w:p>
        </w:tc>
        <w:tc>
          <w:tcPr>
            <w:tcW w:w="253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 — 16827_Strategia de guvernanță a datelor &amp; politici pentru sectorul public</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strategiei de guvernanță a datelor</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de concluzie al Ministerului Guvernanței Digitale, care sintetizează modul în care strategia de guvernanță a datelor &amp; politici pentru sectorul public a dus la dezvoltarea unei strategii guvernamentale de guvernanță a datelor în cloud și a unui ec</w:t>
            </w:r>
            <w:r>
              <w:rPr>
                <w:noProof/>
                <w:color w:val="006100"/>
                <w:sz w:val="18"/>
                <w:szCs w:val="18"/>
              </w:rPr>
              <w:t xml:space="preserve">osistem pentru date deschise și reutilizabile în sectorul public și privat. </w:t>
            </w: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strategiei de guvernanță a datelor proiectului &amp; politici pentru sectorul public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Proiectul trebuie să fi realizat următoarele: dezvoltarea strategiei și a politicilor guvernamentale privind guvernanța datelor în domeniul </w:t>
            </w:r>
            <w:r>
              <w:rPr>
                <w:i/>
                <w:noProof/>
                <w:color w:val="006100"/>
                <w:sz w:val="18"/>
                <w:szCs w:val="18"/>
              </w:rPr>
              <w:t>cloud computing</w:t>
            </w:r>
            <w:r>
              <w:rPr>
                <w:noProof/>
                <w:color w:val="006100"/>
                <w:sz w:val="18"/>
                <w:szCs w:val="18"/>
              </w:rPr>
              <w:t>-ului și (b) instituirea cadrului, a infrastructurii, a capacității și a capacităților pentru guverna</w:t>
            </w:r>
            <w:r>
              <w:rPr>
                <w:noProof/>
                <w:color w:val="006100"/>
                <w:sz w:val="18"/>
                <w:szCs w:val="18"/>
              </w:rPr>
              <w:t>nța datelor publice, politica privind datele deschise și reutilizabile și furnizarea de servicii relevante pentru sectorul public și cel privat.</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129</w:t>
            </w:r>
          </w:p>
        </w:tc>
        <w:tc>
          <w:tcPr>
            <w:tcW w:w="253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6 - 2.2. Modernizarea — 16842_Central BI — Analiză de date</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BI central</w:t>
            </w:r>
          </w:p>
        </w:tc>
        <w:tc>
          <w:tcPr>
            <w:tcW w:w="13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Raport de proiect al Ministerului Guvernanței Digitale care prezintă modul în care proiectul central BI a creat o platformă centrală de informații comerciale și de analiză a datelor și modul în care acesta este utilizat de administrația publică. </w:t>
            </w:r>
          </w:p>
        </w:tc>
        <w:tc>
          <w:tcPr>
            <w:tcW w:w="134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6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următorului proiect: BI central — Analiza datelor.</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Punerea în aplicare a unei soluții unice de tip „tablou național de bord” și evaluarea performanței sale.</w:t>
            </w:r>
          </w:p>
          <w:p w:rsidR="00780A28" w:rsidRDefault="001867D7">
            <w:pPr>
              <w:spacing w:after="0" w:line="240" w:lineRule="auto"/>
              <w:rPr>
                <w:rFonts w:eastAsia="Times New Roman" w:cs="Calibri"/>
                <w:noProof/>
                <w:color w:val="006100"/>
                <w:sz w:val="18"/>
                <w:szCs w:val="18"/>
              </w:rPr>
            </w:pPr>
            <w:r>
              <w:rPr>
                <w:noProof/>
                <w:color w:val="006100"/>
                <w:sz w:val="18"/>
                <w:szCs w:val="18"/>
              </w:rPr>
              <w:t>Proiectul trebuie să fi realizat următoarele:</w:t>
            </w:r>
          </w:p>
          <w:p w:rsidR="00780A28" w:rsidRDefault="001867D7">
            <w:pPr>
              <w:spacing w:after="0" w:line="240" w:lineRule="auto"/>
              <w:rPr>
                <w:rFonts w:eastAsia="Times New Roman" w:cs="Calibri"/>
                <w:noProof/>
                <w:color w:val="006100"/>
                <w:sz w:val="18"/>
                <w:szCs w:val="18"/>
              </w:rPr>
            </w:pPr>
            <w:r>
              <w:rPr>
                <w:noProof/>
                <w:color w:val="006100"/>
                <w:sz w:val="18"/>
                <w:szCs w:val="18"/>
              </w:rPr>
              <w:t>punerea în aplicare a unei platform</w:t>
            </w:r>
            <w:r>
              <w:rPr>
                <w:noProof/>
                <w:color w:val="006100"/>
                <w:sz w:val="18"/>
                <w:szCs w:val="18"/>
              </w:rPr>
              <w:t>e centrale de analiză a datelor (Central Business Intelligence — Data Analytics), care permite agențiilor administrației publice să extragă, să integreze și să interpreteze date din orice sursă și să le utilizeze pentru a analiza informații care le afectea</w:t>
            </w:r>
            <w:r>
              <w:rPr>
                <w:noProof/>
                <w:color w:val="006100"/>
                <w:sz w:val="18"/>
                <w:szCs w:val="18"/>
              </w:rPr>
              <w:t>ză operațiunile și fluxurile de lucru și care facilitează strategia și procesul decizional.</w:t>
            </w:r>
          </w:p>
          <w:p w:rsidR="00780A28" w:rsidRDefault="00780A28">
            <w:pPr>
              <w:spacing w:after="0" w:line="240" w:lineRule="auto"/>
              <w:rPr>
                <w:rFonts w:eastAsia="Times New Roman" w:cs="Calibri"/>
                <w:noProof/>
                <w:color w:val="006100"/>
                <w:sz w:val="18"/>
                <w:szCs w:val="18"/>
                <w:lang w:eastAsia="en-GB"/>
              </w:rPr>
            </w:pPr>
          </w:p>
        </w:tc>
      </w:tr>
    </w:tbl>
    <w:p w:rsidR="00780A28" w:rsidRDefault="00780A28">
      <w:pPr>
        <w:spacing w:before="120" w:after="120" w:line="240" w:lineRule="auto"/>
        <w:ind w:left="709"/>
        <w:rPr>
          <w:rFonts w:ascii="Times New Roman" w:hAnsi="Times New Roman" w:cs="Times New Roman"/>
          <w:noProof/>
          <w:sz w:val="24"/>
        </w:rPr>
        <w:sectPr w:rsidR="00780A28">
          <w:headerReference w:type="even" r:id="rId101"/>
          <w:headerReference w:type="default" r:id="rId102"/>
          <w:footerReference w:type="even" r:id="rId103"/>
          <w:footerReference w:type="default" r:id="rId104"/>
          <w:headerReference w:type="first" r:id="rId105"/>
          <w:footerReference w:type="first" r:id="rId106"/>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G. COMPONENTA 2.3: DIGITALIZAREA ÎNTREPRINDERILOR</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componentă a redresării și rezilienței Greciei se referă la furnizarea de capital întreprinderilor mici și mijlocii din Grecia pentru a finanța investițiile în tehnologii digitale și achiziționarea de servicii asociate. Scopul său este de a aborda </w:t>
      </w:r>
      <w:r>
        <w:rPr>
          <w:rFonts w:ascii="Times New Roman" w:hAnsi="Times New Roman"/>
          <w:noProof/>
          <w:sz w:val="24"/>
        </w:rPr>
        <w:t>nivelurile actuale scăzute de maturitate digitală în rândul acestora, inclusiv din cauza competențelor digitale scăzute, stimulând în același timp productivitatea și dezvoltarea întreprinderilor inovatoare. În același timp, se așteaptă ca aceste întreprind</w:t>
      </w:r>
      <w:r>
        <w:rPr>
          <w:rFonts w:ascii="Times New Roman" w:hAnsi="Times New Roman"/>
          <w:noProof/>
          <w:sz w:val="24"/>
        </w:rPr>
        <w:t>eri să fie ajutate să se adapteze la noile provocări și să profite de noile tendințe economice. În special, componenta prevede crearea unei piețe digitale unice, la care au acces atât furnizorii acestor produse, cât și furnizorii de astfel de servicii. Pro</w:t>
      </w:r>
      <w:r>
        <w:rPr>
          <w:rFonts w:ascii="Times New Roman" w:hAnsi="Times New Roman"/>
          <w:noProof/>
          <w:sz w:val="24"/>
        </w:rPr>
        <w:t xml:space="preserve">movarea utilizării plăților și vânzărilor electronice, modernizarea caselor de marcat și a ecosistemului POS, precum și crearea de platforme industriale de date sunt obiective-cheie ale acestei componente. În plus, componenta oferă stimulente fiscale care </w:t>
      </w:r>
      <w:r>
        <w:rPr>
          <w:rFonts w:ascii="Times New Roman" w:hAnsi="Times New Roman"/>
          <w:noProof/>
          <w:sz w:val="24"/>
        </w:rPr>
        <w:t xml:space="preserve">contribuie la crearea unui ecosistem de afaceri digital care să conducă la transformarea digitală a întreprinderilor mici și mijlocii. De asemenea, se are în vedere un mecanism central de sprijin pentru întreprinderile mici și mijlocii, care să faciliteze </w:t>
      </w:r>
      <w:r>
        <w:rPr>
          <w:rFonts w:ascii="Times New Roman" w:hAnsi="Times New Roman"/>
          <w:noProof/>
          <w:sz w:val="24"/>
        </w:rPr>
        <w:t xml:space="preserve">furnizarea de programe de formare și de sensibilizare, astfel încât acestea să poată valorifica la maximum instrumentele și serviciile oferite prin intermediul pieței digitale. </w:t>
      </w:r>
    </w:p>
    <w:p w:rsidR="00780A28" w:rsidRDefault="001867D7">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Se preconizează că măsurile vor răspunde tranziției digitale și provocărilor </w:t>
      </w:r>
      <w:r>
        <w:rPr>
          <w:rFonts w:ascii="Times New Roman" w:hAnsi="Times New Roman"/>
          <w:noProof/>
          <w:sz w:val="24"/>
        </w:rPr>
        <w:t>generate de aceasta, întrucât se preconizează că acestea vor contribui la adoptarea tehnologiilor digitale și la perfecționarea digitală a întreprinderilor mici și mijlocii din Grecia. În plus, se preconizează că măsurile vor facilita creșterea inteligentă</w:t>
      </w:r>
      <w:r>
        <w:rPr>
          <w:rFonts w:ascii="Times New Roman" w:hAnsi="Times New Roman"/>
          <w:noProof/>
          <w:sz w:val="24"/>
        </w:rPr>
        <w:t xml:space="preserve"> și durabilă prin stimularea în continuare a investițiilor private, contribuind astfel la abordarea Recomandării specifice fiecărei țări privind investițiile publice și private (CSR 3 2020). Este de așteptat ca nicio măsură din cadrul acestei componente să</w:t>
      </w:r>
      <w:r>
        <w:rPr>
          <w:rFonts w:ascii="Times New Roman" w:hAnsi="Times New Roman"/>
          <w:noProof/>
          <w:sz w:val="24"/>
        </w:rPr>
        <w:t xml:space="preserve"> nu afecteze în mod semnificativ obiectivele de mediu în sensul articolului 17 din Regulamentul (UE) 2020/852, ținând seama de descrierea măsurilor și a măsurilor de atenuare stabilite în planul de redresare și reziliență în conformitate cu Orientările teh</w:t>
      </w:r>
      <w:r>
        <w:rPr>
          <w:rFonts w:ascii="Times New Roman" w:hAnsi="Times New Roman"/>
          <w:noProof/>
          <w:sz w:val="24"/>
        </w:rPr>
        <w:t>nice bazate pe principiul de „a nu aduce prejudicii semnificative” (2021/C58/01).</w:t>
      </w:r>
    </w:p>
    <w:p w:rsidR="00780A28" w:rsidRDefault="001867D7">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G.1.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Instituirea unui ecosistem de afaceri digital și </w:t>
      </w:r>
      <w:r>
        <w:rPr>
          <w:rFonts w:ascii="Times New Roman" w:hAnsi="Times New Roman"/>
          <w:noProof/>
          <w:sz w:val="24"/>
        </w:rPr>
        <w:t>introducerea de stimulente fiscale pentru facilitarea transformării digitale a IMM-urilor (numărul de identificare al măsurii:16973)</w:t>
      </w:r>
    </w:p>
    <w:p w:rsidR="00780A28" w:rsidRDefault="001867D7">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Reforma vizează crearea unui ecosistem de afaceri digital care să promoveze transformarea digitală a IMM-urilor. Mai precis</w:t>
      </w:r>
      <w:r>
        <w:rPr>
          <w:rFonts w:ascii="Times New Roman" w:hAnsi="Times New Roman"/>
          <w:noProof/>
          <w:sz w:val="24"/>
        </w:rPr>
        <w:t>, acesta constă în: (a) crearea unei piețe digitale pentru furnizarea și achiziționarea de servicii și instrumente digitale avansate adaptate pentru transformarea digitală a IMM-urilor și creșterea gradului de conștientizare digitală a directorilor de într</w:t>
      </w:r>
      <w:r>
        <w:rPr>
          <w:rFonts w:ascii="Times New Roman" w:hAnsi="Times New Roman"/>
          <w:noProof/>
          <w:sz w:val="24"/>
        </w:rPr>
        <w:t>eprinderi, (b) încurajarea directă a investițiilor în tehnologiile digitale moderne, utilizând stimulente fiscale pentru activele corporale și necorporale, pentru a schimba mediul de afaceri și (c) modernizarea caselor de marcat și a ecosistemului punctelo</w:t>
      </w:r>
      <w:r>
        <w:rPr>
          <w:rFonts w:ascii="Times New Roman" w:hAnsi="Times New Roman"/>
          <w:noProof/>
          <w:sz w:val="24"/>
        </w:rPr>
        <w:t>r de vânzare. Pentru a se asigura conformitatea măsurii cu Orientările tehnice bazate pe principiul de „a nu aduce prejudicii semnificative” (2021/C58/01), criteriile de eligibilitate pentru stimulentele fiscale exclud următoarea listă de activități:</w:t>
      </w:r>
      <w:r>
        <w:rPr>
          <w:rFonts w:ascii="Times New Roman" w:hAnsi="Times New Roman"/>
          <w:noProof/>
          <w:color w:val="FF0000"/>
          <w:sz w:val="24"/>
        </w:rPr>
        <w:t xml:space="preserve"> </w:t>
      </w:r>
      <w:r>
        <w:rPr>
          <w:rFonts w:ascii="Times New Roman" w:hAnsi="Times New Roman"/>
          <w:noProof/>
          <w:sz w:val="24"/>
        </w:rPr>
        <w:t>(i) a</w:t>
      </w:r>
      <w:r>
        <w:rPr>
          <w:rFonts w:ascii="Times New Roman" w:hAnsi="Times New Roman"/>
          <w:noProof/>
          <w:sz w:val="24"/>
        </w:rPr>
        <w:t>ctivitățile legate de combustibilii fosili, inclusiv utilizarea în aval</w:t>
      </w:r>
      <w:r>
        <w:rPr>
          <w:rFonts w:ascii="Times New Roman" w:hAnsi="Times New Roman" w:cs="Times New Roman"/>
          <w:noProof/>
          <w:sz w:val="24"/>
          <w:vertAlign w:val="superscript"/>
        </w:rPr>
        <w:footnoteReference w:id="10"/>
      </w:r>
      <w:r>
        <w:rPr>
          <w:rFonts w:ascii="Times New Roman" w:hAnsi="Times New Roman"/>
          <w:noProof/>
          <w:sz w:val="24"/>
        </w:rPr>
        <w:t>; (ii) activitățile din cadrul schemei UE de comercializare a certificatelor de emisii (ETS) care ating previziuni privind emisiile de gaze cu efect de seră care nu sunt mai mici decât</w:t>
      </w:r>
      <w:r>
        <w:rPr>
          <w:rFonts w:ascii="Times New Roman" w:hAnsi="Times New Roman"/>
          <w:noProof/>
          <w:sz w:val="24"/>
        </w:rPr>
        <w:t xml:space="preserve"> valorile de referință relevante</w:t>
      </w:r>
      <w:r>
        <w:rPr>
          <w:rFonts w:ascii="Times New Roman" w:hAnsi="Times New Roman" w:cs="Times New Roman"/>
          <w:noProof/>
          <w:sz w:val="24"/>
          <w:vertAlign w:val="superscript"/>
        </w:rPr>
        <w:footnoteReference w:id="11"/>
      </w:r>
      <w:r>
        <w:rPr>
          <w:rFonts w:ascii="Times New Roman" w:hAnsi="Times New Roman"/>
          <w:noProof/>
          <w:sz w:val="24"/>
        </w:rPr>
        <w:t>; (iii) activitățile legate de depozitele de deșeuri, incineratoare</w:t>
      </w:r>
      <w:r>
        <w:rPr>
          <w:rFonts w:ascii="Times New Roman" w:hAnsi="Times New Roman" w:cs="Times New Roman"/>
          <w:noProof/>
          <w:sz w:val="24"/>
          <w:vertAlign w:val="superscript"/>
        </w:rPr>
        <w:footnoteReference w:id="12"/>
      </w:r>
      <w:r>
        <w:rPr>
          <w:rFonts w:ascii="Times New Roman" w:hAnsi="Times New Roman"/>
          <w:noProof/>
          <w:sz w:val="24"/>
        </w:rPr>
        <w:t xml:space="preserve"> și instalații de tratare mecano-biologică</w:t>
      </w:r>
      <w:r>
        <w:rPr>
          <w:rFonts w:ascii="Times New Roman" w:hAnsi="Times New Roman" w:cs="Times New Roman"/>
          <w:noProof/>
          <w:sz w:val="24"/>
          <w:vertAlign w:val="superscript"/>
        </w:rPr>
        <w:footnoteReference w:id="13"/>
      </w:r>
      <w:r>
        <w:rPr>
          <w:rFonts w:ascii="Times New Roman" w:hAnsi="Times New Roman"/>
          <w:noProof/>
          <w:sz w:val="24"/>
        </w:rPr>
        <w:t>; și (iv) activități în cadrul cărora eliminarea pe termen lung a deșeurilor poate dăuna mediului. Criteriile de</w:t>
      </w:r>
      <w:r>
        <w:rPr>
          <w:rFonts w:ascii="Times New Roman" w:hAnsi="Times New Roman"/>
          <w:noProof/>
          <w:sz w:val="24"/>
        </w:rPr>
        <w:t xml:space="preserve"> eligibilitate impun, de asemenea, ca numai activitățile care respectă legislația UE și națională relevantă în materie de mediu să poată fi selectate.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Criteriile de selecție/eligibilitate vizează, de asemenea, stimularea investițiilor în transformarea digi</w:t>
      </w:r>
      <w:r>
        <w:rPr>
          <w:rFonts w:ascii="Times New Roman" w:hAnsi="Times New Roman"/>
          <w:noProof/>
          <w:sz w:val="24"/>
        </w:rPr>
        <w:t>tală, și anume achiziționarea de produse și servicii legate de plățile electronice, vânzările electronice și aplicațiile de facturare electronică, instrumentele pentru publicitatea digitală, sistemele de lucru la distanță, analiza afacerilor, perfecționare</w:t>
      </w:r>
      <w:r>
        <w:rPr>
          <w:rFonts w:ascii="Times New Roman" w:hAnsi="Times New Roman"/>
          <w:noProof/>
          <w:sz w:val="24"/>
        </w:rPr>
        <w:t>a digitală, serviciile de backup și de recuperare în caz de dezastru, inteligența artificială, internetul obiectelor, soluțiile integrate pentru servicii fără contact, sistemele de securitate cibernetică, infrastructurile și serviciile de cloud, modelele ș</w:t>
      </w:r>
      <w:r>
        <w:rPr>
          <w:rFonts w:ascii="Times New Roman" w:hAnsi="Times New Roman"/>
          <w:noProof/>
          <w:sz w:val="24"/>
        </w:rPr>
        <w:t>i software-ul platformelor industriale de date, registrele de numerar și modernizarea ecosistemului POS. Implementarea reformei trebuie finalizată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 a IMM-urilor (numărul de identificare al măsurii:16</w:t>
      </w:r>
      <w:r>
        <w:rPr>
          <w:rFonts w:ascii="Times New Roman" w:hAnsi="Times New Roman"/>
          <w:noProof/>
          <w:sz w:val="24"/>
        </w:rPr>
        <w:t>706)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vizează dezvoltarea și furnizarea de instrumente digitale adecvate (produse și servicii) IMM-urilor elene în domeniile (a) plăților și vânzărilor electronice, (b) platformelor de date industriale și (c) caselor de marcat și modernizării eco</w:t>
      </w:r>
      <w:r>
        <w:rPr>
          <w:rFonts w:ascii="Times New Roman" w:hAnsi="Times New Roman"/>
          <w:noProof/>
          <w:sz w:val="24"/>
        </w:rPr>
        <w:t>sistemului POS. Acest lucru se va realiza prin instituirea unui mecanism central de sprijin pentru IMM-uri, care să faciliteze furnizarea de programe de formare și de sensibilizare, astfel încât acestea să poată valorifica la maximum instrumentele și servi</w:t>
      </w:r>
      <w:r>
        <w:rPr>
          <w:rFonts w:ascii="Times New Roman" w:hAnsi="Times New Roman"/>
          <w:noProof/>
          <w:sz w:val="24"/>
        </w:rPr>
        <w:t>ciile oferite prin intermediul pieței digitale, cu scopul final de a sprijini transformarea digitală a IMM-urilor grecești, precum și de a spori transparența și concurența sănătoasă prin intermediul Next-Gen POS și al caselor de marcat. Implementarea inves</w:t>
      </w:r>
      <w:r>
        <w:rPr>
          <w:rFonts w:ascii="Times New Roman" w:hAnsi="Times New Roman"/>
          <w:noProof/>
          <w:sz w:val="24"/>
        </w:rPr>
        <w:t>tiției trebuie finalizată până la 30 iunie 2025.</w:t>
      </w:r>
    </w:p>
    <w:p w:rsidR="00780A28" w:rsidRDefault="001867D7">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Pentru a se asigura că măsura este conformă cu Orientările tehnice bazate pe principiul de „a nu aduce prejudicii semnificative” (2021/C58/01), criteriile de eligibilitate cuprinse în termenii de referință p</w:t>
      </w:r>
      <w:r>
        <w:rPr>
          <w:rFonts w:ascii="Times New Roman" w:hAnsi="Times New Roman"/>
          <w:noProof/>
          <w:sz w:val="24"/>
        </w:rPr>
        <w:t>entru cererile de propuneri de proiecte exclud următoarea listă de activități:</w:t>
      </w:r>
      <w:r>
        <w:rPr>
          <w:rFonts w:ascii="Times New Roman" w:hAnsi="Times New Roman"/>
          <w:noProof/>
          <w:color w:val="FF0000"/>
          <w:sz w:val="24"/>
        </w:rPr>
        <w:t xml:space="preserve"> </w:t>
      </w:r>
      <w:r>
        <w:rPr>
          <w:rFonts w:ascii="Times New Roman" w:hAnsi="Times New Roman"/>
          <w:noProof/>
          <w:sz w:val="24"/>
        </w:rPr>
        <w:t>(i) activitățile legate de combustibilii fosili, inclusiv utilizarea în aval</w:t>
      </w:r>
      <w:r>
        <w:rPr>
          <w:rFonts w:ascii="Times New Roman" w:hAnsi="Times New Roman" w:cs="Times New Roman"/>
          <w:noProof/>
          <w:sz w:val="24"/>
          <w:vertAlign w:val="superscript"/>
        </w:rPr>
        <w:footnoteReference w:id="14"/>
      </w:r>
      <w:r>
        <w:rPr>
          <w:rFonts w:ascii="Times New Roman" w:hAnsi="Times New Roman"/>
          <w:noProof/>
          <w:sz w:val="24"/>
        </w:rPr>
        <w:t>; (ii) activitățile din cadrul schemei UE de comercializare a certificatelor de emisii (ETS) care at</w:t>
      </w:r>
      <w:r>
        <w:rPr>
          <w:rFonts w:ascii="Times New Roman" w:hAnsi="Times New Roman"/>
          <w:noProof/>
          <w:sz w:val="24"/>
        </w:rPr>
        <w:t>ing previziuni privind emisiile de gaze cu efect de seră care nu sunt mai mici decât valorile de referință relevante</w:t>
      </w:r>
      <w:r>
        <w:rPr>
          <w:rFonts w:ascii="Times New Roman" w:hAnsi="Times New Roman" w:cs="Times New Roman"/>
          <w:noProof/>
          <w:sz w:val="24"/>
          <w:vertAlign w:val="superscript"/>
        </w:rPr>
        <w:footnoteReference w:id="15"/>
      </w:r>
      <w:r>
        <w:rPr>
          <w:rFonts w:ascii="Times New Roman" w:hAnsi="Times New Roman"/>
          <w:noProof/>
          <w:sz w:val="24"/>
        </w:rPr>
        <w:t>; (iii) activitățile legate de depozitele de deșeuri, incineratoare</w:t>
      </w:r>
      <w:r>
        <w:rPr>
          <w:rFonts w:ascii="Times New Roman" w:hAnsi="Times New Roman" w:cs="Times New Roman"/>
          <w:noProof/>
          <w:sz w:val="24"/>
          <w:vertAlign w:val="superscript"/>
        </w:rPr>
        <w:footnoteReference w:id="16"/>
      </w:r>
      <w:r>
        <w:rPr>
          <w:rFonts w:ascii="Times New Roman" w:hAnsi="Times New Roman"/>
          <w:noProof/>
          <w:sz w:val="24"/>
        </w:rPr>
        <w:t xml:space="preserve"> și instalații de tratare mecano-biologică</w:t>
      </w:r>
      <w:r>
        <w:rPr>
          <w:rFonts w:ascii="Times New Roman" w:hAnsi="Times New Roman" w:cs="Times New Roman"/>
          <w:noProof/>
          <w:sz w:val="24"/>
          <w:vertAlign w:val="superscript"/>
        </w:rPr>
        <w:footnoteReference w:id="17"/>
      </w:r>
      <w:r>
        <w:rPr>
          <w:rFonts w:ascii="Times New Roman" w:hAnsi="Times New Roman"/>
          <w:noProof/>
          <w:sz w:val="24"/>
        </w:rPr>
        <w:t>; și (iv) activități în cadr</w:t>
      </w:r>
      <w:r>
        <w:rPr>
          <w:rFonts w:ascii="Times New Roman" w:hAnsi="Times New Roman"/>
          <w:noProof/>
          <w:sz w:val="24"/>
        </w:rPr>
        <w:t>ul cărora eliminarea pe termen lung a deșeurilor poate dăuna mediului. În plus, mandatul impune ca numai activitățile care respectă legislația UE și națională relevantă în materie de mediu să poată fi selectate.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Criteriile de selecție/eligibilitate vizează</w:t>
      </w:r>
      <w:r>
        <w:rPr>
          <w:rFonts w:ascii="Times New Roman" w:hAnsi="Times New Roman"/>
          <w:noProof/>
          <w:sz w:val="24"/>
        </w:rPr>
        <w:t>, de asemenea, următoarele tehnologii și servicii, și anume plățile electronice, vânzările electronice și aplicațiile de facturare electronică, instrumentele pentru publicitatea digitală, sistemele pentru munca la distanță, analiza afacerilor, perfecționar</w:t>
      </w:r>
      <w:r>
        <w:rPr>
          <w:rFonts w:ascii="Times New Roman" w:hAnsi="Times New Roman"/>
          <w:noProof/>
          <w:sz w:val="24"/>
        </w:rPr>
        <w:t>ea digitală, serviciile de backup și de recuperare în caz de dezastru, inteligența artificială, internetul obiectelor, furnizarea de soluții integrate pentru servicii fără contact, sistemele de securitate cibernetică, infrastructurile și serviciile de clou</w:t>
      </w:r>
      <w:r>
        <w:rPr>
          <w:rFonts w:ascii="Times New Roman" w:hAnsi="Times New Roman"/>
          <w:noProof/>
          <w:sz w:val="24"/>
        </w:rPr>
        <w:t xml:space="preserve">d, modelele și software-ul platformelor de date industriale, registrele de numerar și modernizarea ecosistemului POS. </w:t>
      </w:r>
    </w:p>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107"/>
          <w:headerReference w:type="default" r:id="rId108"/>
          <w:footerReference w:type="even" r:id="rId109"/>
          <w:footerReference w:type="default" r:id="rId110"/>
          <w:headerReference w:type="first" r:id="rId111"/>
          <w:footerReference w:type="first" r:id="rId112"/>
          <w:pgSz w:w="11907" w:h="16839"/>
          <w:pgMar w:top="1134" w:right="1418" w:bottom="1134" w:left="1418" w:header="709" w:footer="709" w:gutter="0"/>
          <w:cols w:space="720"/>
          <w:docGrid w:linePitch="360"/>
        </w:sectPr>
      </w:pPr>
    </w:p>
    <w:p w:rsidR="00780A28" w:rsidRDefault="001867D7">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G.2. </w:t>
      </w:r>
      <w:r>
        <w:rPr>
          <w:rFonts w:ascii="Times New Roman" w:hAnsi="Times New Roman"/>
          <w:b/>
          <w:noProof/>
          <w:sz w:val="24"/>
          <w:u w:val="single"/>
        </w:rPr>
        <w:tab/>
      </w:r>
      <w:r>
        <w:rPr>
          <w:rFonts w:ascii="Times New Roman" w:hAnsi="Times New Roman"/>
          <w:b/>
          <w:bCs/>
          <w:noProof/>
          <w:sz w:val="24"/>
          <w:u w:val="single"/>
        </w:rPr>
        <w:t xml:space="preserve">Jaloane, ținte, indicatori și calendarul de monitorizare și implementare </w:t>
      </w:r>
      <w:r>
        <w:rPr>
          <w:rFonts w:ascii="Times New Roman" w:hAnsi="Times New Roman"/>
          <w:b/>
          <w:bCs/>
          <w:noProof/>
          <w:sz w:val="24"/>
          <w:u w:val="single"/>
        </w:rPr>
        <w:t>aplicabile sprijinului financiar nerambursabil</w:t>
      </w:r>
    </w:p>
    <w:p w:rsidR="00780A28" w:rsidRDefault="00780A28">
      <w:pPr>
        <w:keepNext/>
        <w:keepLines/>
        <w:spacing w:before="40" w:after="0" w:line="240" w:lineRule="auto"/>
        <w:jc w:val="both"/>
        <w:outlineLvl w:val="4"/>
        <w:rPr>
          <w:rFonts w:ascii="Cambria" w:eastAsia="Times New Roman" w:hAnsi="Cambria"/>
          <w:noProof/>
          <w:color w:val="365F91"/>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Cea mai importantă investiție 4: Transformarea digitală a IMM-urilor</w:t>
      </w:r>
    </w:p>
    <w:tbl>
      <w:tblPr>
        <w:tblW w:w="14787" w:type="dxa"/>
        <w:jc w:val="center"/>
        <w:tblLayout w:type="fixed"/>
        <w:tblLook w:val="04A0" w:firstRow="1" w:lastRow="0" w:firstColumn="1" w:lastColumn="0" w:noHBand="0" w:noVBand="1"/>
      </w:tblPr>
      <w:tblGrid>
        <w:gridCol w:w="1202"/>
        <w:gridCol w:w="1840"/>
        <w:gridCol w:w="1148"/>
        <w:gridCol w:w="1296"/>
        <w:gridCol w:w="1337"/>
        <w:gridCol w:w="925"/>
        <w:gridCol w:w="933"/>
        <w:gridCol w:w="1027"/>
        <w:gridCol w:w="837"/>
        <w:gridCol w:w="843"/>
        <w:gridCol w:w="3399"/>
      </w:tblGrid>
      <w:tr w:rsidR="00780A28">
        <w:trPr>
          <w:trHeight w:val="927"/>
          <w:tblHeader/>
          <w:jc w:val="center"/>
        </w:trPr>
        <w:tc>
          <w:tcPr>
            <w:tcW w:w="120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29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33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885"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w:t>
            </w:r>
            <w:r>
              <w:rPr>
                <w:rFonts w:ascii="Times New Roman" w:hAnsi="Times New Roman"/>
                <w:b/>
                <w:bCs/>
                <w:noProof/>
                <w:sz w:val="18"/>
                <w:szCs w:val="18"/>
              </w:rPr>
              <w:t>tru ținte)</w:t>
            </w:r>
          </w:p>
        </w:tc>
        <w:tc>
          <w:tcPr>
            <w:tcW w:w="1680"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3399"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blHeader/>
          <w:jc w:val="center"/>
        </w:trPr>
        <w:tc>
          <w:tcPr>
            <w:tcW w:w="120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4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96"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25"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3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102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3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84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3399"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jc w:val="center"/>
        </w:trPr>
        <w:tc>
          <w:tcPr>
            <w:tcW w:w="1202"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130</w:t>
            </w:r>
          </w:p>
        </w:tc>
        <w:tc>
          <w:tcPr>
            <w:tcW w:w="184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7 -</w:t>
            </w:r>
            <w:r>
              <w:rPr>
                <w:noProof/>
                <w:color w:val="006100"/>
                <w:sz w:val="18"/>
                <w:szCs w:val="18"/>
              </w:rPr>
              <w:t xml:space="preserve"> 2.3. Digitalizarea întreprinderilor — 16706_Transformarea digitală a IMM-urilor</w:t>
            </w:r>
          </w:p>
        </w:tc>
        <w:tc>
          <w:tcPr>
            <w:tcW w:w="114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Transformarea digitală a IMM-urilor — cereri de propuneri</w:t>
            </w:r>
          </w:p>
        </w:tc>
        <w:tc>
          <w:tcPr>
            <w:tcW w:w="13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Cerere de propuneri publicată</w:t>
            </w:r>
          </w:p>
        </w:tc>
        <w:tc>
          <w:tcPr>
            <w:tcW w:w="92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3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2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84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3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Lansarea tuturor cererilor competitive de propuneri pentru finanțarea</w:t>
            </w:r>
            <w:r>
              <w:rPr>
                <w:noProof/>
                <w:color w:val="006100"/>
                <w:sz w:val="18"/>
                <w:szCs w:val="18"/>
              </w:rPr>
              <w:t xml:space="preserve"> sistemului de bonuri valorice pentru transformarea digitală a întreprinderilor (subproiectele 1), a platformelor de date industriale și a spațiilor de date (subproiectele 2) și a registrelor de numerar și a modernizării ecosistemului POS (subproiectele 4)</w:t>
            </w:r>
            <w:r>
              <w:rPr>
                <w:noProof/>
                <w:color w:val="006100"/>
                <w:sz w:val="18"/>
                <w:szCs w:val="18"/>
              </w:rPr>
              <w:t>, cu termeni de referință care să includă criterii de eligibilitate care să garanteze că proiectele selectate respectă Orientările tehnice bazate pe principiul de „a nu aduce prejudicii semnificative” (2021/C58/01) prin utilizarea unei liste de excludere ș</w:t>
            </w:r>
            <w:r>
              <w:rPr>
                <w:noProof/>
                <w:color w:val="006100"/>
                <w:sz w:val="18"/>
                <w:szCs w:val="18"/>
              </w:rPr>
              <w:t xml:space="preserve">i a cerinței de respectare a legislației relevante de mediu la nivelul UE și la nivel național.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Investițiile vizează tehnologiile și serviciile de promovare a digitalizării întreprinderilor mici și mijlocii, și anume aplicațiile de plată electronică, de </w:t>
            </w:r>
            <w:r>
              <w:rPr>
                <w:noProof/>
                <w:color w:val="006100"/>
                <w:sz w:val="18"/>
                <w:szCs w:val="18"/>
              </w:rPr>
              <w:t>vânzare electronică și de facturare electronică, instrumentele pentru publicitatea digitală, sistemele de lucru la distanță, analiza întreprinderilor, perfecționarea digitală, serviciile de backup și de recuperare în caz de dezastru, inteligența artificial</w:t>
            </w:r>
            <w:r>
              <w:rPr>
                <w:noProof/>
                <w:color w:val="006100"/>
                <w:sz w:val="18"/>
                <w:szCs w:val="18"/>
              </w:rPr>
              <w:t>ă, internetul obiectelor, furnizarea de soluții integrate pentru servicii fără contact, sistemele de securitate cibernetică, infrastructurile și serviciile de cloud, modelele și software-ul platformelor industriale de date, registrele de numerar și moderni</w:t>
            </w:r>
            <w:r>
              <w:rPr>
                <w:noProof/>
                <w:color w:val="006100"/>
                <w:sz w:val="18"/>
                <w:szCs w:val="18"/>
              </w:rPr>
              <w:t xml:space="preserve">zarea ecosistemului POS. </w:t>
            </w:r>
          </w:p>
        </w:tc>
      </w:tr>
      <w:tr w:rsidR="00780A28">
        <w:trPr>
          <w:trHeight w:val="309"/>
          <w:jc w:val="center"/>
        </w:trPr>
        <w:tc>
          <w:tcPr>
            <w:tcW w:w="1202"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131</w:t>
            </w:r>
          </w:p>
        </w:tc>
        <w:tc>
          <w:tcPr>
            <w:tcW w:w="184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7 - 2.3. Digitalizarea întreprinderilor — 16706_Transformarea digitală a IMM-urilor</w:t>
            </w:r>
          </w:p>
        </w:tc>
        <w:tc>
          <w:tcPr>
            <w:tcW w:w="114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Transformarea digitală a IMM-urilor — Furnizarea de produse și servicii</w:t>
            </w:r>
          </w:p>
        </w:tc>
        <w:tc>
          <w:tcPr>
            <w:tcW w:w="13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Ministerului Guvernanței Digitale care atestă implementarea integrală a tuturor celor 4 subproiecte, inclusiv următoarele obiective: 100 000 de IMM-uri sprijinite cu bonuri valorice pentru digitalizare (subproiectul 1), 1000 de IMM-uri sprijinite </w:t>
            </w:r>
            <w:r>
              <w:rPr>
                <w:noProof/>
                <w:color w:val="006100"/>
                <w:sz w:val="18"/>
                <w:szCs w:val="18"/>
              </w:rPr>
              <w:t>prin sistemul de bonuri valorice doar în tranziția lor către cloud (subproiectul 2); Au fost înființate 4 platforme de date industriale de tip far și platforma Gaia X pentru IMM-uri (subproiectul 3). Subproiectul 4 s-a încheiat cu modernizarea a 500 000 ca</w:t>
            </w:r>
            <w:r>
              <w:rPr>
                <w:noProof/>
                <w:color w:val="006100"/>
                <w:sz w:val="18"/>
                <w:szCs w:val="18"/>
              </w:rPr>
              <w:t xml:space="preserve">se de înregistrare și înlocuirea a 100 000 sisteme POS. </w:t>
            </w:r>
          </w:p>
        </w:tc>
        <w:tc>
          <w:tcPr>
            <w:tcW w:w="92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3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2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84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3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Selectarea beneficiarilor și furnizarea de echipamente și servicii către IMM-uri în cadrul cererilor competitive de propuneri, în conformitate cu Orientările tehnice bazate pe principiul d</w:t>
            </w:r>
            <w:r>
              <w:rPr>
                <w:noProof/>
                <w:color w:val="006100"/>
                <w:sz w:val="18"/>
                <w:szCs w:val="18"/>
              </w:rPr>
              <w:t xml:space="preserve">e „a nu aduce prejudicii semnificative” (2021/C58/01) prin utilizarea unei liste de excludere și a cerinței de conformitate cu legislația UE și națională relevantă în materie de mediu. Notificarea se referă în special la următoarele elemente: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În cadrul </w:t>
            </w:r>
            <w:r>
              <w:rPr>
                <w:noProof/>
                <w:color w:val="006100"/>
                <w:sz w:val="18"/>
                <w:szCs w:val="18"/>
              </w:rPr>
              <w:t>subproiectului 1: 100 000 de IMM-uri au primit sprijin pentru digitalizare finanțat prin sistemul de bonuri valorice;</w:t>
            </w:r>
          </w:p>
          <w:p w:rsidR="00780A28" w:rsidRDefault="001867D7">
            <w:pPr>
              <w:spacing w:after="0" w:line="240" w:lineRule="auto"/>
              <w:rPr>
                <w:rFonts w:eastAsia="Times New Roman" w:cs="Calibri"/>
                <w:noProof/>
                <w:color w:val="006100"/>
                <w:sz w:val="18"/>
                <w:szCs w:val="18"/>
              </w:rPr>
            </w:pPr>
            <w:r>
              <w:rPr>
                <w:noProof/>
                <w:color w:val="006100"/>
                <w:sz w:val="18"/>
                <w:szCs w:val="18"/>
              </w:rPr>
              <w:t>— În cadrul subproiectului 2: infrastructură de tip cloud finalizată, 1 000 de IMM-uri sprijinite financiar prin sistemul de bonuri valori</w:t>
            </w:r>
            <w:r>
              <w:rPr>
                <w:noProof/>
                <w:color w:val="006100"/>
                <w:sz w:val="18"/>
                <w:szCs w:val="18"/>
              </w:rPr>
              <w:t>ce doar în tranziția lor către cloud, modelul platformelor de date industriale (PSI) furnizat și centrul pentru IMM-uri Gaia-X din Grecia, și au fost înființate 4 PSI de tip „far”;</w:t>
            </w:r>
          </w:p>
          <w:p w:rsidR="00780A28" w:rsidRDefault="001867D7">
            <w:pPr>
              <w:spacing w:after="0" w:line="240" w:lineRule="auto"/>
              <w:rPr>
                <w:rFonts w:eastAsia="Times New Roman" w:cs="Calibri"/>
                <w:noProof/>
                <w:color w:val="006100"/>
                <w:sz w:val="18"/>
                <w:szCs w:val="18"/>
              </w:rPr>
            </w:pPr>
            <w:r>
              <w:rPr>
                <w:noProof/>
                <w:color w:val="006100"/>
                <w:sz w:val="18"/>
                <w:szCs w:val="18"/>
              </w:rPr>
              <w:t>— În cadrul subproiectului 4: 500 000 case de marcat modernizate sau înlocu</w:t>
            </w:r>
            <w:r>
              <w:rPr>
                <w:noProof/>
                <w:color w:val="006100"/>
                <w:sz w:val="18"/>
                <w:szCs w:val="18"/>
              </w:rPr>
              <w:t>ite cu soluții informatice, 100 000 sisteme vechi POS înlocuite</w:t>
            </w:r>
          </w:p>
          <w:p w:rsidR="00780A28" w:rsidRDefault="001867D7">
            <w:pPr>
              <w:spacing w:after="0" w:line="240" w:lineRule="auto"/>
              <w:rPr>
                <w:rFonts w:eastAsia="Times New Roman" w:cs="Calibri"/>
                <w:noProof/>
                <w:color w:val="006100"/>
                <w:sz w:val="18"/>
                <w:szCs w:val="18"/>
              </w:rPr>
            </w:pPr>
            <w:r>
              <w:rPr>
                <w:noProof/>
                <w:color w:val="006100"/>
                <w:sz w:val="18"/>
                <w:szCs w:val="18"/>
              </w:rPr>
              <w:t>(furnizați certificarea din partea beneficiarilor cu privire la integrarea noilor tehnologii/produse/dovezi de plată pentru a atesta achiziționarea de produse și servicii).</w:t>
            </w:r>
          </w:p>
        </w:tc>
      </w:tr>
      <w:tr w:rsidR="00780A28">
        <w:trPr>
          <w:trHeight w:val="309"/>
          <w:jc w:val="center"/>
        </w:trPr>
        <w:tc>
          <w:tcPr>
            <w:tcW w:w="1202"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132</w:t>
            </w:r>
          </w:p>
        </w:tc>
        <w:tc>
          <w:tcPr>
            <w:tcW w:w="184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7 - 2.3. </w:t>
            </w:r>
            <w:r>
              <w:rPr>
                <w:noProof/>
                <w:color w:val="006100"/>
                <w:sz w:val="18"/>
                <w:szCs w:val="18"/>
              </w:rPr>
              <w:t>Digitalizarea întreprinderilor — 16973_Stabilirea unui ecosistem de afaceri digitale și introducerea de stimulente fiscale pentru facilitarea transformării digitale a IMM-urilor</w:t>
            </w:r>
          </w:p>
        </w:tc>
        <w:tc>
          <w:tcPr>
            <w:tcW w:w="114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Transformarea digitală a IMM-urilor Reforma legislativă pentru a stimula</w:t>
            </w:r>
            <w:r>
              <w:rPr>
                <w:noProof/>
                <w:color w:val="006100"/>
                <w:sz w:val="18"/>
                <w:szCs w:val="18"/>
              </w:rPr>
              <w:t xml:space="preserve"> adoptarea tehnologiilor</w:t>
            </w:r>
          </w:p>
        </w:tc>
        <w:tc>
          <w:tcPr>
            <w:tcW w:w="133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primare și a actelor secundare ale guvernului, relevante pentru introducerea stimulentelor fiscale pentru investițiile digitale, și rapoartele Ministerului Guvernanței Digitale care documentează instituirea unui ecosistem </w:t>
            </w:r>
            <w:r>
              <w:rPr>
                <w:noProof/>
                <w:color w:val="006100"/>
                <w:sz w:val="18"/>
                <w:szCs w:val="18"/>
              </w:rPr>
              <w:t xml:space="preserve">de afaceri digitale. </w:t>
            </w:r>
          </w:p>
        </w:tc>
        <w:tc>
          <w:tcPr>
            <w:tcW w:w="92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3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2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3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Q2</w:t>
            </w:r>
          </w:p>
        </w:tc>
        <w:tc>
          <w:tcPr>
            <w:tcW w:w="84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39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Să identifice și să pună în aplicare acțiuni pentru instituirea unui ecosistem de afaceri digital care să stimuleze transformarea digitală a IMM-urilor, în special prin (a) crearea de infrastructuri digitale prin finanțare</w:t>
            </w:r>
            <w:r>
              <w:rPr>
                <w:noProof/>
                <w:color w:val="006100"/>
                <w:sz w:val="18"/>
                <w:szCs w:val="18"/>
              </w:rPr>
              <w:t>a furnizării și a punerii în aplicare de instrumente și procese digitale, precum și prin creșterea gradului de conștientizare digitală a directorilor de afaceri și (b) prin stimularea directă a investițiilor în transformarea digitală, utilizând superdeduce</w:t>
            </w:r>
            <w:r>
              <w:rPr>
                <w:noProof/>
                <w:color w:val="006100"/>
                <w:sz w:val="18"/>
                <w:szCs w:val="18"/>
              </w:rPr>
              <w:t>rea investițiilor în active corporale și necorporale pentru a schimba mediul de afaceri și a crește investițiile în tehnologiile digitale moderne.</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Legislația privind stimulentele fiscale pentru sprijinirea tranziției verzi a economiei, a energiei și a tra</w:t>
            </w:r>
            <w:r>
              <w:rPr>
                <w:noProof/>
                <w:color w:val="006100"/>
                <w:sz w:val="18"/>
                <w:szCs w:val="18"/>
              </w:rPr>
              <w:t>nziției digitale respectă criteriile de eligibilitate care asigură conformitatea proiectelor selectate cu Orientările tehnice bazate pe principiul de „a nu aduce prejudicii semnificative” (2021/C58/01) prin utilizarea unei liste de excludere și prin cerinț</w:t>
            </w:r>
            <w:r>
              <w:rPr>
                <w:noProof/>
                <w:color w:val="006100"/>
                <w:sz w:val="18"/>
                <w:szCs w:val="18"/>
              </w:rPr>
              <w:t>a de conformitate cu legislația UE și națională relevantă în materie de mediu.</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Investițiile vizează stimularea investițiilor în transformarea digitală, și anume achiziționarea de produse și servicii legate de plățile electronice, vânzările electronice și </w:t>
            </w:r>
            <w:r>
              <w:rPr>
                <w:noProof/>
                <w:color w:val="006100"/>
                <w:sz w:val="18"/>
                <w:szCs w:val="18"/>
              </w:rPr>
              <w:t>aplicațiile de facturare electronică, instrumentele pentru publicitatea digitală, sistemele de lucru la distanță, analiza afacerilor, perfecționarea digitală, serviciile de backup și de recuperare în caz de dezastru, inteligența artificială, internetul obi</w:t>
            </w:r>
            <w:r>
              <w:rPr>
                <w:noProof/>
                <w:color w:val="006100"/>
                <w:sz w:val="18"/>
                <w:szCs w:val="18"/>
              </w:rPr>
              <w:t>ectelor, soluțiile integrate pentru servicii fără contact, sistemele de securitate cibernetică, infrastructurile și serviciile de cloud, modelele și software-ul platformelor de date industriale, registrele de numerar și modernizarea ecosistemului POS.</w:t>
            </w:r>
          </w:p>
        </w:tc>
      </w:tr>
    </w:tbl>
    <w:p w:rsidR="00780A28" w:rsidRDefault="00780A28">
      <w:pPr>
        <w:spacing w:before="120" w:after="120" w:line="240" w:lineRule="auto"/>
        <w:jc w:val="both"/>
        <w:outlineLvl w:val="3"/>
        <w:rPr>
          <w:rFonts w:ascii="Times New Roman" w:hAnsi="Times New Roman" w:cs="Times New Roman"/>
          <w:b/>
          <w:bCs/>
          <w:noProof/>
          <w:sz w:val="24"/>
        </w:rPr>
        <w:sectPr w:rsidR="00780A28">
          <w:headerReference w:type="even" r:id="rId113"/>
          <w:headerReference w:type="default" r:id="rId114"/>
          <w:footerReference w:type="even" r:id="rId115"/>
          <w:footerReference w:type="default" r:id="rId116"/>
          <w:headerReference w:type="first" r:id="rId117"/>
          <w:footerReference w:type="first" r:id="rId118"/>
          <w:pgSz w:w="16839" w:h="11907" w:orient="landscape"/>
          <w:pgMar w:top="1417" w:right="1134" w:bottom="1417" w:left="1134" w:header="709" w:footer="709" w:gutter="0"/>
          <w:cols w:space="720"/>
          <w:docGrid w:linePitch="360"/>
        </w:sectPr>
      </w:pPr>
    </w:p>
    <w:p w:rsidR="00780A28" w:rsidRDefault="00780A28">
      <w:pPr>
        <w:spacing w:before="120" w:after="120" w:line="240" w:lineRule="auto"/>
        <w:ind w:left="680" w:firstLine="6"/>
        <w:jc w:val="both"/>
        <w:outlineLvl w:val="3"/>
        <w:rPr>
          <w:rFonts w:ascii="Times New Roman" w:hAnsi="Times New Roman" w:cs="Times New Roman"/>
          <w:b/>
          <w:bCs/>
          <w:noProof/>
          <w:sz w:val="24"/>
        </w:rPr>
        <w:sectPr w:rsidR="00780A28">
          <w:headerReference w:type="even" r:id="rId119"/>
          <w:headerReference w:type="default" r:id="rId120"/>
          <w:footerReference w:type="even" r:id="rId121"/>
          <w:footerReference w:type="default" r:id="rId122"/>
          <w:headerReference w:type="first" r:id="rId123"/>
          <w:footerReference w:type="first" r:id="rId124"/>
          <w:pgSz w:w="11907" w:h="16839"/>
          <w:pgMar w:top="1134" w:right="1417" w:bottom="1134" w:left="1417" w:header="709" w:footer="709" w:gutter="0"/>
          <w:pgNumType w:start="89"/>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H. COMPONENTA 3.1: PROMOVAREA CREĂRII DE LOCURI DE MUNCĂ ȘI A PARTICIPĂRII PE PIAȚA MUNCII</w:t>
      </w:r>
    </w:p>
    <w:p w:rsidR="00780A28" w:rsidRDefault="001867D7">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color w:val="000000"/>
          <w:sz w:val="24"/>
          <w:shd w:val="clear" w:color="auto" w:fill="FFFFFF"/>
        </w:rPr>
        <w:t xml:space="preserve">Această componentă a planului de redresare și </w:t>
      </w:r>
      <w:r>
        <w:rPr>
          <w:rFonts w:ascii="Times New Roman" w:hAnsi="Times New Roman"/>
          <w:noProof/>
          <w:color w:val="000000"/>
          <w:sz w:val="24"/>
          <w:shd w:val="clear" w:color="auto" w:fill="FFFFFF"/>
        </w:rPr>
        <w:t>reziliență al Greciei implică măsuri de reproiectare și consolidare a politicilor active în domeniul pieței forței de muncă, de îmbunătățire a eficienței serviciilor publice de ocupare a forței de muncă și de asigurare a unei plase de siguranță eficace împ</w:t>
      </w:r>
      <w:r>
        <w:rPr>
          <w:rFonts w:ascii="Times New Roman" w:hAnsi="Times New Roman"/>
          <w:noProof/>
          <w:color w:val="000000"/>
          <w:sz w:val="24"/>
          <w:shd w:val="clear" w:color="auto" w:fill="FFFFFF"/>
        </w:rPr>
        <w:t>otriva șomajului, consolidând, în același timp, stimulentele pentru reintrarea pe piața forței de muncă.</w:t>
      </w:r>
      <w:r>
        <w:rPr>
          <w:rFonts w:ascii="Times New Roman" w:hAnsi="Times New Roman"/>
          <w:b/>
          <w:noProof/>
          <w:color w:val="000000"/>
          <w:sz w:val="24"/>
          <w:shd w:val="clear" w:color="auto" w:fill="FFFFFF"/>
        </w:rPr>
        <w:t xml:space="preserve"> </w:t>
      </w:r>
      <w:r>
        <w:rPr>
          <w:rFonts w:ascii="Times New Roman" w:hAnsi="Times New Roman"/>
          <w:noProof/>
          <w:color w:val="000000"/>
          <w:sz w:val="24"/>
          <w:shd w:val="clear" w:color="auto" w:fill="FFFFFF"/>
        </w:rPr>
        <w:t>Cea mai mare parte a măsurilor componente se concentrează pe politicile active în domeniul pieței forței de muncă</w:t>
      </w:r>
      <w:r>
        <w:rPr>
          <w:rFonts w:ascii="Times New Roman" w:hAnsi="Times New Roman"/>
          <w:noProof/>
          <w:sz w:val="24"/>
        </w:rPr>
        <w:t xml:space="preserve">, inclusiv pe programele de activare </w:t>
      </w:r>
      <w:r>
        <w:rPr>
          <w:rFonts w:ascii="Times New Roman" w:hAnsi="Times New Roman"/>
          <w:noProof/>
          <w:sz w:val="24"/>
        </w:rPr>
        <w:t xml:space="preserve">care subvenționează ocuparea forței de muncă în sectorul privat și promovează perfecționarea și recalificarea forței de muncă, precum și investițiile menite să stimuleze capacitatea serviciului public de ocupare a forței de muncă (OAED) prin îmbunătățirea </w:t>
      </w:r>
      <w:r>
        <w:rPr>
          <w:rFonts w:ascii="Times New Roman" w:hAnsi="Times New Roman"/>
          <w:noProof/>
          <w:sz w:val="24"/>
        </w:rPr>
        <w:t>digitalizării și a serviciilor de consiliere.</w:t>
      </w:r>
      <w:r>
        <w:rPr>
          <w:rFonts w:ascii="Times New Roman" w:hAnsi="Times New Roman"/>
          <w:noProof/>
          <w:color w:val="000000"/>
          <w:sz w:val="24"/>
          <w:shd w:val="clear" w:color="auto" w:fill="FFFFFF"/>
        </w:rPr>
        <w:t xml:space="preserve"> În cadrul reformei politicilor pasive privind piața forței de muncă, planul</w:t>
      </w:r>
      <w:r>
        <w:rPr>
          <w:rFonts w:ascii="Times New Roman" w:hAnsi="Times New Roman"/>
          <w:noProof/>
          <w:sz w:val="24"/>
        </w:rPr>
        <w:t xml:space="preserve"> urmărește să îmbunătățească acoperirea și distribuția prestațiilor de șomaj, să consolideze plasa de siguranță socială, să promoveze p</w:t>
      </w:r>
      <w:r>
        <w:rPr>
          <w:rFonts w:ascii="Times New Roman" w:hAnsi="Times New Roman"/>
          <w:noProof/>
          <w:sz w:val="24"/>
        </w:rPr>
        <w:t>articiparea pe piața forței de muncă, inclusiv în rândul grupurilor vulnerabile, și să îmbunătățească eficiența și eficacitatea sistemului de protecție socială.</w:t>
      </w:r>
      <w:r>
        <w:rPr>
          <w:rFonts w:ascii="Times New Roman" w:hAnsi="Times New Roman"/>
          <w:noProof/>
          <w:color w:val="000000"/>
          <w:sz w:val="24"/>
          <w:shd w:val="clear" w:color="auto" w:fill="FFFFFF"/>
        </w:rPr>
        <w:t xml:space="preserve"> Componenta este în conformitate cu recomandările specifice fiecărei țări pentru a asigura un sp</w:t>
      </w:r>
      <w:r>
        <w:rPr>
          <w:rFonts w:ascii="Times New Roman" w:hAnsi="Times New Roman"/>
          <w:noProof/>
          <w:color w:val="000000"/>
          <w:sz w:val="24"/>
          <w:shd w:val="clear" w:color="auto" w:fill="FFFFFF"/>
        </w:rPr>
        <w:t xml:space="preserve">rijin eficace pentru activarea pieței forței de muncă, pentru a investi în competențe și în capacitatea de inserție profesională și pentru a îmbunătăți digitalizarea administrației publice (recomandările specifice fiecărei țări 2 și 3 2020 și recomandarea </w:t>
      </w:r>
      <w:r>
        <w:rPr>
          <w:rFonts w:ascii="Times New Roman" w:hAnsi="Times New Roman"/>
          <w:noProof/>
          <w:color w:val="000000"/>
          <w:sz w:val="24"/>
          <w:shd w:val="clear" w:color="auto" w:fill="FFFFFF"/>
        </w:rPr>
        <w:t xml:space="preserve">specifică fiecărei țări 2 2019). În plus, axându-se, printre altele, pe promovarea competențelor și a ocupării forței de muncă în sectorul digital și în cel verde, componenta sprijină tranziția digitală și tranziția verde. </w:t>
      </w:r>
      <w:r>
        <w:rPr>
          <w:rFonts w:ascii="Times New Roman" w:hAnsi="Times New Roman"/>
          <w:noProof/>
          <w:sz w:val="24"/>
        </w:rPr>
        <w:t xml:space="preserve">Este de așteptat ca nicio măsură </w:t>
      </w:r>
      <w:r>
        <w:rPr>
          <w:rFonts w:ascii="Times New Roman" w:hAnsi="Times New Roman"/>
          <w:noProof/>
          <w:sz w:val="24"/>
        </w:rPr>
        <w:t>din cadrul acestei componente să nu afecteze în mod semnificativ obiectivele de mediu în sensul articolului 17 din Regulamentul (UE) 2020/852, ținând seama de descrierea măsurilor și a măsurilor de atenuare stabilite în planul de redresare și reziliență în</w:t>
      </w:r>
      <w:r>
        <w:rPr>
          <w:rFonts w:ascii="Times New Roman" w:hAnsi="Times New Roman"/>
          <w:noProof/>
          <w:sz w:val="24"/>
        </w:rPr>
        <w:t xml:space="preserve"> conformitate cu Orientările tehnice bazate pe principiul de „a nu aduce prejudicii semnificative” (2021/C58/01).</w:t>
      </w:r>
    </w:p>
    <w:p w:rsidR="00780A28" w:rsidRDefault="001867D7">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H.1. 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Reforma: </w:t>
      </w:r>
      <w:r>
        <w:rPr>
          <w:rFonts w:ascii="Times New Roman" w:hAnsi="Times New Roman"/>
          <w:noProof/>
          <w:sz w:val="24"/>
        </w:rPr>
        <w:t>Modernizarea și si</w:t>
      </w:r>
      <w:r>
        <w:rPr>
          <w:rFonts w:ascii="Times New Roman" w:hAnsi="Times New Roman"/>
          <w:noProof/>
          <w:sz w:val="24"/>
        </w:rPr>
        <w:t>mplificarea dreptului muncii (numărul de identificare al măsurii: 16744)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implică intrarea în vigoare a unei legi cuprinzătoare a muncii care să raționalizeze aspectele-cheie ale pieței forței de muncă în vederea îmbunătățirii funcționării acesteia.</w:t>
      </w:r>
      <w:r>
        <w:rPr>
          <w:rFonts w:ascii="Times New Roman" w:hAnsi="Times New Roman"/>
          <w:noProof/>
          <w:sz w:val="24"/>
        </w:rPr>
        <w:t xml:space="preserve"> În special, reforma vizează modernizarea a) legii muncii individuale, b) a legii muncii colective și a dreptului sindical, c) sistemului informatic ERGANI al Ministerului Muncii, care este utilizat pentru monitorizarea pieței muncii și pentru detectarea m</w:t>
      </w:r>
      <w:r>
        <w:rPr>
          <w:rFonts w:ascii="Times New Roman" w:hAnsi="Times New Roman"/>
          <w:noProof/>
          <w:sz w:val="24"/>
        </w:rPr>
        <w:t>uncii nedeclarate și nedeclarate și d) a cadrului privind echilibrul dintre viața profesională și cea privată. Obiectivele principale ale reformei sunt creșterea creării de locuri de muncă și a competitivității, combaterea muncii nedeclarate și subdeclarat</w:t>
      </w:r>
      <w:r>
        <w:rPr>
          <w:rFonts w:ascii="Times New Roman" w:hAnsi="Times New Roman"/>
          <w:noProof/>
          <w:sz w:val="24"/>
        </w:rPr>
        <w:t>e, îmbunătățirea echilibrului dintre viața profesională și cea privată și reducerea disparităților de gen în ceea ce privește ocuparea forței de muncă. Implementarea reformei trebuie finalizată până la 30 septembrie 2021.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w:t>
      </w:r>
      <w:r>
        <w:rPr>
          <w:rFonts w:ascii="Times New Roman" w:hAnsi="Times New Roman"/>
          <w:noProof/>
          <w:sz w:val="24"/>
        </w:rPr>
        <w:t xml:space="preserve"> a sistemelor de muncă (numărul de identificare al măsurii: 16750)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se axează pe modernizarea capacității administrației publice de a oferi servicii mai bune și mai rapide angajaților și angajatorilor, cu scopul de a reduce birocrația, de a îmbun</w:t>
      </w:r>
      <w:r>
        <w:rPr>
          <w:rFonts w:ascii="Times New Roman" w:hAnsi="Times New Roman"/>
          <w:noProof/>
          <w:sz w:val="24"/>
        </w:rPr>
        <w:t>ătăți eficacitatea mecanismelor de monitorizare a pieței muncii, de a reduce munca nedeclarată și nedeclarată și de a obține date exacte și în timp util. În special, investiția constă în modernizarea infrastructurii digitale a e-EFKA (Fondul unificat de se</w:t>
      </w:r>
      <w:r>
        <w:rPr>
          <w:rFonts w:ascii="Times New Roman" w:hAnsi="Times New Roman"/>
          <w:noProof/>
          <w:sz w:val="24"/>
        </w:rPr>
        <w:t>curitate socială), inclusiv sistemul digital de acordare a pensiilor (ATLAS), și în interconectarea sistemelor informatice disparate (ERGANI, EFKA și SEPE) în cadrul unui sistem unic (ARIADNE). În cele din urmă, investiția include instituirea unui sistem i</w:t>
      </w:r>
      <w:r>
        <w:rPr>
          <w:rFonts w:ascii="Times New Roman" w:hAnsi="Times New Roman"/>
          <w:noProof/>
          <w:sz w:val="24"/>
        </w:rPr>
        <w:t>nformatic integrat pentru aspecte legate de sănătatea și siguranța la locul de muncă (HERIDANOS). Implementarea investiției trebuie finalizată până la 31 decembrie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Reforma politicilor active în domeniul pieței forței de muncă (numărul de ide</w:t>
      </w:r>
      <w:r>
        <w:rPr>
          <w:rFonts w:ascii="Times New Roman" w:hAnsi="Times New Roman"/>
          <w:noProof/>
          <w:sz w:val="24"/>
        </w:rPr>
        <w:t>ntificare al măsurii: 16747)</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politicilor active în domeniul pieței forței de muncă (ALMP) vizează maximizarea eficacității acestora prin reproiectarea și consolidarea programelor de subvenționare a salariilor și prin tranziția treptată către un nou</w:t>
      </w:r>
      <w:r>
        <w:rPr>
          <w:rFonts w:ascii="Times New Roman" w:hAnsi="Times New Roman"/>
          <w:noProof/>
          <w:sz w:val="24"/>
        </w:rPr>
        <w:t xml:space="preserve"> model de punere în aplicare a politicilor active în domeniul pieței forței de muncă. Reforma este însoțită de investiții semnificative. Aceasta include în special: </w:t>
      </w:r>
      <w:r>
        <w:rPr>
          <w:rFonts w:ascii="Times New Roman" w:hAnsi="Times New Roman"/>
          <w:noProof/>
          <w:color w:val="000000"/>
          <w:sz w:val="24"/>
          <w:shd w:val="clear" w:color="auto" w:fill="FFFFFF"/>
        </w:rPr>
        <w:t>a) cinci programe specifice pe termen scurt care subvenționează ocuparea forței de muncă în</w:t>
      </w:r>
      <w:r>
        <w:rPr>
          <w:rFonts w:ascii="Times New Roman" w:hAnsi="Times New Roman"/>
          <w:noProof/>
          <w:color w:val="000000"/>
          <w:sz w:val="24"/>
          <w:shd w:val="clear" w:color="auto" w:fill="FFFFFF"/>
        </w:rPr>
        <w:t xml:space="preserve"> sectorul privat pentru 52 000 de șomeri (inclusiv un program care combină formarea cu sprijinul pentru ocuparea forței de muncă), b) punerea în aplicare a noului model pilot de punere în aplicare a unui cadru deschis pentru ALMP în trei zone geografice su</w:t>
      </w:r>
      <w:r>
        <w:rPr>
          <w:rFonts w:ascii="Times New Roman" w:hAnsi="Times New Roman"/>
          <w:noProof/>
          <w:color w:val="000000"/>
          <w:sz w:val="24"/>
          <w:shd w:val="clear" w:color="auto" w:fill="FFFFFF"/>
        </w:rPr>
        <w:t xml:space="preserve">plimentare (în care participanților li se vor oferi 22 500 de programe de formare, 15 000 subvenții pentru ocuparea forței de muncă și 852 de subvenții pentru antreprenoriat), c) consolidarea temporară a personalului de consiliere al Serviciului public de </w:t>
      </w:r>
      <w:r>
        <w:rPr>
          <w:rFonts w:ascii="Times New Roman" w:hAnsi="Times New Roman"/>
          <w:noProof/>
          <w:color w:val="000000"/>
          <w:sz w:val="24"/>
          <w:shd w:val="clear" w:color="auto" w:fill="FFFFFF"/>
        </w:rPr>
        <w:t xml:space="preserve">ocupare a forței de muncă (600 de consilieri suplimentari pe o perioadă de 4 ani) și d) formarea personalului de consiliere. </w:t>
      </w:r>
      <w:r>
        <w:rPr>
          <w:rFonts w:ascii="Times New Roman" w:hAnsi="Times New Roman"/>
          <w:noProof/>
          <w:sz w:val="24"/>
        </w:rPr>
        <w:t>O parte dedicată a granturilor alocate va contribui la crearea de competențe și locuri de muncă verzi în economia ecologică. Implem</w:t>
      </w:r>
      <w:r>
        <w:rPr>
          <w:rFonts w:ascii="Times New Roman" w:hAnsi="Times New Roman"/>
          <w:noProof/>
          <w:sz w:val="24"/>
        </w:rPr>
        <w:t>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Reforma politicilor pasive privind piața forței de muncă în vederea sprijinirii tranziției către ocuparea forței de muncă (numărul de identificare al măsurii: 16746)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Reforma </w:t>
      </w:r>
      <w:r>
        <w:rPr>
          <w:rFonts w:ascii="Times New Roman" w:hAnsi="Times New Roman"/>
          <w:noProof/>
          <w:color w:val="000000"/>
          <w:sz w:val="24"/>
          <w:shd w:val="clear" w:color="auto" w:fill="FFFFFF"/>
        </w:rPr>
        <w:t>implică do</w:t>
      </w:r>
      <w:r>
        <w:rPr>
          <w:rFonts w:ascii="Times New Roman" w:hAnsi="Times New Roman"/>
          <w:noProof/>
          <w:color w:val="000000"/>
          <w:sz w:val="24"/>
          <w:shd w:val="clear" w:color="auto" w:fill="FFFFFF"/>
        </w:rPr>
        <w:t>uă proiecte-pilot pentru reformarea sistemului asigurărilor pentru șomaj. Aceste proiecte vor testa efectele asupra pieței forței de muncă (a) o creștere a nivelului și a acoperirii prestațiilor de șomaj pe termen lung și b) o indexare a indemnizației stan</w:t>
      </w:r>
      <w:r>
        <w:rPr>
          <w:rFonts w:ascii="Times New Roman" w:hAnsi="Times New Roman"/>
          <w:noProof/>
          <w:color w:val="000000"/>
          <w:sz w:val="24"/>
          <w:shd w:val="clear" w:color="auto" w:fill="FFFFFF"/>
        </w:rPr>
        <w:t xml:space="preserve">dard de șomaj la cel mai recent nivel salarial net. În plus, planul include reforme cu costuri zero care vizează a) îmbunătățirea în continuare a cadrului de obligații reciproce care se aplică în prezent între serviciul public de ocupare a forței de muncă </w:t>
      </w:r>
      <w:r>
        <w:rPr>
          <w:rFonts w:ascii="Times New Roman" w:hAnsi="Times New Roman"/>
          <w:noProof/>
          <w:color w:val="000000"/>
          <w:sz w:val="24"/>
          <w:shd w:val="clear" w:color="auto" w:fill="FFFFFF"/>
        </w:rPr>
        <w:t>ș</w:t>
      </w:r>
      <w:r>
        <w:rPr>
          <w:rFonts w:ascii="Times New Roman" w:hAnsi="Times New Roman"/>
          <w:noProof/>
          <w:color w:val="000000"/>
          <w:sz w:val="24"/>
          <w:shd w:val="clear" w:color="auto" w:fill="FFFFFF"/>
        </w:rPr>
        <w:t>i persoanele aflate în căutarea unui loc de muncă, b) consolidarea și raționalizarea indemnizațiilor de șomaj și a alocațiilor pentru a îmbunătăți eficiența cheltuielilor publice și c) eliminarea factorilor care descurajează perfecționarea/recalificarea ș</w:t>
      </w:r>
      <w:r>
        <w:rPr>
          <w:rFonts w:ascii="Times New Roman" w:hAnsi="Times New Roman"/>
          <w:noProof/>
          <w:color w:val="000000"/>
          <w:sz w:val="24"/>
          <w:shd w:val="clear" w:color="auto" w:fill="FFFFFF"/>
        </w:rPr>
        <w:t>omerilor prin menținerea dreptului acestora la prestații de șomaj pe durata participării la cursuri de formare.</w:t>
      </w:r>
      <w:r>
        <w:rPr>
          <w:rFonts w:ascii="Times New Roman" w:hAnsi="Times New Roman"/>
          <w:noProof/>
          <w:sz w:val="24"/>
        </w:rPr>
        <w:t xml:space="preserve"> Implementarea reformei trebuie finalizată până la 31 decembrie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Restructurarea și remarca SPOFM locale ale OAED (KPA2) (numărul</w:t>
      </w:r>
      <w:r>
        <w:rPr>
          <w:rFonts w:ascii="Times New Roman" w:hAnsi="Times New Roman"/>
          <w:noProof/>
          <w:sz w:val="24"/>
        </w:rPr>
        <w:t xml:space="preserve"> de identificare al măsurii: 16941)</w:t>
      </w:r>
    </w:p>
    <w:p w:rsidR="00780A28" w:rsidRDefault="001867D7">
      <w:pPr>
        <w:spacing w:before="120" w:after="120" w:line="240" w:lineRule="auto"/>
        <w:jc w:val="both"/>
        <w:rPr>
          <w:rFonts w:cs="Calibri"/>
          <w:noProof/>
          <w:color w:val="000000"/>
          <w:shd w:val="clear" w:color="auto" w:fill="FFFFFF"/>
        </w:rPr>
      </w:pPr>
      <w:r>
        <w:rPr>
          <w:rFonts w:ascii="Times New Roman" w:hAnsi="Times New Roman"/>
          <w:noProof/>
          <w:sz w:val="24"/>
        </w:rPr>
        <w:t>Investiția vizează reformarea serviciului public de ocupare a forței de muncă din Grecia (OAED) în vederea îmbunătățirii calității serviciilor sale, precum și a capacității și eficacității sale globale. Investiția implic</w:t>
      </w:r>
      <w:r>
        <w:rPr>
          <w:rFonts w:ascii="Times New Roman" w:hAnsi="Times New Roman"/>
          <w:noProof/>
          <w:sz w:val="24"/>
        </w:rPr>
        <w:t>ă a) o reformă organizațională a serviciului public de ocupare a forței de muncă (OAED) prin actualizarea modelului său de guvernanță și stabilirea unei noi organigrame și a unui nou sistem de gestiune financiară; b) reproiectarea și renovarea clădirilor c</w:t>
      </w:r>
      <w:r>
        <w:rPr>
          <w:rFonts w:ascii="Times New Roman" w:hAnsi="Times New Roman"/>
          <w:noProof/>
          <w:sz w:val="24"/>
        </w:rPr>
        <w:t>elor 118 sucursale locale ale OAED pentru promovarea ocupării forței de muncă (KPA2), cu un accent reînnoit pe servicii personalizate de corelare, consiliere sporită și informare; c) o nouă strategie de comunicare a OAED; d) îmbunătățirea mecanismelor de c</w:t>
      </w:r>
      <w:r>
        <w:rPr>
          <w:rFonts w:ascii="Times New Roman" w:hAnsi="Times New Roman"/>
          <w:noProof/>
          <w:sz w:val="24"/>
        </w:rPr>
        <w:t>ontrol al calității serviciilor pentru clienți prin măsurarea și monitorizarea aspectelor legate de eficacitate, eficiență, productivitate și satisfacția clienților; e) punerea în aplicare a unor noi forme de creare de profiluri și servicii de consiliere.</w:t>
      </w:r>
      <w:r>
        <w:rPr>
          <w:noProof/>
          <w:color w:val="000000"/>
          <w:shd w:val="clear" w:color="auto" w:fill="FFFFFF"/>
        </w:rPr>
        <w:t> </w:t>
      </w:r>
      <w:r>
        <w:rPr>
          <w:rFonts w:ascii="Times New Roman" w:hAnsi="Times New Roman"/>
          <w:noProof/>
          <w:sz w:val="24"/>
        </w:rPr>
        <w:t>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 a serviciului public de ocupare a forței de muncă (OAED) (measure ID: 16942)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se axează pe transformarea digitală a serviciului public de o</w:t>
      </w:r>
      <w:r>
        <w:rPr>
          <w:rFonts w:ascii="Times New Roman" w:hAnsi="Times New Roman"/>
          <w:noProof/>
          <w:sz w:val="24"/>
        </w:rPr>
        <w:t xml:space="preserve">cupare a forței de muncă (OAED), în vederea creșterii eficacității serviciilor oferite. În special, investiția prevede digitalizarea arhivelor OAED, achiziționarea de către OAED a unei serii de noi sisteme informatice, atât aplicații web, cât și aplicații </w:t>
      </w:r>
      <w:r>
        <w:rPr>
          <w:rFonts w:ascii="Times New Roman" w:hAnsi="Times New Roman"/>
          <w:noProof/>
          <w:sz w:val="24"/>
        </w:rPr>
        <w:t>native, precum și reproiectarea unora dintre sistemele sale actuale de operare. Investiția include, de asemenea, a) extinderea serviciilor digitale (prin intermediul OAEDAPP), care va permite OAED să furnizeze servicii electronice șomerilor și firmelor pri</w:t>
      </w:r>
      <w:r>
        <w:rPr>
          <w:rFonts w:ascii="Times New Roman" w:hAnsi="Times New Roman"/>
          <w:noProof/>
          <w:sz w:val="24"/>
        </w:rPr>
        <w:t>n intermediul telefoanelor mobile și al tabletelor, și b) un instrument de corelare foarte sofisticat de ultimă generație pentru a ajuta OAED să optimizeze procesul de corelare a cererii și ofertei de forță de muncă. Investiția de mai sus conduce la un sis</w:t>
      </w:r>
      <w:r>
        <w:rPr>
          <w:rFonts w:ascii="Times New Roman" w:hAnsi="Times New Roman"/>
          <w:noProof/>
          <w:sz w:val="24"/>
        </w:rPr>
        <w:t>tem mai bun de gestionare a datelor și de luare a deciziilor, la maximizarea resurselor și la o mai mare satisfacție a clienților. Implementarea investiției trebuie finalizată până la 31 decembrie 2025.</w:t>
      </w:r>
    </w:p>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125"/>
          <w:headerReference w:type="default" r:id="rId126"/>
          <w:footerReference w:type="even" r:id="rId127"/>
          <w:footerReference w:type="default" r:id="rId128"/>
          <w:headerReference w:type="first" r:id="rId129"/>
          <w:footerReference w:type="first" r:id="rId130"/>
          <w:type w:val="continuous"/>
          <w:pgSz w:w="11907" w:h="16839"/>
          <w:pgMar w:top="1134" w:right="1418" w:bottom="1134" w:left="1418" w:header="709" w:footer="709" w:gutter="0"/>
          <w:cols w:space="720"/>
          <w:docGrid w:linePitch="360"/>
        </w:sectPr>
      </w:pPr>
    </w:p>
    <w:p w:rsidR="00780A28" w:rsidRDefault="001867D7">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H.2.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Reforma esențială 6: Modernizarea și simplificarea legislației muncii și transformarea digitală a sistemelo</w:t>
      </w:r>
      <w:r>
        <w:rPr>
          <w:rFonts w:ascii="Cambria" w:hAnsi="Cambria"/>
          <w:noProof/>
          <w:color w:val="365F91"/>
          <w:sz w:val="24"/>
        </w:rPr>
        <w:t>r de ocupare a forței de muncă</w:t>
      </w:r>
    </w:p>
    <w:tbl>
      <w:tblPr>
        <w:tblW w:w="15502" w:type="dxa"/>
        <w:tblInd w:w="113" w:type="dxa"/>
        <w:tblLook w:val="04A0" w:firstRow="1" w:lastRow="0" w:firstColumn="1" w:lastColumn="0" w:noHBand="0" w:noVBand="1"/>
      </w:tblPr>
      <w:tblGrid>
        <w:gridCol w:w="1057"/>
        <w:gridCol w:w="1842"/>
        <w:gridCol w:w="1173"/>
        <w:gridCol w:w="1118"/>
        <w:gridCol w:w="1304"/>
        <w:gridCol w:w="1014"/>
        <w:gridCol w:w="897"/>
        <w:gridCol w:w="1006"/>
        <w:gridCol w:w="917"/>
        <w:gridCol w:w="813"/>
        <w:gridCol w:w="4361"/>
      </w:tblGrid>
      <w:tr w:rsidR="00780A28">
        <w:trPr>
          <w:trHeight w:val="927"/>
          <w:tblHeader/>
        </w:trPr>
        <w:tc>
          <w:tcPr>
            <w:tcW w:w="105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83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17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114"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30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915"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732"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3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Descrierea </w:t>
            </w:r>
            <w:r>
              <w:rPr>
                <w:rFonts w:ascii="Times New Roman" w:hAnsi="Times New Roman"/>
                <w:b/>
                <w:bCs/>
                <w:noProof/>
                <w:sz w:val="18"/>
                <w:szCs w:val="18"/>
              </w:rPr>
              <w:t>fiecărui jalon și a fiecărei ținte</w:t>
            </w:r>
          </w:p>
        </w:tc>
      </w:tr>
      <w:tr w:rsidR="00780A28">
        <w:trPr>
          <w:trHeight w:val="1013"/>
          <w:tblHeader/>
        </w:trPr>
        <w:tc>
          <w:tcPr>
            <w:tcW w:w="105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83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75"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14"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1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89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100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91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814"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368"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trPr>
        <w:tc>
          <w:tcPr>
            <w:tcW w:w="105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133</w:t>
            </w:r>
          </w:p>
        </w:tc>
        <w:tc>
          <w:tcPr>
            <w:tcW w:w="18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w:t>
            </w:r>
            <w:r>
              <w:rPr>
                <w:noProof/>
                <w:color w:val="006100"/>
                <w:sz w:val="18"/>
                <w:szCs w:val="18"/>
              </w:rPr>
              <w:t xml:space="preserve"> - 3.1. Promovarea creării de locuri de muncă și a participării pe piața muncii — 16744_Modernizarea și simplificarea legislației muncii</w:t>
            </w:r>
          </w:p>
        </w:tc>
        <w:tc>
          <w:tcPr>
            <w:tcW w:w="117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1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muncii</w:t>
            </w:r>
          </w:p>
        </w:tc>
        <w:tc>
          <w:tcPr>
            <w:tcW w:w="130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Dispoziție din lege care indică intrarea în vigoare — </w:t>
            </w:r>
          </w:p>
        </w:tc>
        <w:tc>
          <w:tcPr>
            <w:tcW w:w="101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81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43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w:t>
            </w:r>
            <w:r>
              <w:rPr>
                <w:noProof/>
                <w:color w:val="006100"/>
                <w:sz w:val="18"/>
                <w:szCs w:val="18"/>
              </w:rPr>
              <w:t>ea în vigoare a Legii muncii care modernizează a) legea muncii individuale, b) legea muncii colective și dreptul sindical, c) sistemul informatic ERGANI al Ministerului Muncii, care este utilizat pentru monitorizarea pieței muncii și pentru detectarea munc</w:t>
            </w:r>
            <w:r>
              <w:rPr>
                <w:noProof/>
                <w:color w:val="006100"/>
                <w:sz w:val="18"/>
                <w:szCs w:val="18"/>
              </w:rPr>
              <w:t>ii nedeclarate și nedeclarate și d) a cadrului privind echilibrul dintre viața profesională și cea privată.</w:t>
            </w:r>
          </w:p>
        </w:tc>
      </w:tr>
      <w:tr w:rsidR="00780A28">
        <w:trPr>
          <w:trHeight w:val="309"/>
        </w:trPr>
        <w:tc>
          <w:tcPr>
            <w:tcW w:w="105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134</w:t>
            </w:r>
          </w:p>
        </w:tc>
        <w:tc>
          <w:tcPr>
            <w:tcW w:w="18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8 - 3.1. Promovarea creării de locuri de muncă și a participării pe piața muncii — 16750_Transformarea digitală a sistemelor de ocupare a </w:t>
            </w:r>
            <w:r>
              <w:rPr>
                <w:noProof/>
                <w:color w:val="006100"/>
                <w:sz w:val="18"/>
                <w:szCs w:val="18"/>
              </w:rPr>
              <w:t>forței de muncă</w:t>
            </w:r>
          </w:p>
        </w:tc>
        <w:tc>
          <w:tcPr>
            <w:tcW w:w="117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1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contractelor pentru sisteme informatice de muncă</w:t>
            </w:r>
          </w:p>
        </w:tc>
        <w:tc>
          <w:tcPr>
            <w:tcW w:w="130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101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1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3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atribuirii contractelor pentru următoarele proiecte:</w:t>
            </w:r>
          </w:p>
          <w:p w:rsidR="00780A28" w:rsidRDefault="001867D7">
            <w:pPr>
              <w:spacing w:after="0" w:line="240" w:lineRule="auto"/>
              <w:rPr>
                <w:rFonts w:eastAsia="Times New Roman" w:cs="Calibri"/>
                <w:noProof/>
                <w:color w:val="006100"/>
                <w:sz w:val="18"/>
                <w:szCs w:val="18"/>
              </w:rPr>
            </w:pPr>
            <w:r>
              <w:rPr>
                <w:noProof/>
                <w:color w:val="006100"/>
                <w:sz w:val="18"/>
                <w:szCs w:val="18"/>
              </w:rPr>
              <w:t>— Sistem informatic unic pentru monitorizarea pieței forței de</w:t>
            </w:r>
            <w:r>
              <w:rPr>
                <w:noProof/>
                <w:color w:val="006100"/>
                <w:sz w:val="18"/>
                <w:szCs w:val="18"/>
              </w:rPr>
              <w:t xml:space="preserve"> muncă (ARIADNE)</w:t>
            </w:r>
          </w:p>
          <w:p w:rsidR="00780A28" w:rsidRDefault="001867D7">
            <w:pPr>
              <w:spacing w:after="0" w:line="240" w:lineRule="auto"/>
              <w:rPr>
                <w:rFonts w:eastAsia="Times New Roman" w:cs="Calibri"/>
                <w:noProof/>
                <w:color w:val="006100"/>
                <w:sz w:val="18"/>
                <w:szCs w:val="18"/>
              </w:rPr>
            </w:pPr>
            <w:r>
              <w:rPr>
                <w:noProof/>
                <w:color w:val="006100"/>
                <w:sz w:val="18"/>
                <w:szCs w:val="18"/>
              </w:rPr>
              <w:t>– Occupational Health and Safety Authority (Autoritatea pentru Sănătate și Securitate în Muncă) – HERIDANOS</w:t>
            </w:r>
          </w:p>
          <w:p w:rsidR="00780A28" w:rsidRDefault="001867D7">
            <w:pPr>
              <w:spacing w:after="0" w:line="240" w:lineRule="auto"/>
              <w:rPr>
                <w:rFonts w:eastAsia="Times New Roman" w:cs="Calibri"/>
                <w:noProof/>
                <w:color w:val="006100"/>
                <w:sz w:val="18"/>
                <w:szCs w:val="18"/>
              </w:rPr>
            </w:pPr>
            <w:r>
              <w:rPr>
                <w:noProof/>
                <w:color w:val="006100"/>
                <w:sz w:val="18"/>
                <w:szCs w:val="18"/>
              </w:rPr>
              <w:t>— Procesul de stabilire a salariului minim legal</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Digitalizarea istoricului asigurărilor Fondului unic de pensii (e-EFKA)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Noul </w:t>
            </w:r>
            <w:r>
              <w:rPr>
                <w:noProof/>
                <w:color w:val="006100"/>
                <w:sz w:val="18"/>
                <w:szCs w:val="18"/>
              </w:rPr>
              <w:t>sistem integrat de informații pentru e-EFKA (EFKA IITS)</w:t>
            </w:r>
          </w:p>
          <w:p w:rsidR="00780A28" w:rsidRDefault="001867D7">
            <w:pPr>
              <w:spacing w:after="0" w:line="240" w:lineRule="auto"/>
              <w:rPr>
                <w:rFonts w:eastAsia="Times New Roman" w:cs="Calibri"/>
                <w:noProof/>
                <w:color w:val="006100"/>
                <w:sz w:val="18"/>
                <w:szCs w:val="18"/>
              </w:rPr>
            </w:pPr>
            <w:r>
              <w:rPr>
                <w:noProof/>
                <w:color w:val="006100"/>
                <w:sz w:val="18"/>
                <w:szCs w:val="18"/>
              </w:rPr>
              <w:t>— Modernizarea sistemului digital de acordare a pensiilor (ATLAS)</w:t>
            </w:r>
          </w:p>
        </w:tc>
      </w:tr>
      <w:tr w:rsidR="00780A28">
        <w:trPr>
          <w:trHeight w:val="309"/>
        </w:trPr>
        <w:tc>
          <w:tcPr>
            <w:tcW w:w="105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135</w:t>
            </w:r>
          </w:p>
        </w:tc>
        <w:tc>
          <w:tcPr>
            <w:tcW w:w="18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8 - 3.1. Promovarea creării de locuri de muncă și a participării pe piața muncii — 16942_Transformarea digitală a serviciului </w:t>
            </w:r>
            <w:r>
              <w:rPr>
                <w:noProof/>
                <w:color w:val="006100"/>
                <w:sz w:val="18"/>
                <w:szCs w:val="18"/>
              </w:rPr>
              <w:t>public de ocupare a forței de muncă (OAED)</w:t>
            </w:r>
          </w:p>
        </w:tc>
        <w:tc>
          <w:tcPr>
            <w:tcW w:w="117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11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Digitalizarea OAED A3 A4 pagini arhive digitalizate</w:t>
            </w:r>
          </w:p>
        </w:tc>
        <w:tc>
          <w:tcPr>
            <w:tcW w:w="130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de A3/A4 pagini de arhive OAED digitalizate </w:t>
            </w:r>
          </w:p>
        </w:tc>
        <w:tc>
          <w:tcPr>
            <w:tcW w:w="8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100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8 000 000</w:t>
            </w:r>
          </w:p>
        </w:tc>
        <w:tc>
          <w:tcPr>
            <w:tcW w:w="91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1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3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digitizării a 8 000 000 A3/A4 pagini ale arhivelor OAED, astfel cum a</w:t>
            </w:r>
            <w:r>
              <w:rPr>
                <w:noProof/>
                <w:color w:val="006100"/>
                <w:sz w:val="18"/>
                <w:szCs w:val="18"/>
              </w:rPr>
              <w:t xml:space="preserve"> fost confirmat de un raport al OAED.</w:t>
            </w:r>
          </w:p>
        </w:tc>
      </w:tr>
      <w:tr w:rsidR="00780A28">
        <w:trPr>
          <w:trHeight w:val="309"/>
        </w:trPr>
        <w:tc>
          <w:tcPr>
            <w:tcW w:w="105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136</w:t>
            </w:r>
          </w:p>
        </w:tc>
        <w:tc>
          <w:tcPr>
            <w:tcW w:w="18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8 - 3.1. Promovarea creării de locuri de muncă și a participării pe piața muncii — 16750_Transformarea digitală a sistemelor de ocupare a forței de muncă</w:t>
            </w:r>
          </w:p>
        </w:tc>
        <w:tc>
          <w:tcPr>
            <w:tcW w:w="117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1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sistemului de acordare a pensiilor Atlas</w:t>
            </w:r>
          </w:p>
        </w:tc>
        <w:tc>
          <w:tcPr>
            <w:tcW w:w="130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secundare de punere în aplicare a sistemului</w:t>
            </w:r>
          </w:p>
        </w:tc>
        <w:tc>
          <w:tcPr>
            <w:tcW w:w="101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81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3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modernizării sistemului digital de acordare a pensiilor (ATLAS), care să permită o mai bună gestionare a cererilor de pensie și de prestații pe bază de su</w:t>
            </w:r>
            <w:r>
              <w:rPr>
                <w:noProof/>
                <w:color w:val="006100"/>
                <w:sz w:val="18"/>
                <w:szCs w:val="18"/>
              </w:rPr>
              <w:t>mă forfetară, prin intrarea în vigoare a legislației secundare de punere în aplicare a sistemului</w:t>
            </w:r>
          </w:p>
        </w:tc>
      </w:tr>
      <w:tr w:rsidR="00780A28">
        <w:trPr>
          <w:trHeight w:val="309"/>
        </w:trPr>
        <w:tc>
          <w:tcPr>
            <w:tcW w:w="105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137</w:t>
            </w:r>
          </w:p>
        </w:tc>
        <w:tc>
          <w:tcPr>
            <w:tcW w:w="18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8 - 3.1. Promovarea creării de locuri de muncă și a participării pe piața muncii — 16750_Transformarea digitală a sistemelor de ocupare a forței de muncă</w:t>
            </w:r>
          </w:p>
        </w:tc>
        <w:tc>
          <w:tcPr>
            <w:tcW w:w="117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1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secundare a sistemului informatic unic Ariadne</w:t>
            </w:r>
          </w:p>
        </w:tc>
        <w:tc>
          <w:tcPr>
            <w:tcW w:w="130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secundare care lansează colectarea datelor la nivel național prin intermediul sistemului</w:t>
            </w:r>
          </w:p>
        </w:tc>
        <w:tc>
          <w:tcPr>
            <w:tcW w:w="101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9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1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3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Implementarea sistemului informatic unic pentru monitorizarea pieței forței de muncă (ARIADNE) prin intrarea în vigoare a legislației secundare care lansează colectarea datelor la nivel național prin intermediul sistemului. </w:t>
            </w:r>
          </w:p>
          <w:p w:rsidR="00780A28" w:rsidRDefault="001867D7">
            <w:pPr>
              <w:spacing w:after="0" w:line="240" w:lineRule="auto"/>
              <w:rPr>
                <w:rFonts w:eastAsia="Times New Roman" w:cs="Calibri"/>
                <w:noProof/>
                <w:color w:val="006100"/>
                <w:sz w:val="18"/>
                <w:szCs w:val="18"/>
              </w:rPr>
            </w:pPr>
            <w:r>
              <w:rPr>
                <w:noProof/>
                <w:color w:val="006100"/>
                <w:sz w:val="18"/>
                <w:szCs w:val="18"/>
              </w:rPr>
              <w:t>Sistemul va asigura înregistrar</w:t>
            </w:r>
            <w:r>
              <w:rPr>
                <w:noProof/>
                <w:color w:val="006100"/>
                <w:sz w:val="18"/>
                <w:szCs w:val="18"/>
              </w:rPr>
              <w:t>ea digitală a timpului de lucru (carte de muncă electronică, timp și prezență) și o singură poartă pentru datele administrative privind ocuparea forței de muncă și asigurările sociale.</w:t>
            </w:r>
          </w:p>
        </w:tc>
      </w:tr>
    </w:tbl>
    <w:p w:rsidR="00780A28" w:rsidRDefault="00780A28">
      <w:pPr>
        <w:spacing w:before="120" w:after="120" w:line="240" w:lineRule="auto"/>
        <w:jc w:val="both"/>
        <w:rPr>
          <w:rFonts w:ascii="Times New Roman" w:hAnsi="Times New Roman" w:cs="Times New Roman"/>
          <w:noProof/>
          <w:sz w:val="24"/>
        </w:rPr>
        <w:sectPr w:rsidR="00780A28">
          <w:headerReference w:type="even" r:id="rId131"/>
          <w:headerReference w:type="default" r:id="rId132"/>
          <w:footerReference w:type="even" r:id="rId133"/>
          <w:footerReference w:type="default" r:id="rId134"/>
          <w:headerReference w:type="first" r:id="rId135"/>
          <w:footerReference w:type="first" r:id="rId136"/>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I. </w:t>
      </w:r>
      <w:r>
        <w:rPr>
          <w:rFonts w:ascii="Times New Roman" w:hAnsi="Times New Roman"/>
          <w:b/>
          <w:bCs/>
          <w:noProof/>
          <w:sz w:val="24"/>
        </w:rPr>
        <w:t>COMPONENTA 3.2: EDUCAȚIE, EDUCAȚIE ȘI FORMARE PROFESIONALĂ ȘI COMPETENȚE</w:t>
      </w:r>
    </w:p>
    <w:p w:rsidR="00780A28" w:rsidRDefault="001867D7">
      <w:pPr>
        <w:spacing w:before="120" w:after="120" w:line="240" w:lineRule="auto"/>
        <w:jc w:val="both"/>
        <w:rPr>
          <w:rFonts w:ascii="Times New Roman" w:hAnsi="Times New Roman" w:cs="Times New Roman"/>
          <w:noProof/>
          <w:color w:val="000000"/>
          <w:sz w:val="24"/>
          <w:shd w:val="clear" w:color="auto" w:fill="FFFFFF"/>
        </w:rPr>
      </w:pPr>
      <w:r>
        <w:rPr>
          <w:rFonts w:ascii="Times New Roman" w:hAnsi="Times New Roman"/>
          <w:noProof/>
          <w:sz w:val="24"/>
        </w:rPr>
        <w:t>Această componentă a planului de redresare și reziliență al Greciei vizează îmbunătățirea calității, eficienței și eficacității sistemelor de educație și învățare pe tot parcursul vie</w:t>
      </w:r>
      <w:r>
        <w:rPr>
          <w:rFonts w:ascii="Times New Roman" w:hAnsi="Times New Roman"/>
          <w:noProof/>
          <w:sz w:val="24"/>
        </w:rPr>
        <w:t>ț</w:t>
      </w:r>
      <w:r>
        <w:rPr>
          <w:rFonts w:ascii="Times New Roman" w:hAnsi="Times New Roman"/>
          <w:noProof/>
          <w:sz w:val="24"/>
        </w:rPr>
        <w:t xml:space="preserve">ii. Componenta include o investiție în programe orizontale de perfecționare a competențelor digitale, verzi și financiare pentru un număr total de 628 000 de beneficiari. Aceasta este însoțită de o reformă a sistemului de învățare pe tot parcursul vieții </w:t>
      </w:r>
      <w:r>
        <w:rPr>
          <w:rFonts w:ascii="Times New Roman" w:hAnsi="Times New Roman"/>
          <w:noProof/>
          <w:sz w:val="24"/>
        </w:rPr>
        <w:t>pentru a îmbunătăți oferta de formare și de un pachet de reforme și investiții axate pe educația și formarea profesională (EFP) și pe sistemele de ucenicie pentru a îmbunătăți relevanța acestora pe piața forței de muncă. În ceea ce privește EFP, planul viz</w:t>
      </w:r>
      <w:r>
        <w:rPr>
          <w:rFonts w:ascii="Times New Roman" w:hAnsi="Times New Roman"/>
          <w:noProof/>
          <w:sz w:val="24"/>
        </w:rPr>
        <w:t>ează modernizarea infrastructurilor și echipamentelor VET, modernizarea programelor de învățământ existente și dezvoltarea de noi profiluri profesionale, inclusiv în sectoarele energiei, mediului și economiei digitale. În plus, planul prevede o nouă strate</w:t>
      </w:r>
      <w:r>
        <w:rPr>
          <w:rFonts w:ascii="Times New Roman" w:hAnsi="Times New Roman"/>
          <w:noProof/>
          <w:sz w:val="24"/>
        </w:rPr>
        <w:t>gie de excelență în universități, menită să îmbunătățească performanța lor în domeniul cercetării și calitatea educației prin investiții în modernizarea infrastructurilor de cercetare și educaționale, prin sprijinirea proiectelor de cercetare și a proiecte</w:t>
      </w:r>
      <w:r>
        <w:rPr>
          <w:rFonts w:ascii="Times New Roman" w:hAnsi="Times New Roman"/>
          <w:noProof/>
          <w:sz w:val="24"/>
        </w:rPr>
        <w:t>lor de doctorat, inclusiv în colaborare cu sectorul privat și prin statutul de profesor invitat. Aceste reforme sunt însoțite de investiții în digitalizarea sistemului de învățământ, o mare parte din acestea fiind alocate sistemelor de învățare interactive</w:t>
      </w:r>
      <w:r>
        <w:rPr>
          <w:rFonts w:ascii="Times New Roman" w:hAnsi="Times New Roman"/>
          <w:noProof/>
          <w:sz w:val="24"/>
        </w:rPr>
        <w:t xml:space="preserve"> din învățământul primar și secundar și vouchere pentru elevii și studenții din familii cu venituri mici pentru achiziționarea de echipamente informatice.</w:t>
      </w:r>
      <w:r>
        <w:rPr>
          <w:rFonts w:ascii="Times New Roman" w:hAnsi="Times New Roman"/>
          <w:noProof/>
          <w:color w:val="000000"/>
          <w:sz w:val="24"/>
          <w:shd w:val="clear" w:color="auto" w:fill="FFFFFF"/>
        </w:rPr>
        <w:t xml:space="preserve">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color w:val="000000"/>
          <w:sz w:val="24"/>
          <w:shd w:val="clear" w:color="auto" w:fill="FFFFFF"/>
        </w:rPr>
        <w:t>Componenta este în conformitate cu recomandările specifice fiecărei țări de a investi în educație, î</w:t>
      </w:r>
      <w:r>
        <w:rPr>
          <w:rFonts w:ascii="Times New Roman" w:hAnsi="Times New Roman"/>
          <w:noProof/>
          <w:color w:val="000000"/>
          <w:sz w:val="24"/>
          <w:shd w:val="clear" w:color="auto" w:fill="FFFFFF"/>
        </w:rPr>
        <w:t xml:space="preserve">n capacitatea de inserție profesională și în competențe și de a îmbunătăți digitalizarea administrației publice (recomandările specifice fiecărei țări 3 2020 și 2 2019). </w:t>
      </w:r>
      <w:r>
        <w:rPr>
          <w:rFonts w:ascii="Times New Roman" w:hAnsi="Times New Roman"/>
          <w:noProof/>
          <w:sz w:val="24"/>
        </w:rPr>
        <w:t>Este de așteptat ca nicio măsură din cadrul acestei componente să nu afecteze în mod s</w:t>
      </w:r>
      <w:r>
        <w:rPr>
          <w:rFonts w:ascii="Times New Roman" w:hAnsi="Times New Roman"/>
          <w:noProof/>
          <w:sz w:val="24"/>
        </w:rPr>
        <w:t>emnificativ obiectivele de mediu în sensul articolului 17 din Regulamentul (UE) 2020/852, ținând seama de descrierea măsurilor și a măsurilor de atenuare stabilite în planul de redresare și reziliență în conformitate cu Orientările tehnice bazate pe princi</w:t>
      </w:r>
      <w:r>
        <w:rPr>
          <w:rFonts w:ascii="Times New Roman" w:hAnsi="Times New Roman"/>
          <w:noProof/>
          <w:sz w:val="24"/>
        </w:rPr>
        <w:t>piul de „a nu aduce prejudicii semnificative” (2021/C58/01).</w:t>
      </w:r>
    </w:p>
    <w:p w:rsidR="00780A28" w:rsidRDefault="001867D7">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I.1.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O nouă strategie pentru uciderea pe tot parcursul vieții: Modernizarea</w:t>
      </w:r>
      <w:r>
        <w:rPr>
          <w:rFonts w:ascii="Times New Roman" w:hAnsi="Times New Roman"/>
          <w:noProof/>
          <w:sz w:val="24"/>
        </w:rPr>
        <w:t xml:space="preserve"> și modernizarea sistemului de actualizare a competențelor și de recalificare al Greciei (numărul de identificare al măsurii: 16913)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vizează îmbunătățirea cadrului de învățare pe tot parcursul vieții în vederea creșterii calității acestuia și a rel</w:t>
      </w:r>
      <w:r>
        <w:rPr>
          <w:rFonts w:ascii="Times New Roman" w:hAnsi="Times New Roman"/>
          <w:noProof/>
          <w:sz w:val="24"/>
        </w:rPr>
        <w:t>evanței sale pe piața forței de muncă. În special, reforma va permite o mai bună monitorizare și satisfacere a nevoilor pieței muncii prin modernizarea, actualizarea și interconectarea seturilor de date existente ale diferitelor ministere și agenții, inclu</w:t>
      </w:r>
      <w:r>
        <w:rPr>
          <w:rFonts w:ascii="Times New Roman" w:hAnsi="Times New Roman"/>
          <w:noProof/>
          <w:sz w:val="24"/>
        </w:rPr>
        <w:t>siv a mecanismului de diagnosticare a pieței muncii instituit în 2016. Reforma instituie, de asemenea, conturi pentru sacrificarea pe tot parcursul vieții (ASP), care ar trebui să servească drept principal instrument pentru furnizarea de formare continuă î</w:t>
      </w:r>
      <w:r>
        <w:rPr>
          <w:rFonts w:ascii="Times New Roman" w:hAnsi="Times New Roman"/>
          <w:noProof/>
          <w:sz w:val="24"/>
        </w:rPr>
        <w:t xml:space="preserve">n funcție de nevoile individualizate, precum și o nouă listă națională a furnizorilor de formare eligibilă care va aplica criterii minime de calitate bazate pe VNB pentru formatori. În cele din urmă, reforma va conduce la instituirea unei noi structuri de </w:t>
      </w:r>
      <w:r>
        <w:rPr>
          <w:rFonts w:ascii="Times New Roman" w:hAnsi="Times New Roman"/>
          <w:noProof/>
          <w:sz w:val="24"/>
        </w:rPr>
        <w:t>guvernanță, Consiliul Național al Competențelor, care va avea sediul în cadrul OAED și va fi responsabil de elaborarea unei actualizări anuale a Strategiei naționale pentru competențe. Reforma este însoțită de o investiție în programe orizontale de actuali</w:t>
      </w:r>
      <w:r>
        <w:rPr>
          <w:rFonts w:ascii="Times New Roman" w:hAnsi="Times New Roman"/>
          <w:noProof/>
          <w:sz w:val="24"/>
        </w:rPr>
        <w:t>zare a competențelor care vizează diferite grupuri de populație și care vizează: (a) competențe digitale de referință și de nivel mediu, b) competențe ecologice și c) competențe de alfabetizare financiară. Implementarea reformei și a investiției trebuie fi</w:t>
      </w:r>
      <w:r>
        <w:rPr>
          <w:rFonts w:ascii="Times New Roman" w:hAnsi="Times New Roman"/>
          <w:noProof/>
          <w:sz w:val="24"/>
        </w:rPr>
        <w:t>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Strategia de excelență în universități &amp; Inovarea (numărul de identificare al măsurii: 16289)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urmărește să îmbunătățească performanța în materie de cercetare și extinderea universităților grecești, inclu</w:t>
      </w:r>
      <w:r>
        <w:rPr>
          <w:rFonts w:ascii="Times New Roman" w:hAnsi="Times New Roman"/>
          <w:noProof/>
          <w:sz w:val="24"/>
        </w:rPr>
        <w:t xml:space="preserve">siv prin atragerea de cadre universitare și cercetători calificați și distinși, precum și să îmbunătățească calitatea și relevanța pentru piața muncii a educației oferite studenților. În special, reforma prevede a) un sistem de finanțare de 70 de proiecte </w:t>
      </w:r>
      <w:r>
        <w:rPr>
          <w:rFonts w:ascii="Times New Roman" w:hAnsi="Times New Roman"/>
          <w:noProof/>
          <w:sz w:val="24"/>
        </w:rPr>
        <w:t>de cercetare (clustere de excelență în cercetare) destinate unor cadre universitare importante, naționale sau internaționale, pentru a le stimula să desfășoare proiecte de cercetare inovatoare și colaborative cu întreprinderi din sectorul privat din Grecia</w:t>
      </w:r>
      <w:r>
        <w:rPr>
          <w:rFonts w:ascii="Times New Roman" w:hAnsi="Times New Roman"/>
          <w:noProof/>
          <w:sz w:val="24"/>
        </w:rPr>
        <w:t>; b) un program de finanțare (statutul de profesor invitat) care stimulează 250 de cadre universitare distinse din universități sau institute de cercetare străine, vizând în primul rând universitățile din afara UE, să se alăture universităților grecești pe</w:t>
      </w:r>
      <w:r>
        <w:rPr>
          <w:rFonts w:ascii="Times New Roman" w:hAnsi="Times New Roman"/>
          <w:noProof/>
          <w:sz w:val="24"/>
        </w:rPr>
        <w:t>ntru o perioadă de maximum trei ani și să participe la proiecte de cercetare în colaborare cu întreprinderi din sectorul privat din Grecia sau din străinătate; c) modernizarea infrastructurilor de cercetare și educație ale universităților elene selectate ș</w:t>
      </w:r>
      <w:r>
        <w:rPr>
          <w:rFonts w:ascii="Times New Roman" w:hAnsi="Times New Roman"/>
          <w:noProof/>
          <w:sz w:val="24"/>
        </w:rPr>
        <w:t>i ale unităților universitare de științe aplicate și tehnologie; d) finanțarea a 249 de programe de doctorat industrial pe o perioadă de trei ani, în colaborare cu societăți din sectorul privat; e) acordarea de finanțare cercetătorilor individuali sau grup</w:t>
      </w:r>
      <w:r>
        <w:rPr>
          <w:rFonts w:ascii="Times New Roman" w:hAnsi="Times New Roman"/>
          <w:noProof/>
          <w:sz w:val="24"/>
        </w:rPr>
        <w:t xml:space="preserve">urilor de cercetători pe baza criteriilor de excelență; f) finanțarea elaborării Certificatului Educatorului, care este un program de certificare a caracterului adecvat al pedagogiei și al predării cadrelor didactice școlare (participarea la o jumătate de </w:t>
      </w:r>
      <w:r>
        <w:rPr>
          <w:rFonts w:ascii="Times New Roman" w:hAnsi="Times New Roman"/>
          <w:noProof/>
          <w:sz w:val="24"/>
        </w:rPr>
        <w:t>an a lecțiilor universitare și predarea unei jumătăți de an în școli ca stagiu de probă pentru 30 000 de profesori candidați) și g) transformarea digitală a Rețelei naționale elene a bibliotecilor. Implementarea reformei trebuie finalizată până la 31 decem</w:t>
      </w:r>
      <w:r>
        <w:rPr>
          <w:rFonts w:ascii="Times New Roman" w:hAnsi="Times New Roman"/>
          <w:noProof/>
          <w:sz w:val="24"/>
        </w:rPr>
        <w:t>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Consolidarea sistemului de ucenicie (numărul de identificare al măsurii: 16794)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Scopul reformei este de a restabili școlile profesionale de ucenicie din cadrul serviciului public de ocupare a forței de muncă (OAED EPAS) ca parte </w:t>
      </w:r>
      <w:r>
        <w:rPr>
          <w:rFonts w:ascii="Times New Roman" w:hAnsi="Times New Roman"/>
          <w:noProof/>
          <w:sz w:val="24"/>
        </w:rPr>
        <w:t>integrantă a strategiei guvernului pentru educația și formarea profesională (EFP) și ocuparea forței de muncă în rândul tinerilor. În special reforma include 1) introducerea unui nou cadru juridic pentru sistemul național VET; 2) conceperea și punerea în a</w:t>
      </w:r>
      <w:r>
        <w:rPr>
          <w:rFonts w:ascii="Times New Roman" w:hAnsi="Times New Roman"/>
          <w:noProof/>
          <w:sz w:val="24"/>
        </w:rPr>
        <w:t>plicare a unui nou sistem de îmbunătățire a controlului calității școlilor de EFP ale OAED (EPAS), evaluarea rezultatelor acestuia și urmărirea progreselor și performanței elevilor pe piața forței de muncă; 3) simplificarea proceselor de învățare și integr</w:t>
      </w:r>
      <w:r>
        <w:rPr>
          <w:rFonts w:ascii="Times New Roman" w:hAnsi="Times New Roman"/>
          <w:noProof/>
          <w:sz w:val="24"/>
        </w:rPr>
        <w:t xml:space="preserve">area unor noi metodologii și instrumente, cum ar fi platformele de e-learning și conținutul de formare digitalizat, atât pentru ucenici, cât și pentru formatori; 4) evaluarea, reproiectarea și actualizarea programelor de învățământ actuale (cu contribuția </w:t>
      </w:r>
      <w:r>
        <w:rPr>
          <w:rFonts w:ascii="Times New Roman" w:hAnsi="Times New Roman"/>
          <w:noProof/>
          <w:sz w:val="24"/>
        </w:rPr>
        <w:t>partenerilor sociali și a angajatorilor) pentru a le alinia în continuare la nevoile reale de pe piața forței de muncă; 5) reînnoirea și modernizarea infrastructurii EFP (laboratoare și echipamente); 6) renovarea clădirilor EPAS pentru a îmbunătăți eficien</w:t>
      </w:r>
      <w:r>
        <w:rPr>
          <w:rFonts w:ascii="Times New Roman" w:hAnsi="Times New Roman"/>
          <w:noProof/>
          <w:sz w:val="24"/>
        </w:rPr>
        <w:t>ț</w:t>
      </w:r>
      <w:r>
        <w:rPr>
          <w:rFonts w:ascii="Times New Roman" w:hAnsi="Times New Roman"/>
          <w:noProof/>
          <w:sz w:val="24"/>
        </w:rPr>
        <w:t>a energetică și funcționalitatea spațială; 7) integrarea tehnologiei privind realitatea virtuală în modulele de învățare de zi cu zi; 8) promovarea parteneriatelor ad-hoc cu angajatorii și camerele și crearea de școli experimentale EPAS; 9) construirea de</w:t>
      </w:r>
      <w:r>
        <w:rPr>
          <w:rFonts w:ascii="Times New Roman" w:hAnsi="Times New Roman"/>
          <w:noProof/>
          <w:sz w:val="24"/>
        </w:rPr>
        <w:t xml:space="preserve"> școli pentru profesiile legate de tranziția verde; 10) extinderea rețelei existente de birouri de ocupare a forței de muncă; 11) punerea în aplicare a unui amplu program de „formare a formatorilor” în școlile EPAS; 12) finanțarea unei campanii de comunica</w:t>
      </w:r>
      <w:r>
        <w:rPr>
          <w:rFonts w:ascii="Times New Roman" w:hAnsi="Times New Roman"/>
          <w:noProof/>
          <w:sz w:val="24"/>
        </w:rPr>
        <w:t>re pentru promovarea sistemului de ucenicie. O parte dedicată a granturilor alocate contribuie la crearea de competențe și locuri de muncă verzi și la economia ecologică. 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Renovările și mă</w:t>
      </w:r>
      <w:r>
        <w:rPr>
          <w:rFonts w:ascii="Times New Roman" w:hAnsi="Times New Roman"/>
          <w:noProof/>
          <w:sz w:val="24"/>
        </w:rPr>
        <w:t>surile de eficiență energetică trebuie să respecte (i) cel puțin o renovare de amploare moderată, așa cum este definită în Recomandarea Comisiei privind renovarea clădirilor (UE) 2019/786, sau (b) să realizeze, în medie, o reducere de cel puțin 30 % a emis</w:t>
      </w:r>
      <w:r>
        <w:rPr>
          <w:rFonts w:ascii="Times New Roman" w:hAnsi="Times New Roman"/>
          <w:noProof/>
          <w:sz w:val="24"/>
        </w:rPr>
        <w:t>iilor directe și indirecte de gaze cu efect de seră în comparație cu emisiile ex-ante. Se preconizează că această măsură nu aduce prejudicii semnificative obiectivelor de mediu în sensul articolului 17 din Regulamentul (UE) 2020/852, ținând seama de descri</w:t>
      </w:r>
      <w:r>
        <w:rPr>
          <w:rFonts w:ascii="Times New Roman" w:hAnsi="Times New Roman"/>
          <w:noProof/>
          <w:sz w:val="24"/>
        </w:rPr>
        <w:t>erea măsurii și de măsurile de atenuare stabilite în planul de redresare și reziliență, în conformitate cu Orientările tehnice bazate pe principiul de „a nu aduce prejudicii semnificative” (2021/C58/01). În special, măsura impune operatorilor economici car</w:t>
      </w:r>
      <w:r>
        <w:rPr>
          <w:rFonts w:ascii="Times New Roman" w:hAnsi="Times New Roman"/>
          <w:noProof/>
          <w:sz w:val="24"/>
        </w:rPr>
        <w:t>e efectuează lucrări de construcții să se asigure că cel puțin 70 % (în greutate) din deșeurile nepericuloase provenite din activități de construcție și demolări [cu excepția materialelor geologice naturale menționate în categoria 17 05 04 din Lista europe</w:t>
      </w:r>
      <w:r>
        <w:rPr>
          <w:rFonts w:ascii="Times New Roman" w:hAnsi="Times New Roman"/>
          <w:noProof/>
          <w:sz w:val="24"/>
        </w:rPr>
        <w:t>ană a deșeurilor stabilită prin Decizia 2000/532/CE din 3 mai 2000 de înlocuire a Deciziei 94/3/CE de stabilire a unei liste de deșeuri în temeiul articolului 1 litera a) din Directiva 75/442/CEE a Consiliului privind deșeurile și a Deciziei 94/904/CE a Co</w:t>
      </w:r>
      <w:r>
        <w:rPr>
          <w:rFonts w:ascii="Times New Roman" w:hAnsi="Times New Roman"/>
          <w:noProof/>
          <w:sz w:val="24"/>
        </w:rPr>
        <w:t>nsiliului de stabilire a unei liste de deșeuri periculoase în temeiul articolului 1 alineatul (4) din Directiva 91/689/CEE a Consiliului privind deșeurile periculoase [notificată cu numărul de document C (2000) 1147] generate pe șantier sunt pregătite pent</w:t>
      </w:r>
      <w:r>
        <w:rPr>
          <w:rFonts w:ascii="Times New Roman" w:hAnsi="Times New Roman"/>
          <w:noProof/>
          <w:sz w:val="24"/>
        </w:rPr>
        <w:t>ru reutilizare, reciclare și alte deșeuri, inclusiv operațiunile de rambleiere care utilizează deșeuri pentru a înlocui alte materiale, în conformitate cu ierarhia deșeurilor și cu Protocolul UE privind gestionarea deșeurilor din construcții și demolări.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noProof/>
          <w:sz w:val="24"/>
        </w:rPr>
        <w:t>R</w:t>
      </w:r>
      <w:r>
        <w:rPr>
          <w:rFonts w:ascii="Times New Roman" w:hAnsi="Times New Roman"/>
          <w:b/>
          <w:noProof/>
          <w:sz w:val="24"/>
        </w:rPr>
        <w:t>eforma:</w:t>
      </w:r>
      <w:r>
        <w:rPr>
          <w:rFonts w:ascii="Times New Roman" w:hAnsi="Times New Roman"/>
          <w:noProof/>
          <w:sz w:val="24"/>
        </w:rPr>
        <w:t xml:space="preserve"> Calificarea forței de muncă, recalificarea și perfecționarea prin intermediul unui model reformat de formare (educație profesională &amp; Reforma formării) (numărul de identificare al măsurii: 16792)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vizează 1) îmbunătățirea controlului calităț</w:t>
      </w:r>
      <w:r>
        <w:rPr>
          <w:rFonts w:ascii="Times New Roman" w:hAnsi="Times New Roman"/>
          <w:noProof/>
          <w:sz w:val="24"/>
        </w:rPr>
        <w:t>ii (cum ar fi sistemele de evaluare a progreselor și a performanței stagiarilor) în unitățile de formare profesională ale serviciilor publice de ocupare a forței de muncă (OAED), 2) actualizarea modulelor acestora în conformitate cu nevoile actuale și viit</w:t>
      </w:r>
      <w:r>
        <w:rPr>
          <w:rFonts w:ascii="Times New Roman" w:hAnsi="Times New Roman"/>
          <w:noProof/>
          <w:sz w:val="24"/>
        </w:rPr>
        <w:t>oare ale pieței forței de muncă, ca parte a reformei cuprinzătoare a politicilor active în domeniul pieței forței de muncă (ALMP) ale OAED, 3) promovarea învățării online și digitalizarea conținutului formării, 4) reforma „contului pentru ocuparea forței d</w:t>
      </w:r>
      <w:r>
        <w:rPr>
          <w:rFonts w:ascii="Times New Roman" w:hAnsi="Times New Roman"/>
          <w:noProof/>
          <w:sz w:val="24"/>
        </w:rPr>
        <w:t>e muncă și formare profesională” (LAEK), care finanțează programe de formare profesională pentru angajați. Aceasta este însoțită de investiții în renovarea laboratoarelor și a aprovizionării cu echipamente. Implementarea reformei trebuie finalizată până la</w:t>
      </w:r>
      <w:r>
        <w:rPr>
          <w:rFonts w:ascii="Times New Roman" w:hAnsi="Times New Roman"/>
          <w:noProof/>
          <w:sz w:val="24"/>
        </w:rPr>
        <w:t xml:space="preserve">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Modernizarea educației și formării profesionale (numărul de identificare al măsurii: 16934)</w:t>
      </w:r>
    </w:p>
    <w:p w:rsidR="00780A28" w:rsidRDefault="001867D7">
      <w:pPr>
        <w:spacing w:before="120" w:after="120" w:line="240" w:lineRule="auto"/>
        <w:jc w:val="both"/>
        <w:rPr>
          <w:rFonts w:ascii="Segoe UI" w:hAnsi="Segoe UI" w:cs="Segoe UI"/>
          <w:noProof/>
          <w:sz w:val="18"/>
          <w:szCs w:val="18"/>
        </w:rPr>
      </w:pPr>
      <w:r>
        <w:rPr>
          <w:rFonts w:ascii="Times New Roman" w:hAnsi="Times New Roman"/>
          <w:noProof/>
          <w:sz w:val="24"/>
        </w:rPr>
        <w:t>Reforma propusă vizează accelerarea punerii în aplicare a Legii nr. 4763/2020. Se așteaptă ca acțiunile propuse să fie 1) să contribuie</w:t>
      </w:r>
      <w:r>
        <w:rPr>
          <w:rFonts w:ascii="Times New Roman" w:hAnsi="Times New Roman"/>
          <w:noProof/>
          <w:sz w:val="24"/>
        </w:rPr>
        <w:t xml:space="preserve"> la transformarea educației și formării profesionale (EFP) într-o cale educațională atrăgătoare 2) să consolideze legătura dintre educație și nevoile pieței forței de muncă și 3) să furnizeze competențele necesare pentru dubla tranziție verde și digitală ș</w:t>
      </w:r>
      <w:r>
        <w:rPr>
          <w:rFonts w:ascii="Times New Roman" w:hAnsi="Times New Roman"/>
          <w:noProof/>
          <w:sz w:val="24"/>
        </w:rPr>
        <w:t>i să stimuleze perspectivele de angajare, în special pentru tineri. Reforma cuprinde următoarele elemente: (a) conceperea și dezvoltarea a cinci institute tematice și a zece institute de formare profesională (IEK) prin renovarea clădirilor, furnizarea de e</w:t>
      </w:r>
      <w:r>
        <w:rPr>
          <w:rFonts w:ascii="Times New Roman" w:hAnsi="Times New Roman"/>
          <w:noProof/>
          <w:sz w:val="24"/>
        </w:rPr>
        <w:t>chipamente și materiale, elaborarea de noi programe de învățământ și de formare și furnizarea de educație/formare suplimentară pentru formatori; b) proiectarea și dezvoltarea unui model de liceu profesional 25 (modelul EPAL) prin renovarea clădirilor, furn</w:t>
      </w:r>
      <w:r>
        <w:rPr>
          <w:rFonts w:ascii="Times New Roman" w:hAnsi="Times New Roman"/>
          <w:noProof/>
          <w:sz w:val="24"/>
        </w:rPr>
        <w:t>izarea de echipamente și materiale, elaborarea de noi programe de învățământ și de formare și furnizarea de educație/formare suplimentară pentru personalul didactic (Model ΕPΑL); c) extinderea serviciilor digitale ale Organizației Naționale pentru Certific</w:t>
      </w:r>
      <w:r>
        <w:rPr>
          <w:rFonts w:ascii="Times New Roman" w:hAnsi="Times New Roman"/>
          <w:noProof/>
          <w:sz w:val="24"/>
        </w:rPr>
        <w:t xml:space="preserve">area Calificărilor și Orientarea Profesională (EOPPEP) și dezvoltarea unei platforme EFP de e-learning care transformă materialele de învățare existente în module de învățare online; d) dezvoltarea și certificarea a 200 de profiluri profesionale, inclusiv </w:t>
      </w:r>
      <w:r>
        <w:rPr>
          <w:rFonts w:ascii="Times New Roman" w:hAnsi="Times New Roman"/>
          <w:noProof/>
          <w:sz w:val="24"/>
        </w:rPr>
        <w:t xml:space="preserve">în sectoarele energiei, mediului și economiei digitale. </w:t>
      </w:r>
      <w:r>
        <w:rPr>
          <w:rFonts w:ascii="Times New Roman" w:hAnsi="Times New Roman"/>
          <w:noProof/>
          <w:color w:val="000000"/>
          <w:sz w:val="24"/>
          <w:szCs w:val="24"/>
        </w:rPr>
        <w:t>Toate proiectele au scopul de a încuraja participarea femeilor la EFP și de a promova competențele lor de conducere.</w:t>
      </w:r>
      <w:r>
        <w:rPr>
          <w:rFonts w:ascii="Times New Roman" w:hAnsi="Times New Roman"/>
          <w:noProof/>
          <w:sz w:val="24"/>
        </w:rPr>
        <w:t xml:space="preserve"> 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w:t>
      </w:r>
      <w:r>
        <w:rPr>
          <w:rFonts w:ascii="Times New Roman" w:hAnsi="Times New Roman"/>
          <w:noProof/>
          <w:sz w:val="24"/>
        </w:rPr>
        <w:t>ansformarea digitală a educației (ID-ul măsurii: 16676)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prevede transformarea digitală a educației în ceea ce privește conținutul, infrastructura și serviciile și este însoțită de o strategie cuprinzătoare de reformă pentru actualizarea programe</w:t>
      </w:r>
      <w:r>
        <w:rPr>
          <w:rFonts w:ascii="Times New Roman" w:hAnsi="Times New Roman"/>
          <w:noProof/>
          <w:sz w:val="24"/>
        </w:rPr>
        <w:t xml:space="preserve">lor de învățământ, raționalizarea serviciilor și monitorizarea rezultatelor educaționale. Investiția constă în următoarele componente: Conținutul digital în școli; echipamente digitale în școli; dezvoltarea profesională a profesorilor în școli și servicii </w:t>
      </w:r>
      <w:r>
        <w:rPr>
          <w:rFonts w:ascii="Times New Roman" w:hAnsi="Times New Roman"/>
          <w:noProof/>
          <w:sz w:val="24"/>
        </w:rPr>
        <w:t>digitale în școli și universități.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Modernizarea educației și formării profesionale (EFP): Furnizarea de echipamente de laborator pentru centrele de laborator pentru IEK, EP</w:t>
      </w:r>
      <w:r>
        <w:rPr>
          <w:rFonts w:ascii="Times New Roman" w:hAnsi="Times New Roman"/>
          <w:noProof/>
          <w:sz w:val="24"/>
        </w:rPr>
        <w:t>AL, clasa de ucenicie postliceală și școlile de formare profesională (numărul de identificare al măsurii: 16933)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investiție modernizează și modernizează infrastructurile de laborator ale instituțiilor de educație și formare profesională (EFP) din G</w:t>
      </w:r>
      <w:r>
        <w:rPr>
          <w:rFonts w:ascii="Times New Roman" w:hAnsi="Times New Roman"/>
          <w:noProof/>
          <w:sz w:val="24"/>
        </w:rPr>
        <w:t>recia, în special în ceea ce privește institutele de formare profesională (IEK), liceele profesionale superioare (EPAL), clasa postliceală de ucenicie și școlile de formare profesională. Această investiție completează reforma modernizării învățământului pr</w:t>
      </w:r>
      <w:r>
        <w:rPr>
          <w:rFonts w:ascii="Times New Roman" w:hAnsi="Times New Roman"/>
          <w:noProof/>
          <w:sz w:val="24"/>
        </w:rPr>
        <w:t>ofesional și tehnic. Implementarea investiției trebuie finalizată până la 31 decembrie 2025.</w:t>
      </w:r>
    </w:p>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i/>
          <w:iCs/>
          <w:noProof/>
          <w:color w:val="4F81BD"/>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137"/>
          <w:headerReference w:type="default" r:id="rId138"/>
          <w:footerReference w:type="even" r:id="rId139"/>
          <w:footerReference w:type="default" r:id="rId140"/>
          <w:headerReference w:type="first" r:id="rId141"/>
          <w:footerReference w:type="first" r:id="rId142"/>
          <w:pgSz w:w="11907" w:h="16839"/>
          <w:pgMar w:top="1134" w:right="1418" w:bottom="1134" w:left="1418" w:header="709" w:footer="709" w:gutter="0"/>
          <w:cols w:space="720"/>
          <w:docGrid w:linePitch="360"/>
        </w:sectPr>
      </w:pPr>
    </w:p>
    <w:p w:rsidR="00780A28" w:rsidRDefault="001867D7">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I.2. </w:t>
      </w:r>
      <w:r>
        <w:rPr>
          <w:rFonts w:ascii="Times New Roman" w:hAnsi="Times New Roman"/>
          <w:b/>
          <w:noProof/>
          <w:sz w:val="24"/>
          <w:u w:val="single"/>
        </w:rPr>
        <w:tab/>
      </w:r>
      <w:r>
        <w:rPr>
          <w:rFonts w:ascii="Times New Roman" w:hAnsi="Times New Roman"/>
          <w:b/>
          <w:bCs/>
          <w:noProof/>
          <w:sz w:val="24"/>
          <w:u w:val="single"/>
        </w:rPr>
        <w:t xml:space="preserve">Jaloane, ținte, indicatori și calendarul de monitorizare și implementare aplicabile sprijinului </w:t>
      </w:r>
      <w:r>
        <w:rPr>
          <w:rFonts w:ascii="Times New Roman" w:hAnsi="Times New Roman"/>
          <w:b/>
          <w:bCs/>
          <w:noProof/>
          <w:sz w:val="24"/>
          <w:u w:val="single"/>
        </w:rPr>
        <w:t>financiar nerambursabil</w:t>
      </w: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Cea mai importantă investiție 5: O nouă strategie pentru uciderea pe tot parcursul vieții: Modernizarea și modernizarea sistemului de actualizare a competențelor și de reconversie profesională al Greciei</w:t>
      </w:r>
    </w:p>
    <w:tbl>
      <w:tblPr>
        <w:tblW w:w="15502" w:type="dxa"/>
        <w:jc w:val="center"/>
        <w:tblLayout w:type="fixed"/>
        <w:tblLook w:val="04A0" w:firstRow="1" w:lastRow="0" w:firstColumn="1" w:lastColumn="0" w:noHBand="0" w:noVBand="1"/>
      </w:tblPr>
      <w:tblGrid>
        <w:gridCol w:w="1188"/>
        <w:gridCol w:w="1319"/>
        <w:gridCol w:w="1145"/>
        <w:gridCol w:w="1040"/>
        <w:gridCol w:w="1459"/>
        <w:gridCol w:w="1221"/>
        <w:gridCol w:w="981"/>
        <w:gridCol w:w="998"/>
        <w:gridCol w:w="850"/>
        <w:gridCol w:w="771"/>
        <w:gridCol w:w="4530"/>
      </w:tblGrid>
      <w:tr w:rsidR="00780A28">
        <w:trPr>
          <w:trHeight w:val="927"/>
          <w:tblHeader/>
          <w:jc w:val="center"/>
        </w:trPr>
        <w:tc>
          <w:tcPr>
            <w:tcW w:w="118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w:t>
            </w:r>
            <w:r>
              <w:rPr>
                <w:rFonts w:ascii="Times New Roman" w:hAnsi="Times New Roman"/>
                <w:b/>
                <w:bCs/>
                <w:noProof/>
                <w:sz w:val="18"/>
                <w:szCs w:val="18"/>
              </w:rPr>
              <w:t>xă (reformă sau investiție)</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040"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3200"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621"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5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blHeader/>
          <w:jc w:val="center"/>
        </w:trPr>
        <w:tc>
          <w:tcPr>
            <w:tcW w:w="118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45"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40"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21"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81"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998"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71"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530"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138</w:t>
            </w:r>
          </w:p>
        </w:tc>
        <w:tc>
          <w:tcPr>
            <w:tcW w:w="13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9 - 3.2. Educație, educație și formare profesională și competențe — 16913_O nouă strategie pentru perfecționare pe tot parcursul vieții: Modernizarea și modernizarea sistemului de actualizare a competențel</w:t>
            </w:r>
            <w:r>
              <w:rPr>
                <w:noProof/>
                <w:color w:val="006100"/>
                <w:sz w:val="18"/>
                <w:szCs w:val="18"/>
              </w:rPr>
              <w:t>or și de reconversie profesională al Greciei</w:t>
            </w:r>
          </w:p>
        </w:tc>
        <w:tc>
          <w:tcPr>
            <w:tcW w:w="114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4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iCs/>
                <w:noProof/>
                <w:color w:val="006100"/>
                <w:sz w:val="18"/>
                <w:szCs w:val="18"/>
              </w:rPr>
              <w:t>Intrarea în vigoare a legislației privind strategia de învățare de-a lungul vieții</w:t>
            </w:r>
          </w:p>
        </w:tc>
        <w:tc>
          <w:tcPr>
            <w:tcW w:w="145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primare și secundare </w:t>
            </w:r>
          </w:p>
        </w:tc>
        <w:tc>
          <w:tcPr>
            <w:tcW w:w="122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8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7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53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Pe baza Strategiei naționale pentru învățarea pe tot </w:t>
            </w:r>
            <w:r>
              <w:rPr>
                <w:noProof/>
                <w:color w:val="006100"/>
                <w:sz w:val="18"/>
                <w:szCs w:val="18"/>
              </w:rPr>
              <w:t>parcursul vieții, va intra în vigoare legislația primară și secundară care stabilește elementele-cheie ale noului cadru de învățare pe tot parcursul vieții (inclusiv dispoziții de instituire a Consiliului național pentru competențe ca organism central de s</w:t>
            </w:r>
            <w:r>
              <w:rPr>
                <w:noProof/>
                <w:color w:val="006100"/>
                <w:sz w:val="18"/>
                <w:szCs w:val="18"/>
              </w:rPr>
              <w:t>upraveghere, de creare a unor conturi de competențe pe tot parcursul vieții, a listei naționale a furnizorilor de formare eligibilă și a tabloului de bord și a unui mecanism de diagnosticare a pieței forței de muncă).</w:t>
            </w:r>
          </w:p>
        </w:tc>
      </w:tr>
      <w:tr w:rsidR="00780A28">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139</w:t>
            </w:r>
          </w:p>
        </w:tc>
        <w:tc>
          <w:tcPr>
            <w:tcW w:w="13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9 - 3.2. Educație, educație și </w:t>
            </w:r>
            <w:r>
              <w:rPr>
                <w:noProof/>
                <w:color w:val="006100"/>
                <w:sz w:val="18"/>
                <w:szCs w:val="18"/>
              </w:rPr>
              <w:t>formare profesională și competențe — 16913_A New Strategy for Lifelong Skilling: Modernizarea și modernizarea sistemului de actualizare a competențelor și de reconversie profesională al Greciei</w:t>
            </w:r>
          </w:p>
        </w:tc>
        <w:tc>
          <w:tcPr>
            <w:tcW w:w="114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04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yellow"/>
              </w:rPr>
            </w:pPr>
            <w:r>
              <w:rPr>
                <w:noProof/>
                <w:color w:val="006100"/>
                <w:sz w:val="18"/>
                <w:szCs w:val="18"/>
              </w:rPr>
              <w:t>Programe de formare — validarea strategiei de învățare p</w:t>
            </w:r>
            <w:r>
              <w:rPr>
                <w:noProof/>
                <w:color w:val="006100"/>
                <w:sz w:val="18"/>
                <w:szCs w:val="18"/>
              </w:rPr>
              <w:t>e tot parcursul vieții</w:t>
            </w:r>
          </w:p>
        </w:tc>
        <w:tc>
          <w:tcPr>
            <w:tcW w:w="145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22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persoane care au primit un certificat de reușită</w:t>
            </w:r>
          </w:p>
          <w:p w:rsidR="00780A28" w:rsidRDefault="001867D7">
            <w:pPr>
              <w:spacing w:after="0" w:line="240" w:lineRule="auto"/>
              <w:rPr>
                <w:rFonts w:eastAsia="Times New Roman" w:cs="Calibri"/>
                <w:noProof/>
                <w:color w:val="006100"/>
                <w:sz w:val="18"/>
                <w:szCs w:val="18"/>
              </w:rPr>
            </w:pPr>
            <w:r>
              <w:rPr>
                <w:noProof/>
                <w:color w:val="006100"/>
                <w:sz w:val="18"/>
                <w:szCs w:val="18"/>
              </w:rPr>
              <w:t>participarea la un program de formare</w:t>
            </w:r>
          </w:p>
        </w:tc>
        <w:tc>
          <w:tcPr>
            <w:tcW w:w="98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9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150 000</w:t>
            </w:r>
          </w:p>
        </w:tc>
        <w:tc>
          <w:tcPr>
            <w:tcW w:w="8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7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53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programelor de formare privind competențele digitale, ecologice și financiare pentru cel puțin 150 000 de participanți și validarea și certificarea competențelor dobândite pentru toți participanții care au reușit la concurs.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Această investiți</w:t>
            </w:r>
            <w:r>
              <w:rPr>
                <w:noProof/>
                <w:color w:val="006100"/>
                <w:sz w:val="18"/>
                <w:szCs w:val="18"/>
              </w:rPr>
              <w:t>e răspunde nevoii de competențe digitale, ecologice și financiare pentru următoarele grupuri de populație: a) șomeri, în special tineri și șomeri de lungă durată, b) angajați, în special cei cu risc ridicat de șomaj și cei care sunt lăsați în urmă de tehno</w:t>
            </w:r>
            <w:r>
              <w:rPr>
                <w:noProof/>
                <w:color w:val="006100"/>
                <w:sz w:val="18"/>
                <w:szCs w:val="18"/>
              </w:rPr>
              <w:t>logia spațiului de lucru, c) angajați, în special la IMM-urile cu capacitate internă limitată de formare, d) angajați din sectorul public, inclusiv profesori. Competențele oferite sunt: a) competențe digitale de referință, b) competențe digitale de nivel m</w:t>
            </w:r>
            <w:r>
              <w:rPr>
                <w:noProof/>
                <w:color w:val="006100"/>
                <w:sz w:val="18"/>
                <w:szCs w:val="18"/>
              </w:rPr>
              <w:t>ediu, c) competențe ecologice și d) competențe de alfabetizare financiară.</w:t>
            </w:r>
          </w:p>
        </w:tc>
      </w:tr>
      <w:tr w:rsidR="00780A28">
        <w:trPr>
          <w:trHeight w:val="309"/>
          <w:jc w:val="center"/>
        </w:trPr>
        <w:tc>
          <w:tcPr>
            <w:tcW w:w="1188"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140</w:t>
            </w:r>
          </w:p>
        </w:tc>
        <w:tc>
          <w:tcPr>
            <w:tcW w:w="131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9 - 3.2. Educație, educație și formare profesională și competențe — 16913_A New Strategy for Lifelong Skilling: Modernizarea și modernizarea sistemului de actualizare a </w:t>
            </w:r>
            <w:r>
              <w:rPr>
                <w:noProof/>
                <w:color w:val="006100"/>
                <w:sz w:val="18"/>
                <w:szCs w:val="18"/>
              </w:rPr>
              <w:t>competențelor și de reconversie profesională al Greciei</w:t>
            </w:r>
          </w:p>
        </w:tc>
        <w:tc>
          <w:tcPr>
            <w:tcW w:w="114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04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Programe de formare — validarea etapelor învățării pe tot parcursul vieții</w:t>
            </w:r>
          </w:p>
        </w:tc>
        <w:tc>
          <w:tcPr>
            <w:tcW w:w="1459"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122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persoane care au primit un certificat de reușită</w:t>
            </w:r>
          </w:p>
          <w:p w:rsidR="00780A28" w:rsidRDefault="001867D7">
            <w:pPr>
              <w:spacing w:after="0" w:line="240" w:lineRule="auto"/>
              <w:rPr>
                <w:rFonts w:eastAsia="Times New Roman" w:cs="Calibri"/>
                <w:noProof/>
                <w:color w:val="006100"/>
                <w:sz w:val="18"/>
                <w:szCs w:val="18"/>
              </w:rPr>
            </w:pPr>
            <w:r>
              <w:rPr>
                <w:noProof/>
                <w:color w:val="006100"/>
                <w:sz w:val="18"/>
                <w:szCs w:val="18"/>
              </w:rPr>
              <w:t>finalizarea programului de formare</w:t>
            </w:r>
          </w:p>
        </w:tc>
        <w:tc>
          <w:tcPr>
            <w:tcW w:w="98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150 000</w:t>
            </w:r>
          </w:p>
        </w:tc>
        <w:tc>
          <w:tcPr>
            <w:tcW w:w="99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500 000</w:t>
            </w:r>
          </w:p>
        </w:tc>
        <w:tc>
          <w:tcPr>
            <w:tcW w:w="85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7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53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programelor de formare privind competențele digitale, ecologice și financiare pentru 500 000 de participanți (cumulate, valul 1 și valul 2) și validarea și certificarea competențelor dobândite prin ambele valuri de programe de formare pentru t</w:t>
            </w:r>
            <w:r>
              <w:rPr>
                <w:noProof/>
                <w:color w:val="006100"/>
                <w:sz w:val="18"/>
                <w:szCs w:val="18"/>
              </w:rPr>
              <w:t xml:space="preserve">oți participanții care au reușit.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Din numărul total de participanți, cel puțin 33 % (167 000 de participanți) trebuie să fi desfășurat programe de formare legate de competențe și locuri de muncă ecologice în economia ecologică. </w:t>
            </w:r>
          </w:p>
        </w:tc>
      </w:tr>
    </w:tbl>
    <w:p w:rsidR="00780A28" w:rsidRDefault="00780A28">
      <w:pPr>
        <w:spacing w:before="120" w:after="120" w:line="240" w:lineRule="auto"/>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1867D7">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sz w:val="24"/>
        </w:rPr>
        <w:t xml:space="preserve">Grupa 11: Promovarea </w:t>
      </w:r>
      <w:r>
        <w:rPr>
          <w:rFonts w:ascii="Cambria" w:hAnsi="Cambria"/>
          <w:noProof/>
          <w:color w:val="365F91"/>
          <w:sz w:val="24"/>
        </w:rPr>
        <w:t>creării de locuri de muncă și a participării la piața forței de muncă/educație, educație și formare profesională și competențe — OAED — Reforme &amp; Investiții</w:t>
      </w:r>
    </w:p>
    <w:p w:rsidR="00780A28" w:rsidRDefault="001867D7">
      <w:pPr>
        <w:numPr>
          <w:ilvl w:val="0"/>
          <w:numId w:val="42"/>
        </w:numPr>
        <w:spacing w:before="120" w:after="0" w:line="240" w:lineRule="auto"/>
        <w:jc w:val="both"/>
        <w:rPr>
          <w:rFonts w:ascii="Times New Roman" w:hAnsi="Times New Roman" w:cs="Times New Roman"/>
          <w:noProof/>
        </w:rPr>
      </w:pPr>
      <w:r>
        <w:rPr>
          <w:rFonts w:ascii="Times New Roman" w:hAnsi="Times New Roman"/>
          <w:noProof/>
          <w:sz w:val="24"/>
        </w:rPr>
        <w:t>Restructurarea și remarca SPOFM locale ale OAED (KPA2) (ID: 16941)</w:t>
      </w:r>
    </w:p>
    <w:p w:rsidR="00780A28" w:rsidRDefault="001867D7">
      <w:pPr>
        <w:numPr>
          <w:ilvl w:val="0"/>
          <w:numId w:val="42"/>
        </w:numPr>
        <w:spacing w:before="120" w:after="0" w:line="240" w:lineRule="auto"/>
        <w:jc w:val="both"/>
        <w:rPr>
          <w:rFonts w:ascii="Times New Roman" w:hAnsi="Times New Roman" w:cs="Times New Roman"/>
          <w:noProof/>
          <w:sz w:val="24"/>
        </w:rPr>
      </w:pPr>
      <w:r>
        <w:rPr>
          <w:rFonts w:ascii="Times New Roman" w:hAnsi="Times New Roman"/>
          <w:noProof/>
          <w:sz w:val="24"/>
        </w:rPr>
        <w:t>Reforma politicilor active în do</w:t>
      </w:r>
      <w:r>
        <w:rPr>
          <w:rFonts w:ascii="Times New Roman" w:hAnsi="Times New Roman"/>
          <w:noProof/>
          <w:sz w:val="24"/>
        </w:rPr>
        <w:t>meniul pieței forței de muncă (ID: 16747)</w:t>
      </w:r>
    </w:p>
    <w:p w:rsidR="00780A28" w:rsidRDefault="001867D7">
      <w:pPr>
        <w:numPr>
          <w:ilvl w:val="0"/>
          <w:numId w:val="42"/>
        </w:numPr>
        <w:spacing w:before="120" w:after="0" w:line="240" w:lineRule="auto"/>
        <w:jc w:val="both"/>
        <w:rPr>
          <w:rFonts w:ascii="Times New Roman" w:hAnsi="Times New Roman" w:cs="Times New Roman"/>
          <w:noProof/>
          <w:sz w:val="24"/>
        </w:rPr>
      </w:pPr>
      <w:r>
        <w:rPr>
          <w:rFonts w:ascii="Times New Roman" w:hAnsi="Times New Roman"/>
          <w:noProof/>
          <w:sz w:val="24"/>
        </w:rPr>
        <w:t>Consolidarea sistemului de ucenicie (ID: 16794)</w:t>
      </w:r>
    </w:p>
    <w:p w:rsidR="00780A28" w:rsidRDefault="001867D7">
      <w:pPr>
        <w:numPr>
          <w:ilvl w:val="0"/>
          <w:numId w:val="42"/>
        </w:numPr>
        <w:spacing w:before="120" w:after="0" w:line="240" w:lineRule="auto"/>
        <w:jc w:val="both"/>
        <w:rPr>
          <w:rFonts w:ascii="Times New Roman" w:hAnsi="Times New Roman" w:cs="Times New Roman"/>
          <w:noProof/>
          <w:sz w:val="24"/>
        </w:rPr>
      </w:pPr>
      <w:r>
        <w:rPr>
          <w:rFonts w:ascii="Times New Roman" w:hAnsi="Times New Roman"/>
          <w:noProof/>
          <w:sz w:val="24"/>
        </w:rPr>
        <w:t>Reforma politicilor pasive privind piața forței de muncă în vederea sprijinirii tranziției către ocuparea forței de muncă (ID: 16746)</w:t>
      </w:r>
    </w:p>
    <w:p w:rsidR="00780A28" w:rsidRDefault="001867D7">
      <w:pPr>
        <w:numPr>
          <w:ilvl w:val="0"/>
          <w:numId w:val="42"/>
        </w:numPr>
        <w:spacing w:before="120" w:after="120" w:line="240" w:lineRule="auto"/>
        <w:jc w:val="both"/>
        <w:rPr>
          <w:rFonts w:ascii="Times New Roman" w:hAnsi="Times New Roman" w:cs="Times New Roman"/>
          <w:noProof/>
          <w:sz w:val="24"/>
        </w:rPr>
        <w:sectPr w:rsidR="00780A28">
          <w:headerReference w:type="even" r:id="rId143"/>
          <w:headerReference w:type="default" r:id="rId144"/>
          <w:footerReference w:type="even" r:id="rId145"/>
          <w:footerReference w:type="default" r:id="rId146"/>
          <w:headerReference w:type="first" r:id="rId147"/>
          <w:footerReference w:type="first" r:id="rId148"/>
          <w:pgSz w:w="16839" w:h="11907" w:orient="landscape"/>
          <w:pgMar w:top="720" w:right="720" w:bottom="720" w:left="720" w:header="709" w:footer="709" w:gutter="0"/>
          <w:cols w:space="720"/>
          <w:docGrid w:linePitch="360"/>
        </w:sectPr>
      </w:pPr>
      <w:r>
        <w:rPr>
          <w:rFonts w:ascii="Times New Roman" w:hAnsi="Times New Roman"/>
          <w:noProof/>
          <w:sz w:val="24"/>
        </w:rPr>
        <w:t>Competențele forței de muncă, recalificarea și perfecționarea prin intermediul unui model reformat de formare (educație profesională &amp; Reforma formării) (ID: 16792)</w:t>
      </w:r>
      <w:r>
        <w:rPr>
          <w:rFonts w:ascii="Times New Roman" w:hAnsi="Times New Roman"/>
          <w:noProof/>
          <w:sz w:val="24"/>
        </w:rPr>
        <w:tab/>
      </w:r>
    </w:p>
    <w:tbl>
      <w:tblPr>
        <w:tblW w:w="15730" w:type="dxa"/>
        <w:tblInd w:w="113" w:type="dxa"/>
        <w:tblLook w:val="04A0" w:firstRow="1" w:lastRow="0" w:firstColumn="1" w:lastColumn="0" w:noHBand="0" w:noVBand="1"/>
      </w:tblPr>
      <w:tblGrid>
        <w:gridCol w:w="1116"/>
        <w:gridCol w:w="1856"/>
        <w:gridCol w:w="1107"/>
        <w:gridCol w:w="1365"/>
        <w:gridCol w:w="1471"/>
        <w:gridCol w:w="1135"/>
        <w:gridCol w:w="924"/>
        <w:gridCol w:w="866"/>
        <w:gridCol w:w="861"/>
        <w:gridCol w:w="755"/>
        <w:gridCol w:w="4522"/>
      </w:tblGrid>
      <w:tr w:rsidR="00780A28">
        <w:trPr>
          <w:trHeight w:val="927"/>
          <w:tblHeader/>
        </w:trPr>
        <w:tc>
          <w:tcPr>
            <w:tcW w:w="111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365"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772"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588"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blHeader/>
        </w:trPr>
        <w:tc>
          <w:tcPr>
            <w:tcW w:w="1116"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65"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35"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24"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713"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w:t>
            </w:r>
            <w:r>
              <w:rPr>
                <w:rFonts w:ascii="Times New Roman" w:hAnsi="Times New Roman"/>
                <w:b/>
                <w:bCs/>
                <w:noProof/>
                <w:sz w:val="18"/>
                <w:szCs w:val="18"/>
              </w:rPr>
              <w:t xml:space="preserve"> sfert</w:t>
            </w:r>
          </w:p>
        </w:tc>
        <w:tc>
          <w:tcPr>
            <w:tcW w:w="74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522"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141</w:t>
            </w:r>
          </w:p>
        </w:tc>
        <w:tc>
          <w:tcPr>
            <w:tcW w:w="17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8 - 3.1. Promovarea creării de locuri de muncă și a participării pe piața muncii — 16941_Restructurarea și remarca SPOFM locale ale OAED (PAC2)</w:t>
            </w:r>
          </w:p>
        </w:tc>
        <w:tc>
          <w:tcPr>
            <w:tcW w:w="109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6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OAED — Reforma organizațională — intrarea în vigoare a legislației </w:t>
            </w:r>
          </w:p>
        </w:tc>
        <w:tc>
          <w:tcPr>
            <w:tcW w:w="147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w:t>
            </w:r>
            <w:r>
              <w:rPr>
                <w:noProof/>
                <w:color w:val="006100"/>
                <w:sz w:val="18"/>
                <w:szCs w:val="18"/>
              </w:rPr>
              <w:t xml:space="preserve"> a legislației </w:t>
            </w:r>
          </w:p>
        </w:tc>
        <w:tc>
          <w:tcPr>
            <w:tcW w:w="113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45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reformei organizatorice a Organizației elene pentru ocuparea forței de muncă (OAED), restructurarea, renovarea și rebranșarea serviciilor publice locale de ocupare a forței de muncă, în vederea îmbunătățirii</w:t>
            </w:r>
            <w:r>
              <w:rPr>
                <w:noProof/>
                <w:color w:val="006100"/>
                <w:sz w:val="18"/>
                <w:szCs w:val="18"/>
              </w:rPr>
              <w:t xml:space="preserve"> calității, a capacității și a eficacității serviciilor oferite.</w:t>
            </w:r>
          </w:p>
        </w:tc>
      </w:tr>
      <w:tr w:rsidR="00780A28">
        <w:trPr>
          <w:trHeight w:val="309"/>
        </w:trPr>
        <w:tc>
          <w:tcPr>
            <w:tcW w:w="111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142</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8 - 3.1. Promovarea creării de locuri de muncă și a participării pe piața muncii — 16746_Reforma politicilor pasive privind piața forței de muncă în vederea sprijinirii tranziției către </w:t>
            </w:r>
            <w:r>
              <w:rPr>
                <w:noProof/>
                <w:color w:val="006100"/>
                <w:sz w:val="18"/>
                <w:szCs w:val="18"/>
              </w:rPr>
              <w:t>ocuparea forței de muncă</w:t>
            </w:r>
          </w:p>
        </w:tc>
        <w:tc>
          <w:tcPr>
            <w:tcW w:w="10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6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yellow"/>
              </w:rPr>
            </w:pPr>
            <w:r>
              <w:rPr>
                <w:noProof/>
                <w:color w:val="006100"/>
                <w:sz w:val="18"/>
                <w:szCs w:val="18"/>
              </w:rPr>
              <w:t xml:space="preserve">Reforma cadrului de obligații reciproce – intrarea în vigoare a legislației </w:t>
            </w:r>
          </w:p>
        </w:tc>
        <w:tc>
          <w:tcPr>
            <w:tcW w:w="147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w:t>
            </w:r>
          </w:p>
        </w:tc>
        <w:tc>
          <w:tcPr>
            <w:tcW w:w="113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5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pentru reformarea cadrului obligațiilor reciproce, care stabilește </w:t>
            </w:r>
            <w:r>
              <w:rPr>
                <w:noProof/>
                <w:color w:val="006100"/>
                <w:sz w:val="18"/>
                <w:szCs w:val="18"/>
              </w:rPr>
              <w:t>relația dintre Serviciul public de ocupare a forței de muncă (SPOFM) și persoana aflată în căutarea unui loc de muncă. Printre altele, reforma va include o nouă definiție a căutării active a unui loc de muncă și sancțiuni pentru șomerii care nu respectă no</w:t>
            </w:r>
            <w:r>
              <w:rPr>
                <w:noProof/>
                <w:color w:val="006100"/>
                <w:sz w:val="18"/>
                <w:szCs w:val="18"/>
              </w:rPr>
              <w:t>ile norme.</w:t>
            </w:r>
          </w:p>
        </w:tc>
      </w:tr>
      <w:tr w:rsidR="00780A28">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143</w:t>
            </w:r>
          </w:p>
        </w:tc>
        <w:tc>
          <w:tcPr>
            <w:tcW w:w="17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9 - 3.2. Educație, educație și formare profesională și competențe — 16792_Formare a forței de muncă, recalificare și perfecționare prin intermediul unui model reformat de formare (Educație profesională &amp; Reforma formării)</w:t>
            </w:r>
          </w:p>
        </w:tc>
        <w:tc>
          <w:tcPr>
            <w:tcW w:w="109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6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w:t>
            </w:r>
            <w:r>
              <w:rPr>
                <w:noProof/>
                <w:color w:val="006100"/>
                <w:sz w:val="18"/>
                <w:szCs w:val="18"/>
              </w:rPr>
              <w:t>contractului pentru sistemul de control al calității EFP</w:t>
            </w:r>
          </w:p>
        </w:tc>
        <w:tc>
          <w:tcPr>
            <w:tcW w:w="147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113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5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contractelor pentru sistemul de control al calității pentru educația și formarea profesională (EFP) a avut ca scop îmbunătățirea controlului </w:t>
            </w:r>
            <w:r>
              <w:rPr>
                <w:noProof/>
                <w:color w:val="006100"/>
                <w:sz w:val="18"/>
                <w:szCs w:val="18"/>
              </w:rPr>
              <w:t>calității unităților de formare profesională ale Organizației elene pentru ocuparea forței de muncă (OAED), în principal prin evaluarea rezultatelor sale și prin urmărirea progreselor și performanțelor cursanților pe piața forței de muncă.</w:t>
            </w:r>
          </w:p>
        </w:tc>
      </w:tr>
      <w:tr w:rsidR="00780A28">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144</w:t>
            </w:r>
          </w:p>
        </w:tc>
        <w:tc>
          <w:tcPr>
            <w:tcW w:w="17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8 - 3.1. </w:t>
            </w:r>
            <w:r>
              <w:rPr>
                <w:noProof/>
                <w:color w:val="006100"/>
                <w:sz w:val="18"/>
                <w:szCs w:val="18"/>
              </w:rPr>
              <w:t>Promovarea creării de locuri de muncă și a participării pe piața forței de muncă — 16747_Reforma activă a politicilor pieței forței de muncă</w:t>
            </w:r>
          </w:p>
        </w:tc>
        <w:tc>
          <w:tcPr>
            <w:tcW w:w="109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36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programului de perfecționare a competențelor în domeniul ocupării forței de muncă </w:t>
            </w:r>
          </w:p>
        </w:tc>
        <w:tc>
          <w:tcPr>
            <w:tcW w:w="147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de </w:t>
            </w:r>
            <w:r>
              <w:rPr>
                <w:noProof/>
                <w:color w:val="006100"/>
                <w:sz w:val="18"/>
                <w:szCs w:val="18"/>
              </w:rPr>
              <w:t>ș</w:t>
            </w:r>
            <w:r>
              <w:rPr>
                <w:noProof/>
                <w:color w:val="006100"/>
                <w:sz w:val="18"/>
                <w:szCs w:val="18"/>
              </w:rPr>
              <w:t>omeri (cu vârste cuprinse între 25 și 45 de ani) care au primit un certificat de reușită</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programului de formare </w:t>
            </w:r>
          </w:p>
        </w:tc>
        <w:tc>
          <w:tcPr>
            <w:tcW w:w="9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13 500</w:t>
            </w: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5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cu succes a unui program cuprinzător de perfecționare/recalificare și angajare pe termen scurt pentru</w:t>
            </w:r>
            <w:r>
              <w:rPr>
                <w:noProof/>
                <w:color w:val="006100"/>
                <w:sz w:val="18"/>
                <w:szCs w:val="18"/>
              </w:rPr>
              <w:t xml:space="preserve"> cel puțin 13 500 de lucrători șomeri (cu vârste cuprinse între 25 și 45 de ani) din totalul de 15 000 de beneficiari</w:t>
            </w:r>
          </w:p>
          <w:p w:rsidR="00780A28" w:rsidRDefault="001867D7">
            <w:pPr>
              <w:spacing w:after="0" w:line="240" w:lineRule="auto"/>
              <w:rPr>
                <w:rFonts w:eastAsia="Times New Roman" w:cs="Calibri"/>
                <w:noProof/>
                <w:color w:val="006100"/>
                <w:sz w:val="18"/>
                <w:szCs w:val="18"/>
              </w:rPr>
            </w:pPr>
            <w:r>
              <w:rPr>
                <w:noProof/>
                <w:color w:val="006100"/>
                <w:sz w:val="18"/>
                <w:szCs w:val="18"/>
              </w:rPr>
              <w:t>Se preconizează că 19 % din fondurile alocate vor contribui la crearea de competențe și locuri de muncă verzi și la economia verde</w:t>
            </w:r>
          </w:p>
        </w:tc>
      </w:tr>
      <w:tr w:rsidR="00780A28">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145</w:t>
            </w:r>
          </w:p>
        </w:tc>
        <w:tc>
          <w:tcPr>
            <w:tcW w:w="17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9 - 3.2. Educație, educație și formare profesională și competențe — 16794_Consolidarea sistemului de ucenicie </w:t>
            </w:r>
          </w:p>
        </w:tc>
        <w:tc>
          <w:tcPr>
            <w:tcW w:w="109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36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Cursuri de formare care să finalizeze digitalizarea e-learning și finalizarea renovărilor eficiente din punct de vedere energetic</w:t>
            </w:r>
          </w:p>
        </w:tc>
        <w:tc>
          <w:tcPr>
            <w:tcW w:w="147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w:t>
            </w:r>
            <w:r>
              <w:rPr>
                <w:noProof/>
                <w:color w:val="006100"/>
                <w:sz w:val="18"/>
                <w:szCs w:val="18"/>
              </w:rPr>
              <w:t>de cursuri de formare digitalizate (cursuri de e-learning)</w:t>
            </w:r>
          </w:p>
        </w:tc>
        <w:tc>
          <w:tcPr>
            <w:tcW w:w="9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250</w:t>
            </w: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5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digitalizării a cel puțin 250 de cursuri de formare profesională ale OAED pentru ucenicii (EPAS).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Obiectivul măsurii este de a simplifica procesele de învățare și de a încorpora noi metodologii și instrumente, cum ar fi platformele de e-learning și conținutul de formare digitalizat, atât pentru ucenici, cât și pentru formatori.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Lucrările de construcț</w:t>
            </w:r>
            <w:r>
              <w:rPr>
                <w:noProof/>
                <w:color w:val="006100"/>
                <w:sz w:val="18"/>
                <w:szCs w:val="18"/>
              </w:rPr>
              <w:t>ie și renovare finalizate trebuie să realizeze, în medie, cel puțin o renovare de amploare moderată, așa cum este definită în Recomandarea Comisiei privind renovarea clădirilor (UE) 2019/786, sau (b) să realizeze, în medie, o reducere de cel puțin 30 % a e</w:t>
            </w:r>
            <w:r>
              <w:rPr>
                <w:noProof/>
                <w:color w:val="006100"/>
                <w:sz w:val="18"/>
                <w:szCs w:val="18"/>
              </w:rPr>
              <w:t>misiilor directe și indirecte de gaze cu efect de seră în comparație cu emisiile ex-ante.</w:t>
            </w:r>
          </w:p>
        </w:tc>
      </w:tr>
      <w:tr w:rsidR="00780A28">
        <w:trPr>
          <w:trHeight w:val="309"/>
        </w:trPr>
        <w:tc>
          <w:tcPr>
            <w:tcW w:w="111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146</w:t>
            </w:r>
          </w:p>
        </w:tc>
        <w:tc>
          <w:tcPr>
            <w:tcW w:w="17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9 - 3.2. Educație, educație și formare profesională și competențe — 16792_Formare a forței de muncă, recalificare și perfecționare prin intermediul unui model </w:t>
            </w:r>
            <w:r>
              <w:rPr>
                <w:noProof/>
                <w:color w:val="006100"/>
                <w:sz w:val="18"/>
                <w:szCs w:val="18"/>
              </w:rPr>
              <w:t>reformat de formare (Educație profesională &amp; Reforma formării)</w:t>
            </w:r>
          </w:p>
        </w:tc>
        <w:tc>
          <w:tcPr>
            <w:tcW w:w="109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6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sistemului de control al calității VET</w:t>
            </w:r>
          </w:p>
        </w:tc>
        <w:tc>
          <w:tcPr>
            <w:tcW w:w="147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organizației naționale de ocupare a forței de muncă prin care se confirmă finalizarea sistemului de control al calității VET</w:t>
            </w:r>
          </w:p>
        </w:tc>
        <w:tc>
          <w:tcPr>
            <w:tcW w:w="113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2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5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sistemului de control al calității VET cu scopul de a îmbunătăți controlul calității unităților de formare profesională ale Organizației Naționale pentru Ocuparea Forței de Muncă (OAED)</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Se preconizează că 45 % din fondurile alocate vo</w:t>
            </w:r>
            <w:r>
              <w:rPr>
                <w:noProof/>
                <w:color w:val="006100"/>
                <w:sz w:val="18"/>
                <w:szCs w:val="18"/>
              </w:rPr>
              <w:t>r contribui la crearea de competențe și locuri de muncă verzi și la economia verde</w:t>
            </w:r>
          </w:p>
        </w:tc>
      </w:tr>
    </w:tbl>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12: Ministerul Educației și Cultelor — Reforme și investiții</w:t>
      </w:r>
    </w:p>
    <w:p w:rsidR="00780A28" w:rsidRDefault="001867D7">
      <w:pPr>
        <w:numPr>
          <w:ilvl w:val="0"/>
          <w:numId w:val="41"/>
        </w:numPr>
        <w:spacing w:before="120" w:after="0" w:line="240" w:lineRule="auto"/>
        <w:jc w:val="both"/>
        <w:rPr>
          <w:rFonts w:ascii="Times New Roman" w:hAnsi="Times New Roman" w:cs="Times New Roman"/>
          <w:noProof/>
        </w:rPr>
      </w:pPr>
      <w:r>
        <w:rPr>
          <w:rFonts w:ascii="Times New Roman" w:hAnsi="Times New Roman"/>
          <w:noProof/>
          <w:sz w:val="24"/>
        </w:rPr>
        <w:t xml:space="preserve">Modernizarea educației și formării profesionale (EFP): Furnizarea de echipamente de laborator pentru </w:t>
      </w:r>
      <w:r>
        <w:rPr>
          <w:rFonts w:ascii="Times New Roman" w:hAnsi="Times New Roman"/>
          <w:noProof/>
          <w:sz w:val="24"/>
        </w:rPr>
        <w:t>centrele de laborator pentru IEK, EPAL, clasa de ucenicie postliceală și școlile de formare profesională (ID: 16933)</w:t>
      </w:r>
    </w:p>
    <w:p w:rsidR="00780A28" w:rsidRDefault="001867D7">
      <w:pPr>
        <w:numPr>
          <w:ilvl w:val="0"/>
          <w:numId w:val="41"/>
        </w:numPr>
        <w:spacing w:before="120" w:after="0" w:line="240" w:lineRule="auto"/>
        <w:jc w:val="both"/>
        <w:rPr>
          <w:rFonts w:ascii="Times New Roman" w:hAnsi="Times New Roman" w:cs="Times New Roman"/>
          <w:noProof/>
          <w:sz w:val="24"/>
        </w:rPr>
      </w:pPr>
      <w:r>
        <w:rPr>
          <w:rFonts w:ascii="Times New Roman" w:hAnsi="Times New Roman"/>
          <w:noProof/>
          <w:sz w:val="24"/>
        </w:rPr>
        <w:t>Modernizarea educației și formării profesionale (ID: 16934)</w:t>
      </w:r>
    </w:p>
    <w:p w:rsidR="00780A28" w:rsidRDefault="001867D7">
      <w:pPr>
        <w:numPr>
          <w:ilvl w:val="0"/>
          <w:numId w:val="41"/>
        </w:numPr>
        <w:spacing w:before="120" w:after="0" w:line="240" w:lineRule="auto"/>
        <w:jc w:val="both"/>
        <w:rPr>
          <w:rFonts w:ascii="Times New Roman" w:hAnsi="Times New Roman" w:cs="Times New Roman"/>
          <w:noProof/>
          <w:sz w:val="24"/>
        </w:rPr>
      </w:pPr>
      <w:r>
        <w:rPr>
          <w:rFonts w:ascii="Times New Roman" w:hAnsi="Times New Roman"/>
          <w:noProof/>
          <w:sz w:val="24"/>
        </w:rPr>
        <w:t>Strategia de excelență în universități &amp; Inovarea (ID: 16289)</w:t>
      </w:r>
    </w:p>
    <w:p w:rsidR="00780A28" w:rsidRDefault="001867D7">
      <w:pPr>
        <w:numPr>
          <w:ilvl w:val="0"/>
          <w:numId w:val="41"/>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Transformarea </w:t>
      </w:r>
      <w:r>
        <w:rPr>
          <w:rFonts w:ascii="Times New Roman" w:hAnsi="Times New Roman"/>
          <w:noProof/>
          <w:sz w:val="24"/>
        </w:rPr>
        <w:t>digitală a educației (ID: 16676)</w:t>
      </w:r>
    </w:p>
    <w:tbl>
      <w:tblPr>
        <w:tblW w:w="15502" w:type="dxa"/>
        <w:tblInd w:w="113" w:type="dxa"/>
        <w:tblLook w:val="04A0" w:firstRow="1" w:lastRow="0" w:firstColumn="1" w:lastColumn="0" w:noHBand="0" w:noVBand="1"/>
      </w:tblPr>
      <w:tblGrid>
        <w:gridCol w:w="1068"/>
        <w:gridCol w:w="1841"/>
        <w:gridCol w:w="1206"/>
        <w:gridCol w:w="1245"/>
        <w:gridCol w:w="1615"/>
        <w:gridCol w:w="1143"/>
        <w:gridCol w:w="1022"/>
        <w:gridCol w:w="908"/>
        <w:gridCol w:w="908"/>
        <w:gridCol w:w="807"/>
        <w:gridCol w:w="3739"/>
      </w:tblGrid>
      <w:tr w:rsidR="00780A28">
        <w:trPr>
          <w:trHeight w:val="939"/>
          <w:tblHeader/>
        </w:trPr>
        <w:tc>
          <w:tcPr>
            <w:tcW w:w="107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247"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3068"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718"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374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Descrierea </w:t>
            </w:r>
            <w:r>
              <w:rPr>
                <w:rFonts w:ascii="Times New Roman" w:hAnsi="Times New Roman"/>
                <w:b/>
                <w:bCs/>
                <w:noProof/>
                <w:sz w:val="18"/>
                <w:szCs w:val="18"/>
              </w:rPr>
              <w:t>fiecărui jalon și a fiecărei ținte</w:t>
            </w:r>
          </w:p>
        </w:tc>
      </w:tr>
      <w:tr w:rsidR="00780A28">
        <w:trPr>
          <w:trHeight w:val="1027"/>
          <w:tblHeader/>
        </w:trPr>
        <w:tc>
          <w:tcPr>
            <w:tcW w:w="1070"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82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0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47"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61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1024"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910"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910"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808"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374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trPr>
        <w:tc>
          <w:tcPr>
            <w:tcW w:w="1070"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147</w:t>
            </w:r>
          </w:p>
        </w:tc>
        <w:tc>
          <w:tcPr>
            <w:tcW w:w="18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w:t>
            </w:r>
            <w:r>
              <w:rPr>
                <w:noProof/>
                <w:color w:val="006100"/>
                <w:sz w:val="18"/>
                <w:szCs w:val="18"/>
              </w:rPr>
              <w:t xml:space="preserve"> - 3.2. Educație, educație și formare profesională și competențe — 16289_Strategie de excelență în universități &amp; Inovarea</w:t>
            </w:r>
          </w:p>
        </w:tc>
        <w:tc>
          <w:tcPr>
            <w:tcW w:w="12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contractelor de cercetare de către universitățile de excelență</w:t>
            </w:r>
          </w:p>
        </w:tc>
        <w:tc>
          <w:tcPr>
            <w:tcW w:w="161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113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2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Univer</w:t>
            </w:r>
            <w:r>
              <w:rPr>
                <w:noProof/>
                <w:color w:val="006100"/>
                <w:sz w:val="18"/>
                <w:szCs w:val="18"/>
              </w:rPr>
              <w:t>sități de excelență: — atribuirea contractelor cu universitățile selectate pentru modernizarea și îmbunătățirea infrastructurilor lor de cercetare și educaționale (cum ar fi echipamentele sau laboratoarele de cercetare), extinderea în noi domenii de cercet</w:t>
            </w:r>
            <w:r>
              <w:rPr>
                <w:noProof/>
                <w:color w:val="006100"/>
                <w:sz w:val="18"/>
                <w:szCs w:val="18"/>
              </w:rPr>
              <w:t xml:space="preserve">are și îmbunătățirea formării oferite. Obiectivul este de a consolida universitățile și unitățile universitare promițătoare de științe aplicate și tehnologie și de a le spori competitivitatea în clasamentele internaționale.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Strategia de excelență în </w:t>
            </w:r>
            <w:r>
              <w:rPr>
                <w:noProof/>
                <w:color w:val="006100"/>
                <w:sz w:val="18"/>
                <w:szCs w:val="18"/>
              </w:rPr>
              <w:t>universități &amp; Inovarea: Atribuirea de contracte pentru 70 proiecte de cercetare în colaborare între universități și sectorul privat în cadrul inițiativei „Clusterele de cercetare și excelență”.</w:t>
            </w:r>
          </w:p>
        </w:tc>
      </w:tr>
      <w:tr w:rsidR="00780A28">
        <w:trPr>
          <w:trHeight w:val="313"/>
        </w:trPr>
        <w:tc>
          <w:tcPr>
            <w:tcW w:w="1070"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148</w:t>
            </w:r>
          </w:p>
        </w:tc>
        <w:tc>
          <w:tcPr>
            <w:tcW w:w="18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9 - 3.2. Educație, educație și formare profesională și </w:t>
            </w:r>
            <w:r>
              <w:rPr>
                <w:noProof/>
                <w:color w:val="006100"/>
                <w:sz w:val="18"/>
                <w:szCs w:val="18"/>
              </w:rPr>
              <w:t>competențe — 16676_Transformarea digitală a educației</w:t>
            </w:r>
          </w:p>
        </w:tc>
        <w:tc>
          <w:tcPr>
            <w:tcW w:w="12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instalării sistemelor interactive</w:t>
            </w:r>
          </w:p>
        </w:tc>
        <w:tc>
          <w:tcPr>
            <w:tcW w:w="161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sisteme de învățare interactive instalate</w:t>
            </w:r>
          </w:p>
        </w:tc>
        <w:tc>
          <w:tcPr>
            <w:tcW w:w="10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36 000</w:t>
            </w:r>
          </w:p>
        </w:tc>
        <w:tc>
          <w:tcPr>
            <w:tcW w:w="9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Instalarea a cel puțin 36 000 sisteme interactive de învățare (inclusiv panouri</w:t>
            </w:r>
            <w:r>
              <w:rPr>
                <w:noProof/>
                <w:color w:val="006100"/>
                <w:sz w:val="18"/>
                <w:szCs w:val="18"/>
              </w:rPr>
              <w:t xml:space="preserve"> albe, laptopuri, proiectoare interactive și cabluri interioare) pentru sălile de clasă ale școlilor primare și secundare</w:t>
            </w:r>
          </w:p>
        </w:tc>
      </w:tr>
      <w:tr w:rsidR="00780A28">
        <w:trPr>
          <w:trHeight w:val="313"/>
        </w:trPr>
        <w:tc>
          <w:tcPr>
            <w:tcW w:w="1070"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149</w:t>
            </w:r>
          </w:p>
        </w:tc>
        <w:tc>
          <w:tcPr>
            <w:tcW w:w="18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9 - 3.2. Educație, educație și formare profesională și competențe — 16933_Ameliorarea educației și formării profesionale (EFP): </w:t>
            </w:r>
            <w:r>
              <w:rPr>
                <w:noProof/>
                <w:color w:val="006100"/>
                <w:sz w:val="18"/>
                <w:szCs w:val="18"/>
              </w:rPr>
              <w:t>Furnizarea de echipamente de laborator pentru centrele de laborator pentru IEK, EPAL, clasa de ucenicie postliceală și școlile de formare profesională</w:t>
            </w:r>
          </w:p>
        </w:tc>
        <w:tc>
          <w:tcPr>
            <w:tcW w:w="12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Reînnoirea modernizării centrelor de laborator EFP — finalizarea</w:t>
            </w:r>
          </w:p>
        </w:tc>
        <w:tc>
          <w:tcPr>
            <w:tcW w:w="161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de laboratoare din </w:t>
            </w:r>
            <w:r>
              <w:rPr>
                <w:noProof/>
                <w:color w:val="006100"/>
                <w:sz w:val="18"/>
                <w:szCs w:val="18"/>
              </w:rPr>
              <w:t>ș</w:t>
            </w:r>
            <w:r>
              <w:rPr>
                <w:noProof/>
                <w:color w:val="006100"/>
                <w:sz w:val="18"/>
                <w:szCs w:val="18"/>
              </w:rPr>
              <w:t>colile EFP complet modernizate și reînnoite</w:t>
            </w:r>
          </w:p>
        </w:tc>
        <w:tc>
          <w:tcPr>
            <w:tcW w:w="10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376</w:t>
            </w:r>
          </w:p>
        </w:tc>
        <w:tc>
          <w:tcPr>
            <w:tcW w:w="9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reînnoirii și a modernizării tehnologice complete a infrastructurii echipamentelor de laborator pentru 376 de laboratoare din școlile EFP: </w:t>
            </w:r>
          </w:p>
          <w:p w:rsidR="00780A28" w:rsidRDefault="001867D7">
            <w:pPr>
              <w:spacing w:after="0" w:line="240" w:lineRule="auto"/>
              <w:rPr>
                <w:rFonts w:eastAsia="Times New Roman" w:cs="Calibri"/>
                <w:noProof/>
                <w:color w:val="006100"/>
                <w:sz w:val="18"/>
                <w:szCs w:val="18"/>
              </w:rPr>
            </w:pPr>
            <w:r>
              <w:rPr>
                <w:noProof/>
                <w:color w:val="006100"/>
                <w:sz w:val="18"/>
                <w:szCs w:val="18"/>
              </w:rPr>
              <w:t>(-Institutele de formare profesională (IEK)</w:t>
            </w:r>
          </w:p>
          <w:p w:rsidR="00780A28" w:rsidRDefault="001867D7">
            <w:pPr>
              <w:spacing w:after="0" w:line="240" w:lineRule="auto"/>
              <w:rPr>
                <w:rFonts w:eastAsia="Times New Roman" w:cs="Calibri"/>
                <w:noProof/>
                <w:color w:val="006100"/>
                <w:sz w:val="18"/>
                <w:szCs w:val="18"/>
              </w:rPr>
            </w:pPr>
            <w:r>
              <w:rPr>
                <w:noProof/>
                <w:color w:val="006100"/>
                <w:sz w:val="18"/>
                <w:szCs w:val="18"/>
              </w:rPr>
              <w:t>—</w:t>
            </w:r>
            <w:r>
              <w:rPr>
                <w:noProof/>
                <w:color w:val="006100"/>
                <w:sz w:val="18"/>
                <w:szCs w:val="18"/>
              </w:rPr>
              <w:t xml:space="preserve"> licee profesionale (EPAL)</w:t>
            </w:r>
          </w:p>
          <w:p w:rsidR="00780A28" w:rsidRDefault="001867D7">
            <w:pPr>
              <w:spacing w:after="0" w:line="240" w:lineRule="auto"/>
              <w:rPr>
                <w:rFonts w:eastAsia="Times New Roman" w:cs="Calibri"/>
                <w:noProof/>
                <w:color w:val="006100"/>
                <w:sz w:val="18"/>
                <w:szCs w:val="18"/>
              </w:rPr>
            </w:pPr>
            <w:r>
              <w:rPr>
                <w:noProof/>
                <w:color w:val="006100"/>
                <w:sz w:val="18"/>
                <w:szCs w:val="18"/>
              </w:rPr>
              <w:t>— Clasa de învățământ postliceal pentru ucenicii.</w:t>
            </w:r>
          </w:p>
        </w:tc>
      </w:tr>
      <w:tr w:rsidR="00780A28">
        <w:trPr>
          <w:trHeight w:val="313"/>
        </w:trPr>
        <w:tc>
          <w:tcPr>
            <w:tcW w:w="1070"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150</w:t>
            </w:r>
          </w:p>
        </w:tc>
        <w:tc>
          <w:tcPr>
            <w:tcW w:w="182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9 - 3.2. Educație, educație și formare profesională și competențe — 16289_Strategie de excelență în universități &amp; Inovarea</w:t>
            </w:r>
          </w:p>
        </w:tc>
        <w:tc>
          <w:tcPr>
            <w:tcW w:w="12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vizitei de către profesorii invitați </w:t>
            </w:r>
          </w:p>
        </w:tc>
        <w:tc>
          <w:tcPr>
            <w:tcW w:w="161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Autorității elene pentru învățământul superior care confirmă finalizarea inițiativei „Visiting Professors” și evaluează impactul acesteia.</w:t>
            </w:r>
          </w:p>
        </w:tc>
        <w:tc>
          <w:tcPr>
            <w:tcW w:w="113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2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inițiativei „Visiting Professors” </w:t>
            </w:r>
            <w:r>
              <w:rPr>
                <w:noProof/>
                <w:color w:val="006100"/>
                <w:sz w:val="18"/>
                <w:szCs w:val="18"/>
              </w:rPr>
              <w:t>ș</w:t>
            </w:r>
            <w:r>
              <w:rPr>
                <w:noProof/>
                <w:color w:val="006100"/>
                <w:sz w:val="18"/>
                <w:szCs w:val="18"/>
              </w:rPr>
              <w:t>i evaluarea acesteia.</w:t>
            </w:r>
          </w:p>
        </w:tc>
      </w:tr>
      <w:tr w:rsidR="00780A28">
        <w:trPr>
          <w:trHeight w:val="313"/>
        </w:trPr>
        <w:tc>
          <w:tcPr>
            <w:tcW w:w="1070"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151</w:t>
            </w:r>
          </w:p>
        </w:tc>
        <w:tc>
          <w:tcPr>
            <w:tcW w:w="182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9 - 3.2. Educație, educație și formare profesională și competențe — 16289_Strategie de excelență în universități &amp; Inovarea</w:t>
            </w:r>
          </w:p>
        </w:tc>
        <w:tc>
          <w:tcPr>
            <w:tcW w:w="12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4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„Trust your Stars” </w:t>
            </w:r>
          </w:p>
        </w:tc>
        <w:tc>
          <w:tcPr>
            <w:tcW w:w="161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proiecte finalizate</w:t>
            </w:r>
          </w:p>
        </w:tc>
        <w:tc>
          <w:tcPr>
            <w:tcW w:w="10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1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112</w:t>
            </w:r>
          </w:p>
        </w:tc>
        <w:tc>
          <w:tcPr>
            <w:tcW w:w="91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închiderea financiară și evaluarea pentru 50 proiecte ale cercetătorilor individuali și 62 proiecte de cercetare în colaborare („Trust your Stars”).</w:t>
            </w:r>
          </w:p>
        </w:tc>
      </w:tr>
      <w:tr w:rsidR="00780A28">
        <w:trPr>
          <w:trHeight w:val="313"/>
        </w:trPr>
        <w:tc>
          <w:tcPr>
            <w:tcW w:w="1070"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152</w:t>
            </w:r>
          </w:p>
        </w:tc>
        <w:tc>
          <w:tcPr>
            <w:tcW w:w="182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9 - 3.2. Educație, educație și formare profesională și competențe — </w:t>
            </w:r>
            <w:r>
              <w:rPr>
                <w:noProof/>
                <w:color w:val="006100"/>
                <w:sz w:val="18"/>
                <w:szCs w:val="18"/>
              </w:rPr>
              <w:t>16934_Ameliorarea educației și formării profesionale</w:t>
            </w:r>
          </w:p>
        </w:tc>
        <w:tc>
          <w:tcPr>
            <w:tcW w:w="12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4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Actualizarea profilurilor profesionale ale sistemului VET IEK, Model EPAL Digitalisation EOPPEP</w:t>
            </w:r>
          </w:p>
        </w:tc>
        <w:tc>
          <w:tcPr>
            <w:tcW w:w="161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Ministerului Educației prin care se confirmă finalizarea proiectelor</w:t>
            </w: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2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4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w:t>
            </w:r>
            <w:r>
              <w:rPr>
                <w:noProof/>
                <w:color w:val="006100"/>
                <w:sz w:val="18"/>
                <w:szCs w:val="18"/>
              </w:rPr>
              <w:t>următoarelor proiecte care vizează modernizarea sistemului de educație și formare profesională:</w:t>
            </w:r>
          </w:p>
          <w:p w:rsidR="00780A28" w:rsidRDefault="001867D7">
            <w:pPr>
              <w:spacing w:after="0" w:line="240" w:lineRule="auto"/>
              <w:rPr>
                <w:rFonts w:eastAsia="Times New Roman" w:cs="Calibri"/>
                <w:noProof/>
                <w:color w:val="006100"/>
                <w:sz w:val="18"/>
                <w:szCs w:val="18"/>
              </w:rPr>
            </w:pPr>
            <w:r>
              <w:rPr>
                <w:noProof/>
                <w:color w:val="006100"/>
                <w:sz w:val="18"/>
                <w:szCs w:val="18"/>
              </w:rPr>
              <w:t>1. Conceperea și dezvoltarea a 5 institute tematice și 10 institute de formare profesională experimentală (IEK), în cadrul cărora proiectele ar include furnizar</w:t>
            </w:r>
            <w:r>
              <w:rPr>
                <w:noProof/>
                <w:color w:val="006100"/>
                <w:sz w:val="18"/>
                <w:szCs w:val="18"/>
              </w:rPr>
              <w:t>ea de echipamente și servicii, intervenții în clădiri și formarea formatorilor;</w:t>
            </w:r>
          </w:p>
          <w:p w:rsidR="00780A28" w:rsidRDefault="001867D7">
            <w:pPr>
              <w:spacing w:after="0" w:line="240" w:lineRule="auto"/>
              <w:rPr>
                <w:rFonts w:eastAsia="Times New Roman" w:cs="Calibri"/>
                <w:noProof/>
                <w:color w:val="006100"/>
                <w:sz w:val="18"/>
                <w:szCs w:val="18"/>
              </w:rPr>
            </w:pPr>
            <w:r>
              <w:rPr>
                <w:noProof/>
                <w:color w:val="006100"/>
                <w:sz w:val="18"/>
                <w:szCs w:val="18"/>
              </w:rPr>
              <w:t>2. Crearea și/sau transformarea treptată a 25 de modele de licee profesionale (Modelul ΕPΑL), în care proiectele ar urma să cuprindă</w:t>
            </w:r>
          </w:p>
          <w:p w:rsidR="00780A28" w:rsidRDefault="001867D7">
            <w:pPr>
              <w:spacing w:after="0" w:line="240" w:lineRule="auto"/>
              <w:rPr>
                <w:rFonts w:eastAsia="Times New Roman" w:cs="Calibri"/>
                <w:noProof/>
                <w:color w:val="006100"/>
                <w:sz w:val="18"/>
                <w:szCs w:val="18"/>
              </w:rPr>
            </w:pPr>
            <w:r>
              <w:rPr>
                <w:noProof/>
                <w:color w:val="006100"/>
                <w:sz w:val="18"/>
                <w:szCs w:val="18"/>
              </w:rPr>
              <w:t>furnizarea de echipamente și servicii, inte</w:t>
            </w:r>
            <w:r>
              <w:rPr>
                <w:noProof/>
                <w:color w:val="006100"/>
                <w:sz w:val="18"/>
                <w:szCs w:val="18"/>
              </w:rPr>
              <w:t>rvenții imobiliare și formarea cadrelor didactice model EPAL;</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3. Digitalizarea Organizației Naționale pentru Certificarea Calificărilor și Orientarea Profesională (EOPPEP), inclusiv dezvoltarea unei platforme pentru examene electronice și a unei platforme </w:t>
            </w:r>
            <w:r>
              <w:rPr>
                <w:noProof/>
                <w:color w:val="006100"/>
                <w:sz w:val="18"/>
                <w:szCs w:val="18"/>
              </w:rPr>
              <w:t>de e-learning pentru EFP;</w:t>
            </w:r>
          </w:p>
          <w:p w:rsidR="00780A28" w:rsidRDefault="001867D7">
            <w:pPr>
              <w:spacing w:after="0" w:line="240" w:lineRule="auto"/>
              <w:rPr>
                <w:rFonts w:eastAsia="Times New Roman" w:cs="Calibri"/>
                <w:noProof/>
                <w:color w:val="006100"/>
                <w:sz w:val="18"/>
                <w:szCs w:val="18"/>
              </w:rPr>
            </w:pPr>
            <w:r>
              <w:rPr>
                <w:noProof/>
                <w:color w:val="006100"/>
                <w:sz w:val="18"/>
                <w:szCs w:val="18"/>
              </w:rPr>
              <w:t>4. Dezvoltarea și certificarea de către EOPPEP a 200 de profiluri ocupaționale în sectoare precum energia, mediul și economia digitală.</w:t>
            </w:r>
          </w:p>
        </w:tc>
      </w:tr>
    </w:tbl>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149"/>
          <w:headerReference w:type="default" r:id="rId150"/>
          <w:footerReference w:type="even" r:id="rId151"/>
          <w:footerReference w:type="default" r:id="rId152"/>
          <w:headerReference w:type="first" r:id="rId153"/>
          <w:footerReference w:type="first" r:id="rId154"/>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J. COMPONENTA 3.3: ÎMBUNĂTĂȚIREA</w:t>
      </w:r>
      <w:r>
        <w:rPr>
          <w:rFonts w:ascii="Times New Roman" w:hAnsi="Times New Roman"/>
          <w:b/>
          <w:bCs/>
          <w:noProof/>
          <w:sz w:val="24"/>
        </w:rPr>
        <w:t xml:space="preserve"> REZILIENȚEI, ACCESIBILITĂȚII ȘI SUSTENABILITĂȚII ASISTENȚEI MEDICALE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componentă a planului de redresare și reziliență al Greciei se axează pe creșterea rezilienței sistemului de sănătate prin diverse intervenții. O parte din aceste măsuri se </w:t>
      </w:r>
      <w:r>
        <w:rPr>
          <w:rFonts w:ascii="Times New Roman" w:hAnsi="Times New Roman"/>
          <w:noProof/>
          <w:sz w:val="24"/>
        </w:rPr>
        <w:t>axează pe îmbunătățiri în materie de infrastructură, atât fizice, cât și digitale, și pe îmbunătățiri operaționale pentru modernizarea și modernizarea sistemului spitalicesc și a rețelei de centre medicale. Altele vizează sprijinirea și îmbunătățirea acces</w:t>
      </w:r>
      <w:r>
        <w:rPr>
          <w:rFonts w:ascii="Times New Roman" w:hAnsi="Times New Roman"/>
          <w:noProof/>
          <w:sz w:val="24"/>
        </w:rPr>
        <w:t>ului, a eficienței și a rezilienței sectorului asistenței medicale. Mai precis, acestea includ măsuri de consolidare a sănătății publice și de prevenire, de creștere a capacității sistemului de sănătate de a furniza servicii de sănătate mintală și de îngri</w:t>
      </w:r>
      <w:r>
        <w:rPr>
          <w:rFonts w:ascii="Times New Roman" w:hAnsi="Times New Roman"/>
          <w:noProof/>
          <w:sz w:val="24"/>
        </w:rPr>
        <w:t>jire la domiciliu, de sprijinire a tranziției către un sector al asistenței medicale primare mai puternic și de raționalizare a cheltuielilor farmaceutice și de sprijinire a C &amp; D. Planul privind digitalizarea sistemelor și serviciilor de sănătate are ca o</w:t>
      </w:r>
      <w:r>
        <w:rPr>
          <w:rFonts w:ascii="Times New Roman" w:hAnsi="Times New Roman"/>
          <w:noProof/>
          <w:sz w:val="24"/>
        </w:rPr>
        <w:t>biectiv promovarea eficienței, îmbunătățirea accesului și creșterea transparenței generale și a calității cheltuielilor publice în cadrul sistemului. Este de așteptat ca nicio măsură din cadrul acestei componente să nu afecteze în mod semnificativ obiectiv</w:t>
      </w:r>
      <w:r>
        <w:rPr>
          <w:rFonts w:ascii="Times New Roman" w:hAnsi="Times New Roman"/>
          <w:noProof/>
          <w:sz w:val="24"/>
        </w:rPr>
        <w:t xml:space="preserve">ele de mediu în sensul articolului 17 din Regulamentul (UE) 2020/852, ținând seama de descrierea măsurilor și a măsurilor de atenuare stabilite în planul de redresare și reziliență în conformitate cu Orientările tehnice bazate pe principiul de „a nu aduce </w:t>
      </w:r>
      <w:r>
        <w:rPr>
          <w:rFonts w:ascii="Times New Roman" w:hAnsi="Times New Roman"/>
          <w:noProof/>
          <w:sz w:val="24"/>
        </w:rPr>
        <w:t>prejudicii semnificative” (2021/C58/01).</w:t>
      </w:r>
    </w:p>
    <w:p w:rsidR="00780A28" w:rsidRDefault="001867D7">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J.1.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Reforme și accelerarea investițiilor în sectorul asistenței medicale — reducerea și rațion</w:t>
      </w:r>
      <w:r>
        <w:rPr>
          <w:rFonts w:ascii="Times New Roman" w:hAnsi="Times New Roman"/>
          <w:noProof/>
          <w:sz w:val="24"/>
        </w:rPr>
        <w:t>alizarea cheltuielilor cu asistența medicală (numărul de identificare al măsurii: 16816)</w:t>
      </w:r>
    </w:p>
    <w:p w:rsidR="00780A28" w:rsidRDefault="001867D7">
      <w:pPr>
        <w:spacing w:before="120" w:after="120" w:line="240" w:lineRule="auto"/>
        <w:jc w:val="both"/>
        <w:rPr>
          <w:rFonts w:ascii="Times New Roman" w:hAnsi="Times New Roman" w:cs="Times New Roman"/>
          <w:b/>
          <w:bCs/>
          <w:noProof/>
          <w:sz w:val="24"/>
        </w:rPr>
      </w:pPr>
      <w:r>
        <w:rPr>
          <w:rFonts w:ascii="Times New Roman" w:hAnsi="Times New Roman"/>
          <w:noProof/>
          <w:sz w:val="24"/>
        </w:rPr>
        <w:t>Reforma sistemului de recuperare va introduce partajarea riscurilor în calcularea recuperării prin stabilirea unui obiectiv obligatoriu de reducere a recuperării în ur</w:t>
      </w:r>
      <w:r>
        <w:rPr>
          <w:rFonts w:ascii="Times New Roman" w:hAnsi="Times New Roman"/>
          <w:noProof/>
          <w:sz w:val="24"/>
        </w:rPr>
        <w:t>mătorii ani, o reducere minimă a sumelor de recuperat cu 50 000 000 EUR (2022), 150 000 000 EUR (2023), 300 000 000 EUR (2024) și, respectiv, 400 000 000 EUR (2025), față de nivelurile din 2020, care urmează să fie realizată prin aplicarea integrală a măsu</w:t>
      </w:r>
      <w:r>
        <w:rPr>
          <w:rFonts w:ascii="Times New Roman" w:hAnsi="Times New Roman"/>
          <w:noProof/>
          <w:sz w:val="24"/>
        </w:rPr>
        <w:t>rilor adoptate anterior și a noilor măsuri de îmbunătățire a eficienței și în deplină conformitate cu normele UE privind ajutoarele de stat. În plus, măsura prevede finanțarea trialurilor clinice, a C &amp; D sau a altor cheltuieli de investiții ale societățil</w:t>
      </w:r>
      <w:r>
        <w:rPr>
          <w:rFonts w:ascii="Times New Roman" w:hAnsi="Times New Roman"/>
          <w:noProof/>
          <w:sz w:val="24"/>
        </w:rPr>
        <w:t>or responsabile, limitate la perioada de 3 ani 2021-2023, printr-o compensare parțială a obligațiilor lor de recuperare. Implementarea reformei trebuie finalizată până la 30 iunie 2026.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Reforma sistemului de asistență medicală primară (numărul de </w:t>
      </w:r>
      <w:r>
        <w:rPr>
          <w:rFonts w:ascii="Times New Roman" w:hAnsi="Times New Roman"/>
          <w:noProof/>
          <w:sz w:val="24"/>
        </w:rPr>
        <w:t>identificare al măsurii: 16755)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reformă prevede 1) să pună în aplicare renovări și renovări eficiente din punct de vedere energetic și măsuri eficiente din punct de vedere energetic în ceea ce privește infrastructura publică și echipamentele medica</w:t>
      </w:r>
      <w:r>
        <w:rPr>
          <w:rFonts w:ascii="Times New Roman" w:hAnsi="Times New Roman"/>
          <w:noProof/>
          <w:sz w:val="24"/>
        </w:rPr>
        <w:t>le pentru cel puțin 50 % din totalul centrelor medicale din țară (156 dintr-un total de 312), 2) să pună în aplicare o restructurare administrativă și organizațională pentru a crea un model unificat de îngrijire și să recalifice personalul pentru a acționa</w:t>
      </w:r>
      <w:r>
        <w:rPr>
          <w:rFonts w:ascii="Times New Roman" w:hAnsi="Times New Roman"/>
          <w:noProof/>
          <w:sz w:val="24"/>
        </w:rPr>
        <w:t xml:space="preserve"> în mod eficace ca asistență medicală de primă linie, 3) să extindă disponibilitatea programelor de medicină familială active (acolo unde au început deja cursurile), astfel încât acestea să fie oferite de cel puțin 75 % dintre școlile medicale și să introd</w:t>
      </w:r>
      <w:r>
        <w:rPr>
          <w:rFonts w:ascii="Times New Roman" w:hAnsi="Times New Roman"/>
          <w:noProof/>
          <w:sz w:val="24"/>
        </w:rPr>
        <w:t>ucă un element de medicină familială în toate programele medicale până în T4 2022 și 4) să sprijine dezvoltarea unui sistem integrat de îngrijire prin stabilirea unui cadru pentru gestionarea bolilor cronice. Reforma asistenței medicale primare interacțion</w:t>
      </w:r>
      <w:r>
        <w:rPr>
          <w:rFonts w:ascii="Times New Roman" w:hAnsi="Times New Roman"/>
          <w:noProof/>
          <w:sz w:val="24"/>
        </w:rPr>
        <w:t>ează cu asistența medicală secundară (în special accesul la asistență medicală spitalicească) și se preconizează că va conduce la îmbunătățirea serviciilor de sănătate pentru cetățeni și va sprijini principiul accesului egal la serviciile de sănătate, al e</w:t>
      </w:r>
      <w:r>
        <w:rPr>
          <w:rFonts w:ascii="Times New Roman" w:hAnsi="Times New Roman"/>
          <w:noProof/>
          <w:sz w:val="24"/>
        </w:rPr>
        <w:t>ficienței și al coeziunii sociale. Se preconizează că această măsură nu aduce prejudicii semnificative obiectivelor de mediu în sensul articolului 17 din Regulamentul (UE) 2020/852, ținând seama de descrierea măsurii și de măsurile de atenuare stabilite în</w:t>
      </w:r>
      <w:r>
        <w:rPr>
          <w:rFonts w:ascii="Times New Roman" w:hAnsi="Times New Roman"/>
          <w:noProof/>
          <w:sz w:val="24"/>
        </w:rPr>
        <w:t xml:space="preserve"> planul de redresare și reziliență, în conformitate cu Orientările tehnice bazate pe principiul de „a nu aduce prejudicii semnificative” (2021/C58/01). În special, măsura impune operatorilor economici care efectuează lucrări de construcții să se asigure că</w:t>
      </w:r>
      <w:r>
        <w:rPr>
          <w:rFonts w:ascii="Times New Roman" w:hAnsi="Times New Roman"/>
          <w:noProof/>
          <w:sz w:val="24"/>
        </w:rPr>
        <w:t xml:space="preserve"> cel puțin 70 % (în greutate) din deșeurile nepericuloase provenite din activități de construcție și demolări [cu excepția materialelor geologice naturale menționate în categoria 17 05 04 din Lista europeană a deșeurilor stabilită prin Decizia 2000/532/CE </w:t>
      </w:r>
      <w:r>
        <w:rPr>
          <w:rFonts w:ascii="Times New Roman" w:hAnsi="Times New Roman"/>
          <w:noProof/>
          <w:sz w:val="24"/>
        </w:rPr>
        <w:t>din 3 mai 2000 de înlocuire a Deciziei 94/3/CE de stabilire a unei liste de deșeuri în temeiul articolului 1 litera a) din Directiva 75/442/CEE a Consiliului privind deșeurile și a Deciziei 94/904/CE a Consiliului de stabilire a unei liste de deșeuri peric</w:t>
      </w:r>
      <w:r>
        <w:rPr>
          <w:rFonts w:ascii="Times New Roman" w:hAnsi="Times New Roman"/>
          <w:noProof/>
          <w:sz w:val="24"/>
        </w:rPr>
        <w:t xml:space="preserve">uloase în temeiul articolului 1 alineatul (4) din Directiva 91/689/CEE a Consiliului privind deșeurile periculoase [notificată cu numărul de document C (2000) 1147] generate pe șantier sunt pregătite pentru reutilizare, reciclare și alte deșeuri, inclusiv </w:t>
      </w:r>
      <w:r>
        <w:rPr>
          <w:rFonts w:ascii="Times New Roman" w:hAnsi="Times New Roman"/>
          <w:noProof/>
          <w:sz w:val="24"/>
        </w:rPr>
        <w:t xml:space="preserve">operațiunile de rambleiere care utilizează deșeuri pentru a înlocui alte materiale, în conformitate cu ierarhia deșeurilor și cu Protocolul UE privind gestionarea deșeurilor din construcții și demolări. Implementarea reformei trebuie finalizată până la 31 </w:t>
      </w:r>
      <w:r>
        <w:rPr>
          <w:rFonts w:ascii="Times New Roman" w:hAnsi="Times New Roman"/>
          <w:noProof/>
          <w:sz w:val="24"/>
        </w:rPr>
        <w:t>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Punerea în aplicare a Programului național de prevenire a sănătății publice „Spiros Doxiadis” (DAS) (numărul de identificare al măsurii: 16783)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Se preconizează că reforma va îmbunătăți calitatea vieții populației și reziliența sist</w:t>
      </w:r>
      <w:r>
        <w:rPr>
          <w:rFonts w:ascii="Times New Roman" w:hAnsi="Times New Roman"/>
          <w:noProof/>
          <w:sz w:val="24"/>
        </w:rPr>
        <w:t>emului de sănătate prin crearea unui sistem foarte cuprinzător de prevenire primară, secundară și terțiară. Aceasta acoperă mai multe elemente pe bază pilot, după cum urmează: intervenții și programe de screening, care vizează reducerea morbidității bolilo</w:t>
      </w:r>
      <w:r>
        <w:rPr>
          <w:rFonts w:ascii="Times New Roman" w:hAnsi="Times New Roman"/>
          <w:noProof/>
          <w:sz w:val="24"/>
        </w:rPr>
        <w:t>r cu prevalență ridicată în rândul populației elene: un program național pentru promovarea exercițiilor fizice și a unei alimentații sănătoase, programul național de gestionare a alcoolului, intervenții pentru prevenirea problemelor psihosociale la copii ș</w:t>
      </w:r>
      <w:r>
        <w:rPr>
          <w:rFonts w:ascii="Times New Roman" w:hAnsi="Times New Roman"/>
          <w:noProof/>
          <w:sz w:val="24"/>
        </w:rPr>
        <w:t xml:space="preserve">i punerea în aplicare a programului de prevenire a îngrijirii dentare a copiilor; intervenții pentru depistarea timpurie a bolilor existente, dar care nu sunt vizibile din punct de vedere clinic: punerea în aplicare a programului național de depistare, pe </w:t>
      </w:r>
      <w:r>
        <w:rPr>
          <w:rFonts w:ascii="Times New Roman" w:hAnsi="Times New Roman"/>
          <w:noProof/>
          <w:sz w:val="24"/>
        </w:rPr>
        <w:t>baza introducerii testelor preventive de diagnosticare a cancerului și bolilor cardiovasculare și a programului național de screening neonatal; intervenții care vizează prevenirea invalidității, repararea daunelor, precum și prevenirea recidivei dintr-un p</w:t>
      </w:r>
      <w:r>
        <w:rPr>
          <w:rFonts w:ascii="Times New Roman" w:hAnsi="Times New Roman"/>
          <w:noProof/>
          <w:sz w:val="24"/>
        </w:rPr>
        <w:t>rogram național vizibil clinic de integrare psihosocială și reabilitare pentru persoanele cu probleme psihosociale grave și îngrijiri paliative pentru pacienții cu cancer; modernizarea funcțională și operațională a sistemului de sănătate publică. În cele d</w:t>
      </w:r>
      <w:r>
        <w:rPr>
          <w:rFonts w:ascii="Times New Roman" w:hAnsi="Times New Roman"/>
          <w:noProof/>
          <w:sz w:val="24"/>
        </w:rPr>
        <w:t>in urmă, scopul programului este de a reduce factorii de risc comportamentali cu impact pozitiv nu numai asupra calității vieții populației, ci și asupra accesului general, eficienței și rezilienței sistemului de sănătate obținut prin reducerea presiunii a</w:t>
      </w:r>
      <w:r>
        <w:rPr>
          <w:rFonts w:ascii="Times New Roman" w:hAnsi="Times New Roman"/>
          <w:noProof/>
          <w:sz w:val="24"/>
        </w:rPr>
        <w:t>supra serviciilor spitalicești. 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Reforma în domeniul sănătății mintale și al dependenței (numărul de identificare al măsurii: 16820)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reformă asigură accesul la servicii de</w:t>
      </w:r>
      <w:r>
        <w:rPr>
          <w:rFonts w:ascii="Times New Roman" w:hAnsi="Times New Roman"/>
          <w:noProof/>
          <w:sz w:val="24"/>
        </w:rPr>
        <w:t xml:space="preserve"> sănătate mintală de calitate pentru anumite populații care suferă de boli mintale și de dependență, pentru a preveni marginalizarea sau instituționalizarea acestora. Se preconizează că proiectul va extinde serviciile de sănătate mintală pentru pacienții c</w:t>
      </w:r>
      <w:r>
        <w:rPr>
          <w:rFonts w:ascii="Times New Roman" w:hAnsi="Times New Roman"/>
          <w:noProof/>
          <w:sz w:val="24"/>
        </w:rPr>
        <w:t>u demență și boala Alzheimer, precum și pentru pacienții cu autism și pentru pacienții din grupa de vârstă a copiilor, adolescenților și adulților tineri. Aceasta va fi însoțită de dezvoltarea de aplicații web și de digitalizarea serviciilor de sănătate mi</w:t>
      </w:r>
      <w:r>
        <w:rPr>
          <w:rFonts w:ascii="Times New Roman" w:hAnsi="Times New Roman"/>
          <w:noProof/>
          <w:sz w:val="24"/>
        </w:rPr>
        <w:t>ntală și de acțiuni de sprijinire a toxicomanilor, precum și de acțiuni de sprijinire a persoanelor dependente. Implementarea reformei trebuie finalizată până la 31 decembrie 2023.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Reforme organizaționale în sistemul de sănătate (KETEKNY, ODIPY) (</w:t>
      </w:r>
      <w:r>
        <w:rPr>
          <w:rFonts w:ascii="Times New Roman" w:hAnsi="Times New Roman"/>
          <w:noProof/>
          <w:sz w:val="24"/>
        </w:rPr>
        <w:t>ID de măsură: 16756)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Scopul acestei reforme este de a raționaliza rambursarea procedurilor medicale spitalicești până în 1) consolidarea grupului grec de diagnostic (DRG) Institute (KETEKNY) și 2) prin crearea unui cadru care să asigure instituirea unor pr</w:t>
      </w:r>
      <w:r>
        <w:rPr>
          <w:rFonts w:ascii="Times New Roman" w:hAnsi="Times New Roman"/>
          <w:noProof/>
          <w:sz w:val="24"/>
        </w:rPr>
        <w:t>oceduri fiabile și de calitate și a unor măsurători ale performanței legate de îngrijirea pacienților, nevoile de sănătate și furnizarea de asistență medicală pentru a sprijini Agenția elenă pentru asigurarea calității asistenței medicale (ODIPY) și activi</w:t>
      </w:r>
      <w:r>
        <w:rPr>
          <w:rFonts w:ascii="Times New Roman" w:hAnsi="Times New Roman"/>
          <w:noProof/>
          <w:sz w:val="24"/>
        </w:rPr>
        <w:t>tățile acesteia. Se preconizează că crearea unei hărți naționale a sănătății care să înregistreze cererea și oferta de servicii din sistemul de sănătate și să stabilească un cadru de evaluare a calității va asigura o mai mare transparență și eficiență a si</w:t>
      </w:r>
      <w:r>
        <w:rPr>
          <w:rFonts w:ascii="Times New Roman" w:hAnsi="Times New Roman"/>
          <w:noProof/>
          <w:sz w:val="24"/>
        </w:rPr>
        <w:t>stemului de sănătate. Implementarea reformei trebuie finalizată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Infrastructura de sănătate (ID măsură: 16795)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intervenții cuprinzătoare pentru modernizarea infrastructurii logistice a spitalelor pe în</w:t>
      </w:r>
      <w:r>
        <w:rPr>
          <w:rFonts w:ascii="Times New Roman" w:hAnsi="Times New Roman"/>
          <w:noProof/>
          <w:sz w:val="24"/>
        </w:rPr>
        <w:t>treg teritoriul Greciei, inclusiv renovarea eficientă din punct de vedere energetic a clădirilor și furnizarea de noi echipamente medicale. Investiția va permite personalului medical și de asistență medicală din cadrul sistemului național de sănătate să di</w:t>
      </w:r>
      <w:r>
        <w:rPr>
          <w:rFonts w:ascii="Times New Roman" w:hAnsi="Times New Roman"/>
          <w:noProof/>
          <w:sz w:val="24"/>
        </w:rPr>
        <w:t>spună de instrumentele necesare pentru a îmbunătăți calitatea și eficacitatea serviciilor de sănătate furnizate. Se preconizează că această măsură nu aduce prejudicii semnificative obiectivelor de mediu în sensul articolului 17 din Regulamentul (UE) 2020/8</w:t>
      </w:r>
      <w:r>
        <w:rPr>
          <w:rFonts w:ascii="Times New Roman" w:hAnsi="Times New Roman"/>
          <w:noProof/>
          <w:sz w:val="24"/>
        </w:rPr>
        <w:t xml:space="preserve">52, ținând seama de descrierea măsurii și de măsurile de atenuare stabilite în planul de redresare și reziliență, în conformitate cu Orientările tehnice bazate pe principiul de „a nu aduce prejudicii semnificative” (2021/C58/01). În special, măsura impune </w:t>
      </w:r>
      <w:r>
        <w:rPr>
          <w:rFonts w:ascii="Times New Roman" w:hAnsi="Times New Roman"/>
          <w:noProof/>
          <w:sz w:val="24"/>
        </w:rPr>
        <w:t>operatorilor economici care efectuează lucrări de construcții să se asigure că cel puțin 70 % (în greutate) din deșeurile nepericuloase provenite din activități de construcție și demolări [cu excepția materialelor geologice naturale menționate în categoria</w:t>
      </w:r>
      <w:r>
        <w:rPr>
          <w:rFonts w:ascii="Times New Roman" w:hAnsi="Times New Roman"/>
          <w:noProof/>
          <w:sz w:val="24"/>
        </w:rPr>
        <w:t xml:space="preserve"> 17 05 04 din Lista europeană a deșeurilor stabilită prin Decizia 2000/532/CE din 3 mai 2000 de înlocuire a Deciziei 94/3/CE de stabilire a unei liste de deșeuri în temeiul articolului 1 litera a) din Directiva 75/442/CEE a Consiliului privind deșeurile și</w:t>
      </w:r>
      <w:r>
        <w:rPr>
          <w:rFonts w:ascii="Times New Roman" w:hAnsi="Times New Roman"/>
          <w:noProof/>
          <w:sz w:val="24"/>
        </w:rPr>
        <w:t xml:space="preserve"> a Deciziei 94/904/CE a Consiliului de stabilire a unei liste de deșeuri periculoase în temeiul articolului 1 alineatul (4) din Directiva 91/689/CEE a Consiliului privind deșeurile periculoase [notificată cu numărul de document C (2000) 1147] generate pe ș</w:t>
      </w:r>
      <w:r>
        <w:rPr>
          <w:rFonts w:ascii="Times New Roman" w:hAnsi="Times New Roman"/>
          <w:noProof/>
          <w:sz w:val="24"/>
        </w:rPr>
        <w:t xml:space="preserve">antier sunt pregătite pentru reutilizare, reciclare și alte deșeuri, inclusiv operațiunile de rambleiere care utilizează deșeuri pentru a înlocui alte materiale, în conformitate cu ierarhia deșeurilor și cu Protocolul UE privind gestionarea deșeurilor din </w:t>
      </w:r>
      <w:r>
        <w:rPr>
          <w:rFonts w:ascii="Times New Roman" w:hAnsi="Times New Roman"/>
          <w:noProof/>
          <w:sz w:val="24"/>
        </w:rPr>
        <w:t>construcții și demolări.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 a sănătății (DigHealth) (ID-ul măsurii: 16752)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Investițiile trebuie să optimizeze calitatea asistenței medicale și siguranța</w:t>
      </w:r>
      <w:r>
        <w:rPr>
          <w:rFonts w:ascii="Times New Roman" w:hAnsi="Times New Roman"/>
          <w:noProof/>
          <w:sz w:val="24"/>
        </w:rPr>
        <w:t xml:space="preserve"> pacienților prin noi servicii inovatoare și, în același timp, să contribuie la controlul cheltuielilor cu asistența medicală prin descurajarea utilizării excesive a produselor, a produselor farmaceutice, a îmbunătățirii gestionării spitalelor, a experienț</w:t>
      </w:r>
      <w:r>
        <w:rPr>
          <w:rFonts w:ascii="Times New Roman" w:hAnsi="Times New Roman"/>
          <w:noProof/>
          <w:sz w:val="24"/>
        </w:rPr>
        <w:t xml:space="preserve">ei pacienților, a procedurilor de achiziții publice și a îmbunătățirii funcționalităților sistemului, a interoperabilității și a capacităților digitale ale EOPYY (Organizația Națională pentru Furnizarea de Servicii de Sănătate). Investiția acoperă punerea </w:t>
      </w:r>
      <w:r>
        <w:rPr>
          <w:rFonts w:ascii="Times New Roman" w:hAnsi="Times New Roman"/>
          <w:noProof/>
          <w:sz w:val="24"/>
        </w:rPr>
        <w:t>în aplicare a cinci subproiecte: configurarea completă și operaționalizarea fișei medicale digitale naționale, implementarea completă a programului de transformare digitală a tratamentului cancerului, extinderea capacității rețelei naționale de telemedicin</w:t>
      </w:r>
      <w:r>
        <w:rPr>
          <w:rFonts w:ascii="Times New Roman" w:hAnsi="Times New Roman"/>
          <w:noProof/>
          <w:sz w:val="24"/>
        </w:rPr>
        <w:t>ă (EDIT), îmbunătățirea gradului de pregătire digitală a spitalelor și transformarea digitală a EOPYY.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Înființarea unui centru de radioterapie la Spitalul pentru boli torac</w:t>
      </w:r>
      <w:r>
        <w:rPr>
          <w:rFonts w:ascii="Times New Roman" w:hAnsi="Times New Roman"/>
          <w:noProof/>
          <w:sz w:val="24"/>
        </w:rPr>
        <w:t>ice „Sotiria” din Atena (ID-ul măsurii: 16757)</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Înființarea și construirea unui centru de radioterapie în spitalul Sotiria contribuie la satisfacerea nevoilor pacienților bolnavi de cancer și la creșterea cererii de departamente de radioterapie din țară. Ac</w:t>
      </w:r>
      <w:r>
        <w:rPr>
          <w:rFonts w:ascii="Times New Roman" w:hAnsi="Times New Roman"/>
          <w:noProof/>
          <w:sz w:val="24"/>
        </w:rPr>
        <w:t>easta include crearea unui nou departament de radioterapie, a unei noi infrastructuri imobiliare pentru a găzdui departamentul ambulatoriu, centrele de excelență clinică și unitățile de îngrijire specializate, interconectarea clădirilor existente (Mega Lai</w:t>
      </w:r>
      <w:r>
        <w:rPr>
          <w:rFonts w:ascii="Times New Roman" w:hAnsi="Times New Roman"/>
          <w:noProof/>
          <w:sz w:val="24"/>
        </w:rPr>
        <w:t>kon &amp; 300 Andron); interconectarea departamentului de urgențe cu departamentul de chirurgie și alte clădiri; renovarea clinicilor și a laboratoarelor, inclusiv a infrastructurii și a echipamentelor. Se preconizează că această măsură nu aduce prejudicii sem</w:t>
      </w:r>
      <w:r>
        <w:rPr>
          <w:rFonts w:ascii="Times New Roman" w:hAnsi="Times New Roman"/>
          <w:noProof/>
          <w:sz w:val="24"/>
        </w:rPr>
        <w:t>nificative obiectivelor de mediu în sensul articolului 17 din Regulamentul (UE) 2020/852, ținând seama de descrierea măsurii și de măsurile de atenuare stabilite în planul de redresare și reziliență, în conformitate cu Orientările tehnice bazate pe princip</w:t>
      </w:r>
      <w:r>
        <w:rPr>
          <w:rFonts w:ascii="Times New Roman" w:hAnsi="Times New Roman"/>
          <w:noProof/>
          <w:sz w:val="24"/>
        </w:rPr>
        <w:t>iul de „a nu aduce prejudicii semnificative” (2021/C58/01). În special, măsura impune operatorilor economici care efectuează lucrări de construcții să se asigure că cel puțin 70 % (în greutate) din deșeurile nepericuloase provenite din activități de constr</w:t>
      </w:r>
      <w:r>
        <w:rPr>
          <w:rFonts w:ascii="Times New Roman" w:hAnsi="Times New Roman"/>
          <w:noProof/>
          <w:sz w:val="24"/>
        </w:rPr>
        <w:t>ucție și demolări [cu excepția materialelor geologice naturale menționate în categoria 17 05 04 din Lista europeană a deșeurilor stabilită prin Decizia 2000/532/CE din 3 mai 2000 de înlocuire a Deciziei 94/3/CE de stabilire a unei liste de deșeuri în temei</w:t>
      </w:r>
      <w:r>
        <w:rPr>
          <w:rFonts w:ascii="Times New Roman" w:hAnsi="Times New Roman"/>
          <w:noProof/>
          <w:sz w:val="24"/>
        </w:rPr>
        <w:t>ul articolului 1 litera a) din Directiva 75/442/CEE a Consiliului privind deșeurile și a Deciziei 94/904/CE a Consiliului de stabilire a unei liste de deșeuri periculoase în temeiul articolului 1 alineatul (4) din Directiva 91/689/CEE a Consiliului privind</w:t>
      </w:r>
      <w:r>
        <w:rPr>
          <w:rFonts w:ascii="Times New Roman" w:hAnsi="Times New Roman"/>
          <w:noProof/>
          <w:sz w:val="24"/>
        </w:rPr>
        <w:t xml:space="preserve"> deșeurile periculoase [notificată cu numărul de document C (2000) 1147] generate pe șantier sunt pregătite pentru reutilizare, reciclare și alte deșeuri, inclusiv operațiunile de rambleiere care utilizează deșeuri pentru a înlocui alte materiale, în confo</w:t>
      </w:r>
      <w:r>
        <w:rPr>
          <w:rFonts w:ascii="Times New Roman" w:hAnsi="Times New Roman"/>
          <w:noProof/>
          <w:sz w:val="24"/>
        </w:rPr>
        <w:t>rmitate cu ierarhia deșeurilor și cu Protocolul UE privind gestionarea deșeurilor din construcții și demolări.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Înființarea sistemelor de îngrijire medicală la domiciliu &amp; S</w:t>
      </w:r>
      <w:r>
        <w:rPr>
          <w:rFonts w:ascii="Times New Roman" w:hAnsi="Times New Roman"/>
          <w:noProof/>
          <w:sz w:val="24"/>
        </w:rPr>
        <w:t>pitalul la domiciliu (numărul de identificare al măsurii: 16753)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vizează instituirea unui sistem de îngrijire la domiciliu pentru grupurile vizate de pacienți cu handicap cronic. Îngrijirea la domiciliu este combinată cu sprijinul organizat în </w:t>
      </w:r>
      <w:r>
        <w:rPr>
          <w:rFonts w:ascii="Times New Roman" w:hAnsi="Times New Roman"/>
          <w:noProof/>
          <w:sz w:val="24"/>
        </w:rPr>
        <w:t xml:space="preserve">paralel din partea unităților de asistență medicală și vizează copiii, adolescenții și adulții cu probleme cronice grave de sănătate care cauzează handicapuri pe termen lung sau permanente. Acest lucru îmbunătățește calitatea vieții pacienților, eliberând </w:t>
      </w:r>
      <w:r>
        <w:rPr>
          <w:rFonts w:ascii="Times New Roman" w:hAnsi="Times New Roman"/>
          <w:noProof/>
          <w:sz w:val="24"/>
        </w:rPr>
        <w:t>totodată resurse pentru sistemul național de sănătate. Investiția pune în aplicare cinci subproiecte: 1) un sondaj de evaluare a nevoilor axat pe identificarea bunelor practici, pe înregistrarea nevoilor și a situației actuale din Grecia și pe formularea u</w:t>
      </w:r>
      <w:r>
        <w:rPr>
          <w:rFonts w:ascii="Times New Roman" w:hAnsi="Times New Roman"/>
          <w:noProof/>
          <w:sz w:val="24"/>
        </w:rPr>
        <w:t>nei propuneri pentru instituționalizarea îngrijirii la domiciliu; 2) punerea în aplicare a aplicațiilor de telemedicină ca instrumente de monitorizare pentru sprijinirea pacienților; 3) crearea și punerea în aplicare a unui registru național al pacienților</w:t>
      </w:r>
      <w:r>
        <w:rPr>
          <w:rFonts w:ascii="Times New Roman" w:hAnsi="Times New Roman"/>
          <w:noProof/>
          <w:sz w:val="24"/>
        </w:rPr>
        <w:t xml:space="preserve"> tratați prin îngrijire la domiciliu; 4) determinarea protocoalelor terapeutice standardizate, precum și a standardelor de calitate și siguranță și 5) stabilirea a opt situri de referință (câte unul în fiecare autoritate sanitară regională). Implementarea </w:t>
      </w:r>
      <w:r>
        <w:rPr>
          <w:rFonts w:ascii="Times New Roman" w:hAnsi="Times New Roman"/>
          <w:noProof/>
          <w:sz w:val="24"/>
        </w:rPr>
        <w:t>investiției trebuie finalizată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Proiect pentru construirea unei clădiri dedicate laboratoarelor clinice de terapie celulară, de terapie genică și de hematologie din cadrul spitalului general din Salonic „Papanikolaou” (num</w:t>
      </w:r>
      <w:r>
        <w:rPr>
          <w:rFonts w:ascii="Times New Roman" w:hAnsi="Times New Roman"/>
          <w:noProof/>
          <w:sz w:val="24"/>
        </w:rPr>
        <w:t xml:space="preserve">ărul de identificare al măsurii: 16793).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prevede crearea de noi clădiri pentru găzduirea Proiectului pentru construirea unei clădiri dedicate laboratoarelor clinice de terapie celulară, de terapie genică și de hematologie din cadrul spitalului </w:t>
      </w:r>
      <w:r>
        <w:rPr>
          <w:rFonts w:ascii="Times New Roman" w:hAnsi="Times New Roman"/>
          <w:noProof/>
          <w:sz w:val="24"/>
        </w:rPr>
        <w:t>general din Salonic „Papanikolaou”, pentru a-și menține serviciile în conformitate cu cerințele crescute de îngrijire a pacienților (boli hematologice maligne) și cu cererea tot mai mare de tehnologii și tehnologii moderne; acesta modernizează, de asemenea</w:t>
      </w:r>
      <w:r>
        <w:rPr>
          <w:rFonts w:ascii="Times New Roman" w:hAnsi="Times New Roman"/>
          <w:noProof/>
          <w:sz w:val="24"/>
        </w:rPr>
        <w:t>, clădirea existentă pentru transferul laboratoarelor și al unității de îngrijire de zi. Clădirea nou construită trebuie să respecte o cerere de energie primară (PED) care este cu cel puțin 20 % mai mică decât cerința NZEB (clădire al cărei consum de energ</w:t>
      </w:r>
      <w:r>
        <w:rPr>
          <w:rFonts w:ascii="Times New Roman" w:hAnsi="Times New Roman"/>
          <w:noProof/>
          <w:sz w:val="24"/>
        </w:rPr>
        <w:t>ie este aproape egal cu zero, directivele naționale). Se preconizează că această măsură nu aduce prejudicii semnificative obiectivelor de mediu în sensul articolului 17 din Regulamentul (UE) 2020/852, ținând seama de descrierea măsurii și de măsurile de at</w:t>
      </w:r>
      <w:r>
        <w:rPr>
          <w:rFonts w:ascii="Times New Roman" w:hAnsi="Times New Roman"/>
          <w:noProof/>
          <w:sz w:val="24"/>
        </w:rPr>
        <w:t>enuare stabilite în planul de redresare și reziliență, în conformitate cu Orientările tehnice bazate pe principiul de „a nu aduce prejudicii semnificative” (2021/C58/01). În special, măsura impune operatorilor economici care efectuează lucrări de construcț</w:t>
      </w:r>
      <w:r>
        <w:rPr>
          <w:rFonts w:ascii="Times New Roman" w:hAnsi="Times New Roman"/>
          <w:noProof/>
          <w:sz w:val="24"/>
        </w:rPr>
        <w:t>ii să se asigure că cel puțin 70 % (în greutate) din deșeurile nepericuloase provenite din activități de construcție și demolări [cu excepția materialelor geologice naturale menționate în categoria 17 05 04 din Lista europeană a deșeurilor stabilită prin D</w:t>
      </w:r>
      <w:r>
        <w:rPr>
          <w:rFonts w:ascii="Times New Roman" w:hAnsi="Times New Roman"/>
          <w:noProof/>
          <w:sz w:val="24"/>
        </w:rPr>
        <w:t>ecizia 2000/532/CE din 3 mai 2000 de înlocuire a Deciziei 94/3/CE de stabilire a unei liste de deșeuri în temeiul articolului 1 litera a) din Directiva 75/442/CEE a Consiliului privind deșeurile și a Deciziei 94/904/CE a Consiliului de stabilire a unei lis</w:t>
      </w:r>
      <w:r>
        <w:rPr>
          <w:rFonts w:ascii="Times New Roman" w:hAnsi="Times New Roman"/>
          <w:noProof/>
          <w:sz w:val="24"/>
        </w:rPr>
        <w:t>te de deșeuri periculoase în temeiul articolului 1 alineatul (4) din Directiva 91/689/CEE a Consiliului privind deșeurile periculoase [notificată cu numărul de document C (2000) 1147] generate pe șantier sunt pregătite pentru reutilizare, reciclare și alte</w:t>
      </w:r>
      <w:r>
        <w:rPr>
          <w:rFonts w:ascii="Times New Roman" w:hAnsi="Times New Roman"/>
          <w:noProof/>
          <w:sz w:val="24"/>
        </w:rPr>
        <w:t xml:space="preserve"> deșeuri, inclusiv operațiunile de rambleiere care utilizează deșeuri pentru a înlocui alte materiale, în conformitate cu ierarhia deșeurilor și cu Protocolul UE privind gestionarea deșeurilor din construcții și demolări. Implementarea investiției trebuie </w:t>
      </w:r>
      <w:r>
        <w:rPr>
          <w:rFonts w:ascii="Times New Roman" w:hAnsi="Times New Roman"/>
          <w:noProof/>
          <w:sz w:val="24"/>
        </w:rPr>
        <w:t>finalizată până la 31 decembrie 2025.</w:t>
      </w: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155"/>
          <w:headerReference w:type="default" r:id="rId156"/>
          <w:footerReference w:type="even" r:id="rId157"/>
          <w:footerReference w:type="default" r:id="rId158"/>
          <w:headerReference w:type="first" r:id="rId159"/>
          <w:footerReference w:type="first" r:id="rId160"/>
          <w:pgSz w:w="11907" w:h="16839"/>
          <w:pgMar w:top="1134" w:right="1417" w:bottom="1134" w:left="1417" w:header="709" w:footer="709" w:gutter="0"/>
          <w:cols w:space="720"/>
          <w:docGrid w:linePitch="360"/>
        </w:sectPr>
      </w:pPr>
    </w:p>
    <w:p w:rsidR="00780A28" w:rsidRDefault="001867D7">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J.2.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Reforma esențială 7: Reforme și </w:t>
      </w:r>
      <w:r>
        <w:rPr>
          <w:rFonts w:ascii="Cambria" w:hAnsi="Cambria"/>
          <w:noProof/>
          <w:color w:val="365F91"/>
          <w:sz w:val="24"/>
        </w:rPr>
        <w:t>accelerarea investițiilor în sectorul asistenței medicale — reducerea cenușii și raționalizarea cheltuielilor cu asistența medicală (ID: 16816)</w:t>
      </w:r>
    </w:p>
    <w:tbl>
      <w:tblPr>
        <w:tblW w:w="15730" w:type="dxa"/>
        <w:jc w:val="center"/>
        <w:tblLook w:val="04A0" w:firstRow="1" w:lastRow="0" w:firstColumn="1" w:lastColumn="0" w:noHBand="0" w:noVBand="1"/>
      </w:tblPr>
      <w:tblGrid>
        <w:gridCol w:w="1027"/>
        <w:gridCol w:w="1396"/>
        <w:gridCol w:w="1107"/>
        <w:gridCol w:w="1350"/>
        <w:gridCol w:w="1717"/>
        <w:gridCol w:w="1194"/>
        <w:gridCol w:w="896"/>
        <w:gridCol w:w="866"/>
        <w:gridCol w:w="973"/>
        <w:gridCol w:w="992"/>
        <w:gridCol w:w="4678"/>
      </w:tblGrid>
      <w:tr w:rsidR="00780A28">
        <w:trPr>
          <w:trHeight w:val="927"/>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350"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651"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965"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50"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94"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87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58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97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99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153</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0 - 3.3. Îmbunătățirea rezilienței, accesibilității și sustenabilității asistenței medicale — 16816_Reforme și accelerarea investițiilor în sectorul asistenței medicale — Reducerea și raționalizarea cheltuielilor cu asistența medicală</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Recuperare — in</w:t>
            </w:r>
            <w:r>
              <w:rPr>
                <w:noProof/>
                <w:color w:val="006100"/>
                <w:sz w:val="18"/>
                <w:szCs w:val="18"/>
              </w:rPr>
              <w:t>trarea în vigoare a legislației</w:t>
            </w:r>
          </w:p>
        </w:tc>
        <w:tc>
          <w:tcPr>
            <w:tcW w:w="17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revizuite care introduce partajarea riscurilor și obiectivele obligatorii pentru reducerea minimă a recuperării în conformitate cu calendarul prezentat în descriere. </w:t>
            </w:r>
          </w:p>
        </w:tc>
        <w:tc>
          <w:tcPr>
            <w:tcW w:w="119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467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w:t>
            </w:r>
            <w:r>
              <w:rPr>
                <w:noProof/>
                <w:color w:val="006100"/>
                <w:sz w:val="18"/>
                <w:szCs w:val="18"/>
              </w:rPr>
              <w:t>vigoare a unui cadru juridic (dreptul primar) pentru partajarea riscurilor în calcularea recuperării prin stabilirea unui obiectiv obligatoriu de reducere a recuperării în următorii ani. Reforma vizează o reducere minimă a sumelor de recuperat cu 50 000 00</w:t>
            </w:r>
            <w:r>
              <w:rPr>
                <w:noProof/>
                <w:color w:val="006100"/>
                <w:sz w:val="18"/>
                <w:szCs w:val="18"/>
              </w:rPr>
              <w:t>0 EUR (2022), 150 000 000 EUR (2023), 300 000 000 EUR (2024) și, respectiv, 400 000 000 EUR (2025), față de nivelurile din 2020. În măsura în care acest lucru nu este realizat, diferența dintre reducerea vizată și reducerea efectivă pentru fiecare an nu se</w:t>
            </w:r>
            <w:r>
              <w:rPr>
                <w:noProof/>
                <w:color w:val="006100"/>
                <w:sz w:val="18"/>
                <w:szCs w:val="18"/>
              </w:rPr>
              <w:t xml:space="preserve"> recuperează de la industria farmaceutică, iar suma corespunzătoare este suportată de la bugetul de stat până la reducerea vizată a sumelor de recuperat.</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154</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10 - 3.3. Îmbunătățirea rezilienței, accesibilității și sustenabilității asistenței medicale — </w:t>
            </w:r>
            <w:r>
              <w:rPr>
                <w:noProof/>
                <w:color w:val="006100"/>
                <w:sz w:val="18"/>
                <w:szCs w:val="18"/>
              </w:rPr>
              <w:t>16816_Reforme și accelerarea investițiilor în sectorul asistenței medicale — Reducerea și raționalizarea cheltuielilor cu asistența medicală</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3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Reducerea recuperării în 50 000 000 — etapa 1</w:t>
            </w:r>
          </w:p>
        </w:tc>
        <w:tc>
          <w:tcPr>
            <w:tcW w:w="171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Scăderea valorii recuperării în comparație cu nivelurile din </w:t>
            </w:r>
            <w:r>
              <w:rPr>
                <w:noProof/>
                <w:color w:val="006100"/>
                <w:sz w:val="18"/>
                <w:szCs w:val="18"/>
              </w:rPr>
              <w:t>2020 (milioane EUR)</w:t>
            </w:r>
          </w:p>
        </w:tc>
        <w:tc>
          <w:tcPr>
            <w:tcW w:w="87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58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50</w:t>
            </w:r>
          </w:p>
        </w:tc>
        <w:tc>
          <w:tcPr>
            <w:tcW w:w="9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67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Să pună în aplicare măsurile de sporire a eficienței adoptate anterior pentru a obține o reducere a recuperării produselor farmaceutice din 2022 atât pentru produsele farmaceutice în ambulatoriu, cât și pentru cele în regim</w:t>
            </w:r>
            <w:r>
              <w:rPr>
                <w:noProof/>
                <w:color w:val="006100"/>
                <w:sz w:val="18"/>
                <w:szCs w:val="18"/>
              </w:rPr>
              <w:t xml:space="preserve"> de spitalizare cu 50 000 000 EUR comparativ cu nivelurile din 2020, sprijinind reziliența sistemului de sănătate. În măsura în care acest lucru nu este realizat, diferența dintre reducerea vizată și reducerea efectivă pentru fiecare an nu se recuperează d</w:t>
            </w:r>
            <w:r>
              <w:rPr>
                <w:noProof/>
                <w:color w:val="006100"/>
                <w:sz w:val="18"/>
                <w:szCs w:val="18"/>
              </w:rPr>
              <w:t xml:space="preserve">e la industria farmaceutică, iar suma corespunzătoare este suportată de la bugetul de stat până la 50 000 000 EUR. </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155</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10 - 3.3. Îmbunătățirea rezilienței, accesibilității și sustenabilității asistenței medicale — 16816_Reforme și accelerarea </w:t>
            </w:r>
            <w:r>
              <w:rPr>
                <w:noProof/>
                <w:color w:val="006100"/>
                <w:sz w:val="18"/>
                <w:szCs w:val="18"/>
              </w:rPr>
              <w:t>investițiilor în sectorul asistenței medicale — Reducerea și raționalizarea cheltuielilor cu asistența medicală</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3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Reducerea recuperării în 150 000 000 — etapa 2</w:t>
            </w:r>
          </w:p>
        </w:tc>
        <w:tc>
          <w:tcPr>
            <w:tcW w:w="171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Scăderea valorii recuperării în comparație cu nivelurile din 2020 (milioane EUR)</w:t>
            </w:r>
          </w:p>
        </w:tc>
        <w:tc>
          <w:tcPr>
            <w:tcW w:w="87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58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150</w:t>
            </w:r>
          </w:p>
        </w:tc>
        <w:tc>
          <w:tcPr>
            <w:tcW w:w="9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67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Să pună în aplicare măsurile de sporire a eficienței adoptate anterior pentru a obține o reducere a recuperării produselor farmaceutice din 2023, atât pentru produsele farmaceutice ambulatorii, cât și pentru cele spitalicești, cu 150 000 000 EUR față </w:t>
            </w:r>
            <w:r>
              <w:rPr>
                <w:noProof/>
                <w:color w:val="006100"/>
                <w:sz w:val="18"/>
                <w:szCs w:val="18"/>
              </w:rPr>
              <w:t>de nivelurile din 2020, sprijinind reziliența sistemului de sănătate. În măsura în care acest lucru nu este realizat, diferența dintre reducerea vizată și reducerea efectivă pentru fiecare an nu se recuperează de la industria farmaceutică, iar suma corespu</w:t>
            </w:r>
            <w:r>
              <w:rPr>
                <w:noProof/>
                <w:color w:val="006100"/>
                <w:sz w:val="18"/>
                <w:szCs w:val="18"/>
              </w:rPr>
              <w:t>nzătoare este suportată de la bugetul de stat până la 150 000 000 EUR.</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156</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10 - 3.3. Îmbunătățirea rezilienței, accesibilității și sustenabilității asistenței medicale — 16816_Reforme și accelerarea investițiilor în sectorul asistenței medicale — </w:t>
            </w:r>
            <w:r>
              <w:rPr>
                <w:noProof/>
                <w:color w:val="006100"/>
                <w:sz w:val="18"/>
                <w:szCs w:val="18"/>
              </w:rPr>
              <w:t>Reducerea și raționalizarea cheltuielilor cu asistența medicală</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3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 &amp; D în domeniul farmaceutic</w:t>
            </w:r>
          </w:p>
          <w:p w:rsidR="00780A28" w:rsidRDefault="001867D7">
            <w:pPr>
              <w:spacing w:after="0" w:line="240" w:lineRule="auto"/>
              <w:rPr>
                <w:rFonts w:eastAsia="Times New Roman" w:cs="Calibri"/>
                <w:noProof/>
                <w:color w:val="006100"/>
                <w:sz w:val="18"/>
                <w:szCs w:val="18"/>
              </w:rPr>
            </w:pPr>
            <w:r>
              <w:rPr>
                <w:noProof/>
                <w:color w:val="006100"/>
                <w:sz w:val="18"/>
                <w:szCs w:val="18"/>
              </w:rPr>
              <w:t>dovada investițiilor 2021-23</w:t>
            </w:r>
          </w:p>
        </w:tc>
        <w:tc>
          <w:tcPr>
            <w:tcW w:w="171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Investiții (în milioane EUR), aplicate prin compensare cu sume echivalente cu sumele recuperate</w:t>
            </w:r>
          </w:p>
        </w:tc>
        <w:tc>
          <w:tcPr>
            <w:tcW w:w="87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150</w:t>
            </w:r>
          </w:p>
        </w:tc>
        <w:tc>
          <w:tcPr>
            <w:tcW w:w="58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250</w:t>
            </w:r>
          </w:p>
        </w:tc>
        <w:tc>
          <w:tcPr>
            <w:tcW w:w="9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67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Să efectueze </w:t>
            </w:r>
            <w:r>
              <w:rPr>
                <w:noProof/>
                <w:color w:val="006100"/>
                <w:sz w:val="18"/>
                <w:szCs w:val="18"/>
              </w:rPr>
              <w:t>investiții în C &amp; D în domeniul farmaceutic în valoare de 250 000 000 EUR. Investițiile se aplică prin compensare cu o sumă echivalentă cu recuperările din ultimii trei ani (100 000 000 EUR în 2021, 75 000 000 EUR în 2022, 75 000 000 EUR în 2023) până la o</w:t>
            </w:r>
            <w:r>
              <w:rPr>
                <w:noProof/>
                <w:color w:val="006100"/>
                <w:sz w:val="18"/>
                <w:szCs w:val="18"/>
              </w:rPr>
              <w:t xml:space="preserve"> sumă totală care nu va depăși 250 000 000 EUR.</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157</w:t>
            </w:r>
          </w:p>
        </w:tc>
        <w:tc>
          <w:tcPr>
            <w:tcW w:w="13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10 - 3.3. Îmbunătățirea rezilienței, accesibilității și sustenabilității asistenței medicale — 16816_Reforme și accelerarea investițiilor în sectorul asistenței medicale — Reducerea și raționalizarea </w:t>
            </w:r>
            <w:r>
              <w:rPr>
                <w:noProof/>
                <w:color w:val="006100"/>
                <w:sz w:val="18"/>
                <w:szCs w:val="18"/>
              </w:rPr>
              <w:t>cheltuielilor cu asistența medicală</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3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Reducerea recuperării în 300 000 000 — etapa 3</w:t>
            </w:r>
          </w:p>
        </w:tc>
        <w:tc>
          <w:tcPr>
            <w:tcW w:w="171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Scăderea valorii recuperării în comparație cu nivelurile din 2020 (milioane EUR)</w:t>
            </w:r>
          </w:p>
        </w:tc>
        <w:tc>
          <w:tcPr>
            <w:tcW w:w="87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250</w:t>
            </w:r>
          </w:p>
        </w:tc>
        <w:tc>
          <w:tcPr>
            <w:tcW w:w="58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300</w:t>
            </w:r>
          </w:p>
        </w:tc>
        <w:tc>
          <w:tcPr>
            <w:tcW w:w="9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67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Să pună în aplicare măsurile de sporire a eficienței adoptate </w:t>
            </w:r>
            <w:r>
              <w:rPr>
                <w:noProof/>
                <w:color w:val="006100"/>
                <w:sz w:val="18"/>
                <w:szCs w:val="18"/>
              </w:rPr>
              <w:t>anterior pentru a obține o reducere a recuperării produselor farmaceutice din 2024, atât pentru produsele farmaceutice în ambulatoriu, cât și pentru cele în spital, cu 300 000 000 EUR față de nivelurile din 2020, sprijinind reziliența sistemului de sănătat</w:t>
            </w:r>
            <w:r>
              <w:rPr>
                <w:noProof/>
                <w:color w:val="006100"/>
                <w:sz w:val="18"/>
                <w:szCs w:val="18"/>
              </w:rPr>
              <w:t>e. În măsura în care acest lucru nu este realizat, diferența dintre reducerea vizată și reducerea efectivă pentru fiecare an nu se recuperează de la industria farmaceutică, iar suma corespunzătoare este suportată de la bugetul de stat până la 300 000 000 E</w:t>
            </w:r>
            <w:r>
              <w:rPr>
                <w:noProof/>
                <w:color w:val="006100"/>
                <w:sz w:val="18"/>
                <w:szCs w:val="18"/>
              </w:rPr>
              <w:t>UR.</w:t>
            </w:r>
          </w:p>
        </w:tc>
      </w:tr>
      <w:tr w:rsidR="00780A28">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158</w:t>
            </w:r>
          </w:p>
        </w:tc>
        <w:tc>
          <w:tcPr>
            <w:tcW w:w="13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10 - 3.3. Îmbunătățirea rezilienței, accesibilității și sustenabilității asistenței medicale — 16816_Reforme și accelerarea investițiilor în sectorul asistenței medicale — Reducerea și raționalizarea cheltuielilor cu asistența medicală</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3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Reducerea recuperării în 400 000 000 — etapa 4</w:t>
            </w:r>
          </w:p>
        </w:tc>
        <w:tc>
          <w:tcPr>
            <w:tcW w:w="171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Scăderea valorii recuperării în comparație cu nivelurile din 2020 (milioane EUR)</w:t>
            </w:r>
          </w:p>
        </w:tc>
        <w:tc>
          <w:tcPr>
            <w:tcW w:w="87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300</w:t>
            </w: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400</w:t>
            </w: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2026</w:t>
            </w:r>
          </w:p>
        </w:tc>
        <w:tc>
          <w:tcPr>
            <w:tcW w:w="467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Să pună în aplicare măsurile de sporire a eficienței adoptate anterior pentru a obține o reducere a recuperării</w:t>
            </w:r>
            <w:r>
              <w:rPr>
                <w:noProof/>
                <w:color w:val="006100"/>
                <w:sz w:val="18"/>
                <w:szCs w:val="18"/>
              </w:rPr>
              <w:t xml:space="preserve"> produselor farmaceutice din 2025, atât pentru produsele farmaceutice ambulatorii, cât și pentru cele spitalicești, cu 400 000 000 EUR față de nivelurile din 2020, sprijinind reziliența sistemului de sănătate. În măsura în care acest lucru nu este realizat</w:t>
            </w:r>
            <w:r>
              <w:rPr>
                <w:noProof/>
                <w:color w:val="006100"/>
                <w:sz w:val="18"/>
                <w:szCs w:val="18"/>
              </w:rPr>
              <w:t>, diferența dintre reducerea vizată și reducerea efectivă pentru fiecare an nu se recuperează de la industria farmaceutică, iar suma corespunzătoare este suportată de la bugetul de stat până la 400 000 000 EUR.</w:t>
            </w:r>
          </w:p>
        </w:tc>
      </w:tr>
    </w:tbl>
    <w:p w:rsidR="00780A28" w:rsidRDefault="00780A28">
      <w:pPr>
        <w:spacing w:before="120" w:after="120" w:line="240" w:lineRule="auto"/>
        <w:ind w:left="709"/>
        <w:jc w:val="both"/>
        <w:rPr>
          <w:rFonts w:ascii="Times New Roman" w:hAnsi="Times New Roman" w:cs="Times New Roman"/>
          <w:noProof/>
          <w:sz w:val="24"/>
          <w:szCs w:val="24"/>
        </w:rPr>
        <w:sectPr w:rsidR="00780A28">
          <w:headerReference w:type="even" r:id="rId161"/>
          <w:headerReference w:type="default" r:id="rId162"/>
          <w:footerReference w:type="even" r:id="rId163"/>
          <w:footerReference w:type="default" r:id="rId164"/>
          <w:headerReference w:type="first" r:id="rId165"/>
          <w:footerReference w:type="first" r:id="rId166"/>
          <w:pgSz w:w="16839" w:h="11907" w:orient="landscape"/>
          <w:pgMar w:top="720" w:right="720" w:bottom="720" w:left="720" w:header="709" w:footer="709" w:gutter="0"/>
          <w:cols w:space="720"/>
          <w:docGrid w:linePitch="360"/>
        </w:sect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13: Îmbunătățirea rezilienței, accesibilității și sustenabilității asistenței medicale</w:t>
      </w:r>
    </w:p>
    <w:p w:rsidR="00780A28" w:rsidRDefault="001867D7">
      <w:pPr>
        <w:numPr>
          <w:ilvl w:val="0"/>
          <w:numId w:val="40"/>
        </w:numPr>
        <w:tabs>
          <w:tab w:val="left" w:pos="8364"/>
        </w:tabs>
        <w:spacing w:before="120" w:after="0" w:line="240" w:lineRule="auto"/>
        <w:jc w:val="both"/>
        <w:rPr>
          <w:rFonts w:ascii="Times New Roman" w:hAnsi="Times New Roman" w:cs="Times New Roman"/>
          <w:noProof/>
        </w:rPr>
      </w:pPr>
      <w:r>
        <w:rPr>
          <w:rFonts w:ascii="Times New Roman" w:hAnsi="Times New Roman"/>
          <w:noProof/>
          <w:sz w:val="24"/>
        </w:rPr>
        <w:t>Reforme organizaționale în sistemul de sănătate (KETEKNY, ODIPY) (ID: 16756)</w:t>
      </w:r>
    </w:p>
    <w:p w:rsidR="00780A28" w:rsidRDefault="001867D7">
      <w:pPr>
        <w:numPr>
          <w:ilvl w:val="0"/>
          <w:numId w:val="40"/>
        </w:numPr>
        <w:tabs>
          <w:tab w:val="left" w:pos="8364"/>
        </w:tabs>
        <w:spacing w:before="120" w:after="0" w:line="240" w:lineRule="auto"/>
        <w:jc w:val="both"/>
        <w:rPr>
          <w:rFonts w:ascii="Times New Roman" w:hAnsi="Times New Roman" w:cs="Times New Roman"/>
          <w:noProof/>
          <w:sz w:val="24"/>
        </w:rPr>
      </w:pPr>
      <w:r>
        <w:rPr>
          <w:rFonts w:ascii="Times New Roman" w:hAnsi="Times New Roman"/>
          <w:noProof/>
          <w:sz w:val="24"/>
        </w:rPr>
        <w:t xml:space="preserve">Reforma în domeniul sănătății mintale și al dependenței (ID: </w:t>
      </w:r>
      <w:r>
        <w:rPr>
          <w:rFonts w:ascii="Times New Roman" w:hAnsi="Times New Roman"/>
          <w:noProof/>
          <w:sz w:val="24"/>
        </w:rPr>
        <w:t>16820)</w:t>
      </w:r>
    </w:p>
    <w:p w:rsidR="00780A28" w:rsidRDefault="001867D7">
      <w:pPr>
        <w:numPr>
          <w:ilvl w:val="0"/>
          <w:numId w:val="40"/>
        </w:numPr>
        <w:tabs>
          <w:tab w:val="left" w:pos="8364"/>
        </w:tabs>
        <w:spacing w:before="120" w:after="0" w:line="240" w:lineRule="auto"/>
        <w:jc w:val="both"/>
        <w:rPr>
          <w:rFonts w:ascii="Times New Roman" w:hAnsi="Times New Roman" w:cs="Times New Roman"/>
          <w:noProof/>
          <w:sz w:val="24"/>
        </w:rPr>
      </w:pPr>
      <w:r>
        <w:rPr>
          <w:rFonts w:ascii="Times New Roman" w:hAnsi="Times New Roman"/>
          <w:noProof/>
          <w:sz w:val="24"/>
        </w:rPr>
        <w:t>Reforma sistemului de asistență medicală primară (ID: 16755)</w:t>
      </w:r>
    </w:p>
    <w:p w:rsidR="00780A28" w:rsidRDefault="001867D7">
      <w:pPr>
        <w:numPr>
          <w:ilvl w:val="0"/>
          <w:numId w:val="40"/>
        </w:numPr>
        <w:tabs>
          <w:tab w:val="left" w:pos="8364"/>
        </w:tabs>
        <w:spacing w:before="120" w:after="120" w:line="240" w:lineRule="auto"/>
        <w:jc w:val="both"/>
        <w:rPr>
          <w:rFonts w:ascii="Times New Roman" w:hAnsi="Times New Roman" w:cs="Times New Roman"/>
          <w:noProof/>
          <w:sz w:val="24"/>
        </w:rPr>
      </w:pPr>
      <w:r>
        <w:rPr>
          <w:rFonts w:ascii="Times New Roman" w:hAnsi="Times New Roman"/>
          <w:noProof/>
          <w:sz w:val="24"/>
        </w:rPr>
        <w:t>Punerea în aplicare a programului național de prevenire a sănătății publice „Spiros Doxiadis” (ID: 16783)</w:t>
      </w:r>
    </w:p>
    <w:tbl>
      <w:tblPr>
        <w:tblW w:w="15871" w:type="dxa"/>
        <w:jc w:val="center"/>
        <w:tblLook w:val="04A0" w:firstRow="1" w:lastRow="0" w:firstColumn="1" w:lastColumn="0" w:noHBand="0" w:noVBand="1"/>
      </w:tblPr>
      <w:tblGrid>
        <w:gridCol w:w="1027"/>
        <w:gridCol w:w="1942"/>
        <w:gridCol w:w="1424"/>
        <w:gridCol w:w="1350"/>
        <w:gridCol w:w="1325"/>
        <w:gridCol w:w="1276"/>
        <w:gridCol w:w="896"/>
        <w:gridCol w:w="866"/>
        <w:gridCol w:w="913"/>
        <w:gridCol w:w="703"/>
        <w:gridCol w:w="4819"/>
      </w:tblGrid>
      <w:tr w:rsidR="00780A28">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42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081"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755"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498"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2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81"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7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85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62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4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65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159</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0 - 3.3. Îmbunătățirea rezilienței, accesibilității și sustenabilității asistenței medicale — 16755_Reforma sistemului de asistență medicală primară</w:t>
            </w:r>
          </w:p>
        </w:tc>
        <w:tc>
          <w:tcPr>
            <w:tcW w:w="14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8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Activarea programei de medicină de familie în domeniul asistenței medicale primare </w:t>
            </w:r>
          </w:p>
        </w:tc>
        <w:tc>
          <w:tcPr>
            <w:tcW w:w="13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Dovada începerii </w:t>
            </w:r>
            <w:r>
              <w:rPr>
                <w:noProof/>
                <w:color w:val="006100"/>
                <w:sz w:val="18"/>
                <w:szCs w:val="18"/>
              </w:rPr>
              <w:t>cursurilor pentru toate programele universitare nou activate în domeniul medicinii de familie și a includerii unui modul de medicină familială în toate programele medicale.</w:t>
            </w:r>
          </w:p>
          <w:p w:rsidR="00780A28" w:rsidRDefault="00780A28">
            <w:pPr>
              <w:spacing w:after="0" w:line="240" w:lineRule="auto"/>
              <w:rPr>
                <w:rFonts w:ascii="Times New Roman" w:hAnsi="Times New Roman" w:cs="Times New Roman"/>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2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Extinderea numărului de programe universitare active în domeniul </w:t>
            </w:r>
            <w:r>
              <w:rPr>
                <w:noProof/>
                <w:color w:val="006100"/>
                <w:sz w:val="18"/>
                <w:szCs w:val="18"/>
              </w:rPr>
              <w:t>medicinii familiale la cel puțin 75 % din școlile medicale din Grecia și includerea unui modul obligatoriu în medicina de familie în toate programele medicale. Aceasta include documentație, pentru universitățile afectate, evidențiind noua arhitectură a dip</w:t>
            </w:r>
            <w:r>
              <w:rPr>
                <w:noProof/>
                <w:color w:val="006100"/>
                <w:sz w:val="18"/>
                <w:szCs w:val="18"/>
              </w:rPr>
              <w:t>lomelor: 1) programe de învățământ nou înființate și 2) includerea modulului obligatoriu în medicina de familie în programele de învățământ existente).</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160</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highlight w:val="yellow"/>
              </w:rPr>
            </w:pPr>
            <w:r>
              <w:rPr>
                <w:noProof/>
                <w:color w:val="006100"/>
                <w:sz w:val="18"/>
                <w:szCs w:val="18"/>
              </w:rPr>
              <w:t xml:space="preserve">10 - 3.3. Îmbunătățirea rezilienței, accesibilității și sustenabilității asistenței medicale — </w:t>
            </w:r>
            <w:r>
              <w:rPr>
                <w:noProof/>
                <w:color w:val="006100"/>
                <w:sz w:val="18"/>
                <w:szCs w:val="18"/>
              </w:rPr>
              <w:t>16820_Reforma în domeniul sănătății mintale și al dependenței</w:t>
            </w:r>
          </w:p>
          <w:p w:rsidR="00780A28" w:rsidRDefault="00780A28">
            <w:pPr>
              <w:spacing w:after="0" w:line="240" w:lineRule="auto"/>
              <w:rPr>
                <w:rFonts w:eastAsia="Times New Roman" w:cs="Calibri"/>
                <w:noProof/>
                <w:color w:val="006100"/>
                <w:sz w:val="18"/>
                <w:szCs w:val="18"/>
                <w:lang w:eastAsia="en-GB"/>
              </w:rPr>
            </w:pPr>
          </w:p>
        </w:tc>
        <w:tc>
          <w:tcPr>
            <w:tcW w:w="14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08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Sănătatea mintală — 50 unități deschise — etapa 1 din 2</w:t>
            </w:r>
          </w:p>
        </w:tc>
        <w:tc>
          <w:tcPr>
            <w:tcW w:w="132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unităților de sănătate mintală finalizate și operaționale</w:t>
            </w:r>
          </w:p>
        </w:tc>
        <w:tc>
          <w:tcPr>
            <w:tcW w:w="85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50</w:t>
            </w: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Înființarea și funcționarea deplină a 50 de unități</w:t>
            </w:r>
            <w:r>
              <w:rPr>
                <w:noProof/>
                <w:color w:val="006100"/>
                <w:sz w:val="18"/>
                <w:szCs w:val="18"/>
              </w:rPr>
              <w:t xml:space="preserve"> de sănătate mintală (puse în aplicare prin renovarea unităților existente) sprijinite de Planul strategic național de sprijinire a sănătății mintale (dintr-un total de 106 unități de sănătate mintală)</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161</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10 - 3.3. Îmbunătățirea rezilienței, </w:t>
            </w:r>
            <w:r>
              <w:rPr>
                <w:noProof/>
                <w:color w:val="006100"/>
                <w:sz w:val="18"/>
                <w:szCs w:val="18"/>
              </w:rPr>
              <w:t>accesibilității și sustenabilității asistenței medicale — 16755_Reforma sistemului de asistență medicală primară</w:t>
            </w:r>
          </w:p>
        </w:tc>
        <w:tc>
          <w:tcPr>
            <w:tcW w:w="14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8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Centre de asistență medicală primară — centre medicale de atribuire a contractelor</w:t>
            </w:r>
          </w:p>
        </w:tc>
        <w:tc>
          <w:tcPr>
            <w:tcW w:w="132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contractelor. </w:t>
            </w:r>
          </w:p>
          <w:p w:rsidR="00780A28" w:rsidRDefault="00780A28">
            <w:pPr>
              <w:spacing w:after="0" w:line="240" w:lineRule="auto"/>
              <w:rPr>
                <w:rFonts w:eastAsia="Times New Roman" w:cs="Calibri"/>
                <w:noProof/>
                <w:color w:val="006100"/>
                <w:sz w:val="18"/>
                <w:szCs w:val="18"/>
                <w:lang w:eastAsia="en-GB"/>
              </w:rPr>
            </w:pPr>
          </w:p>
          <w:p w:rsidR="00780A28" w:rsidRDefault="00780A28">
            <w:pPr>
              <w:spacing w:after="0" w:line="240" w:lineRule="auto"/>
              <w:rPr>
                <w:rFonts w:eastAsia="Times New Roman" w:cs="Calibri"/>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2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p w:rsidR="00780A28" w:rsidRDefault="00780A28">
            <w:pPr>
              <w:spacing w:after="0" w:line="240" w:lineRule="auto"/>
              <w:rPr>
                <w:rFonts w:eastAsia="Times New Roman" w:cs="Calibri"/>
                <w:noProof/>
                <w:color w:val="006100"/>
                <w:sz w:val="18"/>
                <w:szCs w:val="18"/>
                <w:lang w:eastAsia="en-GB"/>
              </w:rPr>
            </w:pPr>
          </w:p>
        </w:tc>
        <w:tc>
          <w:tcPr>
            <w:tcW w:w="6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contractelor trimise de Ministerul Sănătății contractanților pentru renovarea a cel puțin 156 centre de sănătate (50 % din totalul centrelor de sănătate din Grecia) care vor fi modernizate prin renovări eficiente din punct de vedere </w:t>
            </w:r>
            <w:r>
              <w:rPr>
                <w:noProof/>
                <w:color w:val="006100"/>
                <w:sz w:val="18"/>
                <w:szCs w:val="18"/>
              </w:rPr>
              <w:t xml:space="preserve">energetic și măsuri eficiente din punct de vedere energetic în ceea ce privește infrastructura publică și echipamentele medicale. Notificarea de atribuire este însoțită de un model de contract care să specifice un calendar de finalizare care să însoțească </w:t>
            </w:r>
            <w:r>
              <w:rPr>
                <w:noProof/>
                <w:color w:val="006100"/>
                <w:sz w:val="18"/>
                <w:szCs w:val="18"/>
              </w:rPr>
              <w:t>data de finalizare T4 2025 și de un raport care să evidențieze principalele caracteristici ale lucrărilor care urmează să fie realizate.</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162</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10 - 3.3. Îmbunătățirea rezilienței, accesibilității și sustenabilității asistenței medicale — 16820_Reforma în </w:t>
            </w:r>
            <w:r>
              <w:rPr>
                <w:noProof/>
                <w:color w:val="006100"/>
                <w:sz w:val="18"/>
                <w:szCs w:val="18"/>
              </w:rPr>
              <w:t>domeniul sănătății mintale și al dependenței</w:t>
            </w:r>
          </w:p>
        </w:tc>
        <w:tc>
          <w:tcPr>
            <w:tcW w:w="14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08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Sănătatea mintală — 106 unități deschise — etapa 2 din 2</w:t>
            </w:r>
          </w:p>
        </w:tc>
        <w:tc>
          <w:tcPr>
            <w:tcW w:w="132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unităților de sănătate mintală finalizate și operaționale</w:t>
            </w:r>
          </w:p>
        </w:tc>
        <w:tc>
          <w:tcPr>
            <w:tcW w:w="85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50</w:t>
            </w:r>
          </w:p>
        </w:tc>
        <w:tc>
          <w:tcPr>
            <w:tcW w:w="6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106</w:t>
            </w:r>
          </w:p>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Înființarea și funcționarea deplină a unui număr suplimentar de </w:t>
            </w:r>
            <w:r>
              <w:rPr>
                <w:noProof/>
                <w:color w:val="006100"/>
                <w:sz w:val="18"/>
                <w:szCs w:val="18"/>
              </w:rPr>
              <w:t>56 de unități de sănătate mintală (puse în aplicare prin renovarea unităților existente) sprijinite de Planul strategic național de sprijinire a sănătății mintale (dintr-un total de 106 unități de sănătate mintală), astfel cum atestă rapoartele care docume</w:t>
            </w:r>
            <w:r>
              <w:rPr>
                <w:noProof/>
                <w:color w:val="006100"/>
                <w:sz w:val="18"/>
                <w:szCs w:val="18"/>
              </w:rPr>
              <w:t>ntează finalizarea și operaționalizarea subproiectelor 1, 2, 3, 4, 5, 6.</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163</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10 - 3.3. Îmbunătățirea rezilienței, accesibilității și sustenabilității asistenței medicale — 16756_Reforme organizaționale în sistemul de sănătate (KETEKNY, ODIPY)</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rFonts w:ascii="Times New Roman" w:hAnsi="Times New Roman"/>
                <w:noProof/>
                <w:color w:val="006100"/>
                <w:sz w:val="24"/>
                <w:szCs w:val="18"/>
              </w:rPr>
              <w:t>Sistemul de sănătate — finalizarea Institutului elen DRG KETEKNY și a noii Agenții pentru Asigurarea Calității în Sănătate ODIPY (cu excepția formării)</w:t>
            </w:r>
          </w:p>
        </w:tc>
        <w:tc>
          <w:tcPr>
            <w:tcW w:w="132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Dovada finalizării subproiectelor 1, 2, 3, pentru KETEKNY și a subproiectelor 1, 2, 3 și 5 pentru ODIPY </w:t>
            </w:r>
            <w:r>
              <w:rPr>
                <w:noProof/>
                <w:color w:val="006100"/>
                <w:sz w:val="18"/>
                <w:szCs w:val="18"/>
              </w:rPr>
              <w:t>prin prezentarea rezultatelor de mai sus și, pentru renovare (subproiectul nr. 5 al ODIPY), un raport privind finalizarea renovării clădirii</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6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extinderii interoperabilității, a platformei de consultare privind clasificarea internaționa</w:t>
            </w:r>
            <w:r>
              <w:rPr>
                <w:noProof/>
                <w:color w:val="006100"/>
                <w:sz w:val="18"/>
                <w:szCs w:val="18"/>
              </w:rPr>
              <w:t>lă a bolilor (ICD) &amp; Clasificarea procedurilor medicale elene (ETIP) și a proiectului-pilot privind platforma de colectare a datelor financiare și contabile (subproiectele 1, 2, 3 KETEKNY), precum și a strategiei naționale și a cadrului legislativ propus p</w:t>
            </w:r>
            <w:r>
              <w:rPr>
                <w:noProof/>
                <w:color w:val="006100"/>
                <w:sz w:val="18"/>
                <w:szCs w:val="18"/>
              </w:rPr>
              <w:t>entru asigurarea calității, siguranța pacienților și implicarea pacienților în furnizarea de servicii medicale; harta națională privind sănătatea; strategia națională și cadrul legislativ propus pentru calitatea politicilor de îngrijire și siguranță și ren</w:t>
            </w:r>
            <w:r>
              <w:rPr>
                <w:noProof/>
                <w:color w:val="006100"/>
                <w:sz w:val="18"/>
                <w:szCs w:val="18"/>
              </w:rPr>
              <w:t>ovarea unei clădiri în cadrul spitalului pentru boli termale „Sotiria” (Spiliopouleio), care urmează să fie utilizat ca sediu al Organizației Naționale pentru Asigurarea Calității în Sănătate (ODIPY) și al Autorității Centrale de Sănătate din Grecia (KESY)</w:t>
            </w:r>
            <w:r>
              <w:rPr>
                <w:noProof/>
                <w:color w:val="006100"/>
                <w:sz w:val="18"/>
                <w:szCs w:val="18"/>
              </w:rPr>
              <w:t>.</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164</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10 - 3.3. Îmbunătățirea rezilienței, accesibilității și sustenabilității asistenței medicale — 16756_Reforme organizaționale în sistemul de sănătate (KETEKNY, ODIPY)</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0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Sistemul de sănătate — KETEKNY ODIPY, formare completă</w:t>
            </w:r>
          </w:p>
        </w:tc>
        <w:tc>
          <w:tcPr>
            <w:tcW w:w="132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de </w:t>
            </w:r>
            <w:r>
              <w:rPr>
                <w:noProof/>
                <w:color w:val="006100"/>
                <w:sz w:val="18"/>
                <w:szCs w:val="18"/>
              </w:rPr>
              <w:t>profesioniști din domeniul sănătății care au finalizat programele de formare și care sunt certificați în mod oficial în ceea ce privește codificarea clinică, facturarea și evaluarea conformității</w:t>
            </w: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4 500</w:t>
            </w: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6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formării și certificării a 4 500</w:t>
            </w:r>
            <w:r>
              <w:rPr>
                <w:noProof/>
                <w:color w:val="006100"/>
                <w:sz w:val="18"/>
                <w:szCs w:val="18"/>
              </w:rPr>
              <w:t xml:space="preserve"> de profesioniști din domeniul sănătății din domeniile codificării clinice &amp; Billing (subproiectul 4 KETEKNY) și al evaluării conformității pe baza noului cadru comun de evaluare (subproiectul 4 ODIPY) proporțional cu nevoile identificate pentru KETEKNY și</w:t>
            </w:r>
            <w:r>
              <w:rPr>
                <w:noProof/>
                <w:color w:val="006100"/>
                <w:sz w:val="18"/>
                <w:szCs w:val="18"/>
              </w:rPr>
              <w:t xml:space="preserve"> ODIPY.</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165</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10 - 3.3. Îmbunătățirea rezilienței, accesibilității și sustenabilității asistenței medicale — 16783_Implementarea programului național de prevenire a sănătății publice „Spiros Doxiadis” (DSD)</w:t>
            </w:r>
          </w:p>
          <w:p w:rsidR="00780A28" w:rsidRDefault="00780A28">
            <w:pPr>
              <w:spacing w:after="0" w:line="240" w:lineRule="auto"/>
              <w:rPr>
                <w:rFonts w:eastAsia="Times New Roman" w:cs="Calibri"/>
                <w:noProof/>
                <w:color w:val="006100"/>
                <w:sz w:val="18"/>
                <w:szCs w:val="18"/>
                <w:highlight w:val="yellow"/>
                <w:lang w:eastAsia="en-GB"/>
              </w:rPr>
            </w:pPr>
          </w:p>
          <w:p w:rsidR="00780A28" w:rsidRDefault="00780A28">
            <w:pPr>
              <w:spacing w:after="0" w:line="240" w:lineRule="auto"/>
              <w:rPr>
                <w:rFonts w:eastAsia="Times New Roman" w:cs="Calibri"/>
                <w:noProof/>
                <w:color w:val="006100"/>
                <w:sz w:val="18"/>
                <w:szCs w:val="18"/>
                <w:lang w:eastAsia="en-GB"/>
              </w:rPr>
            </w:pP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Programul național de prevenire a </w:t>
            </w:r>
            <w:r>
              <w:rPr>
                <w:noProof/>
                <w:color w:val="006100"/>
                <w:sz w:val="18"/>
                <w:szCs w:val="18"/>
              </w:rPr>
              <w:t>sănătății publice „Doxiadis” — toate proiectele finalizate</w:t>
            </w:r>
          </w:p>
        </w:tc>
        <w:tc>
          <w:tcPr>
            <w:tcW w:w="132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Dovada finalizării tuturor proiectelor, atestată de rapoarte pentru toate domeniile (modernizarea primară, secundară, terțiară și funcțională a sistemului de sănătate publică) care acoperă toate ac</w:t>
            </w:r>
            <w:r>
              <w:rPr>
                <w:noProof/>
                <w:color w:val="006100"/>
                <w:sz w:val="18"/>
                <w:szCs w:val="18"/>
              </w:rPr>
              <w:t>ț</w:t>
            </w:r>
            <w:r>
              <w:rPr>
                <w:noProof/>
                <w:color w:val="006100"/>
                <w:sz w:val="18"/>
                <w:szCs w:val="18"/>
              </w:rPr>
              <w:t>iunile și populația vizate de fiecare acțiune.</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a 100 % din proiectele din cadrul Programului național de prevenire a sănătății publice „Spiros Doxiadis” (CSD)</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 Prevenire primară după cum reiese dintr-un raport privind punerea în </w:t>
            </w:r>
            <w:r>
              <w:rPr>
                <w:noProof/>
                <w:color w:val="006100"/>
                <w:sz w:val="18"/>
                <w:szCs w:val="18"/>
              </w:rPr>
              <w:t>aplicare finalizată a i) Programului național de promovare a exercițiilor fizice și a alimentației sănătoase, ii) Programului național privind alcoolul, iii) Programului Național de Vaccinare, iv) Intervențiilor pentru prevenirea problemelor psihosociale l</w:t>
            </w:r>
            <w:r>
              <w:rPr>
                <w:noProof/>
                <w:color w:val="006100"/>
                <w:sz w:val="18"/>
                <w:szCs w:val="18"/>
              </w:rPr>
              <w:t>a copii și v) prevenției dentare.</w:t>
            </w:r>
          </w:p>
          <w:p w:rsidR="00780A28" w:rsidRDefault="001867D7">
            <w:pPr>
              <w:spacing w:after="0" w:line="240" w:lineRule="auto"/>
              <w:rPr>
                <w:rFonts w:eastAsia="Times New Roman" w:cs="Calibri"/>
                <w:noProof/>
                <w:color w:val="006100"/>
                <w:sz w:val="18"/>
                <w:szCs w:val="18"/>
              </w:rPr>
            </w:pPr>
            <w:r>
              <w:rPr>
                <w:noProof/>
                <w:color w:val="006100"/>
                <w:sz w:val="18"/>
                <w:szCs w:val="18"/>
              </w:rPr>
              <w:t>2. Prevenirea secundară: după cum atestă un raport privind punerea în aplicare finalizată a i) Programului național de screening pentru depistarea precoce a bolilor foarte răspândite, ii) Programului național sistematic de</w:t>
            </w:r>
            <w:r>
              <w:rPr>
                <w:noProof/>
                <w:color w:val="006100"/>
                <w:sz w:val="18"/>
                <w:szCs w:val="18"/>
              </w:rPr>
              <w:t xml:space="preserve"> supraveghere epidemiologică și controlului perinatal.</w:t>
            </w:r>
          </w:p>
          <w:p w:rsidR="00780A28" w:rsidRDefault="001867D7">
            <w:pPr>
              <w:spacing w:after="0" w:line="240" w:lineRule="auto"/>
              <w:rPr>
                <w:rFonts w:eastAsia="Times New Roman" w:cs="Calibri"/>
                <w:noProof/>
                <w:color w:val="006100"/>
                <w:sz w:val="18"/>
                <w:szCs w:val="18"/>
              </w:rPr>
            </w:pPr>
            <w:r>
              <w:rPr>
                <w:noProof/>
                <w:color w:val="006100"/>
                <w:sz w:val="18"/>
                <w:szCs w:val="18"/>
              </w:rPr>
              <w:t>3. Prevenirea terțiară: astfel cum atestă studiile privind strategia națională și cadrul juridic pentru îngrijirea paliativă a cancerului.</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 Modernizarea funcțională a sistemului de sănătate publică: </w:t>
            </w:r>
            <w:r>
              <w:rPr>
                <w:noProof/>
                <w:color w:val="006100"/>
                <w:sz w:val="18"/>
                <w:szCs w:val="18"/>
              </w:rPr>
              <w:t>după cum o demonstrează rapoartele privind punerea în aplicare a i) reorganizării funcționale a Sistemului de monitorizare a sănătății populației, ii) eficienței și eficacității serviciilor de sănătate publică, iii) eficienței mecanismelor de reacție rapid</w:t>
            </w:r>
            <w:r>
              <w:rPr>
                <w:noProof/>
                <w:color w:val="006100"/>
                <w:sz w:val="18"/>
                <w:szCs w:val="18"/>
              </w:rPr>
              <w:t xml:space="preserve">ă pentru a face față situațiilor de urgență și amenințărilor, iv) îmbunătățirii eficacității mecanismelor de sănătate a mediului, v) îmbunătățirii calității și valabilității științifice a serviciilor furnizate, vi) Organizației Informatice pentru Sănătate </w:t>
            </w:r>
            <w:r>
              <w:rPr>
                <w:noProof/>
                <w:color w:val="006100"/>
                <w:sz w:val="18"/>
                <w:szCs w:val="18"/>
              </w:rPr>
              <w:t>Publică, vii) Extroversiune.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166</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10 - 3.3. Îmbunătățirea rezilienței, accesibilității și sustenabilității asistenței medicale — 16755_Investiții ecologice — Reforma sistemului de asistență medicală primară</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0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PHC — centre medicale renovate integral</w:t>
            </w:r>
          </w:p>
        </w:tc>
        <w:tc>
          <w:tcPr>
            <w:tcW w:w="1325"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centrelor de sănătate (cel puțin) în care renovarea infrastructurii este finalizată integral și centrele sunt operaționale</w:t>
            </w: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156</w:t>
            </w: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renovării infrastructurii pentru a îmbunătăți eficiența energetică a cel puțin 156 de centre de săn</w:t>
            </w:r>
            <w:r>
              <w:rPr>
                <w:noProof/>
                <w:color w:val="006100"/>
                <w:sz w:val="18"/>
                <w:szCs w:val="18"/>
              </w:rPr>
              <w:t>ătate (50 % din totalul centrelor de sănătate din Grecia).</w:t>
            </w:r>
          </w:p>
        </w:tc>
      </w:tr>
    </w:tbl>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14: Îmbunătățirea rezilienței, accesibilității și sustenabilității asistenței medicale</w:t>
      </w:r>
    </w:p>
    <w:p w:rsidR="00780A28" w:rsidRDefault="001867D7">
      <w:pPr>
        <w:numPr>
          <w:ilvl w:val="0"/>
          <w:numId w:val="38"/>
        </w:numPr>
        <w:spacing w:before="120" w:after="0" w:line="240" w:lineRule="auto"/>
        <w:jc w:val="both"/>
        <w:rPr>
          <w:rFonts w:ascii="Times New Roman" w:hAnsi="Times New Roman" w:cs="Times New Roman"/>
          <w:noProof/>
        </w:rPr>
      </w:pPr>
      <w:r>
        <w:rPr>
          <w:rFonts w:ascii="Times New Roman" w:hAnsi="Times New Roman"/>
          <w:noProof/>
          <w:sz w:val="24"/>
        </w:rPr>
        <w:t>Transformarea digitală a sănătății (ID: 16752)</w:t>
      </w:r>
    </w:p>
    <w:p w:rsidR="00780A28" w:rsidRDefault="001867D7">
      <w:pPr>
        <w:numPr>
          <w:ilvl w:val="0"/>
          <w:numId w:val="38"/>
        </w:numPr>
        <w:spacing w:before="120" w:after="0" w:line="240" w:lineRule="auto"/>
        <w:jc w:val="both"/>
        <w:rPr>
          <w:rFonts w:ascii="Times New Roman" w:hAnsi="Times New Roman" w:cs="Times New Roman"/>
          <w:noProof/>
          <w:sz w:val="24"/>
        </w:rPr>
      </w:pPr>
      <w:r>
        <w:rPr>
          <w:rFonts w:ascii="Times New Roman" w:hAnsi="Times New Roman"/>
          <w:noProof/>
          <w:sz w:val="24"/>
        </w:rPr>
        <w:t>Renovarea spitalelor NHS și modernizarea infrastructurii</w:t>
      </w:r>
      <w:r>
        <w:rPr>
          <w:rFonts w:ascii="Times New Roman" w:hAnsi="Times New Roman"/>
          <w:noProof/>
          <w:sz w:val="24"/>
        </w:rPr>
        <w:t xml:space="preserve"> (ID: 16795)</w:t>
      </w:r>
    </w:p>
    <w:p w:rsidR="00780A28" w:rsidRDefault="001867D7">
      <w:pPr>
        <w:numPr>
          <w:ilvl w:val="0"/>
          <w:numId w:val="38"/>
        </w:numPr>
        <w:spacing w:before="120" w:after="0" w:line="240" w:lineRule="auto"/>
        <w:jc w:val="both"/>
        <w:rPr>
          <w:rFonts w:ascii="Times New Roman" w:hAnsi="Times New Roman" w:cs="Times New Roman"/>
          <w:noProof/>
          <w:sz w:val="24"/>
        </w:rPr>
      </w:pPr>
      <w:r>
        <w:rPr>
          <w:rFonts w:ascii="Times New Roman" w:hAnsi="Times New Roman"/>
          <w:noProof/>
          <w:sz w:val="24"/>
        </w:rPr>
        <w:t>Înființarea unui centru de radioterapie la Spitalul pentru boli termale „Sotiria” din Atena (ID: 16757)</w:t>
      </w:r>
    </w:p>
    <w:p w:rsidR="00780A28" w:rsidRDefault="001867D7">
      <w:pPr>
        <w:numPr>
          <w:ilvl w:val="0"/>
          <w:numId w:val="38"/>
        </w:numPr>
        <w:spacing w:before="120" w:after="0" w:line="240" w:lineRule="auto"/>
        <w:jc w:val="both"/>
        <w:rPr>
          <w:rFonts w:ascii="Times New Roman" w:hAnsi="Times New Roman" w:cs="Times New Roman"/>
          <w:noProof/>
          <w:sz w:val="24"/>
        </w:rPr>
      </w:pPr>
      <w:r>
        <w:rPr>
          <w:rFonts w:ascii="Times New Roman" w:hAnsi="Times New Roman"/>
          <w:noProof/>
          <w:sz w:val="24"/>
        </w:rPr>
        <w:t>Proiect pentru construirea unei clădiri dedicate laboratoarelor clinice de terapie celulară, de terapie genică și de hematologie din cadrul</w:t>
      </w:r>
      <w:r>
        <w:rPr>
          <w:rFonts w:ascii="Times New Roman" w:hAnsi="Times New Roman"/>
          <w:noProof/>
          <w:sz w:val="24"/>
        </w:rPr>
        <w:t xml:space="preserve"> spitalului general din Salonic „Papanikolaou” (ID: 16793)</w:t>
      </w:r>
    </w:p>
    <w:p w:rsidR="00780A28" w:rsidRDefault="001867D7">
      <w:pPr>
        <w:numPr>
          <w:ilvl w:val="0"/>
          <w:numId w:val="38"/>
        </w:numPr>
        <w:spacing w:before="120" w:after="120" w:line="240" w:lineRule="auto"/>
        <w:jc w:val="both"/>
        <w:rPr>
          <w:rFonts w:ascii="Times New Roman" w:hAnsi="Times New Roman" w:cs="Times New Roman"/>
          <w:noProof/>
          <w:sz w:val="24"/>
        </w:rPr>
      </w:pPr>
      <w:r>
        <w:rPr>
          <w:rFonts w:ascii="Times New Roman" w:hAnsi="Times New Roman"/>
          <w:noProof/>
          <w:sz w:val="24"/>
        </w:rPr>
        <w:t>Crearea de servicii medicale de uz casnic &amp; Spitalul la domiciliu (ID: 16753)</w:t>
      </w:r>
    </w:p>
    <w:tbl>
      <w:tblPr>
        <w:tblW w:w="15893" w:type="dxa"/>
        <w:jc w:val="center"/>
        <w:tblLayout w:type="fixed"/>
        <w:tblLook w:val="04A0" w:firstRow="1" w:lastRow="0" w:firstColumn="1" w:lastColumn="0" w:noHBand="0" w:noVBand="1"/>
      </w:tblPr>
      <w:tblGrid>
        <w:gridCol w:w="1028"/>
        <w:gridCol w:w="1797"/>
        <w:gridCol w:w="1142"/>
        <w:gridCol w:w="1440"/>
        <w:gridCol w:w="1680"/>
        <w:gridCol w:w="840"/>
        <w:gridCol w:w="160"/>
        <w:gridCol w:w="800"/>
        <w:gridCol w:w="57"/>
        <w:gridCol w:w="903"/>
        <w:gridCol w:w="606"/>
        <w:gridCol w:w="1074"/>
        <w:gridCol w:w="4366"/>
      </w:tblGrid>
      <w:tr w:rsidR="00780A28">
        <w:trPr>
          <w:trHeight w:val="939"/>
          <w:tblHeader/>
          <w:jc w:val="center"/>
        </w:trPr>
        <w:tc>
          <w:tcPr>
            <w:tcW w:w="102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1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440"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760" w:type="dxa"/>
            <w:gridSpan w:val="5"/>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w:t>
            </w:r>
            <w:r>
              <w:rPr>
                <w:rFonts w:ascii="Times New Roman" w:hAnsi="Times New Roman"/>
                <w:b/>
                <w:bCs/>
                <w:noProof/>
                <w:sz w:val="18"/>
                <w:szCs w:val="18"/>
              </w:rPr>
              <w:t>ori cantitativi (pentru ținte)</w:t>
            </w:r>
          </w:p>
        </w:tc>
        <w:tc>
          <w:tcPr>
            <w:tcW w:w="1680"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36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blHeader/>
          <w:jc w:val="center"/>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4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40"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84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60" w:type="dxa"/>
            <w:gridSpan w:val="2"/>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960" w:type="dxa"/>
            <w:gridSpan w:val="2"/>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60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1074"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366"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167</w:t>
            </w:r>
          </w:p>
          <w:p w:rsidR="00780A28" w:rsidRDefault="00780A28">
            <w:pPr>
              <w:spacing w:after="0" w:line="240" w:lineRule="auto"/>
              <w:rPr>
                <w:rFonts w:eastAsia="Times New Roman" w:cs="Calibri"/>
                <w:noProof/>
                <w:color w:val="006100"/>
                <w:sz w:val="18"/>
                <w:szCs w:val="18"/>
                <w:lang w:eastAsia="en-GB"/>
              </w:rPr>
            </w:pP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10 - 3.3. Îmbunătățirea rezilienței, </w:t>
            </w:r>
            <w:r>
              <w:rPr>
                <w:noProof/>
                <w:color w:val="006100"/>
                <w:sz w:val="18"/>
                <w:szCs w:val="18"/>
              </w:rPr>
              <w:t>accesibilității și sustenabilității asistenței medicale — 16752_Transformarea digitală a sănătății (DigHealth)</w:t>
            </w:r>
          </w:p>
        </w:tc>
        <w:tc>
          <w:tcPr>
            <w:tcW w:w="11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44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Transformarea digitală a asistenței medicale – registrul național digital de sănătate (subproiectul 1)</w:t>
            </w:r>
          </w:p>
        </w:tc>
        <w:tc>
          <w:tcPr>
            <w:tcW w:w="168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care atestă finalizarea tutur</w:t>
            </w:r>
            <w:r>
              <w:rPr>
                <w:noProof/>
                <w:color w:val="006100"/>
                <w:sz w:val="18"/>
                <w:szCs w:val="18"/>
              </w:rPr>
              <w:t>or elementelor majore ale subproiectului 1 (Programul de sănătate digitală — a se vedea descrierea)</w:t>
            </w:r>
          </w:p>
        </w:tc>
        <w:tc>
          <w:tcPr>
            <w:tcW w:w="1000" w:type="dxa"/>
            <w:gridSpan w:val="2"/>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gridSpan w:val="2"/>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7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3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(configurarea și punerea în aplicare integrală) cel puțin a următoarelor elemente ale subproiectului 1 care sprijină transformarea di</w:t>
            </w:r>
            <w:r>
              <w:rPr>
                <w:noProof/>
                <w:color w:val="006100"/>
                <w:sz w:val="18"/>
                <w:szCs w:val="18"/>
              </w:rPr>
              <w:t>gitală a sistemului de sănătate, astfel încât dosarul medical digital național să fie operațional: 1) documente clinice, 2) servicii terminologice, 3) cadrul național de interoperabilitate e-sănătate, 4) colectarea tuturor rezultatelor de laborator în dosa</w:t>
            </w:r>
            <w:r>
              <w:rPr>
                <w:noProof/>
                <w:color w:val="006100"/>
                <w:sz w:val="18"/>
                <w:szCs w:val="18"/>
              </w:rPr>
              <w:t>rul e-sănătate, 5) colectarea scrisorilor de descărcare).</w:t>
            </w:r>
          </w:p>
        </w:tc>
      </w:tr>
      <w:tr w:rsidR="00780A28">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168</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10 - 3.3. Îmbunătățirea rezilienței, accesibilității și sustenabilității asistenței medicale — 16752_Transformarea digitală a sănătății (DigHealth)</w:t>
            </w:r>
          </w:p>
        </w:tc>
        <w:tc>
          <w:tcPr>
            <w:tcW w:w="11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44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Transformarea digitală — programul </w:t>
            </w:r>
            <w:r>
              <w:rPr>
                <w:noProof/>
                <w:color w:val="006100"/>
                <w:sz w:val="18"/>
                <w:szCs w:val="18"/>
              </w:rPr>
              <w:t>digital privind cancerul — subproiectul 2</w:t>
            </w:r>
          </w:p>
        </w:tc>
        <w:tc>
          <w:tcPr>
            <w:tcW w:w="168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care atestă finalizarea tuturor elementelor majore ale subproiectului 2 (Programul de sănătate digitală pentru cancer — a se vedea Descrierea) și finalizarea integrală a subproiectului 1</w:t>
            </w:r>
          </w:p>
        </w:tc>
        <w:tc>
          <w:tcPr>
            <w:tcW w:w="1000" w:type="dxa"/>
            <w:gridSpan w:val="2"/>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gridSpan w:val="2"/>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107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3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Operaționalizarea deplină a registrului național digital de sănătate (finalizarea integrală a subproiectului 1) și finalizarea principalelor elemente ale sistemului de sănătate digitală pentru cancer (subproiectul 2) care sprijină transformarea digitală a </w:t>
            </w:r>
            <w:r>
              <w:rPr>
                <w:noProof/>
                <w:color w:val="006100"/>
                <w:sz w:val="18"/>
                <w:szCs w:val="18"/>
              </w:rPr>
              <w:t>sistemului de asistență medicală. Acestea necesită configurarea completă și punerea în aplicare deplină a cel puțin următoarelor elemente: 1) registrul național digital de sănătate și 2) Sistemul de informații privind tratamentul cancerului (sistemul inclu</w:t>
            </w:r>
            <w:r>
              <w:rPr>
                <w:noProof/>
                <w:color w:val="006100"/>
                <w:sz w:val="18"/>
                <w:szCs w:val="18"/>
              </w:rPr>
              <w:t>de protocoale terapeutice pentru chimioterapie, dintre care 36 sunt deja în curs de elaborare), 3) registrele pacienților, 4) punerea în aplicare a registrului național privind cancerul. În plus, sistemul de informații privind tratamentul cancerului trebui</w:t>
            </w:r>
            <w:r>
              <w:rPr>
                <w:noProof/>
                <w:color w:val="006100"/>
                <w:sz w:val="18"/>
                <w:szCs w:val="18"/>
              </w:rPr>
              <w:t>e să fi fost instalat în cel puțin 8 (din 12) spitale.</w:t>
            </w:r>
          </w:p>
        </w:tc>
      </w:tr>
      <w:tr w:rsidR="00780A28">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169</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10 - 3.3. Îmbunătățirea rezilienței, a accesibilității și a durabilității asistenței medicale — 16753_Stabilirea serviciilor medicale de uz casnic &amp; Spitalul la sistemele naționale</w:t>
            </w:r>
          </w:p>
        </w:tc>
        <w:tc>
          <w:tcPr>
            <w:tcW w:w="11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44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Îngrijirea la domiciliu — deschiderea unităților</w:t>
            </w:r>
          </w:p>
        </w:tc>
        <w:tc>
          <w:tcPr>
            <w:tcW w:w="168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Rapoarte care atestă deschiderea celor 8 unități operaționale care oferă îngrijire la domiciliu și finalizarea tuturor subproiectelor relevante</w:t>
            </w:r>
          </w:p>
        </w:tc>
        <w:tc>
          <w:tcPr>
            <w:tcW w:w="1000" w:type="dxa"/>
            <w:gridSpan w:val="2"/>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gridSpan w:val="2"/>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107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Înființarea a 8 unități de îngrijire la domiciliu (2</w:t>
            </w:r>
            <w:r>
              <w:rPr>
                <w:noProof/>
                <w:color w:val="006100"/>
                <w:sz w:val="18"/>
                <w:szCs w:val="18"/>
              </w:rPr>
              <w:t xml:space="preserve"> la Atena, 1 la Salonic, 1 la Alexandroupolis, 1 la Patra, 1 la Ioannina, 1 în Irak și 1 în Larisa) și finalizarea următoarelor subproiecte: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 Anchetă privind „situația actuală și evaluarea nevoilor” (subproiectul 1) </w:t>
            </w:r>
          </w:p>
          <w:p w:rsidR="00780A28" w:rsidRDefault="001867D7">
            <w:pPr>
              <w:spacing w:after="0" w:line="240" w:lineRule="auto"/>
              <w:rPr>
                <w:rFonts w:eastAsia="Times New Roman" w:cs="Calibri"/>
                <w:noProof/>
                <w:color w:val="006100"/>
                <w:sz w:val="18"/>
                <w:szCs w:val="18"/>
              </w:rPr>
            </w:pPr>
            <w:r>
              <w:rPr>
                <w:noProof/>
                <w:color w:val="006100"/>
                <w:sz w:val="18"/>
                <w:szCs w:val="18"/>
              </w:rPr>
              <w:t>b) aplicații de telemedicină: instala</w:t>
            </w:r>
            <w:r>
              <w:rPr>
                <w:noProof/>
                <w:color w:val="006100"/>
                <w:sz w:val="18"/>
                <w:szCs w:val="18"/>
              </w:rPr>
              <w:t>rea și operaționalizarea unui centru de îngrijire la domiciliu pilot, inclusiv formare (subproiectul 2)</w:t>
            </w:r>
          </w:p>
          <w:p w:rsidR="00780A28" w:rsidRDefault="001867D7">
            <w:pPr>
              <w:spacing w:after="0" w:line="240" w:lineRule="auto"/>
              <w:rPr>
                <w:rFonts w:eastAsia="Times New Roman" w:cs="Calibri"/>
                <w:noProof/>
                <w:color w:val="006100"/>
                <w:sz w:val="18"/>
                <w:szCs w:val="18"/>
              </w:rPr>
            </w:pPr>
            <w:r>
              <w:rPr>
                <w:noProof/>
                <w:color w:val="006100"/>
                <w:sz w:val="18"/>
                <w:szCs w:val="18"/>
              </w:rPr>
              <w:t>c) registrul național al pacienților tratați prin asistență la domiciliu (subproiectul 3)</w:t>
            </w:r>
          </w:p>
          <w:p w:rsidR="00780A28" w:rsidRDefault="001867D7">
            <w:pPr>
              <w:spacing w:after="0" w:line="240" w:lineRule="auto"/>
              <w:rPr>
                <w:rFonts w:eastAsia="Times New Roman" w:cs="Calibri"/>
                <w:noProof/>
                <w:color w:val="006100"/>
                <w:sz w:val="18"/>
                <w:szCs w:val="18"/>
              </w:rPr>
            </w:pPr>
            <w:r>
              <w:rPr>
                <w:noProof/>
                <w:color w:val="006100"/>
                <w:sz w:val="18"/>
                <w:szCs w:val="18"/>
              </w:rPr>
              <w:t>d) criterii de evaluare și indicatori-cheie de performanță (IC</w:t>
            </w:r>
            <w:r>
              <w:rPr>
                <w:noProof/>
                <w:color w:val="006100"/>
                <w:sz w:val="18"/>
                <w:szCs w:val="18"/>
              </w:rPr>
              <w:t>P) (subproiectul 4)</w:t>
            </w:r>
          </w:p>
        </w:tc>
      </w:tr>
      <w:tr w:rsidR="00780A28">
        <w:trPr>
          <w:trHeight w:val="313"/>
          <w:jc w:val="center"/>
        </w:trPr>
        <w:tc>
          <w:tcPr>
            <w:tcW w:w="102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170</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10 - 3.3. Îmbunătățirea rezilienței, accesibilității și sustenabilității asistenței medicale — 16795_Renovarea spitalului NHS și modernizarea infrastructurii</w:t>
            </w:r>
          </w:p>
        </w:tc>
        <w:tc>
          <w:tcPr>
            <w:tcW w:w="11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44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modernizării infrastructurii NHS</w:t>
            </w:r>
          </w:p>
        </w:tc>
        <w:tc>
          <w:tcPr>
            <w:tcW w:w="168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 care atestă </w:t>
            </w:r>
            <w:r>
              <w:rPr>
                <w:noProof/>
                <w:color w:val="006100"/>
                <w:sz w:val="18"/>
                <w:szCs w:val="18"/>
              </w:rPr>
              <w:t>finalizarea lucrărilor de infrastructură pentru renovarea spitalului NHS și modernizarea infrastructurii.</w:t>
            </w:r>
          </w:p>
        </w:tc>
        <w:tc>
          <w:tcPr>
            <w:tcW w:w="1000" w:type="dxa"/>
            <w:gridSpan w:val="2"/>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gridSpan w:val="2"/>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7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construcției și modernizării infrastructurii, inclusiv a infrastructurii electromecanice și electrotehnice, a facilităților de </w:t>
            </w:r>
            <w:r>
              <w:rPr>
                <w:noProof/>
                <w:color w:val="006100"/>
                <w:sz w:val="18"/>
                <w:szCs w:val="18"/>
              </w:rPr>
              <w:t>cazare și a infrastructurii cu facilități, echipamente și dispozitive medicale, precum și încheierea de contracte pentru acorduri privind nivelul serviciilor (SLA) și gestionarea instalațiilor pentru toate cele 80 de spitale afectate din cele șapte regiuni</w:t>
            </w:r>
            <w:r>
              <w:rPr>
                <w:noProof/>
                <w:color w:val="006100"/>
                <w:sz w:val="18"/>
                <w:szCs w:val="18"/>
              </w:rPr>
              <w:t xml:space="preserve">. </w:t>
            </w:r>
          </w:p>
        </w:tc>
      </w:tr>
      <w:tr w:rsidR="00780A28">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171</w:t>
            </w:r>
          </w:p>
        </w:tc>
        <w:tc>
          <w:tcPr>
            <w:tcW w:w="17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10 - 3.3. Îmbunătățirea rezilienței, accesibilității și sustenabilității asistenței medicale — 16757_Înființarea unui centru de radioterapie la spitalul de boli toracice „Sotiria”</w:t>
            </w:r>
          </w:p>
          <w:p w:rsidR="00780A28" w:rsidRDefault="001867D7">
            <w:pPr>
              <w:spacing w:after="0" w:line="240" w:lineRule="auto"/>
              <w:rPr>
                <w:rFonts w:eastAsia="Times New Roman" w:cs="Calibri"/>
                <w:noProof/>
                <w:color w:val="006100"/>
                <w:sz w:val="18"/>
                <w:szCs w:val="18"/>
              </w:rPr>
            </w:pPr>
            <w:r>
              <w:rPr>
                <w:noProof/>
                <w:color w:val="006100"/>
                <w:sz w:val="18"/>
                <w:szCs w:val="18"/>
              </w:rPr>
              <w:t>din Atena</w:t>
            </w:r>
          </w:p>
        </w:tc>
        <w:tc>
          <w:tcPr>
            <w:tcW w:w="11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44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Centrul de radioterapie Sotiria</w:t>
            </w:r>
          </w:p>
          <w:p w:rsidR="00780A28" w:rsidRDefault="001867D7">
            <w:pPr>
              <w:spacing w:after="0" w:line="240" w:lineRule="auto"/>
              <w:rPr>
                <w:rFonts w:eastAsia="Times New Roman" w:cs="Calibri"/>
                <w:noProof/>
                <w:color w:val="006100"/>
                <w:sz w:val="18"/>
                <w:szCs w:val="18"/>
              </w:rPr>
            </w:pPr>
            <w:r>
              <w:rPr>
                <w:noProof/>
                <w:color w:val="006100"/>
                <w:sz w:val="18"/>
                <w:szCs w:val="18"/>
              </w:rPr>
              <w:t>Încheiere</w:t>
            </w:r>
          </w:p>
        </w:tc>
        <w:tc>
          <w:tcPr>
            <w:tcW w:w="168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 </w:t>
            </w:r>
            <w:r>
              <w:rPr>
                <w:noProof/>
                <w:color w:val="006100"/>
                <w:sz w:val="18"/>
                <w:szCs w:val="18"/>
              </w:rPr>
              <w:t>care atestă finalizarea lucrărilor de infrastructură pentru înființarea unui centru de radioterapie la spitalul de boli toracice „Sotiria”</w:t>
            </w:r>
          </w:p>
          <w:p w:rsidR="00780A28" w:rsidRDefault="001867D7">
            <w:pPr>
              <w:spacing w:after="0" w:line="240" w:lineRule="auto"/>
              <w:rPr>
                <w:rFonts w:eastAsia="Times New Roman" w:cs="Calibri"/>
                <w:noProof/>
                <w:color w:val="006100"/>
                <w:sz w:val="18"/>
                <w:szCs w:val="18"/>
              </w:rPr>
            </w:pPr>
            <w:r>
              <w:rPr>
                <w:noProof/>
                <w:color w:val="006100"/>
                <w:sz w:val="18"/>
                <w:szCs w:val="18"/>
              </w:rPr>
              <w:t>din Atena.</w:t>
            </w:r>
          </w:p>
        </w:tc>
        <w:tc>
          <w:tcPr>
            <w:tcW w:w="1000" w:type="dxa"/>
            <w:gridSpan w:val="2"/>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gridSpan w:val="2"/>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7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noului departament de radioterapie al spitalului Sotiria și a unei noi infrastructu</w:t>
            </w:r>
            <w:r>
              <w:rPr>
                <w:noProof/>
                <w:color w:val="006100"/>
                <w:sz w:val="18"/>
                <w:szCs w:val="18"/>
              </w:rPr>
              <w:t xml:space="preserve">ri imobiliare; modernizarea infrastructurii clădirilor, podul pentru interconectarea departamentului de urgențe cu departamentul de chirurgie și alte clădiri; renovarea departamentelor de laborator și a clinicilor. </w:t>
            </w:r>
          </w:p>
        </w:tc>
      </w:tr>
      <w:tr w:rsidR="00780A28">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172</w:t>
            </w:r>
          </w:p>
        </w:tc>
        <w:tc>
          <w:tcPr>
            <w:tcW w:w="17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10 - 3.3. Îmbunătățirea </w:t>
            </w:r>
            <w:r>
              <w:rPr>
                <w:noProof/>
                <w:color w:val="006100"/>
                <w:sz w:val="18"/>
                <w:szCs w:val="18"/>
              </w:rPr>
              <w:t>rezilienței, accesibilității și sustenabilității asistenței medicale — 16793_Proiect pentru construirea unei clădiri dedicate laboratoarelor clinice de terapie celulară, de terapie genică și de hematologie din cadrul spitalului general din Salonic „Papanik</w:t>
            </w:r>
            <w:r>
              <w:rPr>
                <w:noProof/>
                <w:color w:val="006100"/>
                <w:sz w:val="18"/>
                <w:szCs w:val="18"/>
              </w:rPr>
              <w:t>olaou”</w:t>
            </w:r>
          </w:p>
        </w:tc>
        <w:tc>
          <w:tcPr>
            <w:tcW w:w="11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44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spitalului Papanikolau</w:t>
            </w:r>
          </w:p>
        </w:tc>
        <w:tc>
          <w:tcPr>
            <w:tcW w:w="168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care atestă finalizarea lucrărilor de infrastructură pentru construirea unei clădiri dedicate terapiilor celulare și genetice și laboratoarelor de clinici de hematologie din cadrul Spitalului General d</w:t>
            </w:r>
            <w:r>
              <w:rPr>
                <w:noProof/>
                <w:color w:val="006100"/>
                <w:sz w:val="18"/>
                <w:szCs w:val="18"/>
              </w:rPr>
              <w:t xml:space="preserve">in Salonic „Papanikolaou”. </w:t>
            </w:r>
          </w:p>
        </w:tc>
        <w:tc>
          <w:tcPr>
            <w:tcW w:w="1000" w:type="dxa"/>
            <w:gridSpan w:val="2"/>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gridSpan w:val="2"/>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7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unei noi clădiri cu trei povești pentru găzduirea tuturor laboratoarelor specializate și a unităților speciale de asistență medicală; restructurarea parterului clădirii existente pentru a dispune de </w:t>
            </w:r>
            <w:r>
              <w:rPr>
                <w:noProof/>
                <w:color w:val="006100"/>
                <w:sz w:val="18"/>
                <w:szCs w:val="18"/>
              </w:rPr>
              <w:t>suficient spațiu pentru clinicile ambulatorii și pentru îngrijirea de zi a spitalului Papanikolaou și va realiza o cerere de energie primară (PED) care este cu cel puțin 20 % mai mică decât cerința NZEB (clădire cu consum de energie aproape egal cu zero, d</w:t>
            </w:r>
            <w:r>
              <w:rPr>
                <w:noProof/>
                <w:color w:val="006100"/>
                <w:sz w:val="18"/>
                <w:szCs w:val="18"/>
              </w:rPr>
              <w:t>irective naționale).</w:t>
            </w:r>
          </w:p>
        </w:tc>
      </w:tr>
      <w:tr w:rsidR="00780A28">
        <w:trPr>
          <w:trHeight w:val="313"/>
          <w:jc w:val="center"/>
        </w:trPr>
        <w:tc>
          <w:tcPr>
            <w:tcW w:w="102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173</w:t>
            </w:r>
          </w:p>
        </w:tc>
        <w:tc>
          <w:tcPr>
            <w:tcW w:w="17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10 - 3.3. Îmbunătățirea rezilienței, accesibilității și sustenabilității asistenței medicale — 16752_Transformarea digitală a sănătății (DigHealth)</w:t>
            </w:r>
          </w:p>
          <w:p w:rsidR="00780A28" w:rsidRDefault="00780A28">
            <w:pPr>
              <w:spacing w:before="120" w:after="120" w:line="240" w:lineRule="auto"/>
              <w:jc w:val="center"/>
              <w:rPr>
                <w:rFonts w:eastAsia="Times New Roman" w:cs="Calibri"/>
                <w:noProof/>
                <w:sz w:val="18"/>
                <w:szCs w:val="18"/>
                <w:lang w:eastAsia="en-GB"/>
              </w:rPr>
            </w:pPr>
          </w:p>
        </w:tc>
        <w:tc>
          <w:tcPr>
            <w:tcW w:w="11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44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Transformarea digitală — toate subproiectele sunt finalizate</w:t>
            </w:r>
          </w:p>
        </w:tc>
        <w:tc>
          <w:tcPr>
            <w:tcW w:w="168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 care atestă finalizarea și operaționalizarea deplină a celor cinci subproiecte care sprijină transformarea digitală a sistemului de sănătate, acoperind toate elementele pentru fiecare subproiect. </w:t>
            </w:r>
          </w:p>
          <w:p w:rsidR="00780A28" w:rsidRDefault="00780A28">
            <w:pPr>
              <w:spacing w:after="0" w:line="240" w:lineRule="auto"/>
              <w:rPr>
                <w:rFonts w:eastAsia="Times New Roman" w:cs="Calibri"/>
                <w:noProof/>
                <w:color w:val="006100"/>
                <w:sz w:val="18"/>
                <w:szCs w:val="18"/>
                <w:lang w:eastAsia="en-GB"/>
              </w:rPr>
            </w:pPr>
          </w:p>
        </w:tc>
        <w:tc>
          <w:tcPr>
            <w:tcW w:w="1000" w:type="dxa"/>
            <w:gridSpan w:val="2"/>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gridSpan w:val="2"/>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0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7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tuturor măsurilor planificat</w:t>
            </w:r>
            <w:r>
              <w:rPr>
                <w:noProof/>
                <w:color w:val="006100"/>
                <w:sz w:val="18"/>
                <w:szCs w:val="18"/>
              </w:rPr>
              <w:t>e pentru punerea în aplicare a celor cinci (5) subproiecte care sprijină transformarea digitală a sistemului de sănătate:</w:t>
            </w:r>
          </w:p>
          <w:p w:rsidR="00780A28" w:rsidRDefault="001867D7">
            <w:pPr>
              <w:spacing w:after="0" w:line="240" w:lineRule="auto"/>
              <w:rPr>
                <w:rFonts w:eastAsia="Times New Roman" w:cs="Calibri"/>
                <w:noProof/>
                <w:color w:val="006100"/>
                <w:sz w:val="18"/>
                <w:szCs w:val="18"/>
              </w:rPr>
            </w:pPr>
            <w:r>
              <w:rPr>
                <w:noProof/>
                <w:color w:val="006100"/>
                <w:sz w:val="18"/>
                <w:szCs w:val="18"/>
              </w:rPr>
              <w:t>a) fișa digitală națională de sănătate a pacienților (subproiectul 1)</w:t>
            </w:r>
          </w:p>
          <w:p w:rsidR="00780A28" w:rsidRDefault="001867D7">
            <w:pPr>
              <w:spacing w:after="0" w:line="240" w:lineRule="auto"/>
              <w:rPr>
                <w:rFonts w:eastAsia="Times New Roman" w:cs="Calibri"/>
                <w:noProof/>
                <w:color w:val="006100"/>
                <w:sz w:val="18"/>
                <w:szCs w:val="18"/>
              </w:rPr>
            </w:pPr>
            <w:r>
              <w:rPr>
                <w:noProof/>
                <w:color w:val="006100"/>
                <w:sz w:val="18"/>
                <w:szCs w:val="18"/>
              </w:rPr>
              <w:t>b) programul de transformare digitală a tratamentului cancerului</w:t>
            </w:r>
            <w:r>
              <w:rPr>
                <w:noProof/>
                <w:color w:val="006100"/>
                <w:sz w:val="18"/>
                <w:szCs w:val="18"/>
              </w:rPr>
              <w:t xml:space="preserve">, inclusiv pacientul </w:t>
            </w:r>
          </w:p>
          <w:p w:rsidR="00780A28" w:rsidRDefault="001867D7">
            <w:pPr>
              <w:spacing w:after="0" w:line="240" w:lineRule="auto"/>
              <w:rPr>
                <w:rFonts w:eastAsia="Times New Roman" w:cs="Calibri"/>
                <w:noProof/>
                <w:color w:val="006100"/>
                <w:sz w:val="18"/>
                <w:szCs w:val="18"/>
              </w:rPr>
            </w:pPr>
            <w:r>
              <w:rPr>
                <w:noProof/>
                <w:color w:val="006100"/>
                <w:sz w:val="18"/>
                <w:szCs w:val="18"/>
              </w:rPr>
              <w:t>registre (subproiectul 2)</w:t>
            </w:r>
          </w:p>
          <w:p w:rsidR="00780A28" w:rsidRDefault="001867D7">
            <w:pPr>
              <w:spacing w:after="0" w:line="240" w:lineRule="auto"/>
              <w:rPr>
                <w:rFonts w:eastAsia="Times New Roman" w:cs="Calibri"/>
                <w:noProof/>
                <w:color w:val="006100"/>
                <w:sz w:val="18"/>
                <w:szCs w:val="18"/>
              </w:rPr>
            </w:pPr>
            <w:r>
              <w:rPr>
                <w:noProof/>
                <w:color w:val="006100"/>
                <w:sz w:val="18"/>
                <w:szCs w:val="18"/>
              </w:rPr>
              <w:t>c) telemedicină, inclusiv stații de telemedicină, infrastructură nouă, instrumente (subproiectul 3)</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d) pregătirea digitală a spitalelor, inclusiv: sisteme de evidență medicală electronică, inventarul </w:t>
            </w:r>
            <w:r>
              <w:rPr>
                <w:noProof/>
                <w:color w:val="006100"/>
                <w:sz w:val="18"/>
                <w:szCs w:val="18"/>
              </w:rPr>
              <w:t>echipamentelor medicale, punerea în aplicare a DRG, prescrierea 4e-rețetă pentru pacienții interni/aplicarea protocoalelor terapeutice în mediul spitalicesc, sistemul de programare electronică, modernizarea digitală a centrului național de ajutor de urgenț</w:t>
            </w:r>
            <w:r>
              <w:rPr>
                <w:noProof/>
                <w:color w:val="006100"/>
                <w:sz w:val="18"/>
                <w:szCs w:val="18"/>
              </w:rPr>
              <w:t>ă (EKAB) și Agenția pentru medicamente (EOF), (subproiectul 4)</w:t>
            </w:r>
          </w:p>
          <w:p w:rsidR="00780A28" w:rsidRDefault="001867D7">
            <w:pPr>
              <w:spacing w:after="0" w:line="240" w:lineRule="auto"/>
              <w:rPr>
                <w:rFonts w:eastAsia="Times New Roman" w:cs="Calibri"/>
                <w:noProof/>
                <w:color w:val="006100"/>
                <w:sz w:val="18"/>
                <w:szCs w:val="18"/>
              </w:rPr>
            </w:pPr>
            <w:r>
              <w:rPr>
                <w:noProof/>
                <w:color w:val="006100"/>
                <w:sz w:val="18"/>
                <w:szCs w:val="18"/>
              </w:rPr>
              <w:t>e) finalizarea tuturor elementelor sistemului informatic integrat al EOPYY (Organizația Națională pentru Furnizarea Serviciilor de Sănătate), toate elementele de gestionare și monitorizare a ch</w:t>
            </w:r>
            <w:r>
              <w:rPr>
                <w:noProof/>
                <w:color w:val="006100"/>
                <w:sz w:val="18"/>
                <w:szCs w:val="18"/>
              </w:rPr>
              <w:t>eltuielilor, toate elementele serviciilor digitale pentru furnizorii de servicii de sănătate și pentru cetățeni, toate elementele de gestionare a datelor, analiză și interoperabilitate și achiziționarea licențelor din 250 de planificare a resurselor întrep</w:t>
            </w:r>
            <w:r>
              <w:rPr>
                <w:noProof/>
                <w:color w:val="006100"/>
                <w:sz w:val="18"/>
                <w:szCs w:val="18"/>
              </w:rPr>
              <w:t>rinderii (ERP) pentru sistemul de gestiune financiară &amp; compensare (subproiectul 5).</w:t>
            </w:r>
          </w:p>
        </w:tc>
      </w:tr>
    </w:tbl>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167"/>
          <w:headerReference w:type="default" r:id="rId168"/>
          <w:footerReference w:type="even" r:id="rId169"/>
          <w:footerReference w:type="default" r:id="rId170"/>
          <w:headerReference w:type="first" r:id="rId171"/>
          <w:footerReference w:type="first" r:id="rId172"/>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K. COMPONENTA 3.4: CREȘTEREA ACCESULUI LA POLITICI SOCIALE EFICACE ȘI FAVORABILE INCLUZIUNII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w:t>
      </w:r>
      <w:r>
        <w:rPr>
          <w:rFonts w:ascii="Times New Roman" w:hAnsi="Times New Roman"/>
          <w:noProof/>
          <w:sz w:val="24"/>
        </w:rPr>
        <w:t xml:space="preserve">componentă a planului de redresare și rezoluție al Greciei vizează promovarea incluziunii sociale, cu un accent deosebit pe grupurile vulnerabile, sprijinind, în același timp, participarea femeilor pe piața forței de muncă. O mare parte a componentei este </w:t>
      </w:r>
      <w:r>
        <w:rPr>
          <w:rFonts w:ascii="Times New Roman" w:hAnsi="Times New Roman"/>
          <w:noProof/>
          <w:sz w:val="24"/>
        </w:rPr>
        <w:t>dedicată educației și îngrijirii copiilor preșcolari, în special sub formă de subvenții pentru crearea a 1 000 de noi unități de îngrijire a copiilor în municipalități și a 120 de unități în întreprinderi mari. Planul permite, de asemenea, măsuri de activa</w:t>
      </w:r>
      <w:r>
        <w:rPr>
          <w:rFonts w:ascii="Times New Roman" w:hAnsi="Times New Roman"/>
          <w:noProof/>
          <w:sz w:val="24"/>
        </w:rPr>
        <w:t>re a pieței forței de muncă pentru grupurile vulnerabile, inclusiv beneficiarii venitului minim garantat, refugiați, persoane fără adăpost, romi și persoane care suferă de tulburări din spectrul autismului. Un program de formare la scară largă pentru angaj</w:t>
      </w:r>
      <w:r>
        <w:rPr>
          <w:rFonts w:ascii="Times New Roman" w:hAnsi="Times New Roman"/>
          <w:noProof/>
          <w:sz w:val="24"/>
        </w:rPr>
        <w:t>ații din sectorul privat și din sectorul public cu privire la sensibilizarea cu privire la diversitate și mai multe proiecte-pilot de mici dimensiuni, cum ar fi dezinstituționalizarea copiilor, sprijinirea persoanelor cu handicap și locuințele sociale, sun</w:t>
      </w:r>
      <w:r>
        <w:rPr>
          <w:rFonts w:ascii="Times New Roman" w:hAnsi="Times New Roman"/>
          <w:noProof/>
          <w:sz w:val="24"/>
        </w:rPr>
        <w:t>t, de asemenea, elemente-cheie ale planului.</w:t>
      </w:r>
      <w:r>
        <w:rPr>
          <w:rFonts w:ascii="Times New Roman" w:hAnsi="Times New Roman"/>
          <w:noProof/>
          <w:color w:val="000000"/>
          <w:sz w:val="24"/>
          <w:shd w:val="clear" w:color="auto" w:fill="FFFFFF"/>
        </w:rPr>
        <w:t xml:space="preserve"> Componenta este în conformitate cu recomandările specifice fiecărei țări privind piața forței de muncă și politica socială (recomandările specifice fiecărei țări 2 2020 și 1 2019) și investițiile (recomandările </w:t>
      </w:r>
      <w:r>
        <w:rPr>
          <w:rFonts w:ascii="Times New Roman" w:hAnsi="Times New Roman"/>
          <w:noProof/>
          <w:color w:val="000000"/>
          <w:sz w:val="24"/>
          <w:shd w:val="clear" w:color="auto" w:fill="FFFFFF"/>
        </w:rPr>
        <w:t xml:space="preserve">specifice fiecărei țări 3 2020 și 2 2019). </w:t>
      </w:r>
      <w:r>
        <w:rPr>
          <w:rFonts w:ascii="Times New Roman" w:hAnsi="Times New Roman"/>
          <w:noProof/>
          <w:sz w:val="24"/>
        </w:rPr>
        <w:t xml:space="preserve">Este de așteptat ca nicio măsură din cadrul acestei componente să nu afecteze în mod semnificativ obiectivele de mediu în sensul articolului 17 din Regulamentul (UE) 2020/852, ținând seama de descrierea măsurilor </w:t>
      </w:r>
      <w:r>
        <w:rPr>
          <w:rFonts w:ascii="Times New Roman" w:hAnsi="Times New Roman"/>
          <w:noProof/>
          <w:sz w:val="24"/>
        </w:rPr>
        <w:t>ș</w:t>
      </w:r>
      <w:r>
        <w:rPr>
          <w:rFonts w:ascii="Times New Roman" w:hAnsi="Times New Roman"/>
          <w:noProof/>
          <w:sz w:val="24"/>
        </w:rPr>
        <w:t>i a măsurilor de atenuare stabilite în planul de redresare și reziliență în conformitate cu Orientările tehnice bazate pe principiul de „a nu aduce prejudicii semnificative” (2021/C58/01).</w:t>
      </w:r>
    </w:p>
    <w:p w:rsidR="00780A28" w:rsidRDefault="001867D7">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K.1.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w:t>
      </w:r>
      <w:r>
        <w:rPr>
          <w:rFonts w:ascii="Times New Roman" w:hAnsi="Times New Roman"/>
          <w:b/>
          <w:bCs/>
          <w:noProof/>
          <w:sz w:val="24"/>
          <w:u w:val="single"/>
        </w:rPr>
        <w:t>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Reforma: </w:t>
      </w:r>
      <w:r>
        <w:rPr>
          <w:rFonts w:ascii="Times New Roman" w:hAnsi="Times New Roman"/>
          <w:noProof/>
          <w:sz w:val="24"/>
        </w:rPr>
        <w:t>Protecția copilului (numărul de identificare al măsurii: 16919)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Măsura constă într-o reformă a programei de învățământ și a programului educațional pentru sugari cu vârste cuprinse între 3 luni și </w:t>
      </w:r>
      <w:r>
        <w:rPr>
          <w:rFonts w:ascii="Times New Roman" w:hAnsi="Times New Roman"/>
          <w:noProof/>
          <w:sz w:val="24"/>
        </w:rPr>
        <w:t>4 ani, cu scopul de a promova dezvoltarea cognitivă a acestora. Reforma este însoțită de investiții în materiale educaționale și în instrumente de evaluare a dezvoltării cognitive pentru 3 000 de centre de îngrijire a copiilor. Măsura include, de asemenea,</w:t>
      </w:r>
      <w:r>
        <w:rPr>
          <w:rFonts w:ascii="Times New Roman" w:hAnsi="Times New Roman"/>
          <w:noProof/>
          <w:sz w:val="24"/>
        </w:rPr>
        <w:t xml:space="preserve"> investiții care permit a) plasarea minorilor cu handicap grav (peste 67 %) și/sau cu tulburări mintale grave în îngrijirea îngrijitorilor substituenți profesioniști; b) transferul adolescenților de la unitățile de protecție a copilului (UCP) la apartament</w:t>
      </w:r>
      <w:r>
        <w:rPr>
          <w:rFonts w:ascii="Times New Roman" w:hAnsi="Times New Roman"/>
          <w:noProof/>
          <w:sz w:val="24"/>
        </w:rPr>
        <w:t>ele autonome sprijinite (SIL), cu scopul de a dezinstituționaliza, de a dobândi competențe și de a îmbunătăți capacitatea de inserție profesională; c) crearea sau extinderea centrelor de îngrijire a copiilor preșcolari pentru sugari cu vârste cuprinse într</w:t>
      </w:r>
      <w:r>
        <w:rPr>
          <w:rFonts w:ascii="Times New Roman" w:hAnsi="Times New Roman"/>
          <w:noProof/>
          <w:sz w:val="24"/>
        </w:rPr>
        <w:t>e 2 luni și 2,5 ani (centre pentru copii); și d) crearea de centre de activități creative pentru copiii cu vârste cuprinse între 12 și 15 ani în domeniul științei, tehnologiei, ingineriei și matematicii (STIM). Implementarea reformei trebuie finalizată pân</w:t>
      </w:r>
      <w:r>
        <w:rPr>
          <w:rFonts w:ascii="Times New Roman" w:hAnsi="Times New Roman"/>
          <w:noProof/>
          <w:sz w:val="24"/>
        </w:rPr>
        <w:t>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Handicap (numărul de identificare al măsurii: 16904)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constă în două subproiecte care vizează consolidarea incluziunii sociale, a vieții independente, a capacității de inserție profesională și a intervenției copiilor</w:t>
      </w:r>
      <w:r>
        <w:rPr>
          <w:rFonts w:ascii="Times New Roman" w:hAnsi="Times New Roman"/>
          <w:noProof/>
          <w:sz w:val="24"/>
        </w:rPr>
        <w:t xml:space="preserve"> preșcolari pentru persoanele cu handicap. Aceste subproiecte se referă în special la a) îmbunătățirea vieții independente pentru persoanele cu handicap, accesibilitatea și infrastructura de sprijin pentru persoanele cu mobilitate și deficiențe senzoriale,</w:t>
      </w:r>
      <w:r>
        <w:rPr>
          <w:rFonts w:ascii="Times New Roman" w:hAnsi="Times New Roman"/>
          <w:noProof/>
          <w:sz w:val="24"/>
        </w:rPr>
        <w:t xml:space="preserve"> asistență independentă pentru viață pentru persoanele cu handicap, inclusiv un proces de evaluare a eligibilității, bazat atât pe o evaluare medicală, cât și pe o evaluare funcțională a handicapului de către un comitet de evaluare multidisciplinar: progra</w:t>
      </w:r>
      <w:r>
        <w:rPr>
          <w:rFonts w:ascii="Times New Roman" w:hAnsi="Times New Roman"/>
          <w:noProof/>
          <w:sz w:val="24"/>
        </w:rPr>
        <w:t>mul-pilot inițial și implementarea ulterioară la nivel național; b) sprijinirea incluziunii sociale a persoanelor cu tulburări din spectrul autismului (ASD) și intervenții ale copiilor preșcolari (program-pilot). Implementarea reformei trebuie finalizată p</w:t>
      </w:r>
      <w:r>
        <w:rPr>
          <w:rFonts w:ascii="Times New Roman" w:hAnsi="Times New Roman"/>
          <w:noProof/>
          <w:sz w:val="24"/>
        </w:rPr>
        <w:t>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Integrarea socială (numărul de identificare al măsurii: 16922)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investiție constă în trei subproiecte:</w:t>
      </w:r>
    </w:p>
    <w:p w:rsidR="00780A28" w:rsidRDefault="001867D7">
      <w:pPr>
        <w:numPr>
          <w:ilvl w:val="0"/>
          <w:numId w:val="7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Reintegrarea socială a grupurilor celor mai vulnerabile se axează pe sprijinirea grupurilor celor mai vulner</w:t>
      </w:r>
      <w:r>
        <w:rPr>
          <w:rFonts w:ascii="Times New Roman" w:hAnsi="Times New Roman"/>
          <w:noProof/>
          <w:sz w:val="24"/>
        </w:rPr>
        <w:t>abile (beneficiari ai venitului minim garantat, romi și persoane fără adăpost), vizând (re) integrarea acestora pe piața muncii.</w:t>
      </w:r>
    </w:p>
    <w:p w:rsidR="00780A28" w:rsidRDefault="001867D7">
      <w:pPr>
        <w:numPr>
          <w:ilvl w:val="0"/>
          <w:numId w:val="7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Formarea digitală a persoanelor în vârstă și a persoanelor cu handicap implică programe de familiarizare, familiarizare și educ</w:t>
      </w:r>
      <w:r>
        <w:rPr>
          <w:rFonts w:ascii="Times New Roman" w:hAnsi="Times New Roman"/>
          <w:noProof/>
          <w:sz w:val="24"/>
        </w:rPr>
        <w:t>are a persoanelor în vârstă și a persoanelor cu handicap în noile tehnologii, în special în ceea ce privește informațiile digitale, comunicarea și competențele bazate pe internet și pe platformele de comunicare socială (cum ar fi efectuarea plăților electr</w:t>
      </w:r>
      <w:r>
        <w:rPr>
          <w:rFonts w:ascii="Times New Roman" w:hAnsi="Times New Roman"/>
          <w:noProof/>
          <w:sz w:val="24"/>
        </w:rPr>
        <w:t xml:space="preserve">onice, depunerea de cereri prin intermediul platformelor digitale, utilizarea platformelor de comunicare socială). </w:t>
      </w:r>
    </w:p>
    <w:p w:rsidR="00780A28" w:rsidRDefault="001867D7">
      <w:pPr>
        <w:numPr>
          <w:ilvl w:val="0"/>
          <w:numId w:val="72"/>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Locuințele sociale se concentrează pe furnizarea de sprijin pentru locuințe celor mai vulnerabile grupuri amenințate sau care se confruntă c</w:t>
      </w:r>
      <w:r>
        <w:rPr>
          <w:rFonts w:ascii="Times New Roman" w:hAnsi="Times New Roman"/>
          <w:noProof/>
          <w:sz w:val="24"/>
        </w:rPr>
        <w:t>u lipsa de adăpost.</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 a sistemului de sprijin social (numărul de identificare al măsurii: 16925)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dezvoltă instrumente digitale care permit: 1) </w:t>
      </w:r>
      <w:r>
        <w:rPr>
          <w:rFonts w:ascii="Times New Roman" w:hAnsi="Times New Roman"/>
          <w:noProof/>
          <w:sz w:val="24"/>
        </w:rPr>
        <w:t xml:space="preserve">simplificarea accesului cetățenilor la servicii și prestații de asistență socială, cu un accent special pe persoanele cu handicap, 2) o mai bună identificare a nevoilor, astfel încât să se evite risipa de resurse și alocarea cât mai echitabilă a bugetului </w:t>
      </w:r>
      <w:r>
        <w:rPr>
          <w:rFonts w:ascii="Times New Roman" w:hAnsi="Times New Roman"/>
          <w:noProof/>
          <w:sz w:val="24"/>
        </w:rPr>
        <w:t>pentru asistență socială, 3) o monitorizare mai eficace a furnizorilor publici și privați de asistență socială și 4) perfecționarea sau recalificarea furnizorilor de servicii din instituțiile publice de asistență socială.</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următoarele s</w:t>
      </w:r>
      <w:r>
        <w:rPr>
          <w:rFonts w:ascii="Times New Roman" w:hAnsi="Times New Roman"/>
          <w:noProof/>
          <w:sz w:val="24"/>
        </w:rPr>
        <w:t>ubproiecte: (a) crearea unui portal unic de acces digital la protecția socială, care să integreze formele de aplicație electronică existente pentru prestațiile de asistență socială în numerar într-un portal digital unic; b) crearea unui ghișeu unic naționa</w:t>
      </w:r>
      <w:r>
        <w:rPr>
          <w:rFonts w:ascii="Times New Roman" w:hAnsi="Times New Roman"/>
          <w:noProof/>
          <w:sz w:val="24"/>
        </w:rPr>
        <w:t xml:space="preserve">l pentru prestațiile de invaliditate, care să le permită beneficiarilor să aibă acces online la date și prestații cu caracter personal și să elibereze certificate; c) crearea unui card pentru persoanele cu handicap; d) transformarea digitală a Autorității </w:t>
      </w:r>
      <w:r>
        <w:rPr>
          <w:rFonts w:ascii="Times New Roman" w:hAnsi="Times New Roman"/>
          <w:noProof/>
          <w:sz w:val="24"/>
        </w:rPr>
        <w:t>unice de plată a prestațiilor sociale (OPEKA); e) furnizarea de formare digitală a angajaților serviciilor de asistență socială; f) întocmirea unui inventar complet al proprietăților imobiliare publice legate de serviciile de protecție socială. Implementar</w:t>
      </w:r>
      <w:r>
        <w:rPr>
          <w:rFonts w:ascii="Times New Roman" w:hAnsi="Times New Roman"/>
          <w:noProof/>
          <w:sz w:val="24"/>
        </w:rPr>
        <w:t>ea investiției trebuie finalizată până la 31 decembrie 2026.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Optimizarea beneficiilor sociale (numărul de identificare al măsurii: 16726)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Reforma cuprinde următoarele elemente: </w:t>
      </w:r>
    </w:p>
    <w:p w:rsidR="00780A28" w:rsidRDefault="001867D7">
      <w:pPr>
        <w:numPr>
          <w:ilvl w:val="0"/>
          <w:numId w:val="7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Introducerea cardurilor preplătite pentru plata prestațiilor sociale furnizate de Autoritatea unică de plată a prestațiilor sociale (OPEKA) și de Serviciul public de ocupare a forței de muncă (OAED) </w:t>
      </w:r>
    </w:p>
    <w:p w:rsidR="00780A28" w:rsidRDefault="001867D7">
      <w:pPr>
        <w:numPr>
          <w:ilvl w:val="0"/>
          <w:numId w:val="7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Acordarea de stimulente beneficiarilor pentru utilizarea</w:t>
      </w:r>
      <w:r>
        <w:rPr>
          <w:rFonts w:ascii="Times New Roman" w:hAnsi="Times New Roman"/>
          <w:noProof/>
          <w:sz w:val="24"/>
        </w:rPr>
        <w:t xml:space="preserve"> cardurilor preplătite pentru achiziționarea de bunuri și servicii specifice </w:t>
      </w:r>
    </w:p>
    <w:p w:rsidR="00780A28" w:rsidRDefault="001867D7">
      <w:pPr>
        <w:numPr>
          <w:ilvl w:val="0"/>
          <w:numId w:val="74"/>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Controale speciale pentru acordarea de prestații sociale rezidenților nepermanenți din țară, pe baza transformării digitale a sistemului de protecție socială și a creării „Portal</w:t>
      </w:r>
      <w:r>
        <w:rPr>
          <w:rFonts w:ascii="Times New Roman" w:hAnsi="Times New Roman"/>
          <w:noProof/>
          <w:sz w:val="24"/>
        </w:rPr>
        <w:t xml:space="preserve">ului unic pentru acces digital la protecție socială”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Conștientizarea diversității (numărul de identificare al măsurii: 16685)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două subproiecte interconec</w:t>
      </w:r>
      <w:r>
        <w:rPr>
          <w:rFonts w:ascii="Times New Roman" w:hAnsi="Times New Roman"/>
          <w:noProof/>
          <w:sz w:val="24"/>
        </w:rPr>
        <w:t>tate care vizează sensibilizarea cu privire la diversitate: (a) dezvoltarea și furnizarea de programe de formare în domeniul diversității pentru angajații din sectorul public și privat, cu scopul de a combate discriminarea împotriva tuturor dimensiunilor d</w:t>
      </w:r>
      <w:r>
        <w:rPr>
          <w:rFonts w:ascii="Times New Roman" w:hAnsi="Times New Roman"/>
          <w:noProof/>
          <w:sz w:val="24"/>
        </w:rPr>
        <w:t>iversității la locul de muncă; și b) dezvoltarea unui mecanism concret de colectare a datelor statistice adecvate referitoare la egalitate și discriminare. Rolul Observatorului Egalității — o componentă operațională a Ministerului Muncii și Afacerilor Soci</w:t>
      </w:r>
      <w:r>
        <w:rPr>
          <w:rFonts w:ascii="Times New Roman" w:hAnsi="Times New Roman"/>
          <w:noProof/>
          <w:sz w:val="24"/>
        </w:rPr>
        <w:t>ale — va fi consolidat în vederea elaborării unor rapoarte cuprinzătoare care să evalueze situația actuală a egalității de șanse. În plus, se va elabora un mecanism de certificare și un sistem de atribuire pentru întreprinderi/organizații care promovează b</w:t>
      </w:r>
      <w:r>
        <w:rPr>
          <w:rFonts w:ascii="Times New Roman" w:hAnsi="Times New Roman"/>
          <w:noProof/>
          <w:sz w:val="24"/>
        </w:rPr>
        <w:t>unele practici în materie de diversitate și incluziune. Implementarea reformei și a investiției trebuie finalizată până la 31 martie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Crearea de unități de îngrijire a copiilor în cadrul întreprinderilor mari (numărul de identificare al mă</w:t>
      </w:r>
      <w:r>
        <w:rPr>
          <w:rFonts w:ascii="Times New Roman" w:hAnsi="Times New Roman"/>
          <w:noProof/>
          <w:sz w:val="24"/>
        </w:rPr>
        <w:t>surii: 16945)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oferă finanțare pentru crearea și echiparea unităților de îngrijire a copiilor la sediile a 120 de întreprinderi (50 de unități de îngrijire a copiilor în cadrul societăților cu peste 100 de angajați și 70 de unități în cadrul soci</w:t>
      </w:r>
      <w:r>
        <w:rPr>
          <w:rFonts w:ascii="Times New Roman" w:hAnsi="Times New Roman"/>
          <w:noProof/>
          <w:sz w:val="24"/>
        </w:rPr>
        <w:t>etăților cu peste 250 de angajați). Scopul său este de a consolida echilibrul dintre viața profesională și cea privată și de a promova măsuri care sprijină în mod activ ocuparea forței de muncă în rândul tinerilor părinți. Implementarea investiției trebuie</w:t>
      </w:r>
      <w:r>
        <w:rPr>
          <w:rFonts w:ascii="Times New Roman" w:hAnsi="Times New Roman"/>
          <w:noProof/>
          <w:sz w:val="24"/>
        </w:rPr>
        <w:t xml:space="preserv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Promovarea integrării populației de refugiați pe piața forței de muncă (numărul de identificare al măsurii: 16688)</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Obiectivul investiției este de a promova integrarea populației de refugiați pe piața forțe</w:t>
      </w:r>
      <w:r>
        <w:rPr>
          <w:rFonts w:ascii="Times New Roman" w:hAnsi="Times New Roman"/>
          <w:noProof/>
          <w:sz w:val="24"/>
        </w:rPr>
        <w:t>i de muncă. Acest lucru se realizează prin: (a) dezvoltarea și susținerea în continuare a unui mecanism de integrare profesională durabil, eficace, flexibil și adaptat la nevoile beneficiarilor și ale întreprinderilor și b) punerea în aplicare a unor activ</w:t>
      </w:r>
      <w:r>
        <w:rPr>
          <w:rFonts w:ascii="Times New Roman" w:hAnsi="Times New Roman"/>
          <w:noProof/>
          <w:sz w:val="24"/>
        </w:rPr>
        <w:t>ități complementare și interconectate, atât în ceea ce privește pregătirea adecvată a refugiaților, cât și cooperarea structurată cu întreprinderile și cu alte părți interesate. Proiectul este aliniat la proiectul de acord de parteneriat (2021-2027) și est</w:t>
      </w:r>
      <w:r>
        <w:rPr>
          <w:rFonts w:ascii="Times New Roman" w:hAnsi="Times New Roman"/>
          <w:noProof/>
          <w:sz w:val="24"/>
        </w:rPr>
        <w:t>e complementar altor proiecte finanțate de UE. Implementarea reformei și 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 a sistemului de imigrație și azil (numărul de identificare al măsurii: 16763)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Punerea în</w:t>
      </w:r>
      <w:r>
        <w:rPr>
          <w:rFonts w:ascii="Times New Roman" w:hAnsi="Times New Roman"/>
          <w:noProof/>
          <w:sz w:val="24"/>
        </w:rPr>
        <w:t xml:space="preserve"> aplicare a investiției are ca rezultat o calitate semnificativ mai bună a serviciilor pentru beneficiarii în cauză. Digitalizarea sistemului de migrație și azil abordează următoarele aspecte critice:</w:t>
      </w:r>
    </w:p>
    <w:p w:rsidR="00780A28" w:rsidRDefault="001867D7">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Gestionarea unificată a întregului ciclu de viață al pr</w:t>
      </w:r>
      <w:r>
        <w:rPr>
          <w:rFonts w:ascii="Times New Roman" w:hAnsi="Times New Roman"/>
          <w:noProof/>
          <w:sz w:val="24"/>
        </w:rPr>
        <w:t>ocedurilor legate de fluxurile de refugiați, de la prima primire până la finalizarea examinării unui caz de azil;</w:t>
      </w:r>
    </w:p>
    <w:p w:rsidR="00780A28" w:rsidRDefault="001867D7">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Colectarea integrată de informații în timp real de către toate autoritățile implicate;</w:t>
      </w:r>
    </w:p>
    <w:p w:rsidR="00780A28" w:rsidRDefault="001867D7">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Identificarea sigură și valabilă a persoanelor care int</w:t>
      </w:r>
      <w:r>
        <w:rPr>
          <w:rFonts w:ascii="Times New Roman" w:hAnsi="Times New Roman"/>
          <w:noProof/>
          <w:sz w:val="24"/>
        </w:rPr>
        <w:t>ră în țară, prin proceduri care implică primirea datelor biometrice și eliberarea unei cărți de identitate „inteligente” și</w:t>
      </w:r>
    </w:p>
    <w:p w:rsidR="00780A28" w:rsidRDefault="001867D7">
      <w:pPr>
        <w:numPr>
          <w:ilvl w:val="0"/>
          <w:numId w:val="75"/>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O aplicație web &amp; mobilă pentru a interacționa și a comunica cu refugiații.</w:t>
      </w:r>
    </w:p>
    <w:p w:rsidR="00780A28" w:rsidRDefault="001867D7">
      <w:pPr>
        <w:spacing w:before="120" w:after="120" w:line="240" w:lineRule="auto"/>
        <w:jc w:val="both"/>
        <w:rPr>
          <w:rFonts w:ascii="Times New Roman" w:hAnsi="Times New Roman" w:cs="Times New Roman"/>
          <w:i/>
          <w:iCs/>
          <w:noProof/>
          <w:color w:val="4F81BD"/>
          <w:sz w:val="24"/>
        </w:rPr>
      </w:pPr>
      <w:r>
        <w:rPr>
          <w:rFonts w:ascii="Times New Roman" w:hAnsi="Times New Roman"/>
          <w:noProof/>
          <w:sz w:val="24"/>
        </w:rPr>
        <w:t>Implementarea reformei și a investiției trebuie finaliza</w:t>
      </w:r>
      <w:r>
        <w:rPr>
          <w:rFonts w:ascii="Times New Roman" w:hAnsi="Times New Roman"/>
          <w:noProof/>
          <w:sz w:val="24"/>
        </w:rPr>
        <w:t>tă până la 31 decembrie 2024.</w:t>
      </w:r>
    </w:p>
    <w:p w:rsidR="00780A28" w:rsidRDefault="00780A28">
      <w:pPr>
        <w:spacing w:before="120" w:after="120" w:line="240" w:lineRule="auto"/>
        <w:jc w:val="both"/>
        <w:rPr>
          <w:rFonts w:ascii="Times New Roman" w:hAnsi="Times New Roman" w:cs="Times New Roman"/>
          <w:noProof/>
          <w:sz w:val="24"/>
        </w:rPr>
        <w:sectPr w:rsidR="00780A28">
          <w:headerReference w:type="even" r:id="rId173"/>
          <w:headerReference w:type="default" r:id="rId174"/>
          <w:footerReference w:type="even" r:id="rId175"/>
          <w:footerReference w:type="default" r:id="rId176"/>
          <w:headerReference w:type="first" r:id="rId177"/>
          <w:footerReference w:type="first" r:id="rId178"/>
          <w:pgSz w:w="11907" w:h="16839"/>
          <w:pgMar w:top="1134" w:right="1417" w:bottom="1134" w:left="1417" w:header="709" w:footer="709" w:gutter="0"/>
          <w:cols w:space="720"/>
          <w:docGrid w:linePitch="360"/>
        </w:sectPr>
      </w:pPr>
    </w:p>
    <w:p w:rsidR="00780A28" w:rsidRDefault="001867D7">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K.2.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p>
    <w:p w:rsidR="00780A28" w:rsidRDefault="001867D7">
      <w:pPr>
        <w:keepNext/>
        <w:keepLines/>
        <w:spacing w:before="12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Grupa 15: Creșterea accesului la politici </w:t>
      </w:r>
      <w:r>
        <w:rPr>
          <w:rFonts w:ascii="Cambria" w:hAnsi="Cambria"/>
          <w:noProof/>
          <w:color w:val="365F91"/>
          <w:sz w:val="24"/>
        </w:rPr>
        <w:t>sociale eficace și favorabile incluziunii</w:t>
      </w:r>
    </w:p>
    <w:p w:rsidR="00780A28" w:rsidRDefault="001867D7">
      <w:pPr>
        <w:numPr>
          <w:ilvl w:val="0"/>
          <w:numId w:val="39"/>
        </w:numPr>
        <w:spacing w:before="120" w:after="0" w:line="240" w:lineRule="auto"/>
        <w:ind w:left="0"/>
        <w:jc w:val="both"/>
        <w:rPr>
          <w:rFonts w:ascii="Times New Roman" w:hAnsi="Times New Roman" w:cs="Times New Roman"/>
          <w:noProof/>
        </w:rPr>
      </w:pPr>
      <w:r>
        <w:rPr>
          <w:rFonts w:ascii="Times New Roman" w:hAnsi="Times New Roman"/>
          <w:noProof/>
          <w:sz w:val="24"/>
        </w:rPr>
        <w:t>Protecția copilului (ID: 16919)</w:t>
      </w:r>
    </w:p>
    <w:p w:rsidR="00780A28" w:rsidRDefault="001867D7">
      <w:pPr>
        <w:numPr>
          <w:ilvl w:val="0"/>
          <w:numId w:val="39"/>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Handicap (ID: 16904)</w:t>
      </w:r>
    </w:p>
    <w:p w:rsidR="00780A28" w:rsidRDefault="001867D7">
      <w:pPr>
        <w:numPr>
          <w:ilvl w:val="0"/>
          <w:numId w:val="39"/>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Unități de îngrijire a copiilor din cadrul întreprinderilor mari (ID: 16945)</w:t>
      </w:r>
    </w:p>
    <w:p w:rsidR="00780A28" w:rsidRDefault="001867D7">
      <w:pPr>
        <w:numPr>
          <w:ilvl w:val="0"/>
          <w:numId w:val="39"/>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Optimizarea prestațiilor sociale (16726)</w:t>
      </w:r>
    </w:p>
    <w:p w:rsidR="00780A28" w:rsidRDefault="00780A28">
      <w:pPr>
        <w:spacing w:before="120" w:after="0" w:line="240" w:lineRule="auto"/>
        <w:jc w:val="both"/>
        <w:rPr>
          <w:rFonts w:ascii="Times New Roman" w:hAnsi="Times New Roman" w:cs="Times New Roman"/>
          <w:noProof/>
          <w:sz w:val="24"/>
        </w:rPr>
      </w:pPr>
    </w:p>
    <w:tbl>
      <w:tblPr>
        <w:tblW w:w="15615" w:type="dxa"/>
        <w:tblLook w:val="04A0" w:firstRow="1" w:lastRow="0" w:firstColumn="1" w:lastColumn="0" w:noHBand="0" w:noVBand="1"/>
      </w:tblPr>
      <w:tblGrid>
        <w:gridCol w:w="1060"/>
        <w:gridCol w:w="1437"/>
        <w:gridCol w:w="1110"/>
        <w:gridCol w:w="1792"/>
        <w:gridCol w:w="1390"/>
        <w:gridCol w:w="1577"/>
        <w:gridCol w:w="956"/>
        <w:gridCol w:w="928"/>
        <w:gridCol w:w="923"/>
        <w:gridCol w:w="738"/>
        <w:gridCol w:w="3704"/>
      </w:tblGrid>
      <w:tr w:rsidR="00780A28">
        <w:trPr>
          <w:trHeight w:val="939"/>
          <w:tblHeader/>
        </w:trPr>
        <w:tc>
          <w:tcPr>
            <w:tcW w:w="106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33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w:t>
            </w:r>
            <w:r>
              <w:rPr>
                <w:rFonts w:ascii="Times New Roman" w:hAnsi="Times New Roman"/>
                <w:b/>
                <w:bCs/>
                <w:noProof/>
                <w:sz w:val="18"/>
                <w:szCs w:val="18"/>
              </w:rPr>
              <w:t>u investiție)</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801"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40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3481"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672"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37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blHeader/>
        </w:trPr>
        <w:tc>
          <w:tcPr>
            <w:tcW w:w="106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bCs/>
                <w:noProof/>
                <w:sz w:val="18"/>
                <w:szCs w:val="18"/>
                <w:lang w:eastAsia="en-GB"/>
              </w:rPr>
            </w:pPr>
          </w:p>
        </w:tc>
        <w:tc>
          <w:tcPr>
            <w:tcW w:w="133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bCs/>
                <w:noProof/>
                <w:sz w:val="18"/>
                <w:szCs w:val="18"/>
                <w:lang w:eastAsia="en-GB"/>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bCs/>
                <w:noProof/>
                <w:sz w:val="18"/>
                <w:szCs w:val="18"/>
                <w:lang w:eastAsia="en-GB"/>
              </w:rPr>
            </w:pPr>
          </w:p>
        </w:tc>
        <w:tc>
          <w:tcPr>
            <w:tcW w:w="1801" w:type="dxa"/>
            <w:vMerge/>
            <w:tcBorders>
              <w:top w:val="single" w:sz="4" w:space="0" w:color="auto"/>
              <w:left w:val="nil"/>
              <w:bottom w:val="single" w:sz="4" w:space="0" w:color="000000"/>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bCs/>
                <w:noProof/>
                <w:sz w:val="18"/>
                <w:szCs w:val="18"/>
                <w:lang w:eastAsia="en-GB"/>
              </w:rPr>
            </w:pPr>
          </w:p>
        </w:tc>
        <w:tc>
          <w:tcPr>
            <w:tcW w:w="1401"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bCs/>
                <w:noProof/>
                <w:sz w:val="18"/>
                <w:szCs w:val="18"/>
                <w:lang w:eastAsia="en-GB"/>
              </w:rPr>
            </w:pPr>
          </w:p>
        </w:tc>
        <w:tc>
          <w:tcPr>
            <w:tcW w:w="1584" w:type="dxa"/>
            <w:tcBorders>
              <w:top w:val="nil"/>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63" w:type="dxa"/>
            <w:tcBorders>
              <w:top w:val="nil"/>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934" w:type="dxa"/>
            <w:tcBorders>
              <w:top w:val="nil"/>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929" w:type="dxa"/>
            <w:tcBorders>
              <w:top w:val="nil"/>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43" w:type="dxa"/>
            <w:tcBorders>
              <w:top w:val="nil"/>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3735"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bCs/>
                <w:noProof/>
                <w:sz w:val="18"/>
                <w:szCs w:val="18"/>
                <w:lang w:eastAsia="en-GB"/>
              </w:rPr>
            </w:pPr>
          </w:p>
        </w:tc>
      </w:tr>
      <w:tr w:rsidR="00780A28">
        <w:trPr>
          <w:trHeight w:val="313"/>
        </w:trPr>
        <w:tc>
          <w:tcPr>
            <w:tcW w:w="1068" w:type="dxa"/>
            <w:tcBorders>
              <w:top w:val="nil"/>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174</w:t>
            </w:r>
          </w:p>
        </w:tc>
        <w:tc>
          <w:tcPr>
            <w:tcW w:w="1339"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11 - 3.4. Creșterea accesului la politici sociale eficace și favorabile incluziunii — 16904_Handicap</w:t>
            </w:r>
          </w:p>
        </w:tc>
        <w:tc>
          <w:tcPr>
            <w:tcW w:w="1118"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Jalon</w:t>
            </w:r>
          </w:p>
        </w:tc>
        <w:tc>
          <w:tcPr>
            <w:tcW w:w="180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Legislația privind asistența personală în caz de invaliditate și implementarea proiectului-pilot din prim</w:t>
            </w:r>
            <w:r>
              <w:rPr>
                <w:noProof/>
                <w:color w:val="006100"/>
                <w:sz w:val="18"/>
                <w:szCs w:val="18"/>
              </w:rPr>
              <w:t>a fază</w:t>
            </w:r>
          </w:p>
        </w:tc>
        <w:tc>
          <w:tcPr>
            <w:tcW w:w="140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Intrarea în vigoare a legislației primare și secundare (referința Jurnalului Oficial) și publicarea anunțului privind cererea de candidaturi la sistemul de asistență personală.</w:t>
            </w:r>
          </w:p>
        </w:tc>
        <w:tc>
          <w:tcPr>
            <w:tcW w:w="1584"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63"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34"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29"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Q1</w:t>
            </w:r>
          </w:p>
        </w:tc>
        <w:tc>
          <w:tcPr>
            <w:tcW w:w="74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2022</w:t>
            </w:r>
          </w:p>
        </w:tc>
        <w:tc>
          <w:tcPr>
            <w:tcW w:w="3735"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Asistență personală: Intrarea în vigoare a legii pentru a per</w:t>
            </w:r>
            <w:r>
              <w:rPr>
                <w:noProof/>
                <w:color w:val="006100"/>
                <w:sz w:val="18"/>
                <w:szCs w:val="18"/>
              </w:rPr>
              <w:t>mite dezinstituționalizarea îngrijirii persoanelor cu handicap și solicitarea de candidaturi pentru participarea la un proiect-pilot din prima fază, care să includă un proces de eligibilitate bazat atât pe evaluarea medicală, cât și pe cea funcțională a ha</w:t>
            </w:r>
            <w:r>
              <w:rPr>
                <w:noProof/>
                <w:color w:val="006100"/>
                <w:sz w:val="18"/>
                <w:szCs w:val="18"/>
              </w:rPr>
              <w:t>ndicapului de către o comisie de evaluare multidisciplinară</w:t>
            </w:r>
            <w:r>
              <w:rPr>
                <w:noProof/>
                <w:color w:val="006100"/>
                <w:sz w:val="18"/>
                <w:szCs w:val="18"/>
                <w:u w:val="single"/>
              </w:rPr>
              <w:t xml:space="preserve"> </w:t>
            </w:r>
          </w:p>
        </w:tc>
      </w:tr>
      <w:tr w:rsidR="00780A28">
        <w:trPr>
          <w:trHeight w:val="313"/>
        </w:trPr>
        <w:tc>
          <w:tcPr>
            <w:tcW w:w="1068" w:type="dxa"/>
            <w:tcBorders>
              <w:top w:val="nil"/>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175</w:t>
            </w:r>
          </w:p>
        </w:tc>
        <w:tc>
          <w:tcPr>
            <w:tcW w:w="1339"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11 - 3.4. Creșterea accesului la politici sociale eficace și favorabile incluziunii — Optimizarea beneficiilor sociale în 16726</w:t>
            </w:r>
          </w:p>
        </w:tc>
        <w:tc>
          <w:tcPr>
            <w:tcW w:w="1118"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Jalon</w:t>
            </w:r>
          </w:p>
        </w:tc>
        <w:tc>
          <w:tcPr>
            <w:tcW w:w="180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Carduri preplătite de optimizare a prestațiilor sociale</w:t>
            </w:r>
          </w:p>
        </w:tc>
        <w:tc>
          <w:tcPr>
            <w:tcW w:w="140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Raportul OPEKA și OAED care atestă finalizarea introducerii cardurilor preplătite pentru plata prestațiilor sociale furnizate de aceste două servicii</w:t>
            </w:r>
          </w:p>
        </w:tc>
        <w:tc>
          <w:tcPr>
            <w:tcW w:w="1584"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63"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34"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29"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74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2023</w:t>
            </w:r>
          </w:p>
        </w:tc>
        <w:tc>
          <w:tcPr>
            <w:tcW w:w="3735"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Finalizarea introducerii cardurilor preplătite pentru plata prestațiilor sociale furnizate de </w:t>
            </w:r>
            <w:r>
              <w:rPr>
                <w:noProof/>
                <w:color w:val="006100"/>
                <w:sz w:val="18"/>
                <w:szCs w:val="18"/>
              </w:rPr>
              <w:t>Autoritatea unică de plată a prestațiilor sociale (OPEKA) și de Serviciul public de ocupare a forței de muncă (OAED)</w:t>
            </w:r>
          </w:p>
        </w:tc>
      </w:tr>
      <w:tr w:rsidR="00780A28">
        <w:trPr>
          <w:trHeight w:val="313"/>
        </w:trPr>
        <w:tc>
          <w:tcPr>
            <w:tcW w:w="1068" w:type="dxa"/>
            <w:tcBorders>
              <w:top w:val="nil"/>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176</w:t>
            </w:r>
          </w:p>
        </w:tc>
        <w:tc>
          <w:tcPr>
            <w:tcW w:w="1339"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11 - 3.4. Creșterea accesului la politici sociale eficace și favorabile incluziunii — 16904_Handicap</w:t>
            </w:r>
          </w:p>
        </w:tc>
        <w:tc>
          <w:tcPr>
            <w:tcW w:w="1118"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Jalon</w:t>
            </w:r>
          </w:p>
        </w:tc>
        <w:tc>
          <w:tcPr>
            <w:tcW w:w="180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Finalizarea celei de a doua</w:t>
            </w:r>
            <w:r>
              <w:rPr>
                <w:noProof/>
                <w:color w:val="006100"/>
                <w:sz w:val="18"/>
                <w:szCs w:val="18"/>
              </w:rPr>
              <w:t xml:space="preserve"> etape a evaluării handicapului în cadrul asistenței personale</w:t>
            </w:r>
          </w:p>
        </w:tc>
        <w:tc>
          <w:tcPr>
            <w:tcW w:w="140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Raport cu o anexă statistică care atestă că cele două proiecte-pilot au fost finalizate cu cel puțin 1800 de beneficiari.</w:t>
            </w:r>
          </w:p>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Raport de evaluare a schemei-pilot și a sistemului de evaluare cu statistici și recomandări complete. </w:t>
            </w:r>
          </w:p>
        </w:tc>
        <w:tc>
          <w:tcPr>
            <w:tcW w:w="1584"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63"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34"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29"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74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2023</w:t>
            </w:r>
          </w:p>
        </w:tc>
        <w:tc>
          <w:tcPr>
            <w:tcW w:w="3735"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Finalizarea celei de a doua faze a programului-pilot de asistență personală, inclusiv a procesului de evaluare a handicapului funcțional; prec</w:t>
            </w:r>
            <w:r>
              <w:rPr>
                <w:noProof/>
                <w:color w:val="006100"/>
                <w:sz w:val="18"/>
                <w:szCs w:val="18"/>
              </w:rPr>
              <w:t>um și</w:t>
            </w:r>
          </w:p>
          <w:p w:rsidR="00780A28" w:rsidRDefault="001867D7">
            <w:pPr>
              <w:spacing w:before="120" w:after="0" w:line="240" w:lineRule="auto"/>
              <w:rPr>
                <w:rFonts w:eastAsia="Times New Roman" w:cs="Calibri"/>
                <w:noProof/>
                <w:color w:val="006100"/>
                <w:sz w:val="18"/>
                <w:szCs w:val="18"/>
              </w:rPr>
            </w:pPr>
            <w:r>
              <w:rPr>
                <w:noProof/>
                <w:color w:val="006100"/>
                <w:sz w:val="18"/>
                <w:szCs w:val="18"/>
              </w:rPr>
              <w:t>Finalizarea evaluării eficacității sistemului de evaluare a handicapului medical și funcțional pentru sistemul de asistență personală și posibila extindere a acestuia.</w:t>
            </w:r>
          </w:p>
        </w:tc>
      </w:tr>
      <w:tr w:rsidR="00780A28">
        <w:trPr>
          <w:trHeight w:val="313"/>
        </w:trPr>
        <w:tc>
          <w:tcPr>
            <w:tcW w:w="1068" w:type="dxa"/>
            <w:tcBorders>
              <w:top w:val="nil"/>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177</w:t>
            </w:r>
          </w:p>
        </w:tc>
        <w:tc>
          <w:tcPr>
            <w:tcW w:w="1339"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11 - 3.4. Creșterea accesului la politici sociale eficace și favorabile </w:t>
            </w:r>
            <w:r>
              <w:rPr>
                <w:noProof/>
                <w:color w:val="006100"/>
                <w:sz w:val="18"/>
                <w:szCs w:val="18"/>
              </w:rPr>
              <w:t>incluziunii — 16919_Protecția copilului</w:t>
            </w:r>
          </w:p>
          <w:p w:rsidR="00780A28" w:rsidRDefault="00780A28">
            <w:pPr>
              <w:spacing w:before="120" w:after="120" w:line="240" w:lineRule="auto"/>
              <w:jc w:val="center"/>
              <w:rPr>
                <w:rFonts w:eastAsia="Times New Roman" w:cs="Calibri"/>
                <w:noProof/>
                <w:sz w:val="18"/>
                <w:szCs w:val="18"/>
                <w:lang w:eastAsia="en-GB"/>
              </w:rPr>
            </w:pPr>
          </w:p>
        </w:tc>
        <w:tc>
          <w:tcPr>
            <w:tcW w:w="1118"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80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Dezinstituționalizarea minorilor: finalizarea îngrijitorilor maternali profesioniști cu handicap </w:t>
            </w:r>
          </w:p>
        </w:tc>
        <w:tc>
          <w:tcPr>
            <w:tcW w:w="1401"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val="en-US" w:eastAsia="en-GB"/>
              </w:rPr>
            </w:pPr>
          </w:p>
        </w:tc>
        <w:tc>
          <w:tcPr>
            <w:tcW w:w="1584"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Numărul de minori plasați în îngrijirea îngrijitorilor substituenți profesioniști</w:t>
            </w:r>
          </w:p>
        </w:tc>
        <w:tc>
          <w:tcPr>
            <w:tcW w:w="96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0</w:t>
            </w:r>
          </w:p>
        </w:tc>
        <w:tc>
          <w:tcPr>
            <w:tcW w:w="934"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160</w:t>
            </w:r>
          </w:p>
        </w:tc>
        <w:tc>
          <w:tcPr>
            <w:tcW w:w="929"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74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2023</w:t>
            </w:r>
          </w:p>
        </w:tc>
        <w:tc>
          <w:tcPr>
            <w:tcW w:w="3735"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Plasarea a 160</w:t>
            </w:r>
            <w:r>
              <w:rPr>
                <w:noProof/>
                <w:color w:val="006100"/>
                <w:sz w:val="18"/>
                <w:szCs w:val="18"/>
              </w:rPr>
              <w:t xml:space="preserve"> de minori cu handicap grav (definit cu o rată a dizabilității de peste 67 %) și/sau cu tulburări mintale grave în îngrijirea îngrijitorilor substituenți profesioniști.</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178</w:t>
            </w:r>
          </w:p>
        </w:tc>
        <w:tc>
          <w:tcPr>
            <w:tcW w:w="1339"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11 - 3.4. Creșterea accesului la politici sociale eficace și favorabile </w:t>
            </w:r>
            <w:r>
              <w:rPr>
                <w:noProof/>
                <w:color w:val="006100"/>
                <w:sz w:val="18"/>
                <w:szCs w:val="18"/>
              </w:rPr>
              <w:t>incluziunii — 16919_Protecția copilului</w:t>
            </w:r>
          </w:p>
        </w:tc>
        <w:tc>
          <w:tcPr>
            <w:tcW w:w="1118"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801"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Apartamente vii independente pentru dezinstituționalizarea adolescenților </w:t>
            </w:r>
          </w:p>
        </w:tc>
        <w:tc>
          <w:tcPr>
            <w:tcW w:w="1401" w:type="dxa"/>
            <w:tcBorders>
              <w:top w:val="single" w:sz="4" w:space="0" w:color="auto"/>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1584"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Numărul de adolescenți plasați în apartamente semiindependente </w:t>
            </w:r>
          </w:p>
        </w:tc>
        <w:tc>
          <w:tcPr>
            <w:tcW w:w="9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0</w:t>
            </w:r>
          </w:p>
        </w:tc>
        <w:tc>
          <w:tcPr>
            <w:tcW w:w="9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200</w:t>
            </w:r>
          </w:p>
        </w:tc>
        <w:tc>
          <w:tcPr>
            <w:tcW w:w="929"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74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2023</w:t>
            </w:r>
          </w:p>
        </w:tc>
        <w:tc>
          <w:tcPr>
            <w:tcW w:w="37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1) plasarea a 200 de adolescenți în apartamente &amp; care </w:t>
            </w:r>
            <w:r>
              <w:rPr>
                <w:noProof/>
                <w:color w:val="006100"/>
                <w:sz w:val="18"/>
                <w:szCs w:val="18"/>
              </w:rPr>
              <w:t>au beneficiat de asistență</w:t>
            </w:r>
          </w:p>
          <w:p w:rsidR="00780A28" w:rsidRDefault="00780A28">
            <w:pPr>
              <w:spacing w:before="120" w:after="0" w:line="240" w:lineRule="auto"/>
              <w:rPr>
                <w:rFonts w:eastAsia="Times New Roman" w:cs="Calibri"/>
                <w:noProof/>
                <w:color w:val="006100"/>
                <w:sz w:val="18"/>
                <w:szCs w:val="18"/>
                <w:lang w:eastAsia="en-GB"/>
              </w:rPr>
            </w:pPr>
          </w:p>
          <w:p w:rsidR="00780A28" w:rsidRDefault="001867D7">
            <w:pPr>
              <w:spacing w:before="120" w:after="0" w:line="240" w:lineRule="auto"/>
              <w:rPr>
                <w:rFonts w:eastAsia="Times New Roman" w:cs="Calibri"/>
                <w:noProof/>
                <w:color w:val="006100"/>
                <w:sz w:val="18"/>
                <w:szCs w:val="18"/>
              </w:rPr>
            </w:pPr>
            <w:r>
              <w:rPr>
                <w:noProof/>
                <w:color w:val="006100"/>
                <w:sz w:val="18"/>
                <w:szCs w:val="18"/>
              </w:rPr>
              <w:t>2) dezvoltarea capacității de autosustenabilitate &amp; autonomie treptată cu scopul unei tranziții line către vârsta adultă &amp; către pregătirea pentru integrarea pe piața muncii</w:t>
            </w:r>
          </w:p>
        </w:tc>
      </w:tr>
      <w:tr w:rsidR="00780A28">
        <w:trPr>
          <w:trHeight w:val="313"/>
        </w:trPr>
        <w:tc>
          <w:tcPr>
            <w:tcW w:w="1068" w:type="dxa"/>
            <w:tcBorders>
              <w:top w:val="nil"/>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179</w:t>
            </w:r>
          </w:p>
        </w:tc>
        <w:tc>
          <w:tcPr>
            <w:tcW w:w="1339"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11 - 3.4. Creșterea accesului la politici sociale</w:t>
            </w:r>
            <w:r>
              <w:rPr>
                <w:noProof/>
                <w:color w:val="006100"/>
                <w:sz w:val="18"/>
                <w:szCs w:val="18"/>
              </w:rPr>
              <w:t xml:space="preserve"> eficace și favorabile incluziunii — 16904_Handicap</w:t>
            </w:r>
          </w:p>
        </w:tc>
        <w:tc>
          <w:tcPr>
            <w:tcW w:w="1118"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Jalon</w:t>
            </w:r>
          </w:p>
        </w:tc>
        <w:tc>
          <w:tcPr>
            <w:tcW w:w="180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Implementarea la nivel național a sistemului de asistență personală pentru persoanele cu handicap.</w:t>
            </w:r>
          </w:p>
        </w:tc>
        <w:tc>
          <w:tcPr>
            <w:tcW w:w="140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Intrarea în vigoare a legislației primare și secundare pentru punerea în aplicare la nivel național</w:t>
            </w:r>
            <w:r>
              <w:rPr>
                <w:noProof/>
                <w:color w:val="006100"/>
                <w:sz w:val="18"/>
                <w:szCs w:val="18"/>
              </w:rPr>
              <w:t xml:space="preserve">. Raport însoțit de o anexă statistică care atestă faptul că punerea în aplicare a fost finalizată. </w:t>
            </w:r>
          </w:p>
        </w:tc>
        <w:tc>
          <w:tcPr>
            <w:tcW w:w="1584"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63"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34"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29"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Q3</w:t>
            </w:r>
          </w:p>
        </w:tc>
        <w:tc>
          <w:tcPr>
            <w:tcW w:w="74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2024</w:t>
            </w:r>
          </w:p>
        </w:tc>
        <w:tc>
          <w:tcPr>
            <w:tcW w:w="3735"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Implementarea la nivel național a sistemului de asistență personală pentru persoanele cu handicap, inclusiv procesul de evaluare medicală și </w:t>
            </w:r>
            <w:r>
              <w:rPr>
                <w:noProof/>
                <w:color w:val="006100"/>
                <w:sz w:val="18"/>
                <w:szCs w:val="18"/>
              </w:rPr>
              <w:t>funcțională</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180</w:t>
            </w:r>
          </w:p>
        </w:tc>
        <w:tc>
          <w:tcPr>
            <w:tcW w:w="1339"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sz w:val="18"/>
                <w:szCs w:val="18"/>
              </w:rPr>
            </w:pPr>
            <w:r>
              <w:rPr>
                <w:noProof/>
                <w:color w:val="006100"/>
                <w:sz w:val="18"/>
                <w:szCs w:val="18"/>
              </w:rPr>
              <w:t>11 - 3.4. Creșterea accesului la politici sociale eficace și favorabile incluziunii — 16919_Protecția copilului</w:t>
            </w:r>
          </w:p>
        </w:tc>
        <w:tc>
          <w:tcPr>
            <w:tcW w:w="1118"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801"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Finalizarea personalului centrelor de îngrijire a copiilor </w:t>
            </w:r>
          </w:p>
        </w:tc>
        <w:tc>
          <w:tcPr>
            <w:tcW w:w="1401" w:type="dxa"/>
            <w:tcBorders>
              <w:top w:val="single" w:sz="4" w:space="0" w:color="auto"/>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1584"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Numărul de locuri pentru îngrijirea copiilor preșcolari </w:t>
            </w:r>
          </w:p>
        </w:tc>
        <w:tc>
          <w:tcPr>
            <w:tcW w:w="9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12 500</w:t>
            </w:r>
          </w:p>
        </w:tc>
        <w:tc>
          <w:tcPr>
            <w:tcW w:w="9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62 500</w:t>
            </w:r>
          </w:p>
        </w:tc>
        <w:tc>
          <w:tcPr>
            <w:tcW w:w="929"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74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2024</w:t>
            </w:r>
          </w:p>
        </w:tc>
        <w:tc>
          <w:tcPr>
            <w:tcW w:w="37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Finalizarea și dotarea cu personal a cel puțin 50 000 de noi centre de îngrijire a copiilor preșcolari</w:t>
            </w:r>
          </w:p>
          <w:p w:rsidR="00780A28" w:rsidRDefault="00780A28">
            <w:pPr>
              <w:spacing w:before="120" w:after="0" w:line="240" w:lineRule="auto"/>
              <w:rPr>
                <w:rFonts w:eastAsia="Times New Roman" w:cs="Calibri"/>
                <w:noProof/>
                <w:color w:val="006100"/>
                <w:sz w:val="18"/>
                <w:szCs w:val="18"/>
                <w:lang w:eastAsia="en-GB"/>
              </w:rPr>
            </w:pPr>
          </w:p>
          <w:p w:rsidR="00780A28" w:rsidRDefault="001867D7">
            <w:pPr>
              <w:spacing w:before="120" w:after="0" w:line="240" w:lineRule="auto"/>
              <w:rPr>
                <w:rFonts w:eastAsia="Times New Roman" w:cs="Calibri"/>
                <w:noProof/>
                <w:color w:val="006100"/>
                <w:sz w:val="18"/>
                <w:szCs w:val="18"/>
              </w:rPr>
            </w:pPr>
            <w:r>
              <w:rPr>
                <w:noProof/>
                <w:color w:val="006100"/>
                <w:sz w:val="18"/>
                <w:szCs w:val="18"/>
              </w:rPr>
              <w:t>Entitățile beneficiare vor solicita rambursarea prin depunerea tuturor documentelor necesare. Controlorii externi vor verifica che</w:t>
            </w:r>
            <w:r>
              <w:rPr>
                <w:noProof/>
                <w:color w:val="006100"/>
                <w:sz w:val="18"/>
                <w:szCs w:val="18"/>
              </w:rPr>
              <w:t>ltuielile și vor efectua, de asemenea, controale de audit și vizite pentru a verifica dacă au fost create noi locuri</w:t>
            </w:r>
          </w:p>
        </w:tc>
      </w:tr>
      <w:tr w:rsidR="00780A28">
        <w:trPr>
          <w:trHeight w:val="313"/>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181</w:t>
            </w:r>
          </w:p>
        </w:tc>
        <w:tc>
          <w:tcPr>
            <w:tcW w:w="1339"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sz w:val="18"/>
                <w:szCs w:val="18"/>
              </w:rPr>
            </w:pPr>
            <w:r>
              <w:rPr>
                <w:noProof/>
                <w:color w:val="006100"/>
                <w:sz w:val="18"/>
                <w:szCs w:val="18"/>
              </w:rPr>
              <w:t>11 - 3.4. Creșterea accesului la politici sociale eficace și favorabile incluziunii — 16945_Crearea de unități de îngrijire a copiilor</w:t>
            </w:r>
            <w:r>
              <w:rPr>
                <w:noProof/>
                <w:color w:val="006100"/>
                <w:sz w:val="18"/>
                <w:szCs w:val="18"/>
              </w:rPr>
              <w:t xml:space="preserve"> în cadrul întreprinderilor mari</w:t>
            </w:r>
          </w:p>
        </w:tc>
        <w:tc>
          <w:tcPr>
            <w:tcW w:w="1118"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801"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Unități de îngrijire a copiilor întreprinderi mari </w:t>
            </w:r>
          </w:p>
          <w:p w:rsidR="00780A28" w:rsidRDefault="001867D7">
            <w:pPr>
              <w:spacing w:before="120" w:after="0" w:line="240" w:lineRule="auto"/>
              <w:rPr>
                <w:rFonts w:eastAsia="Times New Roman" w:cs="Calibri"/>
                <w:noProof/>
                <w:color w:val="006100"/>
                <w:sz w:val="18"/>
                <w:szCs w:val="18"/>
              </w:rPr>
            </w:pPr>
            <w:r>
              <w:rPr>
                <w:noProof/>
                <w:color w:val="006100"/>
                <w:sz w:val="18"/>
                <w:szCs w:val="18"/>
              </w:rPr>
              <w:t>Încheiere</w:t>
            </w:r>
          </w:p>
        </w:tc>
        <w:tc>
          <w:tcPr>
            <w:tcW w:w="1401" w:type="dxa"/>
            <w:tcBorders>
              <w:top w:val="single" w:sz="4" w:space="0" w:color="auto"/>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1584"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Numărul de structuri de îngrijire a copiilor în întreprinderile mari</w:t>
            </w:r>
          </w:p>
        </w:tc>
        <w:tc>
          <w:tcPr>
            <w:tcW w:w="9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0</w:t>
            </w:r>
          </w:p>
        </w:tc>
        <w:tc>
          <w:tcPr>
            <w:tcW w:w="9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120</w:t>
            </w:r>
          </w:p>
        </w:tc>
        <w:tc>
          <w:tcPr>
            <w:tcW w:w="929"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74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2024</w:t>
            </w:r>
          </w:p>
        </w:tc>
        <w:tc>
          <w:tcPr>
            <w:tcW w:w="37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Finalizarea și dotarea cu personal a cel puțin 120 de structuri de </w:t>
            </w:r>
            <w:r>
              <w:rPr>
                <w:noProof/>
                <w:color w:val="006100"/>
                <w:sz w:val="18"/>
                <w:szCs w:val="18"/>
              </w:rPr>
              <w:t>îngrijire a copiilor în întreprinderile mari: întreprinderile vizate de această măsură sunt 50 de întreprinderi cu peste 100 de angajați (mediu) și 70 de întreprinderi cu peste 250 de angajați (mari).</w:t>
            </w:r>
          </w:p>
        </w:tc>
      </w:tr>
    </w:tbl>
    <w:p w:rsidR="00780A28" w:rsidRDefault="00780A28">
      <w:pPr>
        <w:spacing w:before="120" w:after="120" w:line="240" w:lineRule="auto"/>
        <w:jc w:val="both"/>
        <w:rPr>
          <w:rFonts w:ascii="Times New Roman" w:hAnsi="Times New Roman" w:cs="Times New Roman"/>
          <w:noProof/>
          <w:sz w:val="24"/>
        </w:rPr>
      </w:pPr>
    </w:p>
    <w:p w:rsidR="00780A28" w:rsidRDefault="001867D7">
      <w:pPr>
        <w:keepNext/>
        <w:keepLines/>
        <w:spacing w:before="12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Grupa 16: Sporirea accesului la politici sociale </w:t>
      </w:r>
      <w:r>
        <w:rPr>
          <w:rFonts w:ascii="Cambria" w:hAnsi="Cambria"/>
          <w:noProof/>
          <w:color w:val="365F91"/>
          <w:sz w:val="24"/>
        </w:rPr>
        <w:t>eficace și favorabile incluziunii — Migrație &amp; Azil</w:t>
      </w:r>
    </w:p>
    <w:p w:rsidR="00780A28" w:rsidRDefault="001867D7">
      <w:pPr>
        <w:numPr>
          <w:ilvl w:val="0"/>
          <w:numId w:val="37"/>
        </w:numPr>
        <w:spacing w:before="120" w:after="0" w:line="240" w:lineRule="auto"/>
        <w:ind w:left="0"/>
        <w:jc w:val="both"/>
        <w:rPr>
          <w:rFonts w:ascii="Times New Roman" w:hAnsi="Times New Roman" w:cs="Times New Roman"/>
          <w:noProof/>
        </w:rPr>
      </w:pPr>
      <w:r>
        <w:rPr>
          <w:rFonts w:ascii="Times New Roman" w:hAnsi="Times New Roman"/>
          <w:noProof/>
          <w:sz w:val="24"/>
        </w:rPr>
        <w:t>Digitalizarea sistemului de migrație și azil (ID: 16763)</w:t>
      </w:r>
    </w:p>
    <w:p w:rsidR="00780A28" w:rsidRDefault="001867D7">
      <w:pPr>
        <w:numPr>
          <w:ilvl w:val="0"/>
          <w:numId w:val="37"/>
        </w:numPr>
        <w:spacing w:before="120" w:after="0" w:line="240" w:lineRule="auto"/>
        <w:ind w:left="0"/>
        <w:jc w:val="both"/>
        <w:rPr>
          <w:rFonts w:ascii="Times New Roman" w:hAnsi="Times New Roman" w:cs="Times New Roman"/>
          <w:noProof/>
          <w:sz w:val="24"/>
        </w:rPr>
      </w:pPr>
      <w:r>
        <w:rPr>
          <w:rFonts w:ascii="Times New Roman" w:hAnsi="Times New Roman"/>
          <w:noProof/>
          <w:sz w:val="24"/>
        </w:rPr>
        <w:t>Transformarea digitală a sistemului de asistență socială (ID: 16925)</w:t>
      </w:r>
    </w:p>
    <w:p w:rsidR="00780A28" w:rsidRDefault="001867D7">
      <w:pPr>
        <w:numPr>
          <w:ilvl w:val="0"/>
          <w:numId w:val="37"/>
        </w:numPr>
        <w:spacing w:before="120" w:after="0" w:line="240" w:lineRule="auto"/>
        <w:ind w:left="0"/>
        <w:jc w:val="both"/>
        <w:rPr>
          <w:rFonts w:ascii="Times New Roman" w:hAnsi="Times New Roman" w:cs="Times New Roman"/>
          <w:noProof/>
          <w:sz w:val="24"/>
        </w:rPr>
      </w:pPr>
      <w:r>
        <w:rPr>
          <w:rFonts w:ascii="Times New Roman" w:hAnsi="Times New Roman"/>
          <w:noProof/>
          <w:sz w:val="24"/>
        </w:rPr>
        <w:t>Conștientizarea diversității (ID: 16685)</w:t>
      </w:r>
    </w:p>
    <w:p w:rsidR="00780A28" w:rsidRDefault="001867D7">
      <w:pPr>
        <w:numPr>
          <w:ilvl w:val="0"/>
          <w:numId w:val="37"/>
        </w:numPr>
        <w:spacing w:before="120" w:after="0" w:line="240" w:lineRule="auto"/>
        <w:ind w:left="0" w:hanging="357"/>
        <w:jc w:val="both"/>
        <w:rPr>
          <w:rFonts w:ascii="Times New Roman" w:hAnsi="Times New Roman" w:cs="Times New Roman"/>
          <w:noProof/>
          <w:sz w:val="24"/>
        </w:rPr>
      </w:pPr>
      <w:r>
        <w:rPr>
          <w:rFonts w:ascii="Times New Roman" w:hAnsi="Times New Roman"/>
          <w:noProof/>
          <w:sz w:val="24"/>
        </w:rPr>
        <w:t>Integrare socială (ID: 16922)</w:t>
      </w:r>
    </w:p>
    <w:p w:rsidR="00780A28" w:rsidRDefault="001867D7">
      <w:pPr>
        <w:numPr>
          <w:ilvl w:val="0"/>
          <w:numId w:val="37"/>
        </w:numPr>
        <w:spacing w:before="120" w:after="120" w:line="240" w:lineRule="auto"/>
        <w:ind w:left="0"/>
        <w:jc w:val="both"/>
        <w:rPr>
          <w:rFonts w:ascii="Times New Roman" w:hAnsi="Times New Roman" w:cs="Times New Roman"/>
          <w:noProof/>
          <w:sz w:val="24"/>
        </w:rPr>
      </w:pPr>
      <w:r>
        <w:rPr>
          <w:rFonts w:ascii="Times New Roman" w:hAnsi="Times New Roman"/>
          <w:noProof/>
          <w:sz w:val="24"/>
        </w:rPr>
        <w:t>Promovarea integrării refugiaților pe piața forței de muncă (ID: 16688)</w:t>
      </w:r>
    </w:p>
    <w:tbl>
      <w:tblPr>
        <w:tblW w:w="15615" w:type="dxa"/>
        <w:tblLook w:val="04A0" w:firstRow="1" w:lastRow="0" w:firstColumn="1" w:lastColumn="0" w:noHBand="0" w:noVBand="1"/>
      </w:tblPr>
      <w:tblGrid>
        <w:gridCol w:w="968"/>
        <w:gridCol w:w="1841"/>
        <w:gridCol w:w="1260"/>
        <w:gridCol w:w="1495"/>
        <w:gridCol w:w="2105"/>
        <w:gridCol w:w="1186"/>
        <w:gridCol w:w="977"/>
        <w:gridCol w:w="952"/>
        <w:gridCol w:w="863"/>
        <w:gridCol w:w="842"/>
        <w:gridCol w:w="3126"/>
      </w:tblGrid>
      <w:tr w:rsidR="00780A28">
        <w:trPr>
          <w:trHeight w:val="927"/>
          <w:tblHeader/>
        </w:trPr>
        <w:tc>
          <w:tcPr>
            <w:tcW w:w="970"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497"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209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szCs w:val="18"/>
              </w:rPr>
              <w:t>Indicatori calitativi (pentru jaloane)</w:t>
            </w:r>
          </w:p>
        </w:tc>
        <w:tc>
          <w:tcPr>
            <w:tcW w:w="3114"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noProof/>
                <w:sz w:val="18"/>
                <w:szCs w:val="18"/>
              </w:rPr>
              <w:t>Indicatori cantitativi (pentru ținte)</w:t>
            </w:r>
          </w:p>
        </w:tc>
        <w:tc>
          <w:tcPr>
            <w:tcW w:w="1707"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313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blHeader/>
        </w:trPr>
        <w:tc>
          <w:tcPr>
            <w:tcW w:w="970"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noProof/>
                <w:sz w:val="18"/>
                <w:szCs w:val="18"/>
                <w:lang w:eastAsia="en-GB"/>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noProof/>
                <w:sz w:val="18"/>
                <w:szCs w:val="18"/>
                <w:lang w:eastAsia="en-GB"/>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noProof/>
                <w:sz w:val="18"/>
                <w:szCs w:val="18"/>
                <w:lang w:eastAsia="en-GB"/>
              </w:rPr>
            </w:pPr>
          </w:p>
        </w:tc>
        <w:tc>
          <w:tcPr>
            <w:tcW w:w="1497" w:type="dxa"/>
            <w:vMerge/>
            <w:tcBorders>
              <w:top w:val="single" w:sz="4" w:space="0" w:color="auto"/>
              <w:left w:val="nil"/>
              <w:bottom w:val="single" w:sz="4" w:space="0" w:color="000000"/>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noProof/>
                <w:sz w:val="18"/>
                <w:szCs w:val="18"/>
                <w:lang w:eastAsia="en-GB"/>
              </w:rPr>
            </w:pPr>
          </w:p>
        </w:tc>
        <w:tc>
          <w:tcPr>
            <w:tcW w:w="209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noProof/>
                <w:sz w:val="18"/>
                <w:szCs w:val="18"/>
                <w:lang w:eastAsia="en-GB"/>
              </w:rPr>
            </w:pPr>
          </w:p>
        </w:tc>
        <w:tc>
          <w:tcPr>
            <w:tcW w:w="1183" w:type="dxa"/>
            <w:tcBorders>
              <w:top w:val="nil"/>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78" w:type="dxa"/>
            <w:tcBorders>
              <w:top w:val="nil"/>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953" w:type="dxa"/>
            <w:tcBorders>
              <w:top w:val="nil"/>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64" w:type="dxa"/>
            <w:tcBorders>
              <w:top w:val="nil"/>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843" w:type="dxa"/>
            <w:tcBorders>
              <w:top w:val="nil"/>
              <w:left w:val="nil"/>
              <w:bottom w:val="single" w:sz="4" w:space="0" w:color="auto"/>
              <w:right w:val="single" w:sz="4" w:space="0" w:color="auto"/>
            </w:tcBorders>
            <w:shd w:val="clear" w:color="auto" w:fill="BDD7EE"/>
            <w:vAlign w:val="center"/>
            <w:hideMark/>
          </w:tcPr>
          <w:p w:rsidR="00780A28" w:rsidRDefault="001867D7">
            <w:pPr>
              <w:spacing w:before="120"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3131"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before="120" w:after="0" w:line="240" w:lineRule="auto"/>
              <w:rPr>
                <w:rFonts w:ascii="Times New Roman" w:eastAsia="Times New Roman" w:hAnsi="Times New Roman" w:cs="Times New Roman"/>
                <w:b/>
                <w:noProof/>
                <w:sz w:val="18"/>
                <w:szCs w:val="18"/>
                <w:lang w:eastAsia="en-GB"/>
              </w:rPr>
            </w:pPr>
          </w:p>
        </w:tc>
      </w:tr>
      <w:tr w:rsidR="00780A28">
        <w:trPr>
          <w:trHeight w:val="309"/>
        </w:trPr>
        <w:tc>
          <w:tcPr>
            <w:tcW w:w="970" w:type="dxa"/>
            <w:tcBorders>
              <w:top w:val="nil"/>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182</w:t>
            </w:r>
          </w:p>
        </w:tc>
        <w:tc>
          <w:tcPr>
            <w:tcW w:w="1836"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11 </w:t>
            </w:r>
            <w:r>
              <w:rPr>
                <w:noProof/>
                <w:color w:val="006100"/>
                <w:sz w:val="18"/>
                <w:szCs w:val="18"/>
              </w:rPr>
              <w:t>- 3.4. Creșterea accesului la politici sociale eficace și favorabile incluziunii — 16925_Transformarea digitală a sistemului de sprijin social</w:t>
            </w:r>
          </w:p>
        </w:tc>
        <w:tc>
          <w:tcPr>
            <w:tcW w:w="1262"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497"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noProof/>
                <w:color w:val="006100"/>
                <w:sz w:val="18"/>
                <w:szCs w:val="18"/>
              </w:rPr>
            </w:pPr>
            <w:r>
              <w:rPr>
                <w:noProof/>
                <w:color w:val="006100"/>
                <w:sz w:val="18"/>
                <w:szCs w:val="18"/>
              </w:rPr>
              <w:t>Finalizarea livrării cardurilor cu handicap de către autoritatea de management</w:t>
            </w:r>
          </w:p>
        </w:tc>
        <w:tc>
          <w:tcPr>
            <w:tcW w:w="2098"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118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Numărul de carduri pentru p</w:t>
            </w:r>
            <w:r>
              <w:rPr>
                <w:noProof/>
                <w:color w:val="006100"/>
                <w:sz w:val="18"/>
                <w:szCs w:val="18"/>
              </w:rPr>
              <w:t>ersoanele cu handicap livrate beneficiarilor</w:t>
            </w:r>
          </w:p>
        </w:tc>
        <w:tc>
          <w:tcPr>
            <w:tcW w:w="978"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0</w:t>
            </w:r>
          </w:p>
        </w:tc>
        <w:tc>
          <w:tcPr>
            <w:tcW w:w="95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80 000</w:t>
            </w:r>
          </w:p>
        </w:tc>
        <w:tc>
          <w:tcPr>
            <w:tcW w:w="864"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84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2023</w:t>
            </w:r>
          </w:p>
        </w:tc>
        <w:tc>
          <w:tcPr>
            <w:tcW w:w="313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Finalizarea livrării de către autoritatea de management a 80 000 de carduri pentru persoanele cu handicap către beneficiari.</w:t>
            </w:r>
          </w:p>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 </w:t>
            </w:r>
          </w:p>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Cardurile de handicap vor include drepturi/prestații specifice și vor facilita viața de zi cu zi a persoanelor cu handicap </w:t>
            </w:r>
          </w:p>
          <w:p w:rsidR="00780A28" w:rsidRDefault="00780A28">
            <w:pPr>
              <w:spacing w:before="120" w:after="0" w:line="240" w:lineRule="auto"/>
              <w:rPr>
                <w:rFonts w:eastAsia="Times New Roman" w:cs="Calibri"/>
                <w:noProof/>
                <w:color w:val="006100"/>
                <w:sz w:val="18"/>
                <w:szCs w:val="18"/>
                <w:highlight w:val="yellow"/>
                <w:lang w:eastAsia="en-GB"/>
              </w:rPr>
            </w:pPr>
          </w:p>
          <w:p w:rsidR="00780A28" w:rsidRDefault="001867D7">
            <w:pPr>
              <w:spacing w:before="120" w:after="0" w:line="240" w:lineRule="auto"/>
              <w:rPr>
                <w:rFonts w:eastAsia="Times New Roman" w:cs="Calibri"/>
                <w:noProof/>
                <w:color w:val="006100"/>
                <w:sz w:val="18"/>
                <w:szCs w:val="18"/>
              </w:rPr>
            </w:pPr>
            <w:r>
              <w:rPr>
                <w:noProof/>
                <w:color w:val="006100"/>
                <w:sz w:val="18"/>
                <w:szCs w:val="18"/>
              </w:rPr>
              <w:t>Acceptarea livrabilelor contractului (elaborarea cardurilor pentru persoanele cu handicap) de către director/autoritatea contractan</w:t>
            </w:r>
            <w:r>
              <w:rPr>
                <w:noProof/>
                <w:color w:val="006100"/>
                <w:sz w:val="18"/>
                <w:szCs w:val="18"/>
              </w:rPr>
              <w:t>tă și confirmarea de către autoritatea de management a livrării către beneficiari a 80 000 carduri pentru persoanele cu handicap</w:t>
            </w:r>
          </w:p>
        </w:tc>
      </w:tr>
      <w:tr w:rsidR="00780A28">
        <w:trPr>
          <w:trHeight w:val="309"/>
        </w:trPr>
        <w:tc>
          <w:tcPr>
            <w:tcW w:w="970" w:type="dxa"/>
            <w:tcBorders>
              <w:top w:val="nil"/>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183</w:t>
            </w:r>
          </w:p>
        </w:tc>
        <w:tc>
          <w:tcPr>
            <w:tcW w:w="1836"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11 - 3.4. Sporirea accesului la politici sociale eficace și favorabile incluziunii — 16922_integrare socială</w:t>
            </w:r>
          </w:p>
        </w:tc>
        <w:tc>
          <w:tcPr>
            <w:tcW w:w="1262"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497"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Integrarea socială a beneficiarilor de MG fără adăpost </w:t>
            </w:r>
          </w:p>
          <w:p w:rsidR="00780A28" w:rsidRDefault="001867D7">
            <w:pPr>
              <w:spacing w:before="120" w:after="0" w:line="240" w:lineRule="auto"/>
              <w:rPr>
                <w:rFonts w:eastAsia="Times New Roman" w:cs="Calibri"/>
                <w:noProof/>
                <w:color w:val="006100"/>
                <w:sz w:val="18"/>
                <w:szCs w:val="18"/>
              </w:rPr>
            </w:pPr>
            <w:r>
              <w:rPr>
                <w:noProof/>
                <w:color w:val="006100"/>
                <w:sz w:val="18"/>
                <w:szCs w:val="18"/>
              </w:rPr>
              <w:t>Încheiere</w:t>
            </w:r>
          </w:p>
        </w:tc>
        <w:tc>
          <w:tcPr>
            <w:tcW w:w="2098"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118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Numărul de beneficiari ai venitului minim garantat și de persoane fără adăpost cu participare autorizată</w:t>
            </w:r>
          </w:p>
        </w:tc>
        <w:tc>
          <w:tcPr>
            <w:tcW w:w="978"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0</w:t>
            </w:r>
          </w:p>
        </w:tc>
        <w:tc>
          <w:tcPr>
            <w:tcW w:w="95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7 000</w:t>
            </w:r>
          </w:p>
        </w:tc>
        <w:tc>
          <w:tcPr>
            <w:tcW w:w="864"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84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2025</w:t>
            </w:r>
          </w:p>
        </w:tc>
        <w:tc>
          <w:tcPr>
            <w:tcW w:w="313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Finalizarea cu succes a programului de formare și sprijin pentru ocu</w:t>
            </w:r>
            <w:r>
              <w:rPr>
                <w:noProof/>
                <w:color w:val="006100"/>
                <w:sz w:val="18"/>
                <w:szCs w:val="18"/>
              </w:rPr>
              <w:t xml:space="preserve">parea forței de muncă pentru 7 000 beneficiari ai venitului minim garantat și persoane fără adăpost și certificarea de către organizația națională a competențelor dobândite </w:t>
            </w:r>
          </w:p>
        </w:tc>
      </w:tr>
      <w:tr w:rsidR="00780A28">
        <w:trPr>
          <w:trHeight w:val="309"/>
        </w:trPr>
        <w:tc>
          <w:tcPr>
            <w:tcW w:w="970" w:type="dxa"/>
            <w:tcBorders>
              <w:top w:val="nil"/>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184</w:t>
            </w:r>
          </w:p>
        </w:tc>
        <w:tc>
          <w:tcPr>
            <w:tcW w:w="1836"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11 - 3.4. Creșterea accesului la politici sociale eficace și favorabile </w:t>
            </w:r>
            <w:r>
              <w:rPr>
                <w:noProof/>
                <w:color w:val="006100"/>
                <w:sz w:val="18"/>
                <w:szCs w:val="18"/>
              </w:rPr>
              <w:t>incluziunii — 16685_Sensibilizarea diversității</w:t>
            </w:r>
          </w:p>
        </w:tc>
        <w:tc>
          <w:tcPr>
            <w:tcW w:w="1262"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497"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Finalizarea activităților de formare în materie de sensibilizare cu privire la diversitate ale managerilor de la începutul mandatului</w:t>
            </w:r>
          </w:p>
        </w:tc>
        <w:tc>
          <w:tcPr>
            <w:tcW w:w="2098"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118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Numărul de manageri și de angajați de front office cu participare </w:t>
            </w:r>
            <w:r>
              <w:rPr>
                <w:noProof/>
                <w:color w:val="006100"/>
                <w:sz w:val="18"/>
                <w:szCs w:val="18"/>
              </w:rPr>
              <w:t>autorizată</w:t>
            </w:r>
          </w:p>
        </w:tc>
        <w:tc>
          <w:tcPr>
            <w:tcW w:w="978"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0</w:t>
            </w:r>
          </w:p>
        </w:tc>
        <w:tc>
          <w:tcPr>
            <w:tcW w:w="95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680 000</w:t>
            </w:r>
          </w:p>
        </w:tc>
        <w:tc>
          <w:tcPr>
            <w:tcW w:w="864"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84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2023</w:t>
            </w:r>
          </w:p>
        </w:tc>
        <w:tc>
          <w:tcPr>
            <w:tcW w:w="313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Finalizarea formării privind diversitatea, care vizează 680 000 de manageri și angajați de front office și certificare </w:t>
            </w:r>
          </w:p>
          <w:p w:rsidR="00780A28" w:rsidRDefault="001867D7">
            <w:pPr>
              <w:spacing w:before="120" w:after="0" w:line="240" w:lineRule="auto"/>
              <w:rPr>
                <w:rFonts w:eastAsia="Times New Roman" w:cs="Calibri"/>
                <w:noProof/>
                <w:color w:val="006100"/>
                <w:sz w:val="18"/>
                <w:szCs w:val="18"/>
              </w:rPr>
            </w:pPr>
            <w:r>
              <w:rPr>
                <w:noProof/>
                <w:color w:val="006100"/>
                <w:sz w:val="18"/>
                <w:szCs w:val="18"/>
              </w:rPr>
              <w:t>Programul de formare are ca scop sensibilizarea cu privire la diferitele dimensiuni și beneficii ale divers</w:t>
            </w:r>
            <w:r>
              <w:rPr>
                <w:noProof/>
                <w:color w:val="006100"/>
                <w:sz w:val="18"/>
                <w:szCs w:val="18"/>
              </w:rPr>
              <w:t>ității. Acesta este conceput și diferențiat în mod corespunzător în funcție de grupul-țintă (cadre superioare de conducere, cadre de conducere de nivel mediu, directori executivi de front office și directori administrativi). Participarea este de la distanț</w:t>
            </w:r>
            <w:r>
              <w:rPr>
                <w:noProof/>
                <w:color w:val="006100"/>
                <w:sz w:val="18"/>
                <w:szCs w:val="18"/>
              </w:rPr>
              <w:t>ă (prin intermediul platformei) și asincronă.</w:t>
            </w:r>
          </w:p>
        </w:tc>
      </w:tr>
      <w:tr w:rsidR="00780A28">
        <w:trPr>
          <w:trHeight w:val="309"/>
        </w:trPr>
        <w:tc>
          <w:tcPr>
            <w:tcW w:w="970" w:type="dxa"/>
            <w:tcBorders>
              <w:top w:val="nil"/>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185</w:t>
            </w:r>
          </w:p>
        </w:tc>
        <w:tc>
          <w:tcPr>
            <w:tcW w:w="1836"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11 - 3.4. Creșterea accesului la politici sociale eficace și favorabile incluziunii — 16763_Transformarea digitală a sistemului de imigrație și azil</w:t>
            </w:r>
          </w:p>
        </w:tc>
        <w:tc>
          <w:tcPr>
            <w:tcW w:w="1262"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Jalon</w:t>
            </w:r>
          </w:p>
        </w:tc>
        <w:tc>
          <w:tcPr>
            <w:tcW w:w="1497"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Digitalizarea Sistemului de azil al migrației — </w:t>
            </w:r>
            <w:r>
              <w:rPr>
                <w:noProof/>
                <w:color w:val="006100"/>
                <w:sz w:val="18"/>
                <w:szCs w:val="18"/>
              </w:rPr>
              <w:t>finalizarea sistemului de azil</w:t>
            </w:r>
          </w:p>
        </w:tc>
        <w:tc>
          <w:tcPr>
            <w:tcW w:w="2098"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Confirmare privind acceptarea livrabilului de către administrator/autoritatea contractantă</w:t>
            </w:r>
          </w:p>
        </w:tc>
        <w:tc>
          <w:tcPr>
            <w:tcW w:w="1183"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78"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953" w:type="dxa"/>
            <w:tcBorders>
              <w:top w:val="nil"/>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864"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843"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2024</w:t>
            </w:r>
          </w:p>
        </w:tc>
        <w:tc>
          <w:tcPr>
            <w:tcW w:w="3131"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Finalizarea digitalizării sistemului de migrație și azil prin acceptarea de către managerul de proiect/autoritatea </w:t>
            </w:r>
            <w:r>
              <w:rPr>
                <w:noProof/>
                <w:color w:val="006100"/>
                <w:sz w:val="18"/>
                <w:szCs w:val="18"/>
              </w:rPr>
              <w:t>contractantă a livrabilelor contractului pentru a) digitalizarea &amp; Sistemul de gestionare a documentelor privind migrația legală al Serviciului central al Ministerului Migrației și Azilului &amp; Administrațiile descentralizate și b) furnizarea de servicii int</w:t>
            </w:r>
            <w:r>
              <w:rPr>
                <w:noProof/>
                <w:color w:val="006100"/>
                <w:sz w:val="18"/>
                <w:szCs w:val="18"/>
              </w:rPr>
              <w:t>egrate de migrație digitală</w:t>
            </w:r>
          </w:p>
        </w:tc>
      </w:tr>
      <w:tr w:rsidR="00780A28">
        <w:trPr>
          <w:trHeight w:val="309"/>
        </w:trPr>
        <w:tc>
          <w:tcPr>
            <w:tcW w:w="970"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186</w:t>
            </w:r>
          </w:p>
        </w:tc>
        <w:tc>
          <w:tcPr>
            <w:tcW w:w="1836"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11 - 3.4. Sporirea accesului la politici sociale eficace și favorabile incluziunii — 16922_integrare socială</w:t>
            </w:r>
          </w:p>
        </w:tc>
        <w:tc>
          <w:tcPr>
            <w:tcW w:w="1262"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4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Finalizarea renovării locuințelor sociale </w:t>
            </w:r>
          </w:p>
        </w:tc>
        <w:tc>
          <w:tcPr>
            <w:tcW w:w="2098" w:type="dxa"/>
            <w:tcBorders>
              <w:top w:val="single" w:sz="4" w:space="0" w:color="auto"/>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118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Numărul de apartamente renovate și gata de a fi puse la </w:t>
            </w:r>
            <w:r>
              <w:rPr>
                <w:noProof/>
                <w:color w:val="006100"/>
                <w:sz w:val="18"/>
                <w:szCs w:val="18"/>
              </w:rPr>
              <w:t>dispoziția beneficiarilor</w:t>
            </w:r>
          </w:p>
        </w:tc>
        <w:tc>
          <w:tcPr>
            <w:tcW w:w="978"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0</w:t>
            </w:r>
          </w:p>
        </w:tc>
        <w:tc>
          <w:tcPr>
            <w:tcW w:w="9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100 </w:t>
            </w:r>
          </w:p>
          <w:p w:rsidR="00780A28" w:rsidRDefault="00780A28">
            <w:pPr>
              <w:spacing w:before="120" w:after="0" w:line="240" w:lineRule="auto"/>
              <w:rPr>
                <w:rFonts w:eastAsia="Times New Roman" w:cs="Calibri"/>
                <w:noProof/>
                <w:color w:val="006100"/>
                <w:sz w:val="18"/>
                <w:szCs w:val="18"/>
                <w:lang w:eastAsia="en-GB"/>
              </w:rPr>
            </w:pPr>
          </w:p>
        </w:tc>
        <w:tc>
          <w:tcPr>
            <w:tcW w:w="864"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84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2024</w:t>
            </w:r>
          </w:p>
        </w:tc>
        <w:tc>
          <w:tcPr>
            <w:tcW w:w="3131"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Finalizarea programului de renovare pentru 100 de apartamente (70 în municipiul Atena și 30 în municipiul Salonic) pentru 250 de beneficiari. </w:t>
            </w:r>
          </w:p>
          <w:p w:rsidR="00780A28" w:rsidRDefault="00780A28">
            <w:pPr>
              <w:spacing w:before="120" w:after="0" w:line="240" w:lineRule="auto"/>
              <w:rPr>
                <w:rFonts w:eastAsia="Times New Roman" w:cs="Calibri"/>
                <w:noProof/>
                <w:color w:val="006100"/>
                <w:sz w:val="18"/>
                <w:szCs w:val="18"/>
                <w:lang w:eastAsia="en-GB"/>
              </w:rPr>
            </w:pPr>
          </w:p>
          <w:p w:rsidR="00780A28" w:rsidRDefault="001867D7">
            <w:pPr>
              <w:spacing w:before="120" w:after="0" w:line="240" w:lineRule="auto"/>
              <w:rPr>
                <w:rFonts w:eastAsia="Times New Roman" w:cs="Calibri"/>
                <w:noProof/>
                <w:color w:val="006100"/>
                <w:sz w:val="18"/>
                <w:szCs w:val="18"/>
              </w:rPr>
            </w:pPr>
            <w:r>
              <w:rPr>
                <w:noProof/>
                <w:color w:val="006100"/>
                <w:sz w:val="18"/>
                <w:szCs w:val="18"/>
              </w:rPr>
              <w:t>Măsura urmărește să ofere sprijin locativ celor mai vulnerabile grupur</w:t>
            </w:r>
            <w:r>
              <w:rPr>
                <w:noProof/>
                <w:color w:val="006100"/>
                <w:sz w:val="18"/>
                <w:szCs w:val="18"/>
              </w:rPr>
              <w:t>i amenințate sau care se confruntă cu lipsa de adăpost.</w:t>
            </w:r>
          </w:p>
        </w:tc>
      </w:tr>
      <w:tr w:rsidR="00780A28">
        <w:trPr>
          <w:trHeight w:val="309"/>
        </w:trPr>
        <w:tc>
          <w:tcPr>
            <w:tcW w:w="970"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187</w:t>
            </w:r>
          </w:p>
        </w:tc>
        <w:tc>
          <w:tcPr>
            <w:tcW w:w="1836"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120" w:line="240" w:lineRule="auto"/>
              <w:rPr>
                <w:rFonts w:eastAsia="Times New Roman" w:cs="Calibri"/>
                <w:noProof/>
                <w:color w:val="006100"/>
                <w:sz w:val="18"/>
                <w:szCs w:val="18"/>
              </w:rPr>
            </w:pPr>
            <w:r>
              <w:rPr>
                <w:noProof/>
                <w:color w:val="006100"/>
                <w:sz w:val="18"/>
                <w:szCs w:val="18"/>
              </w:rPr>
              <w:t>11 - 3.4. Creșterea accesului la politici sociale eficace și favorabile incluziunii — 16688: Promovarea integrării refugiaților pe piața forței de muncă </w:t>
            </w:r>
          </w:p>
          <w:p w:rsidR="00780A28" w:rsidRDefault="00780A28">
            <w:pPr>
              <w:spacing w:before="120" w:after="0" w:line="240" w:lineRule="auto"/>
              <w:rPr>
                <w:rFonts w:eastAsia="Times New Roman" w:cs="Calibri"/>
                <w:noProof/>
                <w:color w:val="006100"/>
                <w:sz w:val="18"/>
                <w:szCs w:val="18"/>
                <w:lang w:eastAsia="en-GB"/>
              </w:rPr>
            </w:pPr>
          </w:p>
        </w:tc>
        <w:tc>
          <w:tcPr>
            <w:tcW w:w="1262"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4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Integrarea refugiaților pe piața </w:t>
            </w:r>
            <w:r>
              <w:rPr>
                <w:noProof/>
                <w:color w:val="006100"/>
                <w:sz w:val="18"/>
                <w:szCs w:val="18"/>
              </w:rPr>
              <w:t>forței de muncă</w:t>
            </w:r>
          </w:p>
        </w:tc>
        <w:tc>
          <w:tcPr>
            <w:tcW w:w="2098" w:type="dxa"/>
            <w:tcBorders>
              <w:top w:val="single" w:sz="4" w:space="0" w:color="auto"/>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118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 xml:space="preserve">Numărul de refugiați care au finalizat programul de stagii </w:t>
            </w:r>
          </w:p>
        </w:tc>
        <w:tc>
          <w:tcPr>
            <w:tcW w:w="978"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0</w:t>
            </w:r>
          </w:p>
        </w:tc>
        <w:tc>
          <w:tcPr>
            <w:tcW w:w="9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14 580</w:t>
            </w:r>
          </w:p>
        </w:tc>
        <w:tc>
          <w:tcPr>
            <w:tcW w:w="864"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Q4</w:t>
            </w:r>
          </w:p>
        </w:tc>
        <w:tc>
          <w:tcPr>
            <w:tcW w:w="843"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2025</w:t>
            </w:r>
          </w:p>
        </w:tc>
        <w:tc>
          <w:tcPr>
            <w:tcW w:w="3131"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rPr>
                <w:rFonts w:eastAsia="Times New Roman" w:cs="Calibri"/>
                <w:noProof/>
                <w:color w:val="006100"/>
                <w:sz w:val="18"/>
                <w:szCs w:val="18"/>
              </w:rPr>
            </w:pPr>
            <w:r>
              <w:rPr>
                <w:noProof/>
                <w:color w:val="006100"/>
                <w:sz w:val="18"/>
                <w:szCs w:val="18"/>
              </w:rPr>
              <w:t>Finalizarea programelor de stagii în întreprinderi pentru cel puțin 14 580 de refugiați</w:t>
            </w:r>
          </w:p>
          <w:p w:rsidR="00780A28" w:rsidRDefault="00780A28">
            <w:pPr>
              <w:spacing w:before="120" w:after="0" w:line="240" w:lineRule="auto"/>
              <w:rPr>
                <w:rFonts w:eastAsia="Times New Roman" w:cs="Calibri"/>
                <w:noProof/>
                <w:color w:val="006100"/>
                <w:sz w:val="18"/>
                <w:szCs w:val="18"/>
                <w:lang w:eastAsia="en-GB"/>
              </w:rPr>
            </w:pPr>
          </w:p>
          <w:p w:rsidR="00780A28" w:rsidRDefault="001867D7">
            <w:pPr>
              <w:spacing w:before="120" w:after="0" w:line="240" w:lineRule="auto"/>
              <w:rPr>
                <w:rFonts w:eastAsia="Times New Roman" w:cs="Calibri"/>
                <w:noProof/>
                <w:color w:val="006100"/>
                <w:sz w:val="18"/>
                <w:szCs w:val="18"/>
              </w:rPr>
            </w:pPr>
            <w:r>
              <w:rPr>
                <w:noProof/>
                <w:color w:val="006100"/>
                <w:sz w:val="18"/>
                <w:szCs w:val="18"/>
              </w:rPr>
              <w:t>Raportul OAED și al Ministerului Migrației și Azilului care confirmă fina</w:t>
            </w:r>
            <w:r>
              <w:rPr>
                <w:noProof/>
                <w:color w:val="006100"/>
                <w:sz w:val="18"/>
                <w:szCs w:val="18"/>
              </w:rPr>
              <w:t>lizarea cu succes a proiectului privind numărul de refugiați de mai sus</w:t>
            </w:r>
          </w:p>
          <w:p w:rsidR="00780A28" w:rsidRDefault="00780A28">
            <w:pPr>
              <w:spacing w:before="120" w:after="0" w:line="240" w:lineRule="auto"/>
              <w:rPr>
                <w:rFonts w:eastAsia="Times New Roman" w:cs="Calibri"/>
                <w:noProof/>
                <w:color w:val="006100"/>
                <w:sz w:val="18"/>
                <w:szCs w:val="18"/>
                <w:lang w:eastAsia="en-GB"/>
              </w:rPr>
            </w:pPr>
          </w:p>
          <w:p w:rsidR="00780A28" w:rsidRDefault="001867D7">
            <w:pPr>
              <w:spacing w:before="120" w:after="0" w:line="240" w:lineRule="auto"/>
              <w:rPr>
                <w:rFonts w:eastAsia="Times New Roman" w:cs="Calibri"/>
                <w:noProof/>
                <w:color w:val="006100"/>
                <w:sz w:val="18"/>
                <w:szCs w:val="18"/>
              </w:rPr>
            </w:pPr>
            <w:r>
              <w:rPr>
                <w:noProof/>
                <w:color w:val="006100"/>
                <w:sz w:val="18"/>
                <w:szCs w:val="18"/>
              </w:rPr>
              <w:t>Stagiile îi ajută pe refugiați să dobândească experiență profesională și facilitează integrarea lor ulterioară pe piața forței de muncă.</w:t>
            </w:r>
          </w:p>
        </w:tc>
      </w:tr>
    </w:tbl>
    <w:p w:rsidR="00780A28" w:rsidRDefault="00780A28">
      <w:pPr>
        <w:tabs>
          <w:tab w:val="left" w:pos="3423"/>
        </w:tabs>
        <w:spacing w:before="120" w:after="120" w:line="240" w:lineRule="auto"/>
        <w:jc w:val="both"/>
        <w:rPr>
          <w:rFonts w:ascii="Times New Roman" w:hAnsi="Times New Roman" w:cs="Times New Roman"/>
          <w:noProof/>
          <w:sz w:val="24"/>
        </w:rPr>
        <w:sectPr w:rsidR="00780A28">
          <w:headerReference w:type="even" r:id="rId179"/>
          <w:headerReference w:type="default" r:id="rId180"/>
          <w:footerReference w:type="even" r:id="rId181"/>
          <w:footerReference w:type="default" r:id="rId182"/>
          <w:headerReference w:type="first" r:id="rId183"/>
          <w:footerReference w:type="first" r:id="rId184"/>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L. COMPONENTA 4.1: O IMPOZITARE MAI FAVORABILĂ CREȘTERII ECONOMICE ȘI O MAI BUNĂ ADMINISTRARE FISCALĂ ȘI COLECTARE A IMPOZITELOR</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componentă a planului de redresare și reziliență al Greciei cuprinde reforme specifice și </w:t>
      </w:r>
      <w:r>
        <w:rPr>
          <w:rFonts w:ascii="Times New Roman" w:hAnsi="Times New Roman"/>
          <w:noProof/>
          <w:sz w:val="24"/>
        </w:rPr>
        <w:t xml:space="preserve">investiții menite să îmbunătățească în continuare funcționarea administrației veniturilor publice și să combată evaziunea fiscală. În primul rând, această componentă include reforme ale politicii fiscale, pentru a facilita codificarea legislației fiscale, </w:t>
      </w:r>
      <w:r>
        <w:rPr>
          <w:rFonts w:ascii="Times New Roman" w:hAnsi="Times New Roman"/>
          <w:noProof/>
          <w:sz w:val="24"/>
        </w:rPr>
        <w:t>precum și pentru a introduce stimulente pentru a consolida tranzacțiile electronice, a promova investițiile private verzi și digitale și a crește dimensiunea întreprinderilor. În al doilea rând, componenta conține reforme și investiții care vizează transfo</w:t>
      </w:r>
      <w:r>
        <w:rPr>
          <w:rFonts w:ascii="Times New Roman" w:hAnsi="Times New Roman"/>
          <w:noProof/>
          <w:sz w:val="24"/>
        </w:rPr>
        <w:t>rmarea administrației veniturilor publice, prin procese de digitalizare, și introducerea unor inițiative legislative pentru combaterea contrabandei și promovarea accelerării rambursărilor de TVA.</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Componenta contribuie la tranziția digitală, prin înlocuirea</w:t>
      </w:r>
      <w:r>
        <w:rPr>
          <w:rFonts w:ascii="Times New Roman" w:hAnsi="Times New Roman"/>
          <w:noProof/>
          <w:sz w:val="24"/>
        </w:rPr>
        <w:t xml:space="preserve"> și modernizarea sistemelor digitale de bază ale Autorității Independente pentru Venituri Publice (IAPR), prin introducerea proceselor automate de birou și de lucru, prin digitalizarea auditurilor și a controalelor, precum și prin actualizarea și îmbunătăț</w:t>
      </w:r>
      <w:r>
        <w:rPr>
          <w:rFonts w:ascii="Times New Roman" w:hAnsi="Times New Roman"/>
          <w:noProof/>
          <w:sz w:val="24"/>
        </w:rPr>
        <w:t>irea serviciilor electronice pentru contribuabili.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componentă sprijină abordarea recomandărilor specifice fiecărei țări privind investițiile publice și private (recomandarea specifică fiecărei țări 3 2020) și reformele structurale pentru îmbunătăți</w:t>
      </w:r>
      <w:r>
        <w:rPr>
          <w:rFonts w:ascii="Times New Roman" w:hAnsi="Times New Roman"/>
          <w:noProof/>
          <w:sz w:val="24"/>
        </w:rPr>
        <w:t>rea funcționării economiei (recomandarea specifică fiecărei țări 4 2020). Este de așteptat ca nicio măsură din cadrul acestei componente să nu afecteze în mod semnificativ obiectivele de mediu în sensul articolului 17 din Regulamentul (UE) 2020/852, ținând</w:t>
      </w:r>
      <w:r>
        <w:rPr>
          <w:rFonts w:ascii="Times New Roman" w:hAnsi="Times New Roman"/>
          <w:noProof/>
          <w:sz w:val="24"/>
        </w:rPr>
        <w:t xml:space="preserve"> seama de descrierea măsurilor și a măsurilor de atenuare stabilite în planul de redresare și reziliență în conformitate cu Orientările tehnice bazate pe principiul de „a nu aduce prejudicii semnificative” (2021/C58/01).</w:t>
      </w:r>
    </w:p>
    <w:p w:rsidR="00780A28" w:rsidRDefault="001867D7">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L.1. </w:t>
      </w:r>
      <w:r>
        <w:rPr>
          <w:rFonts w:ascii="Times New Roman" w:hAnsi="Times New Roman"/>
          <w:b/>
          <w:noProof/>
          <w:sz w:val="24"/>
          <w:u w:val="single"/>
        </w:rPr>
        <w:tab/>
      </w:r>
      <w:r>
        <w:rPr>
          <w:rFonts w:ascii="Times New Roman" w:hAnsi="Times New Roman"/>
          <w:b/>
          <w:bCs/>
          <w:noProof/>
          <w:sz w:val="24"/>
          <w:u w:val="single"/>
        </w:rPr>
        <w:t>Descrierea reformelor și a in</w:t>
      </w:r>
      <w:r>
        <w:rPr>
          <w:rFonts w:ascii="Times New Roman" w:hAnsi="Times New Roman"/>
          <w:b/>
          <w:bCs/>
          <w:noProof/>
          <w:sz w:val="24"/>
          <w:u w:val="single"/>
        </w:rPr>
        <w:t>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 a auditurilor fiscale (numărul de identificare al măsurii:16611)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IAPR trebuie să îmbunătățească utilizarea datelor sale interne și să introd</w:t>
      </w:r>
      <w:r>
        <w:rPr>
          <w:rFonts w:ascii="Times New Roman" w:hAnsi="Times New Roman"/>
          <w:noProof/>
          <w:sz w:val="24"/>
        </w:rPr>
        <w:t>ucă instrumente de inteligență artificială pentru a îmbunătăți colectarea veniturilor publice, a spori eficacitatea auditurilor fiscale și a combate contrabanda. Proiectul constă în adoptarea unei arhitecturi solide a datelor, dezvoltarea unui depozit comu</w:t>
      </w:r>
      <w:r>
        <w:rPr>
          <w:rFonts w:ascii="Times New Roman" w:hAnsi="Times New Roman"/>
          <w:noProof/>
          <w:sz w:val="24"/>
        </w:rPr>
        <w:t>n de metadate, furnizarea de soluții software adecvate, dezvoltarea de tehnici și instrumente de inteligență artificială și utilizarea învățării automate pentru extragerea volumelor mari de date. Implementarea investiției trebuie finalizată până la 31 dece</w:t>
      </w:r>
      <w:r>
        <w:rPr>
          <w:rFonts w:ascii="Times New Roman" w:hAnsi="Times New Roman"/>
          <w:noProof/>
          <w:sz w:val="24"/>
        </w:rPr>
        <w:t>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Codificarea și simplificarea legislației fiscale (numărul de identificare al măsurii:16643)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Ministerul Finanțelor și AIVP trebuie să simplifice și să actualizeze legislația privind principalele coduri fiscale, Codul vamal și toate disp</w:t>
      </w:r>
      <w:r>
        <w:rPr>
          <w:rFonts w:ascii="Times New Roman" w:hAnsi="Times New Roman"/>
          <w:noProof/>
          <w:sz w:val="24"/>
        </w:rPr>
        <w:t>ozițiile juridice secundare relevante, în conformitate cu cele mai bune practici ale UE. În conformitate cu Legea de bază a AIVP nr. 4389/2016, AIVP își va asuma responsabilitatea pentru actualizarea și modernizarea Codului de procedură fiscală, a deciziil</w:t>
      </w:r>
      <w:r>
        <w:rPr>
          <w:rFonts w:ascii="Times New Roman" w:hAnsi="Times New Roman"/>
          <w:noProof/>
          <w:sz w:val="24"/>
        </w:rPr>
        <w:t>or guvernatorului și a circularelor administrației fiscale, inclusiv elaborarea modificărilor necesare pentru digitalizarea și simplificarea administrației fiscale. Ministerul Finanțelor și AIVP furnizează, de asemenea, un sistem de gestionare a conținutul</w:t>
      </w:r>
      <w:r>
        <w:rPr>
          <w:rFonts w:ascii="Times New Roman" w:hAnsi="Times New Roman"/>
          <w:noProof/>
          <w:sz w:val="24"/>
        </w:rPr>
        <w:t>ui și un site web dedicat informațiilor privind contribuabilii, sporind astfel transparența, securitatea juridică, respectarea obligațiilor fiscale și mediul de afaceri. Implementarea reformei trebuie finalizată până la 30 iunie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Promovarea a</w:t>
      </w:r>
      <w:r>
        <w:rPr>
          <w:rFonts w:ascii="Times New Roman" w:hAnsi="Times New Roman"/>
          <w:noProof/>
          <w:sz w:val="24"/>
        </w:rPr>
        <w:t>ccelerării rambursării TVA (numărul de identificare al măsurii:16610)</w:t>
      </w:r>
    </w:p>
    <w:p w:rsidR="00780A28" w:rsidRDefault="001867D7">
      <w:pPr>
        <w:spacing w:before="120" w:after="120" w:line="240" w:lineRule="auto"/>
        <w:jc w:val="both"/>
        <w:rPr>
          <w:rFonts w:ascii="card" w:hAnsi="card" w:cs="Times New Roman"/>
          <w:noProof/>
          <w:sz w:val="24"/>
        </w:rPr>
      </w:pPr>
      <w:r>
        <w:rPr>
          <w:rFonts w:ascii="Times New Roman" w:hAnsi="Times New Roman"/>
          <w:noProof/>
          <w:sz w:val="24"/>
        </w:rPr>
        <w:t>AIVP va simplifica procedurile administrative de rambursare a TVA pentru întreprinderi, prin punerea în aplicare a unor proceduri automate de rambursare a TVA, depunerea electronică și f</w:t>
      </w:r>
      <w:r>
        <w:rPr>
          <w:rFonts w:ascii="Times New Roman" w:hAnsi="Times New Roman"/>
          <w:noProof/>
          <w:sz w:val="24"/>
        </w:rPr>
        <w:t>acilitarea unui proces de analiză a riscurilor pentru cererile de rambursare. Se preconizează că noul proces va limita intervenția umană prin tranzacții digitale și va aborda întârzierile în ceea ce privește rambursările de TVA. Reforma trebuie să fie în c</w:t>
      </w:r>
      <w:r>
        <w:rPr>
          <w:rFonts w:ascii="Times New Roman" w:hAnsi="Times New Roman"/>
          <w:noProof/>
          <w:sz w:val="24"/>
        </w:rPr>
        <w:t>onformitate cu Directiva privind rambursarea TVA (Directiva 2008/9/CE a Consiliului). Implementarea reformei trebuie finalizată până la 31 decembrie 2023.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Adoptarea de măsuri și stimulente pentru intensificarea tranzacțiilor electronice (numărul d</w:t>
      </w:r>
      <w:r>
        <w:rPr>
          <w:rFonts w:ascii="Times New Roman" w:hAnsi="Times New Roman"/>
          <w:noProof/>
          <w:sz w:val="24"/>
        </w:rPr>
        <w:t>e identificare al măsurii:16616)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Reforma urmărește să reducă sarcina administrativă pentru întreprinderi și să îmbunătățească respectarea obligațiilor fiscale prin promovarea tranzacțiilor electronice. IAPR utilizează sistemul MyDATA pentru contabilitatea </w:t>
      </w:r>
      <w:r>
        <w:rPr>
          <w:rFonts w:ascii="Times New Roman" w:hAnsi="Times New Roman"/>
          <w:noProof/>
          <w:sz w:val="24"/>
        </w:rPr>
        <w:t>electronică, facturarea electronică și conectarea tuturor caselor de marcat fiscale la sistemele sale informatice pentru a facilita completarea automată a declarațiilor fiscale și pentru a spori eficacitatea auditurilor fiscale. Implementarea reformei treb</w:t>
      </w:r>
      <w:r>
        <w:rPr>
          <w:rFonts w:ascii="Times New Roman" w:hAnsi="Times New Roman"/>
          <w:noProof/>
          <w:sz w:val="24"/>
        </w:rPr>
        <w:t>uie finalizată până la 31 decembrie 2023.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Super-deducerea cheltuielilor IMM-urilor pentru economia ecologică, energie și tranziția digitală (numărul de identificare al măsurii:16863)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constă în stimulente fiscale pentru super-deducerea chel</w:t>
      </w:r>
      <w:r>
        <w:rPr>
          <w:rFonts w:ascii="Times New Roman" w:hAnsi="Times New Roman"/>
          <w:noProof/>
          <w:sz w:val="24"/>
        </w:rPr>
        <w:t>tuielilor în vederea consolidării investițiilor realizate de întreprinderile mici și mijlocii, în echipamente legate de adaptarea la schimbările climatice, promovarea economiei circulare și digitalizare. Aceasta trebuie să fie în deplină conformitate cu no</w:t>
      </w:r>
      <w:r>
        <w:rPr>
          <w:rFonts w:ascii="Times New Roman" w:hAnsi="Times New Roman"/>
          <w:noProof/>
          <w:sz w:val="24"/>
        </w:rPr>
        <w:t>rmele UE privind ajutoarele de stat. Implementarea reformei trebuie finalizată până la 31 decembrie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Noul cadru de combatere a contrabandei, în special pentru produsele supuse accizelor (tutun, alcool și energie) (numărul de identificare al m</w:t>
      </w:r>
      <w:r>
        <w:rPr>
          <w:rFonts w:ascii="Times New Roman" w:hAnsi="Times New Roman"/>
          <w:noProof/>
          <w:sz w:val="24"/>
        </w:rPr>
        <w:t>ăsurii:16656)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Reforma urmărește să sprijine lupta împotriva contrabandei, în special în ceea ce privește produsele supuse accizelor (tutun, alcool, energie), prin modernizarea sistemelor de urmărire vamală, a proceselor de audit și a echipamentelor pentru </w:t>
      </w:r>
      <w:r>
        <w:rPr>
          <w:rFonts w:ascii="Times New Roman" w:hAnsi="Times New Roman"/>
          <w:noProof/>
          <w:sz w:val="24"/>
        </w:rPr>
        <w:t>a spori eficacitatea auditurilor încărcăturilor. Acest lucru necesită, de asemenea, modernizarea sistemelor informatice ale AIVP necesare pentru a obține informații din bazele de date europene și naționale. Implementarea reformei trebuie finalizată până la</w:t>
      </w:r>
      <w:r>
        <w:rPr>
          <w:rFonts w:ascii="Times New Roman" w:hAnsi="Times New Roman"/>
          <w:noProof/>
          <w:sz w:val="24"/>
        </w:rPr>
        <w:t xml:space="preserve">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Reforma: </w:t>
      </w:r>
      <w:r>
        <w:rPr>
          <w:rFonts w:ascii="Times New Roman" w:hAnsi="Times New Roman"/>
          <w:noProof/>
          <w:sz w:val="24"/>
        </w:rPr>
        <w:t>Case de marcat online &amp; POS (numărul de identificare al măsurii:16614)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IAPR elaborează un cadru pentru a facilita conectarea caselor de marcat cu terminalele POS (Pointof Sale) și cu sistemele sale informatice. Proiectul </w:t>
      </w:r>
      <w:r>
        <w:rPr>
          <w:rFonts w:ascii="Times New Roman" w:hAnsi="Times New Roman"/>
          <w:noProof/>
          <w:sz w:val="24"/>
        </w:rPr>
        <w:t xml:space="preserve">include: (i) stabilirea specificațiilor pentru interconectarea caselor de marcat cu terminalele POS pentru a certifica faptul că fiecare operațiune POS se înregistrează în registrul de casă și că datele produse se transmit în timp aproape real către IAPR; </w:t>
      </w:r>
      <w:r>
        <w:rPr>
          <w:rFonts w:ascii="Times New Roman" w:hAnsi="Times New Roman"/>
          <w:noProof/>
          <w:sz w:val="24"/>
        </w:rPr>
        <w:t>ș</w:t>
      </w:r>
      <w:r>
        <w:rPr>
          <w:rFonts w:ascii="Times New Roman" w:hAnsi="Times New Roman"/>
          <w:noProof/>
          <w:sz w:val="24"/>
        </w:rPr>
        <w:t>i (ii) dezvoltarea infrastructurii și a aplicațiilor pentru monitorizarea tranzacțiilor cu fonduri bănești și sprijinirea mecanismului de control. La finalizarea sa, se preconizează că măsura va limita potențialul de evaziune fiscală și, în cele din urmă,</w:t>
      </w:r>
      <w:r>
        <w:rPr>
          <w:rFonts w:ascii="Times New Roman" w:hAnsi="Times New Roman"/>
          <w:noProof/>
          <w:sz w:val="24"/>
        </w:rPr>
        <w:t xml:space="preserve"> va reduce deficitul de încasare a TVA. Implementarea reformei trebuie finalizată până la 30 iunie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 a administrației fiscale și vamale (numărul de identificare al măsurii:16291)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urmărește să realizeze tran</w:t>
      </w:r>
      <w:r>
        <w:rPr>
          <w:rFonts w:ascii="Times New Roman" w:hAnsi="Times New Roman"/>
          <w:noProof/>
          <w:sz w:val="24"/>
        </w:rPr>
        <w:t>sformarea digitală a administrației și a serviciilor fiscale, care se preconizează că va consolida capacitatea AIVP și va îmbunătăți performanța generală a acesteia. Investiția va îmbunătăți calitatea serviciilor furnizate persoanelor fizice și întreprinde</w:t>
      </w:r>
      <w:r>
        <w:rPr>
          <w:rFonts w:ascii="Times New Roman" w:hAnsi="Times New Roman"/>
          <w:noProof/>
          <w:sz w:val="24"/>
        </w:rPr>
        <w:t xml:space="preserve">rilor și, în cele din urmă, va face impozitele mai favorabile creșterii, îmbunătățind astfel administrarea fiscală și colectarea impozitelor. Această investiție consolidează 14 subproiecte de infrastructură digitală care urmează să fie puse în aplicare de </w:t>
      </w:r>
      <w:r>
        <w:rPr>
          <w:rFonts w:ascii="Times New Roman" w:hAnsi="Times New Roman"/>
          <w:noProof/>
          <w:sz w:val="24"/>
        </w:rPr>
        <w:t>către AIVP, clasificate în patru domenii de intervenție:</w:t>
      </w:r>
    </w:p>
    <w:p w:rsidR="00780A28" w:rsidRDefault="001867D7">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 xml:space="preserve">Înlocuirea sistemelor digitale de bază și extinderea funcționalității furnizării de servicii, inclusiv punerea în aplicare a mecanismelor de interoperabilitate a sistemelor de informații ale AIVP cu </w:t>
      </w:r>
      <w:r>
        <w:rPr>
          <w:rFonts w:ascii="Times New Roman" w:hAnsi="Times New Roman"/>
          <w:noProof/>
          <w:sz w:val="24"/>
        </w:rPr>
        <w:t>sistemele de informații privind datele bancare;</w:t>
      </w:r>
    </w:p>
    <w:p w:rsidR="00780A28" w:rsidRDefault="001867D7">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Automatizarea proceselor de birou și de lucru;</w:t>
      </w:r>
    </w:p>
    <w:p w:rsidR="00780A28" w:rsidRDefault="001867D7">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Digitalizarea auditurilor și a controalelor; precum și</w:t>
      </w:r>
    </w:p>
    <w:p w:rsidR="00780A28" w:rsidRDefault="001867D7">
      <w:pPr>
        <w:pStyle w:val="ListParagraph"/>
        <w:numPr>
          <w:ilvl w:val="0"/>
          <w:numId w:val="59"/>
        </w:numPr>
        <w:spacing w:before="120" w:after="120" w:line="240" w:lineRule="auto"/>
        <w:ind w:left="426" w:hanging="426"/>
        <w:jc w:val="both"/>
        <w:rPr>
          <w:rFonts w:ascii="Times New Roman" w:hAnsi="Times New Roman" w:cs="Times New Roman"/>
          <w:noProof/>
          <w:sz w:val="24"/>
        </w:rPr>
      </w:pPr>
      <w:r>
        <w:rPr>
          <w:rFonts w:ascii="Times New Roman" w:hAnsi="Times New Roman"/>
          <w:noProof/>
          <w:sz w:val="24"/>
        </w:rPr>
        <w:t>Modernizarea serviciilor pentru contribuabili.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investiției trebuie finalizată până la 31 dec</w:t>
      </w:r>
      <w:r>
        <w:rPr>
          <w:rFonts w:ascii="Times New Roman" w:hAnsi="Times New Roman"/>
          <w:noProof/>
          <w:sz w:val="24"/>
        </w:rPr>
        <w:t>embrie 2025.</w:t>
      </w:r>
    </w:p>
    <w:p w:rsidR="00780A28" w:rsidRDefault="00780A28">
      <w:pPr>
        <w:spacing w:before="120" w:after="120" w:line="240" w:lineRule="auto"/>
        <w:ind w:left="709"/>
        <w:jc w:val="both"/>
        <w:rPr>
          <w:rFonts w:ascii="Times New Roman" w:hAnsi="Times New Roman" w:cs="Times New Roman"/>
          <w:i/>
          <w:iCs/>
          <w:noProof/>
          <w:color w:val="4F81BD"/>
          <w:sz w:val="24"/>
        </w:rPr>
      </w:pPr>
    </w:p>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185"/>
          <w:headerReference w:type="default" r:id="rId186"/>
          <w:footerReference w:type="even" r:id="rId187"/>
          <w:footerReference w:type="default" r:id="rId188"/>
          <w:headerReference w:type="first" r:id="rId189"/>
          <w:footerReference w:type="first" r:id="rId190"/>
          <w:pgSz w:w="11907" w:h="16839"/>
          <w:pgMar w:top="1134" w:right="1417" w:bottom="1134" w:left="1417" w:header="709" w:footer="709" w:gutter="0"/>
          <w:cols w:space="720"/>
          <w:docGrid w:linePitch="360"/>
        </w:sectPr>
      </w:pPr>
    </w:p>
    <w:p w:rsidR="00780A28" w:rsidRDefault="001867D7">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L.2.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p>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Reforma esențială 8: Case de marcat online &amp; POS</w:t>
      </w:r>
    </w:p>
    <w:tbl>
      <w:tblPr>
        <w:tblW w:w="15871" w:type="dxa"/>
        <w:jc w:val="center"/>
        <w:tblLook w:val="04A0" w:firstRow="1" w:lastRow="0" w:firstColumn="1" w:lastColumn="0" w:noHBand="0" w:noVBand="1"/>
      </w:tblPr>
      <w:tblGrid>
        <w:gridCol w:w="1027"/>
        <w:gridCol w:w="1289"/>
        <w:gridCol w:w="1107"/>
        <w:gridCol w:w="1550"/>
        <w:gridCol w:w="1717"/>
        <w:gridCol w:w="1345"/>
        <w:gridCol w:w="896"/>
        <w:gridCol w:w="866"/>
        <w:gridCol w:w="990"/>
        <w:gridCol w:w="858"/>
        <w:gridCol w:w="4477"/>
      </w:tblGrid>
      <w:tr w:rsidR="00780A28">
        <w:trPr>
          <w:trHeight w:val="927"/>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Număr </w:t>
            </w:r>
            <w:r>
              <w:rPr>
                <w:rFonts w:ascii="Times New Roman" w:hAnsi="Times New Roman"/>
                <w:b/>
                <w:bCs/>
                <w:noProof/>
                <w:sz w:val="18"/>
                <w:szCs w:val="18"/>
              </w:rPr>
              <w:t>secvențial</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550"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calitativi (pentru jaloane)</w:t>
            </w:r>
          </w:p>
        </w:tc>
        <w:tc>
          <w:tcPr>
            <w:tcW w:w="2997"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cantitativi (pentru ținte)</w:t>
            </w:r>
          </w:p>
        </w:tc>
        <w:tc>
          <w:tcPr>
            <w:tcW w:w="1848"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47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550"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335"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85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805"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99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85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47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188</w:t>
            </w:r>
          </w:p>
        </w:tc>
        <w:tc>
          <w:tcPr>
            <w:tcW w:w="12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12 - 4.1. O impozitare mai favorabilă creșterii economice și o mai bună administrare fiscală și colectare a impozitelor — 16614_Casele de numerar online &amp; POS (reformă)</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Autoritatea indepen</w:t>
            </w:r>
            <w:r>
              <w:rPr>
                <w:noProof/>
                <w:color w:val="006100"/>
                <w:sz w:val="18"/>
                <w:szCs w:val="18"/>
              </w:rPr>
              <w:t>dentă pentru Venituri Publice (AIVP): Case de marcat &amp; terminale de plată (POS) online — Intrarea în vigoare a cadrului juridic</w:t>
            </w:r>
          </w:p>
        </w:tc>
        <w:tc>
          <w:tcPr>
            <w:tcW w:w="17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legii</w:t>
            </w:r>
          </w:p>
        </w:tc>
        <w:tc>
          <w:tcPr>
            <w:tcW w:w="133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85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47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unei decizii a Autorității independente de administrare a </w:t>
            </w:r>
            <w:r>
              <w:rPr>
                <w:noProof/>
                <w:color w:val="006100"/>
                <w:sz w:val="18"/>
                <w:szCs w:val="18"/>
              </w:rPr>
              <w:t>veniturilor publice privind cerințele tehnice (în temeiul articolului 12 din Legea nr. 4308/2014) și a unei decizii ministeriale comune privind transmiterea electronică a datelor către Autoritatea independentă pentru venituri publice (în temeiul articolulu</w:t>
            </w:r>
            <w:r>
              <w:rPr>
                <w:noProof/>
                <w:color w:val="006100"/>
                <w:sz w:val="18"/>
                <w:szCs w:val="18"/>
              </w:rPr>
              <w:t>i 15 din Legea nr. 4174/2013), care stabilește principalele caracteristici necesare pentru interconectarea caselor de marcat online și a sistemelor de vânzare online (POS) cu Autoritatea Independentă pentru Venituri Publice, inclusiv revizuirea sancțiunilo</w:t>
            </w:r>
            <w:r>
              <w:rPr>
                <w:noProof/>
                <w:color w:val="006100"/>
                <w:sz w:val="18"/>
                <w:szCs w:val="18"/>
              </w:rPr>
              <w:t>r pentru casele de marcat (articolul 54 din Legea 4174/2013).</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189</w:t>
            </w:r>
          </w:p>
        </w:tc>
        <w:tc>
          <w:tcPr>
            <w:tcW w:w="12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12 - 4.1. O impozitare mai favorabilă creșterii economice și o mai bună administrare fiscală și colectare a impozitelor — 16614_Casele de numerar online &amp; POS (reformă)</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5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Autoritatea Independentă pentru Venituri Publice: Case de marcat &amp; terminale de plată (POS) online — introducere și interconectare </w:t>
            </w:r>
          </w:p>
        </w:tc>
        <w:tc>
          <w:tcPr>
            <w:tcW w:w="171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highlight w:val="yellow"/>
                <w:lang w:eastAsia="en-GB"/>
              </w:rPr>
            </w:pPr>
          </w:p>
        </w:tc>
        <w:tc>
          <w:tcPr>
            <w:tcW w:w="13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întreprinderilor </w:t>
            </w:r>
          </w:p>
        </w:tc>
        <w:tc>
          <w:tcPr>
            <w:tcW w:w="85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8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500 000</w:t>
            </w:r>
          </w:p>
        </w:tc>
        <w:tc>
          <w:tcPr>
            <w:tcW w:w="99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85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47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Lansarea platformei — toate întreprinderile care intră sub incidența cadrului juridic și-au interconectat casele de marcat online cu sistemele de vânzare de tip „Pointof Sale” cu Autoritatea independentă pentru venituri publice.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Un raport al Autorității </w:t>
            </w:r>
            <w:r>
              <w:rPr>
                <w:noProof/>
                <w:color w:val="006100"/>
                <w:sz w:val="18"/>
                <w:szCs w:val="18"/>
              </w:rPr>
              <w:t>Independente pentru Venituri Publice, care să ateste finalizarea reformei și care să indice numărul total de întreprinderi care și-au interconectat casele de marcat online cu sistemele „Pointof Sale” cu Autoritatea Independentă pentru Venituri Publice. Cas</w:t>
            </w:r>
            <w:r>
              <w:rPr>
                <w:noProof/>
                <w:color w:val="006100"/>
                <w:sz w:val="18"/>
                <w:szCs w:val="18"/>
              </w:rPr>
              <w:t>ele de marcat eligibile trebuie să fie de cel puțin 500 000.</w:t>
            </w:r>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17: Măsuri de administrare fiscală</w:t>
      </w:r>
    </w:p>
    <w:p w:rsidR="00780A28" w:rsidRDefault="001867D7">
      <w:pPr>
        <w:numPr>
          <w:ilvl w:val="0"/>
          <w:numId w:val="36"/>
        </w:numPr>
        <w:spacing w:before="120" w:after="0" w:line="240" w:lineRule="auto"/>
        <w:jc w:val="both"/>
        <w:rPr>
          <w:rFonts w:ascii="Times New Roman" w:hAnsi="Times New Roman" w:cs="Times New Roman"/>
          <w:noProof/>
        </w:rPr>
      </w:pPr>
      <w:r>
        <w:rPr>
          <w:rFonts w:ascii="Times New Roman" w:hAnsi="Times New Roman"/>
          <w:noProof/>
          <w:sz w:val="24"/>
        </w:rPr>
        <w:t>Transformarea digitală a educației (ID: 16611)</w:t>
      </w:r>
    </w:p>
    <w:p w:rsidR="00780A28" w:rsidRDefault="001867D7">
      <w:pPr>
        <w:numPr>
          <w:ilvl w:val="0"/>
          <w:numId w:val="36"/>
        </w:numPr>
        <w:spacing w:before="120" w:after="0" w:line="240" w:lineRule="auto"/>
        <w:jc w:val="both"/>
        <w:rPr>
          <w:rFonts w:ascii="Times New Roman" w:hAnsi="Times New Roman" w:cs="Times New Roman"/>
          <w:noProof/>
          <w:sz w:val="24"/>
        </w:rPr>
      </w:pPr>
      <w:r>
        <w:rPr>
          <w:rFonts w:ascii="Times New Roman" w:hAnsi="Times New Roman"/>
          <w:noProof/>
          <w:sz w:val="24"/>
        </w:rPr>
        <w:t>Promovarea accelerării rambursărilor de TVA (ID: 16610)</w:t>
      </w:r>
    </w:p>
    <w:p w:rsidR="00780A28" w:rsidRDefault="001867D7">
      <w:pPr>
        <w:numPr>
          <w:ilvl w:val="0"/>
          <w:numId w:val="36"/>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Noul cadru de combatere a contrabandei, în </w:t>
      </w:r>
      <w:r>
        <w:rPr>
          <w:rFonts w:ascii="Times New Roman" w:hAnsi="Times New Roman"/>
          <w:noProof/>
          <w:sz w:val="24"/>
        </w:rPr>
        <w:t>special pentru produsele supuse accizelor (tutun, alcool și energie) (ID: 16656)</w:t>
      </w:r>
    </w:p>
    <w:p w:rsidR="00780A28" w:rsidRDefault="001867D7">
      <w:pPr>
        <w:numPr>
          <w:ilvl w:val="0"/>
          <w:numId w:val="36"/>
        </w:numPr>
        <w:spacing w:before="120" w:after="120" w:line="240" w:lineRule="auto"/>
        <w:jc w:val="both"/>
        <w:rPr>
          <w:rFonts w:ascii="Times New Roman" w:hAnsi="Times New Roman" w:cs="Times New Roman"/>
          <w:noProof/>
          <w:sz w:val="24"/>
        </w:rPr>
      </w:pPr>
      <w:r>
        <w:rPr>
          <w:rFonts w:ascii="Times New Roman" w:hAnsi="Times New Roman"/>
          <w:noProof/>
          <w:sz w:val="24"/>
        </w:rPr>
        <w:t>Transformarea digitală a administrației fiscale și vamale (ID: 16291)</w:t>
      </w:r>
    </w:p>
    <w:p w:rsidR="00780A28" w:rsidRDefault="00780A28">
      <w:pPr>
        <w:spacing w:before="120" w:after="120" w:line="240" w:lineRule="auto"/>
        <w:ind w:left="709"/>
        <w:jc w:val="both"/>
        <w:rPr>
          <w:rFonts w:ascii="Times New Roman" w:hAnsi="Times New Roman" w:cs="Times New Roman"/>
          <w:noProof/>
          <w:sz w:val="24"/>
          <w:szCs w:val="24"/>
        </w:rPr>
      </w:pPr>
    </w:p>
    <w:tbl>
      <w:tblPr>
        <w:tblW w:w="15800" w:type="dxa"/>
        <w:jc w:val="center"/>
        <w:tblLook w:val="04A0" w:firstRow="1" w:lastRow="0" w:firstColumn="1" w:lastColumn="0" w:noHBand="0" w:noVBand="1"/>
      </w:tblPr>
      <w:tblGrid>
        <w:gridCol w:w="1027"/>
        <w:gridCol w:w="1845"/>
        <w:gridCol w:w="1107"/>
        <w:gridCol w:w="1324"/>
        <w:gridCol w:w="1824"/>
        <w:gridCol w:w="866"/>
        <w:gridCol w:w="957"/>
        <w:gridCol w:w="866"/>
        <w:gridCol w:w="888"/>
        <w:gridCol w:w="728"/>
        <w:gridCol w:w="5173"/>
      </w:tblGrid>
      <w:tr w:rsidR="00780A28">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53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6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324"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82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calitativi (pentru j</w:t>
            </w:r>
            <w:r>
              <w:rPr>
                <w:rFonts w:ascii="Times New Roman" w:hAnsi="Times New Roman"/>
                <w:noProof/>
              </w:rPr>
              <w:t>aloane)</w:t>
            </w:r>
          </w:p>
        </w:tc>
        <w:tc>
          <w:tcPr>
            <w:tcW w:w="2410"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cantitativi (pentru ținte)</w:t>
            </w:r>
          </w:p>
        </w:tc>
        <w:tc>
          <w:tcPr>
            <w:tcW w:w="1540"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517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6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24"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5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58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4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694"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5173"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190</w:t>
            </w:r>
          </w:p>
        </w:tc>
        <w:tc>
          <w:tcPr>
            <w:tcW w:w="153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2 - 4.1. Favorizarea creșterii economice și îmbunătățirea administrației fiscale și a colectării impozitelor — 16656_noul cadru de combatere a contrabandei, în special pentru produsele supuse accizelor (tutun, alcool și energie)</w:t>
            </w:r>
          </w:p>
        </w:tc>
        <w:tc>
          <w:tcPr>
            <w:tcW w:w="96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Combaterea </w:t>
            </w:r>
            <w:r>
              <w:rPr>
                <w:noProof/>
                <w:color w:val="006100"/>
                <w:sz w:val="18"/>
                <w:szCs w:val="18"/>
              </w:rPr>
              <w:t>introducerii ilegale de migranți — foaie de parcurs privind deciziile de reglementare</w:t>
            </w:r>
          </w:p>
        </w:tc>
        <w:tc>
          <w:tcPr>
            <w:tcW w:w="18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Autorității Independente pentru Venituri Publice care conține foaia de parcurs pentru deciziile/circularele legate de combaterea contrabandei.</w:t>
            </w: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6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1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Autorit</w:t>
            </w:r>
            <w:r>
              <w:rPr>
                <w:noProof/>
                <w:color w:val="006100"/>
                <w:sz w:val="18"/>
                <w:szCs w:val="18"/>
              </w:rPr>
              <w:t>atea independentă pentru veniturile publice adoptă o foaie de parcurs (inclusiv calendarul) pentru emiterea deciziilor/circularelor legate de reforma cadrului juridic privind combaterea contrabandei.</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Autoritatea Independentă pentru Venituri Publice emite </w:t>
            </w:r>
            <w:r>
              <w:rPr>
                <w:noProof/>
                <w:color w:val="006100"/>
                <w:sz w:val="18"/>
                <w:szCs w:val="18"/>
              </w:rPr>
              <w:t>un raport privind foaia de parcurs pentru emiterea deciziilor/circularelor, detaliind etapele necesare pentru reproiectarea sistemelor de informații operaționale ICISNET și ELENXIS, cu scopul de a prioritiza în mod eficace riscurile de neconformitate și de</w:t>
            </w:r>
            <w:r>
              <w:rPr>
                <w:noProof/>
                <w:color w:val="006100"/>
                <w:sz w:val="18"/>
                <w:szCs w:val="18"/>
              </w:rPr>
              <w:t xml:space="preserve"> a genera cele mai bune profiluri de audit posibile, utilizând informații din bazele de date ale Uniunii Europene și naționale.</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191</w:t>
            </w:r>
          </w:p>
        </w:tc>
        <w:tc>
          <w:tcPr>
            <w:tcW w:w="153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12 - 4.1. Favorizarea creșterii economice și îmbunătățirea administrației fiscale și a colectării impozitelor — 16656_noul </w:t>
            </w:r>
            <w:r>
              <w:rPr>
                <w:noProof/>
                <w:color w:val="006100"/>
                <w:sz w:val="18"/>
                <w:szCs w:val="18"/>
              </w:rPr>
              <w:t>cadru de combatere a contrabandei, în special pentru produsele supuse accizelor (tutun, alcool și energie)</w:t>
            </w:r>
          </w:p>
        </w:tc>
        <w:tc>
          <w:tcPr>
            <w:tcW w:w="96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Combaterea introducerii ilegale de migranți — adoptarea deciziilor de reglementare</w:t>
            </w:r>
          </w:p>
        </w:tc>
        <w:tc>
          <w:tcPr>
            <w:tcW w:w="18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Deciziile/circularele de reglementare au intrat în vigoare.</w:t>
            </w: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6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1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15 decizii/circulare de reglementare adoptate de Autoritatea Independentă pentru Venituri Publice privind conceperea unui nou sistem integrat de combatere a contrabandei.</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În conformitate cu foaia de parcurs stabilită până </w:t>
            </w:r>
            <w:r>
              <w:rPr>
                <w:noProof/>
                <w:color w:val="006100"/>
                <w:sz w:val="18"/>
                <w:szCs w:val="18"/>
              </w:rPr>
              <w:t>la 31 martie 2022, decizia/circularele intrate în vigoare se referă la pregătirea unui nou sistem integrat care va sprijini procesul de audit prin monitorizarea tranzacțiilor și procedurilor vamale în timp real. Acest sistem funcționează urmărind o direcți</w:t>
            </w:r>
            <w:r>
              <w:rPr>
                <w:noProof/>
                <w:color w:val="006100"/>
                <w:sz w:val="18"/>
                <w:szCs w:val="18"/>
              </w:rPr>
              <w:t>onare mai bună și mai rapidă a serviciilor vamale de urmărire penală cu supraveghere centrală și în punctele de interes major.</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192</w:t>
            </w:r>
          </w:p>
        </w:tc>
        <w:tc>
          <w:tcPr>
            <w:tcW w:w="153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highlight w:val="yellow"/>
              </w:rPr>
            </w:pPr>
            <w:r>
              <w:rPr>
                <w:noProof/>
                <w:color w:val="006100"/>
                <w:sz w:val="18"/>
                <w:szCs w:val="18"/>
              </w:rPr>
              <w:t xml:space="preserve">12 - 4.1. O impozitare mai favorabilă creșterii economice și o mai bună administrare fiscală și colectare a impozitelor — </w:t>
            </w:r>
            <w:r>
              <w:rPr>
                <w:noProof/>
                <w:color w:val="006100"/>
                <w:sz w:val="18"/>
                <w:szCs w:val="18"/>
              </w:rPr>
              <w:t>16611_Transformarea digitală a auditurilor fiscale</w:t>
            </w:r>
          </w:p>
          <w:p w:rsidR="00780A28" w:rsidRDefault="00780A28">
            <w:pPr>
              <w:spacing w:after="0" w:line="240" w:lineRule="auto"/>
              <w:rPr>
                <w:rFonts w:eastAsia="Times New Roman" w:cs="Calibri"/>
                <w:noProof/>
                <w:color w:val="006100"/>
                <w:sz w:val="18"/>
                <w:szCs w:val="18"/>
                <w:lang w:eastAsia="en-GB"/>
              </w:rPr>
            </w:pPr>
          </w:p>
        </w:tc>
        <w:tc>
          <w:tcPr>
            <w:tcW w:w="96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Audituri fiscale — MyData și informații bancare</w:t>
            </w:r>
          </w:p>
        </w:tc>
        <w:tc>
          <w:tcPr>
            <w:tcW w:w="18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Autorității Independente pentru Venituri Publice care atestă:</w:t>
            </w:r>
          </w:p>
          <w:p w:rsidR="00780A28" w:rsidRDefault="001867D7">
            <w:pPr>
              <w:spacing w:after="0" w:line="240" w:lineRule="auto"/>
              <w:rPr>
                <w:rFonts w:eastAsia="Times New Roman" w:cs="Calibri"/>
                <w:noProof/>
                <w:color w:val="006100"/>
                <w:sz w:val="18"/>
                <w:szCs w:val="18"/>
              </w:rPr>
            </w:pPr>
            <w:r>
              <w:rPr>
                <w:noProof/>
                <w:color w:val="006100"/>
                <w:sz w:val="18"/>
                <w:szCs w:val="18"/>
              </w:rPr>
              <w:t>a) activarea completă a sistemului MyData.</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b) Finalizarea proiectului de </w:t>
            </w:r>
            <w:r>
              <w:rPr>
                <w:noProof/>
                <w:color w:val="006100"/>
                <w:sz w:val="18"/>
                <w:szCs w:val="18"/>
              </w:rPr>
              <w:t>interconectare și utilizare a informațiilor bancare ale terților de către Autoritatea Independentă pentru Venituri Publice.</w:t>
            </w: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6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517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Se preconizează că activarea sistemului MyData și interconectarea și utilizarea informațiilor bancare ale terților vor îm</w:t>
            </w:r>
            <w:r>
              <w:rPr>
                <w:noProof/>
                <w:color w:val="006100"/>
                <w:sz w:val="18"/>
                <w:szCs w:val="18"/>
              </w:rPr>
              <w:t xml:space="preserve">bunătăți respectarea de către întreprinderi a normelor fiscale, performanța Autorității Independente pentru Venituri Publice în ceea ce privește colectarea veniturilor publice și controlul și combaterea contrabandei. </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193</w:t>
            </w:r>
          </w:p>
        </w:tc>
        <w:tc>
          <w:tcPr>
            <w:tcW w:w="153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12 - 4.1. O impozitare mai </w:t>
            </w:r>
            <w:r>
              <w:rPr>
                <w:noProof/>
                <w:color w:val="006100"/>
                <w:sz w:val="18"/>
                <w:szCs w:val="18"/>
              </w:rPr>
              <w:t>favorabilă creșterii economice și o mai bună administrare fiscală și colectare a impozitelor — 16610_Promovarea accelerării rambursărilor de TVA</w:t>
            </w:r>
          </w:p>
        </w:tc>
        <w:tc>
          <w:tcPr>
            <w:tcW w:w="96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Rambursarea complet automatizată a TVA — lansarea sistemului informatic</w:t>
            </w:r>
          </w:p>
        </w:tc>
        <w:tc>
          <w:tcPr>
            <w:tcW w:w="18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Autorității Independente</w:t>
            </w:r>
            <w:r>
              <w:rPr>
                <w:noProof/>
                <w:color w:val="006100"/>
                <w:sz w:val="18"/>
                <w:szCs w:val="18"/>
              </w:rPr>
              <w:t xml:space="preserve"> pentru Venituri Publice care atestă lansarea noului sistem informatic.</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5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Punerea în aplicare a procedurii complet automatizate de rambursare a TVA și a platformei IT care să permită completarea electronică a tuturor cererilor de rambursare, atunc</w:t>
            </w:r>
            <w:r>
              <w:rPr>
                <w:noProof/>
                <w:color w:val="006100"/>
                <w:sz w:val="18"/>
                <w:szCs w:val="18"/>
              </w:rPr>
              <w:t>i când acestea nu se încadrează în eșantionul de audit prin procesul de analiză a riscurilor (cel puțin 90 % din totalul cererilor anual).</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194</w:t>
            </w:r>
          </w:p>
        </w:tc>
        <w:tc>
          <w:tcPr>
            <w:tcW w:w="153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12 - 4.1. O impozitare mai favorabilă creșterii economice și o mai bună administrare fiscală și colectare a impozitelor </w:t>
            </w:r>
          </w:p>
          <w:p w:rsidR="00780A28" w:rsidRDefault="001867D7">
            <w:pPr>
              <w:spacing w:after="0" w:line="240" w:lineRule="auto"/>
              <w:rPr>
                <w:rFonts w:eastAsia="Times New Roman" w:cs="Calibri"/>
                <w:noProof/>
                <w:color w:val="006100"/>
                <w:sz w:val="18"/>
                <w:szCs w:val="18"/>
              </w:rPr>
            </w:pPr>
            <w:r>
              <w:rPr>
                <w:noProof/>
                <w:color w:val="006100"/>
                <w:sz w:val="18"/>
                <w:szCs w:val="18"/>
              </w:rPr>
              <w:t>— 16611_Transformarea digitală a auditurilor fiscale</w:t>
            </w:r>
          </w:p>
        </w:tc>
        <w:tc>
          <w:tcPr>
            <w:tcW w:w="96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transformării digitale a auditurilor fiscale</w:t>
            </w:r>
          </w:p>
        </w:tc>
        <w:tc>
          <w:tcPr>
            <w:tcW w:w="18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w:t>
            </w:r>
            <w:r>
              <w:rPr>
                <w:noProof/>
                <w:color w:val="006100"/>
                <w:sz w:val="18"/>
                <w:szCs w:val="18"/>
              </w:rPr>
              <w:t>Autorității Independente pentru Venituri Publice care atestă operaționalizarea platformei de gestionare a cazurilor.</w:t>
            </w:r>
          </w:p>
          <w:p w:rsidR="00780A28" w:rsidRDefault="00780A28">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operaționalizării platformei de gestionare a cazurilor pentru auditurile fiscale, care utilizează sistemul de infor</w:t>
            </w:r>
            <w:r>
              <w:rPr>
                <w:noProof/>
                <w:color w:val="006100"/>
                <w:sz w:val="18"/>
                <w:szCs w:val="18"/>
              </w:rPr>
              <w:t>mații comerciale/analiză a datelor care sprijină transformarea digitală, cu scopul de a consolida capacitatea Autorității Independente pentru Venituri Publice de a-și îndeplini obligațiile în calitate de autoritate pe deplin independentă (în conformitate c</w:t>
            </w:r>
            <w:r>
              <w:rPr>
                <w:noProof/>
                <w:color w:val="006100"/>
                <w:sz w:val="18"/>
                <w:szCs w:val="18"/>
              </w:rPr>
              <w:t xml:space="preserve">u Legea nr. 4389/2016 a Autorității Independente pentru Venituri Publice). </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195</w:t>
            </w:r>
          </w:p>
        </w:tc>
        <w:tc>
          <w:tcPr>
            <w:tcW w:w="153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12 - 4.1. O impozitare mai favorabilă creșterii economice și o mai bună administrare fiscală și colectare a impozitelor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16291_Transformarea digitală a administrației </w:t>
            </w:r>
            <w:r>
              <w:rPr>
                <w:noProof/>
                <w:color w:val="006100"/>
                <w:sz w:val="18"/>
                <w:szCs w:val="18"/>
              </w:rPr>
              <w:t>fiscale și vamale</w:t>
            </w:r>
          </w:p>
        </w:tc>
        <w:tc>
          <w:tcPr>
            <w:tcW w:w="96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rezultatelor primei faze a mediului informatic integrat fiscal și de audit al Autorității Independente pentru Venituri Publice, ca parte a transformării sale digitale </w:t>
            </w:r>
          </w:p>
        </w:tc>
        <w:tc>
          <w:tcPr>
            <w:tcW w:w="18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Autorității Independente pentru Venituri Publice care atestă finalizarea primelor rezultate ale mediului informatic integrat. </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rezultatelor primei faze a mediului informatic integrat (înlocuind TAXIS, TAXISnet și Elenxis) pe</w:t>
            </w:r>
            <w:r>
              <w:rPr>
                <w:noProof/>
                <w:color w:val="006100"/>
                <w:sz w:val="18"/>
                <w:szCs w:val="18"/>
              </w:rPr>
              <w:t>ntru a sprijini toate procedurile fiscale și de audit pentru Autoritatea Independentă pentru Venituri Publice, cetățeni și întreprinderi, contribuind la transformarea digitală. Aceste rezultate trebuie să constea în toate studiile de proiect necesare, în r</w:t>
            </w:r>
            <w:r>
              <w:rPr>
                <w:noProof/>
                <w:color w:val="006100"/>
                <w:sz w:val="18"/>
                <w:szCs w:val="18"/>
              </w:rPr>
              <w:t>eproiectarea și punerea în aplicare completă a bazei de date, în furnizarea de interfețe de date și în introducerea subsistemelor din prima fază (inclusiv registrul fiscal, contabilitatea). Proiectul consolidează capacitatea Autorității Independente pentru</w:t>
            </w:r>
            <w:r>
              <w:rPr>
                <w:noProof/>
                <w:color w:val="006100"/>
                <w:sz w:val="18"/>
                <w:szCs w:val="18"/>
              </w:rPr>
              <w:t xml:space="preserve"> Venituri Publice de a-și îndeplini obligațiile în calitate de autoritate pe deplin independentă (în conformitate cu Legea nr. 4389/2016 a Autorității Independente pentru Venituri Publice). </w:t>
            </w:r>
          </w:p>
        </w:tc>
      </w:tr>
      <w:tr w:rsidR="00780A28">
        <w:trPr>
          <w:trHeight w:val="2307"/>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196</w:t>
            </w:r>
          </w:p>
        </w:tc>
        <w:tc>
          <w:tcPr>
            <w:tcW w:w="153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12 - 4.1. O impozitare mai favorabilă creșterii economice și o mai bună administrare fiscală și colectare a impozitelor </w:t>
            </w:r>
          </w:p>
          <w:p w:rsidR="00780A28" w:rsidRDefault="001867D7">
            <w:pPr>
              <w:spacing w:after="0" w:line="240" w:lineRule="auto"/>
              <w:rPr>
                <w:rFonts w:eastAsia="Times New Roman" w:cs="Calibri"/>
                <w:noProof/>
                <w:color w:val="006100"/>
                <w:sz w:val="18"/>
                <w:szCs w:val="18"/>
              </w:rPr>
            </w:pPr>
            <w:r>
              <w:rPr>
                <w:noProof/>
                <w:color w:val="006100"/>
                <w:sz w:val="18"/>
                <w:szCs w:val="18"/>
              </w:rPr>
              <w:t>— 16291_Transformarea digitală a administrației fiscale și vamale</w:t>
            </w:r>
          </w:p>
        </w:tc>
        <w:tc>
          <w:tcPr>
            <w:tcW w:w="96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Lansarea sistemului de supraveghere a vehiculelor comerciale și</w:t>
            </w:r>
            <w:r>
              <w:rPr>
                <w:noProof/>
                <w:color w:val="006100"/>
                <w:sz w:val="18"/>
                <w:szCs w:val="18"/>
              </w:rPr>
              <w:t xml:space="preserve"> a containerelor</w:t>
            </w:r>
          </w:p>
        </w:tc>
        <w:tc>
          <w:tcPr>
            <w:tcW w:w="18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Autorității Independente pentru Venituri Publice care atestă </w:t>
            </w:r>
          </w:p>
          <w:p w:rsidR="00780A28" w:rsidRDefault="001867D7">
            <w:pPr>
              <w:spacing w:after="0" w:line="240" w:lineRule="auto"/>
              <w:rPr>
                <w:rFonts w:eastAsia="Times New Roman" w:cs="Calibri"/>
                <w:noProof/>
                <w:color w:val="006100"/>
                <w:sz w:val="18"/>
                <w:szCs w:val="18"/>
              </w:rPr>
            </w:pPr>
            <w:r>
              <w:rPr>
                <w:noProof/>
                <w:color w:val="006100"/>
                <w:sz w:val="18"/>
                <w:szCs w:val="18"/>
              </w:rPr>
              <w:t>lansarea sistemului de supraveghere a vehiculelor comerciale și a containerelor.</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9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17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punerii în aplicare a unui sistem de supraveghere a vehiculelor comerciale și a containerelor pe baza rețelelor de internet al obiectelor (tehnologia 5G) pentru efectuarea operațiunilor de urmărire în sprijinul transformării digitale, cu scopul</w:t>
            </w:r>
            <w:r>
              <w:rPr>
                <w:noProof/>
                <w:color w:val="006100"/>
                <w:sz w:val="18"/>
                <w:szCs w:val="18"/>
              </w:rPr>
              <w:t xml:space="preserve"> de a consolida capacitatea Autorității Independente pentru Venituri Publice de a-și îndeplini obligațiile în calitate de autoritate pe deplin independentă (în conformitate cu Legea nr. 4389/2016 a Autorității Independente pentru Venituri Publice), prin la</w:t>
            </w:r>
            <w:r>
              <w:rPr>
                <w:noProof/>
                <w:color w:val="006100"/>
                <w:sz w:val="18"/>
                <w:szCs w:val="18"/>
              </w:rPr>
              <w:t xml:space="preserve">nsarea sistemului de supraveghere a vehiculelor comerciale și a containerelor. </w:t>
            </w:r>
          </w:p>
        </w:tc>
      </w:tr>
    </w:tbl>
    <w:p w:rsidR="00780A28" w:rsidRDefault="00780A28">
      <w:pPr>
        <w:spacing w:before="120" w:after="120" w:line="240" w:lineRule="auto"/>
        <w:ind w:left="709"/>
        <w:jc w:val="both"/>
        <w:rPr>
          <w:rFonts w:ascii="Times New Roman" w:hAnsi="Times New Roman" w:cs="Times New Roman"/>
          <w:noProof/>
          <w:sz w:val="24"/>
          <w:szCs w:val="24"/>
        </w:rPr>
        <w:sectPr w:rsidR="00780A28">
          <w:headerReference w:type="even" r:id="rId191"/>
          <w:headerReference w:type="default" r:id="rId192"/>
          <w:footerReference w:type="even" r:id="rId193"/>
          <w:footerReference w:type="default" r:id="rId194"/>
          <w:headerReference w:type="first" r:id="rId195"/>
          <w:footerReference w:type="first" r:id="rId196"/>
          <w:pgSz w:w="16839" w:h="11907" w:orient="landscape"/>
          <w:pgMar w:top="720" w:right="720" w:bottom="720" w:left="720" w:header="709" w:footer="709" w:gutter="0"/>
          <w:cols w:space="720"/>
          <w:docGrid w:linePitch="360"/>
        </w:sect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18: Politica fiscală</w:t>
      </w:r>
    </w:p>
    <w:p w:rsidR="00780A28" w:rsidRDefault="001867D7">
      <w:pPr>
        <w:numPr>
          <w:ilvl w:val="0"/>
          <w:numId w:val="35"/>
        </w:numPr>
        <w:spacing w:before="120" w:after="0" w:line="240" w:lineRule="auto"/>
        <w:jc w:val="both"/>
        <w:rPr>
          <w:rFonts w:ascii="Times New Roman" w:hAnsi="Times New Roman" w:cs="Times New Roman"/>
          <w:noProof/>
        </w:rPr>
      </w:pPr>
      <w:r>
        <w:rPr>
          <w:rFonts w:ascii="Times New Roman" w:hAnsi="Times New Roman"/>
          <w:noProof/>
          <w:sz w:val="24"/>
        </w:rPr>
        <w:t>Codificarea și simplificarea legislației, normelor și procedurilor fiscale (ID: 16643)</w:t>
      </w:r>
    </w:p>
    <w:p w:rsidR="00780A28" w:rsidRDefault="001867D7">
      <w:pPr>
        <w:numPr>
          <w:ilvl w:val="0"/>
          <w:numId w:val="35"/>
        </w:numPr>
        <w:spacing w:before="120" w:after="0" w:line="240" w:lineRule="auto"/>
        <w:jc w:val="both"/>
        <w:rPr>
          <w:rFonts w:ascii="Times New Roman" w:hAnsi="Times New Roman" w:cs="Times New Roman"/>
          <w:noProof/>
          <w:sz w:val="24"/>
        </w:rPr>
      </w:pPr>
      <w:r>
        <w:rPr>
          <w:rFonts w:ascii="Times New Roman" w:hAnsi="Times New Roman"/>
          <w:noProof/>
          <w:sz w:val="24"/>
        </w:rPr>
        <w:t>Adoptarea de măsuri și stimulente pentru intensificarea tranzacțiilor electronice (ID: 16973)</w:t>
      </w:r>
    </w:p>
    <w:p w:rsidR="00780A28" w:rsidRDefault="001867D7">
      <w:pPr>
        <w:numPr>
          <w:ilvl w:val="0"/>
          <w:numId w:val="35"/>
        </w:numPr>
        <w:spacing w:before="120" w:after="0" w:line="240" w:lineRule="auto"/>
        <w:jc w:val="both"/>
        <w:rPr>
          <w:rFonts w:ascii="Times New Roman" w:hAnsi="Times New Roman" w:cs="Times New Roman"/>
          <w:noProof/>
          <w:sz w:val="24"/>
        </w:rPr>
      </w:pPr>
      <w:r>
        <w:rPr>
          <w:rFonts w:ascii="Times New Roman" w:hAnsi="Times New Roman"/>
          <w:noProof/>
          <w:sz w:val="24"/>
        </w:rPr>
        <w:t>Super — deducerea cheltuielilor IMM-urilor pentru economia ecologică, energie și digitalizare (ID: 16863)</w:t>
      </w:r>
    </w:p>
    <w:p w:rsidR="00780A28" w:rsidRDefault="001867D7">
      <w:pPr>
        <w:numPr>
          <w:ilvl w:val="0"/>
          <w:numId w:val="35"/>
        </w:numPr>
        <w:spacing w:before="120" w:after="120" w:line="240" w:lineRule="auto"/>
        <w:jc w:val="both"/>
        <w:rPr>
          <w:rFonts w:ascii="Times New Roman" w:hAnsi="Times New Roman" w:cs="Times New Roman"/>
          <w:noProof/>
          <w:sz w:val="24"/>
        </w:rPr>
      </w:pPr>
      <w:r>
        <w:rPr>
          <w:rFonts w:ascii="Times New Roman" w:hAnsi="Times New Roman"/>
          <w:noProof/>
          <w:sz w:val="24"/>
        </w:rPr>
        <w:t>Regimul de stimulare a productivității și a extinderii î</w:t>
      </w:r>
      <w:r>
        <w:rPr>
          <w:rFonts w:ascii="Times New Roman" w:hAnsi="Times New Roman"/>
          <w:noProof/>
          <w:sz w:val="24"/>
        </w:rPr>
        <w:t>ntreprinderilor (creșterea dimensiunii întreprinderilor) (ID: 16598)</w:t>
      </w:r>
    </w:p>
    <w:tbl>
      <w:tblPr>
        <w:tblW w:w="15871" w:type="dxa"/>
        <w:jc w:val="center"/>
        <w:tblLook w:val="04A0" w:firstRow="1" w:lastRow="0" w:firstColumn="1" w:lastColumn="0" w:noHBand="0" w:noVBand="1"/>
      </w:tblPr>
      <w:tblGrid>
        <w:gridCol w:w="1027"/>
        <w:gridCol w:w="1835"/>
        <w:gridCol w:w="1107"/>
        <w:gridCol w:w="1345"/>
        <w:gridCol w:w="1984"/>
        <w:gridCol w:w="866"/>
        <w:gridCol w:w="896"/>
        <w:gridCol w:w="866"/>
        <w:gridCol w:w="993"/>
        <w:gridCol w:w="708"/>
        <w:gridCol w:w="4830"/>
      </w:tblGrid>
      <w:tr w:rsidR="00780A28">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83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137"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calitativi (pentru jaloane)</w:t>
            </w:r>
          </w:p>
        </w:tc>
        <w:tc>
          <w:tcPr>
            <w:tcW w:w="2391"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cantitativi (pentru ținte)</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w:t>
            </w:r>
            <w:r>
              <w:rPr>
                <w:rFonts w:ascii="Times New Roman" w:hAnsi="Times New Roman"/>
                <w:b/>
                <w:bCs/>
                <w:noProof/>
                <w:sz w:val="18"/>
                <w:szCs w:val="18"/>
              </w:rPr>
              <w:t xml:space="preserve">jaloanelor/țintelor </w:t>
            </w:r>
          </w:p>
        </w:tc>
        <w:tc>
          <w:tcPr>
            <w:tcW w:w="483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835"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37"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85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66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99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0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197</w:t>
            </w:r>
          </w:p>
          <w:p w:rsidR="00780A28" w:rsidRDefault="00780A28">
            <w:pPr>
              <w:rPr>
                <w:rFonts w:eastAsia="Times New Roman" w:cs="Calibri"/>
                <w:noProof/>
                <w:sz w:val="18"/>
                <w:szCs w:val="18"/>
                <w:lang w:eastAsia="en-GB"/>
              </w:rPr>
            </w:pPr>
          </w:p>
          <w:p w:rsidR="00780A28" w:rsidRDefault="00780A28">
            <w:pPr>
              <w:spacing w:after="0" w:line="240" w:lineRule="auto"/>
              <w:rPr>
                <w:rFonts w:eastAsia="Times New Roman" w:cs="Calibri"/>
                <w:noProof/>
                <w:color w:val="006100"/>
                <w:sz w:val="18"/>
                <w:szCs w:val="18"/>
                <w:lang w:eastAsia="en-GB"/>
              </w:rPr>
            </w:pPr>
          </w:p>
        </w:tc>
        <w:tc>
          <w:tcPr>
            <w:tcW w:w="18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12 - 4.1. O impozitare mai favorabilă creșterii economice și o mai bună administrare fiscală și colectare a impozitelor — 16863_Super — deducerea cheltuielilor pentru economia ecologică, energie și tranziția digitală</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Super-deducere pentru investiții</w:t>
            </w:r>
            <w:r>
              <w:rPr>
                <w:noProof/>
                <w:color w:val="006100"/>
                <w:sz w:val="18"/>
                <w:szCs w:val="18"/>
              </w:rPr>
              <w:t>le verzi și digitale ale IMM-urilor</w:t>
            </w:r>
          </w:p>
        </w:tc>
        <w:tc>
          <w:tcPr>
            <w:tcW w:w="198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primare și secundare pentru super-deducere pentru investițiile verzi și digitale ale IMM-urilor</w:t>
            </w: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primare și a legislației secundare pentru introducerea superdeducerii în scopuri fiscale a cheltuielilor eligibile ale IMM-urilor pentru investiții în economia ecologică și în digitalizare </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198</w:t>
            </w:r>
          </w:p>
        </w:tc>
        <w:tc>
          <w:tcPr>
            <w:tcW w:w="18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12 - 4.1. O impozitare mai </w:t>
            </w:r>
            <w:r>
              <w:rPr>
                <w:noProof/>
                <w:color w:val="006100"/>
                <w:sz w:val="18"/>
                <w:szCs w:val="18"/>
              </w:rPr>
              <w:t>favorabilă creșterii economice și o mai bună administrare fiscală și colectare a impozitelor — 16616_Adoptarea de măsuri și stimulente pentru intensificarea tranzacțiilor electronice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Legislație pentru încurajarea tranzacțiilor electronice</w:t>
            </w:r>
          </w:p>
        </w:tc>
        <w:tc>
          <w:tcPr>
            <w:tcW w:w="198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primare și secundare, care oferă stimulente pentru consolidarea tranzacțiilor electronice </w:t>
            </w: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modificării cadrului juridic primar și secundar care oferă stimulente specifice pentru consolidarea tranzacțiilor electronice </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199</w:t>
            </w:r>
          </w:p>
        </w:tc>
        <w:tc>
          <w:tcPr>
            <w:tcW w:w="18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12 - 4.1. O impozitare mai favorabilă creșterii economice și o mai bună administrare fiscală și </w:t>
            </w:r>
            <w:r>
              <w:rPr>
                <w:noProof/>
                <w:color w:val="006100"/>
                <w:sz w:val="18"/>
                <w:szCs w:val="18"/>
              </w:rPr>
              <w:t>colectare a impozitelor — 16643_Codificarea și simplificarea legislației fiscale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Calendarul pentru codificarea fiscală</w:t>
            </w:r>
          </w:p>
        </w:tc>
        <w:tc>
          <w:tcPr>
            <w:tcW w:w="198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Publicarea legislației secundare cu înființarea de comitete și calendarul pentru codificarea fiscală.</w:t>
            </w:r>
          </w:p>
          <w:p w:rsidR="00780A28" w:rsidRDefault="00780A28">
            <w:pPr>
              <w:spacing w:after="0" w:line="240" w:lineRule="auto"/>
              <w:rPr>
                <w:rFonts w:eastAsia="Times New Roman" w:cs="Calibri"/>
                <w:noProof/>
                <w:color w:val="006100"/>
                <w:sz w:val="18"/>
                <w:szCs w:val="18"/>
                <w:lang w:eastAsia="en-GB"/>
              </w:rPr>
            </w:pP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Calendar cuprinzător al rezultatelor în materie de codificare fiscală, inclusiv înființarea comitetelor relevante, calendarul detaliat al Ministerului Finanțelor și al AIVP pentru codificarea legislației fiscale și a acordurilor de consultare. </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200</w:t>
            </w:r>
          </w:p>
        </w:tc>
        <w:tc>
          <w:tcPr>
            <w:tcW w:w="18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18 - </w:t>
            </w:r>
            <w:r>
              <w:rPr>
                <w:noProof/>
                <w:color w:val="006100"/>
                <w:sz w:val="18"/>
                <w:szCs w:val="18"/>
              </w:rPr>
              <w:t>4.7. Îmbunătățirea competitivității și promovarea investițiilor private și a comerțului — 16598_Regimul de stimulare a productivității și a extinderii întreprinderilor (creșterea dimensiunii întreprinderilor)</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Proiect de act legislativ pentru încuraja</w:t>
            </w:r>
            <w:r>
              <w:rPr>
                <w:noProof/>
                <w:color w:val="006100"/>
                <w:sz w:val="18"/>
                <w:szCs w:val="18"/>
              </w:rPr>
              <w:t>rea extinderii întreprinderilor</w:t>
            </w:r>
          </w:p>
        </w:tc>
        <w:tc>
          <w:tcPr>
            <w:tcW w:w="198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Proiecte de legislație primară și secundară pentru a încuraja extinderea întreprinderilor. </w:t>
            </w: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6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483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Proiecte în vederea consultării legislației primare și secundare care oferă îmbunătățiri ale cadrului juridic în domeniul</w:t>
            </w:r>
            <w:r>
              <w:rPr>
                <w:noProof/>
                <w:color w:val="006100"/>
                <w:sz w:val="18"/>
                <w:szCs w:val="18"/>
              </w:rPr>
              <w:t xml:space="preserve"> fiscal, financiar și al acordării de licențe, precum și stimulente pentru fuziuni, transformări și achiziții</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201</w:t>
            </w:r>
          </w:p>
        </w:tc>
        <w:tc>
          <w:tcPr>
            <w:tcW w:w="18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18 - 4.7. Îmbunătățirea competitivității și promovarea investițiilor private și a comerțului — 16598_Regimul de stimulare a productivității </w:t>
            </w:r>
            <w:r>
              <w:rPr>
                <w:noProof/>
                <w:color w:val="006100"/>
                <w:sz w:val="18"/>
                <w:szCs w:val="18"/>
              </w:rPr>
              <w:t>ș</w:t>
            </w:r>
            <w:r>
              <w:rPr>
                <w:noProof/>
                <w:color w:val="006100"/>
                <w:sz w:val="18"/>
                <w:szCs w:val="18"/>
              </w:rPr>
              <w:t>i a extinderii întreprinderilor (creșterea dimensiunii întreprinderilor)</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Legislație menită să încurajeze extinderea întreprinderilor</w:t>
            </w:r>
          </w:p>
        </w:tc>
        <w:tc>
          <w:tcPr>
            <w:tcW w:w="198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pentru încurajarea extinderii întreprinderilor</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7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83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w:t>
            </w:r>
            <w:r>
              <w:rPr>
                <w:noProof/>
                <w:color w:val="006100"/>
                <w:sz w:val="18"/>
                <w:szCs w:val="18"/>
              </w:rPr>
              <w:t>modificărilor care îmbunătățesc cadrul juridic al impozitelor, al finanțelor și al acordării de licențe, precum și stimulentele pentru fuziuni, transformări și achiziții</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w:t>
            </w:r>
          </w:p>
        </w:tc>
        <w:tc>
          <w:tcPr>
            <w:tcW w:w="18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4.1. O impozitare mai favorabilă creșterii economice și o mai bună administrare fiscală și colectare a impozitelor — 16643_Codificarea și simplificarea legislației fiscale</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Creșterea capacității de codificare fiscală</w:t>
            </w:r>
          </w:p>
        </w:tc>
        <w:tc>
          <w:tcPr>
            <w:tcW w:w="198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Publicarea legislației secundare </w:t>
            </w:r>
            <w:r>
              <w:rPr>
                <w:noProof/>
                <w:color w:val="006100"/>
                <w:sz w:val="18"/>
                <w:szCs w:val="18"/>
              </w:rPr>
              <w:t>pentru înființarea Unității de codificare fiscală în cadrul Direcției Ministerului Finanțelor și Furnizării de Servicii din cadrul IAPR.</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83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Înființarea unei unități fiscale specializate în cadrul Ministerului Finanțelor, responsabilă cu </w:t>
            </w:r>
            <w:r>
              <w:rPr>
                <w:noProof/>
                <w:color w:val="006100"/>
                <w:sz w:val="18"/>
                <w:szCs w:val="18"/>
              </w:rPr>
              <w:t>consolidarea și consecvența legislației fiscale primare și a deciziilor ministeriale; Înființarea unei direcții de prestări servicii în cadrul IAPR, responsabilă, printre altele, cu consolidarea legislației secundare, coordonarea competențelor AIVP în ceea</w:t>
            </w:r>
            <w:r>
              <w:rPr>
                <w:noProof/>
                <w:color w:val="006100"/>
                <w:sz w:val="18"/>
                <w:szCs w:val="18"/>
              </w:rPr>
              <w:t xml:space="preserve"> ce privește Codul de procedură fiscală, precum și actualizarea și întreținerea bazei de date fiscale publice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203</w:t>
            </w:r>
          </w:p>
        </w:tc>
        <w:tc>
          <w:tcPr>
            <w:tcW w:w="18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12 - 4.1. O impozitare mai favorabilă creșterii economice și o mai bună administrare fiscală și colectare a impozitelor — 16643_Codificarea </w:t>
            </w:r>
            <w:r>
              <w:rPr>
                <w:noProof/>
                <w:color w:val="006100"/>
                <w:sz w:val="18"/>
                <w:szCs w:val="18"/>
              </w:rPr>
              <w:t>ș</w:t>
            </w:r>
            <w:r>
              <w:rPr>
                <w:noProof/>
                <w:color w:val="006100"/>
                <w:sz w:val="18"/>
                <w:szCs w:val="18"/>
              </w:rPr>
              <w:t>i simplificarea legislației fiscale</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Recuperarea impozitelor pe venit și a codurilor de procedură fiscală</w:t>
            </w:r>
          </w:p>
        </w:tc>
        <w:tc>
          <w:tcPr>
            <w:tcW w:w="198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Adoptarea legislației fiscale primare și secundare codificate pentru Codul privind impozitele pe venit și Codul administrației fiscale</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83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Adoptarea Codului privind impozitele pe venit codificat și a Codului administrației fiscale (legislația primară și secundară) pentru a simplifica și a actualiza legislația în lumina digitalizării și a bunelor practici ale UE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204</w:t>
            </w:r>
          </w:p>
        </w:tc>
        <w:tc>
          <w:tcPr>
            <w:tcW w:w="18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12 - 4.1. O </w:t>
            </w:r>
            <w:r>
              <w:rPr>
                <w:noProof/>
                <w:color w:val="006100"/>
                <w:sz w:val="18"/>
                <w:szCs w:val="18"/>
              </w:rPr>
              <w:t>impozitare mai favorabilă creșterii economice și o mai bună administrare fiscală și colectare a impozitelor — 16643_Codificarea și simplificarea legislației fiscale</w:t>
            </w: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codificării fiscale inițiale și a sistemului de informații privind contri</w:t>
            </w:r>
            <w:r>
              <w:rPr>
                <w:noProof/>
                <w:color w:val="006100"/>
                <w:sz w:val="18"/>
                <w:szCs w:val="18"/>
              </w:rPr>
              <w:t>buabilii</w:t>
            </w:r>
          </w:p>
        </w:tc>
        <w:tc>
          <w:tcPr>
            <w:tcW w:w="198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w:t>
            </w:r>
            <w:r>
              <w:rPr>
                <w:i/>
                <w:iCs/>
                <w:noProof/>
                <w:color w:val="006100"/>
                <w:sz w:val="18"/>
                <w:szCs w:val="18"/>
              </w:rPr>
              <w:t>:</w:t>
            </w:r>
            <w:r>
              <w:rPr>
                <w:noProof/>
                <w:color w:val="006100"/>
                <w:sz w:val="18"/>
                <w:szCs w:val="18"/>
              </w:rPr>
              <w:t xml:space="preserve"> 1. Adoptarea legislației fiscale primare și secundare codificate. 2. Să furnizeze dovezi ale plăților și rezultatele auditurilor privind investițiile de codificare.</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b: 1. Publicarea legislației secundare și a unui ghid cuprinzător cu linkuri </w:t>
            </w:r>
            <w:r>
              <w:rPr>
                <w:noProof/>
                <w:color w:val="006100"/>
                <w:sz w:val="18"/>
                <w:szCs w:val="18"/>
              </w:rPr>
              <w:t>către sistemul de gestionare a conținutului și site-ul web al contribuabililor.</w:t>
            </w:r>
          </w:p>
          <w:p w:rsidR="00780A28" w:rsidRDefault="001867D7">
            <w:pPr>
              <w:spacing w:after="0" w:line="240" w:lineRule="auto"/>
              <w:rPr>
                <w:rFonts w:eastAsia="Times New Roman" w:cs="Calibri"/>
                <w:noProof/>
                <w:color w:val="006100"/>
                <w:sz w:val="18"/>
                <w:szCs w:val="18"/>
              </w:rPr>
            </w:pPr>
            <w:r>
              <w:rPr>
                <w:noProof/>
                <w:color w:val="006100"/>
                <w:sz w:val="18"/>
                <w:szCs w:val="18"/>
              </w:rPr>
              <w:t>2. Furnizarea de dovezi privind plata și rezultatele auditurilor investițiilor CMS</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6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83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 Introducerea codificării legislației primare și secundare în vederea simplifică</w:t>
            </w:r>
            <w:r>
              <w:rPr>
                <w:noProof/>
                <w:color w:val="006100"/>
                <w:sz w:val="18"/>
                <w:szCs w:val="18"/>
              </w:rPr>
              <w:t>rii și actualizării legislației în lumina digitalizării și a celor mai bune practici ale UE, inclusiv:</w:t>
            </w:r>
          </w:p>
          <w:p w:rsidR="00780A28" w:rsidRDefault="001867D7">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Codul TVA</w:t>
            </w:r>
          </w:p>
          <w:p w:rsidR="00780A28" w:rsidRDefault="001867D7">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Taxă de timbru</w:t>
            </w:r>
          </w:p>
          <w:p w:rsidR="00780A28" w:rsidRDefault="001867D7">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Impozitul pe proprietate</w:t>
            </w:r>
          </w:p>
          <w:p w:rsidR="00780A28" w:rsidRDefault="001867D7">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Colectarea datoriilor de stat (KEDE)</w:t>
            </w:r>
          </w:p>
          <w:p w:rsidR="00780A28" w:rsidRDefault="001867D7">
            <w:pPr>
              <w:numPr>
                <w:ilvl w:val="0"/>
                <w:numId w:val="44"/>
              </w:numPr>
              <w:spacing w:before="120" w:after="0" w:line="259" w:lineRule="auto"/>
              <w:contextualSpacing/>
              <w:jc w:val="both"/>
              <w:rPr>
                <w:rFonts w:eastAsia="Times New Roman" w:cs="Calibri"/>
                <w:noProof/>
                <w:color w:val="006100"/>
                <w:sz w:val="18"/>
                <w:szCs w:val="18"/>
              </w:rPr>
            </w:pPr>
            <w:r>
              <w:rPr>
                <w:noProof/>
                <w:color w:val="006100"/>
                <w:sz w:val="18"/>
                <w:szCs w:val="18"/>
              </w:rPr>
              <w:t>Codul vamal național</w:t>
            </w:r>
          </w:p>
          <w:p w:rsidR="00780A28" w:rsidRDefault="001867D7">
            <w:pPr>
              <w:spacing w:after="0" w:line="240" w:lineRule="auto"/>
              <w:rPr>
                <w:rFonts w:eastAsia="Times New Roman" w:cs="Calibri"/>
                <w:noProof/>
                <w:color w:val="006100"/>
                <w:sz w:val="18"/>
                <w:szCs w:val="18"/>
              </w:rPr>
            </w:pPr>
            <w:r>
              <w:rPr>
                <w:noProof/>
                <w:color w:val="006100"/>
                <w:sz w:val="18"/>
                <w:szCs w:val="18"/>
              </w:rPr>
              <w:t>b. crearea unui sistem de gestionare a conțin</w:t>
            </w:r>
            <w:r>
              <w:rPr>
                <w:noProof/>
                <w:color w:val="006100"/>
                <w:sz w:val="18"/>
                <w:szCs w:val="18"/>
              </w:rPr>
              <w:t>utului și a unui site web dedicat informațiilor privind contribuabilii.</w:t>
            </w:r>
          </w:p>
        </w:tc>
      </w:tr>
    </w:tbl>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197"/>
          <w:headerReference w:type="default" r:id="rId198"/>
          <w:footerReference w:type="even" r:id="rId199"/>
          <w:footerReference w:type="default" r:id="rId200"/>
          <w:headerReference w:type="first" r:id="rId201"/>
          <w:footerReference w:type="first" r:id="rId202"/>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M. COMPONENTA 4.2: MODERNIZAREA ADMINISTRAȚIEI PUBLICE, INCLUSIV PRIN ACCELERAREA PUNERII ÎN APLICARE A INVESTIȚIILOR </w:t>
      </w:r>
      <w:r>
        <w:rPr>
          <w:rFonts w:ascii="Times New Roman" w:hAnsi="Times New Roman"/>
          <w:b/>
          <w:bCs/>
          <w:noProof/>
          <w:sz w:val="24"/>
        </w:rPr>
        <w:t>PUBLICE, ÎMBUNĂTĂȚIREA CADRULUI DE ACHIZIȚII PUBLICE, MĂSURI DE CONSOLIDARE A CAPACITĂȚILOR ȘI COMBATEREA CORUPȚIEI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componentă a planului de redresare și reziliență al Greciei include un set de reforme ample, precum și investiții în funcționarea ad</w:t>
      </w:r>
      <w:r>
        <w:rPr>
          <w:rFonts w:ascii="Times New Roman" w:hAnsi="Times New Roman"/>
          <w:noProof/>
          <w:sz w:val="24"/>
        </w:rPr>
        <w:t>ministrației publice, în vederea îmbunătățirii elaborării și punerii în aplicare a politicilor. Componenta include măsuri de modernizare a administrației publice prin acțiuni specifice de consolidare a planificării și coordonării politicilor și a gestionăr</w:t>
      </w:r>
      <w:r>
        <w:rPr>
          <w:rFonts w:ascii="Times New Roman" w:hAnsi="Times New Roman"/>
          <w:noProof/>
          <w:sz w:val="24"/>
        </w:rPr>
        <w:t xml:space="preserve">ii resurselor umane. Alte măsuri vizează abordarea lipsei de pregătire a proiectelor pentru investițiile publice (inclusiv corupția) și consolidarea în continuare a domeniului gestionării finanțelor publice. Aceste reforme și investiții sprijină abordarea </w:t>
      </w:r>
      <w:r>
        <w:rPr>
          <w:rFonts w:ascii="Times New Roman" w:hAnsi="Times New Roman"/>
          <w:noProof/>
          <w:sz w:val="24"/>
        </w:rPr>
        <w:t>provocărilor legate de a) administrația publică digitală. Această componentă sprijină abordarea recomandărilor specifice fiecărei țări privind investițiile publice și private (recomandarea specifică fiecărei țări 3 2020) și reformele structurale pentru îmb</w:t>
      </w:r>
      <w:r>
        <w:rPr>
          <w:rFonts w:ascii="Times New Roman" w:hAnsi="Times New Roman"/>
          <w:noProof/>
          <w:sz w:val="24"/>
        </w:rPr>
        <w:t>unătățirea funcționării economiei (recomandarea specifică fiecărei țări 4 2020). Este de așteptat ca nicio măsură din cadrul acestei componente să nu afecteze în mod semnificativ obiectivele de mediu în sensul articolului 17 din Regulamentul (UE) 2020/852,</w:t>
      </w:r>
      <w:r>
        <w:rPr>
          <w:rFonts w:ascii="Times New Roman" w:hAnsi="Times New Roman"/>
          <w:noProof/>
          <w:sz w:val="24"/>
        </w:rPr>
        <w:t xml:space="preserve"> ținând seama de descrierea măsurilor și a măsurilor de atenuare stabilite în planul de redresare și reziliență în conformitate cu Orientările tehnice bazate pe principiul de „a nu aduce prejudicii semnificative” (2021/C58/01).</w:t>
      </w:r>
    </w:p>
    <w:p w:rsidR="00780A28" w:rsidRDefault="001867D7">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M.1. </w:t>
      </w:r>
      <w:r>
        <w:rPr>
          <w:rFonts w:ascii="Times New Roman" w:hAnsi="Times New Roman"/>
          <w:b/>
          <w:noProof/>
          <w:sz w:val="24"/>
          <w:u w:val="single"/>
        </w:rPr>
        <w:tab/>
      </w:r>
      <w:r>
        <w:rPr>
          <w:rFonts w:ascii="Times New Roman" w:hAnsi="Times New Roman"/>
          <w:b/>
          <w:bCs/>
          <w:noProof/>
          <w:sz w:val="24"/>
          <w:u w:val="single"/>
        </w:rPr>
        <w:t xml:space="preserve">Descrierea reformelor </w:t>
      </w:r>
      <w:r>
        <w:rPr>
          <w:rFonts w:ascii="Times New Roman" w:hAnsi="Times New Roman"/>
          <w:b/>
          <w:bCs/>
          <w:noProof/>
          <w:sz w:val="24"/>
          <w:u w:val="single"/>
        </w:rPr>
        <w:t>ș</w:t>
      </w:r>
      <w:r>
        <w:rPr>
          <w:rFonts w:ascii="Times New Roman" w:hAnsi="Times New Roman"/>
          <w:b/>
          <w:bCs/>
          <w:noProof/>
          <w:sz w:val="24"/>
          <w:u w:val="single"/>
        </w:rPr>
        <w:t>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Reforma administrației publice (numărul de identificare al măsurii:16972)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reformă urmărește să continue eforturile de modernizare a administrației publ</w:t>
      </w:r>
      <w:r>
        <w:rPr>
          <w:rFonts w:ascii="Times New Roman" w:hAnsi="Times New Roman"/>
          <w:noProof/>
          <w:sz w:val="24"/>
        </w:rPr>
        <w:t>ice și de investiții în resursele sale umane prin punerea în aplicare a următoarelor acțiuni:</w:t>
      </w:r>
    </w:p>
    <w:p w:rsidR="00780A28" w:rsidRDefault="001867D7">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Intrarea în vigoare a cadrului legislativ revizuit pentru a raționaliza alocarea responsabilităților între nivelul central, regional și local și cadrele de guvern</w:t>
      </w:r>
      <w:r>
        <w:rPr>
          <w:rFonts w:ascii="Times New Roman" w:hAnsi="Times New Roman"/>
          <w:noProof/>
          <w:sz w:val="24"/>
        </w:rPr>
        <w:t xml:space="preserve">anță respective; </w:t>
      </w:r>
    </w:p>
    <w:p w:rsidR="00780A28" w:rsidRDefault="001867D7">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Instituirea unui cadru strategic de planificare a forței de muncă care să utilizeze un instrument bazat pe inteligența artificială; </w:t>
      </w:r>
    </w:p>
    <w:p w:rsidR="00780A28" w:rsidRDefault="001867D7">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Modernizarea procedurilor de angajare pe baza legii actualizate de abilitare (Legea 4765/2021) pentru ca </w:t>
      </w:r>
      <w:r>
        <w:rPr>
          <w:rFonts w:ascii="Times New Roman" w:hAnsi="Times New Roman"/>
          <w:noProof/>
          <w:sz w:val="24"/>
        </w:rPr>
        <w:t>Consiliul Suprem pentru Selecția Personalului Civil (ASEP) să poată desfășura procedurile de selecție într-un mod complet digitalizat;</w:t>
      </w:r>
    </w:p>
    <w:p w:rsidR="00780A28" w:rsidRDefault="001867D7">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Perfecționarea/recalificarea în administrația publică pentru cel puțin 250 000 de funcționari publici; </w:t>
      </w:r>
    </w:p>
    <w:p w:rsidR="00780A28" w:rsidRDefault="001867D7">
      <w:pPr>
        <w:numPr>
          <w:ilvl w:val="0"/>
          <w:numId w:val="60"/>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Introducerea unui</w:t>
      </w:r>
      <w:r>
        <w:rPr>
          <w:rFonts w:ascii="Times New Roman" w:hAnsi="Times New Roman"/>
          <w:noProof/>
          <w:sz w:val="24"/>
        </w:rPr>
        <w:t xml:space="preserve"> sistem de recompense pentru funcționarii publici, corelat cu un sistem de gestionare a obiectivelor, care să fie pe deplin compatibil cu grila salarială unificată (Legea nr. 4354/2015), fără a stabili nicio excepție. Rezultatele programului-pilot care viz</w:t>
      </w:r>
      <w:r>
        <w:rPr>
          <w:rFonts w:ascii="Times New Roman" w:hAnsi="Times New Roman"/>
          <w:noProof/>
          <w:sz w:val="24"/>
        </w:rPr>
        <w:t>ează până la 6 000 de funcționari publici contribuie la un studiu mai amplu pentru a oferi orientări în ceea ce privește instituirea unui sistem de recompense care va fi pus în aplicare până la 31 decembrie 2023.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reformei trebuie finalizată p</w:t>
      </w:r>
      <w:r>
        <w:rPr>
          <w:rFonts w:ascii="Times New Roman" w:hAnsi="Times New Roman"/>
          <w:noProof/>
          <w:sz w:val="24"/>
        </w:rPr>
        <w:t>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Combaterea traficului ilicit și protejarea proprietății intelectuale (numărul de identificare al măsurii:16703)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vizează consolidarea reacției împotriva comerțului ilegal prin consolidarea Unității Interagenții pen</w:t>
      </w:r>
      <w:r>
        <w:rPr>
          <w:rFonts w:ascii="Times New Roman" w:hAnsi="Times New Roman"/>
          <w:noProof/>
          <w:sz w:val="24"/>
        </w:rPr>
        <w:t>tru Controlul Pieței (DIMEA) prin formarea personalului, sisteme și echipamente informatice adecvate. 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Consolidarea cadrului național anticorupție (numărul de identificare al măsu</w:t>
      </w:r>
      <w:r>
        <w:rPr>
          <w:rFonts w:ascii="Times New Roman" w:hAnsi="Times New Roman"/>
          <w:noProof/>
          <w:sz w:val="24"/>
        </w:rPr>
        <w:t>rii:16952)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reformă vizează detectarea și prevenirea corupției și constă în următoarele acțiuni care urmează să fie puse în aplicare de Autoritatea Națională pentru Transparență: (i) consolidarea cadrului de audit pentru detectarea fraudei și a coru</w:t>
      </w:r>
      <w:r>
        <w:rPr>
          <w:rFonts w:ascii="Times New Roman" w:hAnsi="Times New Roman"/>
          <w:noProof/>
          <w:sz w:val="24"/>
        </w:rPr>
        <w:t>pției; (ii) intervențiile de reglementare în domenii-cheie de politică, și anume protecția avertizorilor, activitățile de lobby și conflictele de interese; (iii) consolidarea sistemului de control intern și instituirea unei rețele naționale de consilieri î</w:t>
      </w:r>
      <w:r>
        <w:rPr>
          <w:rFonts w:ascii="Times New Roman" w:hAnsi="Times New Roman"/>
          <w:noProof/>
          <w:sz w:val="24"/>
        </w:rPr>
        <w:t>n materie de integritate în administrația publică; (iv) elaborarea de coduri de etică și deontologie și revizuirea proceselor disciplinare; (v) inițiative de sensibilizare cu privire la fraudă și corupție; (vi) adoptarea Planului național de acțiune antico</w:t>
      </w:r>
      <w:r>
        <w:rPr>
          <w:rFonts w:ascii="Times New Roman" w:hAnsi="Times New Roman"/>
          <w:noProof/>
          <w:sz w:val="24"/>
        </w:rPr>
        <w:t>rupție pentru perioada 2022-2025; și (vii) proiecte de finanțare a capacităților digitale și de infrastructură ale agenției. 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Consolidarea rețelei de ajutoare de stat (numărul de </w:t>
      </w:r>
      <w:r>
        <w:rPr>
          <w:rFonts w:ascii="Times New Roman" w:hAnsi="Times New Roman"/>
          <w:noProof/>
          <w:sz w:val="24"/>
        </w:rPr>
        <w:t>identificare al măsurii:16701)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reformă va revizui cadrul juridic privind ajutoarele de stat din Grecia și va consolida capacitatea rețelei de unități de ajutor de stat din cadrul ministerelor, în principal prin modernizarea sistemului informatic ce</w:t>
      </w:r>
      <w:r>
        <w:rPr>
          <w:rFonts w:ascii="Times New Roman" w:hAnsi="Times New Roman"/>
          <w:noProof/>
          <w:sz w:val="24"/>
        </w:rPr>
        <w:t>ntral pentru ajutoarele de stat care instituie biblioteca de cazuri de ajutor de stat digitale, platforma de comunicare intranet și instrumentele de analiză a datelor. Implementarea reformei trebuie finalizată până la 31 decembrie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Consolidar</w:t>
      </w:r>
      <w:r>
        <w:rPr>
          <w:rFonts w:ascii="Times New Roman" w:hAnsi="Times New Roman"/>
          <w:noProof/>
          <w:sz w:val="24"/>
        </w:rPr>
        <w:t>ea cadrului privind combaterea spălării banilor și a finanțării terorismului (numărul de identificare al măsurii:16702)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vizează punerea în aplicare a actelor legislative aplicabile referitoare la combaterea spălării banilor/combaterea finanțării te</w:t>
      </w:r>
      <w:r>
        <w:rPr>
          <w:rFonts w:ascii="Times New Roman" w:hAnsi="Times New Roman"/>
          <w:noProof/>
          <w:sz w:val="24"/>
        </w:rPr>
        <w:t>rorismului (AML/CFT), în contextul combaterii criminalității financiare. Aceasta implică crearea unei platforme digitale pentru colectarea datelor statistice deținute de autoritățile judiciare, de supraveghere și de aplicare a legii, precum și îmbunătățire</w:t>
      </w:r>
      <w:r>
        <w:rPr>
          <w:rFonts w:ascii="Times New Roman" w:hAnsi="Times New Roman"/>
          <w:noProof/>
          <w:sz w:val="24"/>
        </w:rPr>
        <w:t>a registrului special pentru păstrarea evidenței informațiilor privind beneficiarii reali. Implementarea reformei trebuie finalizată până la 30 iunie 2023.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Reforma contabilă (numărul de identificare al măsurii:16974)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pune în aplicare o tra</w:t>
      </w:r>
      <w:r>
        <w:rPr>
          <w:rFonts w:ascii="Times New Roman" w:hAnsi="Times New Roman"/>
          <w:noProof/>
          <w:sz w:val="24"/>
        </w:rPr>
        <w:t>nziție treptată de la contabilitatea de casă modificată la contabilitatea de angajamente și raportarea financiară consolidată în cadrul administrației publice. Aceasta include adoptarea de politici de contabilitate pe bază de angajamente, formarea personal</w:t>
      </w:r>
      <w:r>
        <w:rPr>
          <w:rFonts w:ascii="Times New Roman" w:hAnsi="Times New Roman"/>
          <w:noProof/>
          <w:sz w:val="24"/>
        </w:rPr>
        <w:t xml:space="preserve">ului relevant, precum și proiectarea și introducerea planificării resurselor întreprinderii guvernamentale (GOV-ERP). Noul sistem informatic vizează extinderea și modernizarea tehnologică a actualului Sistem integrat de informații privind politica fiscală </w:t>
      </w:r>
      <w:r>
        <w:rPr>
          <w:rFonts w:ascii="Times New Roman" w:hAnsi="Times New Roman"/>
          <w:noProof/>
          <w:sz w:val="24"/>
        </w:rPr>
        <w:t>(OPSDP) pentru a răspunde nevoilor de gestionare a finanțelor publice în administrația centrală. Rezultatul este un nou sistem informatic integrat de gestiune financiară (GOV-ERP). 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Cadrul instituțional modern pentru întreprinderile de stat (numărul de identificare al măsurii:16657)</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reformă instituie un cadru juridic modern pentru funcționarea și gestionarea întreprinderilor și organizațiilor publice. Acesta definește</w:t>
      </w:r>
      <w:r>
        <w:rPr>
          <w:rFonts w:ascii="Times New Roman" w:hAnsi="Times New Roman"/>
          <w:noProof/>
          <w:sz w:val="24"/>
        </w:rPr>
        <w:t xml:space="preserve"> orientările privind guvernanța corporativă și normele specifice pentru gestionarea întreprinderilor de stat, cum ar fi numirea președintelui, a directorilor executivi și a directorilor executivi de către consiliul de administrație, precum și dispoziții pr</w:t>
      </w:r>
      <w:r>
        <w:rPr>
          <w:rFonts w:ascii="Times New Roman" w:hAnsi="Times New Roman"/>
          <w:noProof/>
          <w:sz w:val="24"/>
        </w:rPr>
        <w:t>ivind înființarea de comitete de audit intern pentru a asigura transparența. Reforma instituie, de asemenea, un registru digital pentru a înregistra toate întreprinderile, organizațiile și orice alte entități juridice la care participă statul, promovând mo</w:t>
      </w:r>
      <w:r>
        <w:rPr>
          <w:rFonts w:ascii="Times New Roman" w:hAnsi="Times New Roman"/>
          <w:noProof/>
          <w:sz w:val="24"/>
        </w:rPr>
        <w:t>nitorizarea și controlul eficace al participării statului. Implementarea reformei trebuie finalizată până la 31 decembrie 2022.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Combaterea eficientă a corupției (numărul de identificare al măsurii:16978)</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va efectua o serie de modificări în cadrul juridic al Greciei, pentru a îmbunătăți răspunsul juridic în caz de corupție. Mai precis, acesta acoperă patru domenii: (i) declarațiile de avere; (ii) protecția persoanelor care raportează încălcări ale d</w:t>
      </w:r>
      <w:r>
        <w:rPr>
          <w:rFonts w:ascii="Times New Roman" w:hAnsi="Times New Roman"/>
          <w:noProof/>
          <w:sz w:val="24"/>
        </w:rPr>
        <w:t xml:space="preserve">reptului Uniunii; (iii) Codul penal și Codul de procedură penală și (iv) </w:t>
      </w:r>
      <w:r>
        <w:rPr>
          <w:rFonts w:ascii="Times New Roman" w:hAnsi="Times New Roman"/>
          <w:noProof/>
          <w:color w:val="000000"/>
          <w:sz w:val="24"/>
        </w:rPr>
        <w:t>codificarea legislației referitoare la partidele politice</w:t>
      </w:r>
      <w:r>
        <w:rPr>
          <w:rFonts w:ascii="Times New Roman" w:hAnsi="Times New Roman"/>
          <w:noProof/>
          <w:sz w:val="24"/>
        </w:rPr>
        <w:t>. Implementarea reformei trebuie finalizată până la 30 septembrie 2022.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gestiunii fiscale și a supra</w:t>
      </w:r>
      <w:r>
        <w:rPr>
          <w:rFonts w:ascii="Times New Roman" w:hAnsi="Times New Roman"/>
          <w:noProof/>
          <w:sz w:val="24"/>
        </w:rPr>
        <w:t>vegherii în materie de guvernanță &amp; Facturarea electronică (numărul de identificare al măsurii:16705)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trebuie să îmbunătățească eficiența gestionării finanțelor publice prin (a) instituirea unui sistem guvernamental de planificare a resurselor (</w:t>
      </w:r>
      <w:r>
        <w:rPr>
          <w:rFonts w:ascii="Times New Roman" w:hAnsi="Times New Roman"/>
          <w:noProof/>
          <w:sz w:val="24"/>
        </w:rPr>
        <w:t>ERP) de ultimă generație și pe deplin funcțional pentru administrația centrală; (b) extinderea funcționării sistemelor ERP pentru entitățile administrației publice, (c) accelerarea introducerii facturării electronice în procesele ulterioare atribuirii cont</w:t>
      </w:r>
      <w:r>
        <w:rPr>
          <w:rFonts w:ascii="Times New Roman" w:hAnsi="Times New Roman"/>
          <w:noProof/>
          <w:sz w:val="24"/>
        </w:rPr>
        <w:t>ractelor de achiziții publice.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Modernizarea Fondului elen de depozit și împrumuturi pentru transporturi (numărul de identificare al măsurii:16940)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sporește efici</w:t>
      </w:r>
      <w:r>
        <w:rPr>
          <w:rFonts w:ascii="Times New Roman" w:hAnsi="Times New Roman"/>
          <w:noProof/>
          <w:sz w:val="24"/>
        </w:rPr>
        <w:t>ența operațională a Fondului elen de depozit și împrumuturi (CDLF) prin consolidarea capacităților sale digitale, în special prin finalizarea următoarelor subproiecte: (i) digitalizarea împrumuturilor și a dosarelor și arhivelor conexe, precum și încorpora</w:t>
      </w:r>
      <w:r>
        <w:rPr>
          <w:rFonts w:ascii="Times New Roman" w:hAnsi="Times New Roman"/>
          <w:noProof/>
          <w:sz w:val="24"/>
        </w:rPr>
        <w:t>rea într-un nou sistem de gestionare a documentelor; (ii) punerea în aplicare a unui sistem informatic integrat (IIS) (iii) furnizarea unui sistem informatic de planificare a resurselor întreprinderii (ERP); (iv) furnizarea de servicii de tipărire gestiona</w:t>
      </w:r>
      <w:r>
        <w:rPr>
          <w:rFonts w:ascii="Times New Roman" w:hAnsi="Times New Roman"/>
          <w:noProof/>
          <w:sz w:val="24"/>
        </w:rPr>
        <w:t>te; și (v) un sistem de gestionare a resurselor umane (Human Resources Management System — HRMS). Implementarea reformei trebuie finalizată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Profesionalizarea domeniului achizițiilor publice (numărul de identificare al măsuri</w:t>
      </w:r>
      <w:r>
        <w:rPr>
          <w:rFonts w:ascii="Times New Roman" w:hAnsi="Times New Roman"/>
          <w:noProof/>
          <w:sz w:val="24"/>
        </w:rPr>
        <w:t>i:16711)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trebuie să îmbunătățească cadrul privind achizițiile publice din Grecia și să sprijine abordarea deficiențelor actuale prin următoarele elemente: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1) finalizarea punerii în aplicare a tuturor celor patru piloni ai strategiei naționale privi</w:t>
      </w:r>
      <w:r>
        <w:rPr>
          <w:rFonts w:ascii="Times New Roman" w:hAnsi="Times New Roman"/>
          <w:noProof/>
          <w:sz w:val="24"/>
        </w:rPr>
        <w:t>nd achizițiile publice 2021-2025, inclusiv: (i) reforma cadrului de reglementare pentru achizițiile publice, inclusiv adoptarea legislației secundare pentru operaționalizarea deplină a noului cadru juridic privind achizițiile publice, acțiuni pentru a simp</w:t>
      </w:r>
      <w:r>
        <w:rPr>
          <w:rFonts w:ascii="Times New Roman" w:hAnsi="Times New Roman"/>
          <w:noProof/>
          <w:sz w:val="24"/>
        </w:rPr>
        <w:t xml:space="preserve">lifica și îmbunătăți în continuare cadrul de reglementare și pentru a asigura punerea în aplicare eficace și reziliența sistemului de achiziții publice; (ii) transformarea digitală a domeniului achizițiilor publice și achizițiile publice electronice de la </w:t>
      </w:r>
      <w:r>
        <w:rPr>
          <w:rFonts w:ascii="Times New Roman" w:hAnsi="Times New Roman"/>
          <w:noProof/>
          <w:sz w:val="24"/>
        </w:rPr>
        <w:t>un capăt la altul, inclusiv evaluarea și reproiectarea sistemelor de informații, analiza datelor și sinergiile dintre sectorul public și cel privat (sprijinite prin acțiuni în cadrul măsurii „16736 Noi sisteme pentru achiziții publice”); (iii) obiective st</w:t>
      </w:r>
      <w:r>
        <w:rPr>
          <w:rFonts w:ascii="Times New Roman" w:hAnsi="Times New Roman"/>
          <w:noProof/>
          <w:sz w:val="24"/>
        </w:rPr>
        <w:t>rategice mai ample și inițiative de politică precum achizițiile publice ecologice, Procure2Innovate, modernizarea infrastructurii, accesul IMM-urilor la achiziții publice, achizițiile ca instrument de pârghie, utilizarea eficientă a resurselor și achiziții</w:t>
      </w:r>
      <w:r>
        <w:rPr>
          <w:rFonts w:ascii="Times New Roman" w:hAnsi="Times New Roman"/>
          <w:noProof/>
          <w:sz w:val="24"/>
        </w:rPr>
        <w:t>le publice sociale); (iv) cadrul de guvernanță pentru achizițiile publice (supravegherea, monitorizarea punerii în aplicare, auditul și profesionalizarea personalului implicat în achizițiile publice).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2) furnizarea de formare și orientare pentru personalul</w:t>
      </w:r>
      <w:r>
        <w:rPr>
          <w:rFonts w:ascii="Times New Roman" w:hAnsi="Times New Roman"/>
          <w:noProof/>
          <w:sz w:val="24"/>
        </w:rPr>
        <w:t xml:space="preserve"> implicat în achizițiile publice, adoptarea entităților responsabile și a procedurilor de certificare pentru acești profesioniști, punerea în aplicare a unor noi acțiuni, cum ar fi crearea unor fluxuri de lucru profesionale distincte și adoptarea unui pach</w:t>
      </w:r>
      <w:r>
        <w:rPr>
          <w:rFonts w:ascii="Times New Roman" w:hAnsi="Times New Roman"/>
          <w:noProof/>
          <w:sz w:val="24"/>
        </w:rPr>
        <w:t>et de stimulente, calificări/parcurs profesional pentru acest personal, precum și reorganizarea structurilor și responsabilităților autorităților contractante. Sistemul de stimulente trebuie să fie în deplină concordanță cu grila salarială unificată (Legea</w:t>
      </w:r>
      <w:r>
        <w:rPr>
          <w:rFonts w:ascii="Times New Roman" w:hAnsi="Times New Roman"/>
          <w:noProof/>
          <w:sz w:val="24"/>
        </w:rPr>
        <w:t xml:space="preserve"> 4354/2015), fără a stabili nicio excepție.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Consolidarea planificării și coordonării politicilor (numărul de identificare al măsurii:16981)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consolidează coordonarea, plan</w:t>
      </w:r>
      <w:r>
        <w:rPr>
          <w:rFonts w:ascii="Times New Roman" w:hAnsi="Times New Roman"/>
          <w:noProof/>
          <w:sz w:val="24"/>
        </w:rPr>
        <w:t>ificarea și dezvoltarea politicilor administrației centrale. Acțiunile specifice care vor fi puse în aplicare sunt (i) instituirea unui mecanism de monitorizare pentru a urmări dacă legislația secundară a fost adoptată în conformitate cu legislația primară</w:t>
      </w:r>
      <w:r>
        <w:rPr>
          <w:rFonts w:ascii="Times New Roman" w:hAnsi="Times New Roman"/>
          <w:noProof/>
          <w:sz w:val="24"/>
        </w:rPr>
        <w:t>; (ii) crearea unei platforme electronice pentru a facilita finalizarea evaluării impactului care completează fiecare proiect de lege; și (iii) lansarea unui program de formare și a unei proceduri de acreditare asociate care să vizeze funcționarii publici,</w:t>
      </w:r>
      <w:r>
        <w:rPr>
          <w:rFonts w:ascii="Times New Roman" w:hAnsi="Times New Roman"/>
          <w:noProof/>
          <w:sz w:val="24"/>
        </w:rPr>
        <w:t xml:space="preserve"> cu scopul de a îmbunătăți calitatea evaluărilor de impact pregătite. Programul de formare trebuie să fi înscris cel puțin 100 funcționari publici pentru lansarea sa, care va avea loc în al treilea trimestru al anului 4 2022. Implementarea reformei trebuie</w:t>
      </w:r>
      <w:r>
        <w:rPr>
          <w:rFonts w:ascii="Times New Roman" w:hAnsi="Times New Roman"/>
          <w:noProof/>
          <w:sz w:val="24"/>
        </w:rPr>
        <w:t xml:space="preserve"> finalizată până la 30 iunie 2023.</w:t>
      </w:r>
    </w:p>
    <w:p w:rsidR="00780A28" w:rsidRDefault="00780A28">
      <w:pPr>
        <w:spacing w:before="120" w:after="120" w:line="240" w:lineRule="auto"/>
        <w:ind w:left="709"/>
        <w:jc w:val="both"/>
        <w:rPr>
          <w:rFonts w:ascii="Times New Roman" w:hAnsi="Times New Roman" w:cs="Times New Roman"/>
          <w:i/>
          <w:iCs/>
          <w:noProof/>
          <w:color w:val="4F81BD"/>
          <w:sz w:val="24"/>
        </w:rPr>
      </w:pPr>
    </w:p>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03"/>
          <w:headerReference w:type="default" r:id="rId204"/>
          <w:footerReference w:type="even" r:id="rId205"/>
          <w:footerReference w:type="default" r:id="rId206"/>
          <w:headerReference w:type="first" r:id="rId207"/>
          <w:footerReference w:type="first" r:id="rId208"/>
          <w:pgSz w:w="11907" w:h="16839"/>
          <w:pgMar w:top="1134" w:right="1417" w:bottom="1134" w:left="1417" w:header="709" w:footer="709" w:gutter="0"/>
          <w:cols w:space="720"/>
          <w:docGrid w:linePitch="360"/>
        </w:sectPr>
      </w:pPr>
    </w:p>
    <w:p w:rsidR="00780A28" w:rsidRDefault="001867D7">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M.2.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p>
    <w:p w:rsidR="00780A28" w:rsidRDefault="00780A28">
      <w:pPr>
        <w:keepNext/>
        <w:keepLines/>
        <w:spacing w:before="40" w:after="0" w:line="240" w:lineRule="auto"/>
        <w:jc w:val="both"/>
        <w:outlineLvl w:val="4"/>
        <w:rPr>
          <w:rFonts w:ascii="Cambria" w:eastAsia="Times New Roman" w:hAnsi="Cambria"/>
          <w:noProof/>
          <w:color w:val="365F91"/>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 xml:space="preserve">Reforma esențială 9: Reforma administrației publice </w:t>
      </w:r>
    </w:p>
    <w:tbl>
      <w:tblPr>
        <w:tblW w:w="15871" w:type="dxa"/>
        <w:jc w:val="center"/>
        <w:tblLook w:val="04A0" w:firstRow="1" w:lastRow="0" w:firstColumn="1" w:lastColumn="0" w:noHBand="0" w:noVBand="1"/>
      </w:tblPr>
      <w:tblGrid>
        <w:gridCol w:w="1027"/>
        <w:gridCol w:w="1527"/>
        <w:gridCol w:w="1107"/>
        <w:gridCol w:w="1289"/>
        <w:gridCol w:w="1713"/>
        <w:gridCol w:w="1195"/>
        <w:gridCol w:w="896"/>
        <w:gridCol w:w="866"/>
        <w:gridCol w:w="846"/>
        <w:gridCol w:w="827"/>
        <w:gridCol w:w="4819"/>
      </w:tblGrid>
      <w:tr w:rsidR="00780A28">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5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289"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calitativi (pentru jaloane)</w:t>
            </w:r>
          </w:p>
        </w:tc>
        <w:tc>
          <w:tcPr>
            <w:tcW w:w="2857"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cantitativi (pentru ținte)</w:t>
            </w:r>
          </w:p>
        </w:tc>
        <w:tc>
          <w:tcPr>
            <w:tcW w:w="1673"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Calendar orientativ pentru atingerea jaloanelor/ținte</w:t>
            </w:r>
            <w:r>
              <w:rPr>
                <w:rFonts w:ascii="Times New Roman" w:hAnsi="Times New Roman"/>
                <w:b/>
                <w:bCs/>
                <w:noProof/>
                <w:sz w:val="18"/>
                <w:szCs w:val="18"/>
              </w:rPr>
              <w:t xml:space="preserve">lor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89"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95"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85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805"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4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82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205</w:t>
            </w:r>
          </w:p>
        </w:tc>
        <w:tc>
          <w:tcPr>
            <w:tcW w:w="15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3 - 4.2. Modernizarea administrației publice, inclusiv prin accelerarea punerii în aplicare a investițiilor publice, îmbunătățirea cadrului de achiziții publice, măsuri de consolidare a capacităților și combaterea corupției — 16972_Reforma administrației p</w:t>
            </w:r>
            <w:r>
              <w:rPr>
                <w:noProof/>
                <w:color w:val="006100"/>
                <w:sz w:val="18"/>
                <w:szCs w:val="18"/>
              </w:rPr>
              <w:t>ublice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Administrația publică — lansarea sistemului de plată a performanței</w:t>
            </w:r>
          </w:p>
          <w:p w:rsidR="00780A28" w:rsidRDefault="00780A28">
            <w:pPr>
              <w:spacing w:after="0" w:line="240" w:lineRule="auto"/>
              <w:rPr>
                <w:rFonts w:eastAsia="Times New Roman" w:cs="Calibri"/>
                <w:noProof/>
                <w:color w:val="006100"/>
                <w:sz w:val="18"/>
                <w:szCs w:val="18"/>
                <w:lang w:eastAsia="en-GB"/>
              </w:rPr>
            </w:pPr>
          </w:p>
        </w:tc>
        <w:tc>
          <w:tcPr>
            <w:tcW w:w="171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primare care instituie un sistem pilot de recompensare. </w:t>
            </w:r>
          </w:p>
        </w:tc>
        <w:tc>
          <w:tcPr>
            <w:tcW w:w="11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8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primare pentru lansarea unui sistem de</w:t>
            </w:r>
            <w:r>
              <w:rPr>
                <w:noProof/>
                <w:color w:val="006100"/>
                <w:sz w:val="18"/>
                <w:szCs w:val="18"/>
              </w:rPr>
              <w:t xml:space="preserve"> plată a performanței pentru un anumit număr de entități-pilot și până la 6 000 de funcționari publici care vor contribui la reforma mai amplă care introduce un sistem de gestionare a stabilirii obiectivelor (a se vedea etapa de referință T4 2023). Proiect</w:t>
            </w:r>
            <w:r>
              <w:rPr>
                <w:noProof/>
                <w:color w:val="006100"/>
                <w:sz w:val="18"/>
                <w:szCs w:val="18"/>
              </w:rPr>
              <w:t>ul-pilot vizează funcționarii publici implicați în punerea în aplicare a Planului de redresare și reziliență. Principalele caracteristici ale sistemului trebuie să fie în concordanță cu grila salarială unificată (Legea nr. 4354/2015).</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206</w:t>
            </w:r>
          </w:p>
        </w:tc>
        <w:tc>
          <w:tcPr>
            <w:tcW w:w="15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13 - 4.2. </w:t>
            </w:r>
            <w:r>
              <w:rPr>
                <w:noProof/>
                <w:color w:val="006100"/>
                <w:sz w:val="18"/>
                <w:szCs w:val="18"/>
              </w:rPr>
              <w:t>Modernizarea administrației publice, inclusiv prin accelerarea punerii în aplicare a investițiilor publice, îmbunătățirea cadrului de achiziții publice, măsuri de consolidare a capacităților și combaterea corupției — 16972_Reforma administrației publice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w:t>
            </w:r>
            <w:r>
              <w:rPr>
                <w:noProof/>
                <w:color w:val="006100"/>
                <w:sz w:val="18"/>
                <w:szCs w:val="18"/>
              </w:rPr>
              <w:t>lon</w:t>
            </w:r>
          </w:p>
        </w:tc>
        <w:tc>
          <w:tcPr>
            <w:tcW w:w="12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Administrația publică — cadrul legislativ pentru clarificarea mandatelor</w:t>
            </w:r>
          </w:p>
        </w:tc>
        <w:tc>
          <w:tcPr>
            <w:tcW w:w="171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dispozițiilor legale care modifică cadrul legislativ al entităților administrației publice la nivel central, regional și local. </w:t>
            </w:r>
          </w:p>
        </w:tc>
        <w:tc>
          <w:tcPr>
            <w:tcW w:w="11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8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w:t>
            </w:r>
            <w:r>
              <w:rPr>
                <w:noProof/>
                <w:color w:val="006100"/>
                <w:sz w:val="18"/>
                <w:szCs w:val="18"/>
              </w:rPr>
              <w:t>vigoare a unei legislații primare și secundare revizuite pentru a institui un sistem de alocare a guvernanței pe mai multe niveluri, cu scopul de a clarifica responsabilitățile între toate nivelurile administrației publice și de a aborda suprapunerile. Cad</w:t>
            </w:r>
            <w:r>
              <w:rPr>
                <w:noProof/>
                <w:color w:val="006100"/>
                <w:sz w:val="18"/>
                <w:szCs w:val="18"/>
              </w:rPr>
              <w:t>rul juridic revizuit stabilește domeniile de responsabilitate pentru fiecare entitate în legătură cu planificarea și punerea în aplicare, inclusiv cu privire la funcții precum asigurarea resurselor și responsabilitățile de monitorizare și evaluare.</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207</w:t>
            </w:r>
          </w:p>
        </w:tc>
        <w:tc>
          <w:tcPr>
            <w:tcW w:w="15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w:t>
            </w:r>
            <w:r>
              <w:rPr>
                <w:noProof/>
                <w:color w:val="006100"/>
                <w:sz w:val="18"/>
                <w:szCs w:val="18"/>
              </w:rPr>
              <w:t xml:space="preserve"> - 4.2. Modernizarea administrației publice, inclusiv prin accelerarea punerii în aplicare a investițiilor publice, îmbunătățirea cadrului de achiziții publice, măsuri de consolidare a capacităților și combaterea corupției — 16972_Reforma administrației pu</w:t>
            </w:r>
            <w:r>
              <w:rPr>
                <w:noProof/>
                <w:color w:val="006100"/>
                <w:sz w:val="18"/>
                <w:szCs w:val="18"/>
              </w:rPr>
              <w:t>blice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Administrația publică — un nou sistem de recompensare</w:t>
            </w:r>
          </w:p>
        </w:tc>
        <w:tc>
          <w:tcPr>
            <w:tcW w:w="171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primare care instituie sistemul de recompense.</w:t>
            </w:r>
          </w:p>
        </w:tc>
        <w:tc>
          <w:tcPr>
            <w:tcW w:w="119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primare care introduce un sistem de gestionare a obiectivelor cu</w:t>
            </w:r>
            <w:r>
              <w:rPr>
                <w:noProof/>
                <w:color w:val="006100"/>
                <w:sz w:val="18"/>
                <w:szCs w:val="18"/>
              </w:rPr>
              <w:t xml:space="preserve"> scopul de a recompensa organizațiile publice în mod echitabil și consecvent în urma atingerii obiectivelor prestabilite. Principalele caracteristici ale sistemului trebuie să fie în concordanță cu grila salarială unificată (Legea nr. 4354/2015).</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208</w:t>
            </w:r>
          </w:p>
        </w:tc>
        <w:tc>
          <w:tcPr>
            <w:tcW w:w="15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13 -</w:t>
            </w:r>
            <w:r>
              <w:rPr>
                <w:noProof/>
                <w:color w:val="006100"/>
                <w:sz w:val="18"/>
                <w:szCs w:val="18"/>
              </w:rPr>
              <w:t xml:space="preserve"> 4.2. Modernizarea administrației publice, inclusiv prin accelerarea punerii în aplicare a investițiilor publice, îmbunătățirea cadrului de achiziții publice, măsuri de consolidare a capacităților și combaterea corupției — 16972_Reforma administrației publ</w:t>
            </w:r>
            <w:r>
              <w:rPr>
                <w:noProof/>
                <w:color w:val="006100"/>
                <w:sz w:val="18"/>
                <w:szCs w:val="18"/>
              </w:rPr>
              <w:t>ice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Administrația publică — finalizarea formării funcționarilor publici</w:t>
            </w:r>
          </w:p>
        </w:tc>
        <w:tc>
          <w:tcPr>
            <w:tcW w:w="171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9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funcționari publici care au finalizat programele de formare.</w:t>
            </w: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250 000</w:t>
            </w: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programelor de formare pentru perfecționarea și recalificarea a cel puțin 250 000 de funcționari publici pe baza evaluării nevoilor efectuate. </w:t>
            </w:r>
          </w:p>
        </w:tc>
      </w:tr>
    </w:tbl>
    <w:p w:rsidR="00780A28" w:rsidRDefault="00780A28">
      <w:pPr>
        <w:spacing w:before="120" w:after="120" w:line="240" w:lineRule="auto"/>
        <w:jc w:val="both"/>
        <w:rPr>
          <w:rFonts w:ascii="Times New Roman" w:hAnsi="Times New Roman" w:cs="Times New Roman"/>
          <w:noProof/>
          <w:sz w:val="24"/>
          <w:szCs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19: Combaterea spălării banilor și a corupției</w:t>
      </w:r>
    </w:p>
    <w:p w:rsidR="00780A28" w:rsidRDefault="001867D7">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Consolidarea cadrului de combatere a spălării</w:t>
      </w:r>
      <w:r>
        <w:rPr>
          <w:rFonts w:ascii="Times New Roman" w:hAnsi="Times New Roman"/>
          <w:noProof/>
          <w:sz w:val="24"/>
        </w:rPr>
        <w:t xml:space="preserve"> banilor și a finanțării terorismului (ID: 16702)</w:t>
      </w:r>
    </w:p>
    <w:p w:rsidR="00780A28" w:rsidRDefault="001867D7">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Combaterea traficului ilicit și protejarea proprietății intelectuale (ID: 16703)</w:t>
      </w:r>
    </w:p>
    <w:p w:rsidR="00780A28" w:rsidRDefault="001867D7">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Consolidarea cadrului național anticorupție (ID: 16952)</w:t>
      </w:r>
    </w:p>
    <w:p w:rsidR="00780A28" w:rsidRDefault="001867D7">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Combaterea eficientă a corupției (ID: 16978)</w:t>
      </w:r>
    </w:p>
    <w:p w:rsidR="00780A28" w:rsidRDefault="00780A28">
      <w:pPr>
        <w:spacing w:before="120" w:after="120" w:line="240" w:lineRule="auto"/>
        <w:jc w:val="both"/>
        <w:rPr>
          <w:rFonts w:ascii="Times New Roman" w:hAnsi="Times New Roman" w:cs="Times New Roman"/>
          <w:noProof/>
          <w:sz w:val="24"/>
          <w:szCs w:val="24"/>
        </w:rPr>
        <w:sectPr w:rsidR="00780A28">
          <w:headerReference w:type="even" r:id="rId209"/>
          <w:headerReference w:type="default" r:id="rId210"/>
          <w:footerReference w:type="even" r:id="rId211"/>
          <w:footerReference w:type="default" r:id="rId212"/>
          <w:headerReference w:type="first" r:id="rId213"/>
          <w:footerReference w:type="first" r:id="rId214"/>
          <w:pgSz w:w="16839" w:h="11907" w:orient="landscape"/>
          <w:pgMar w:top="720" w:right="720" w:bottom="720" w:left="720" w:header="709" w:footer="709" w:gutter="0"/>
          <w:cols w:space="720"/>
          <w:docGrid w:linePitch="360"/>
        </w:sectPr>
      </w:pPr>
    </w:p>
    <w:p w:rsidR="00780A28" w:rsidRDefault="00780A28">
      <w:pPr>
        <w:spacing w:before="120" w:after="120" w:line="240" w:lineRule="auto"/>
        <w:jc w:val="both"/>
        <w:rPr>
          <w:rFonts w:ascii="Times New Roman" w:hAnsi="Times New Roman" w:cs="Times New Roman"/>
          <w:noProof/>
          <w:sz w:val="24"/>
          <w:szCs w:val="24"/>
        </w:rPr>
      </w:pPr>
    </w:p>
    <w:tbl>
      <w:tblPr>
        <w:tblW w:w="15878" w:type="dxa"/>
        <w:jc w:val="center"/>
        <w:tblLook w:val="04A0" w:firstRow="1" w:lastRow="0" w:firstColumn="1" w:lastColumn="0" w:noHBand="0" w:noVBand="1"/>
      </w:tblPr>
      <w:tblGrid>
        <w:gridCol w:w="1027"/>
        <w:gridCol w:w="1797"/>
        <w:gridCol w:w="1107"/>
        <w:gridCol w:w="1393"/>
        <w:gridCol w:w="1534"/>
        <w:gridCol w:w="933"/>
        <w:gridCol w:w="896"/>
        <w:gridCol w:w="866"/>
        <w:gridCol w:w="882"/>
        <w:gridCol w:w="734"/>
        <w:gridCol w:w="5110"/>
      </w:tblGrid>
      <w:tr w:rsidR="00780A28">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79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393"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calitativi (pentru jaloane)</w:t>
            </w:r>
          </w:p>
        </w:tc>
        <w:tc>
          <w:tcPr>
            <w:tcW w:w="2492"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cantitativi (pentru ținte)</w:t>
            </w:r>
          </w:p>
        </w:tc>
        <w:tc>
          <w:tcPr>
            <w:tcW w:w="1559"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51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w:t>
            </w:r>
            <w:r>
              <w:rPr>
                <w:rFonts w:ascii="Times New Roman" w:hAnsi="Times New Roman"/>
                <w:b/>
                <w:bCs/>
                <w:noProof/>
                <w:sz w:val="18"/>
                <w:szCs w:val="18"/>
              </w:rPr>
              <w:t>iecărui jalon și a fiecărei ținte</w:t>
            </w:r>
          </w:p>
        </w:tc>
      </w:tr>
      <w:tr w:rsidR="00780A28">
        <w:trPr>
          <w:trHeight w:val="1027"/>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9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93"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3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85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70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5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0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5110"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209</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13 </w:t>
            </w:r>
            <w:r>
              <w:rPr>
                <w:noProof/>
                <w:color w:val="006100"/>
                <w:sz w:val="18"/>
                <w:szCs w:val="18"/>
              </w:rPr>
              <w:t>- 4.2. Modernizarea administrației publice, inclusiv prin accelerarea punerii în aplicare a investițiilor publice, îmbunătățirea cadrului de achiziții publice, măsuri de consolidare a capacităților și combaterea corupției — 16978_Combaterea eficientă a cor</w:t>
            </w:r>
            <w:r>
              <w:rPr>
                <w:noProof/>
                <w:color w:val="006100"/>
                <w:sz w:val="18"/>
                <w:szCs w:val="18"/>
              </w:rPr>
              <w:t>upției</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Declarații de avere și partide politice</w:t>
            </w:r>
          </w:p>
        </w:tc>
        <w:tc>
          <w:tcPr>
            <w:tcW w:w="15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sz w:val="18"/>
                <w:szCs w:val="18"/>
              </w:rPr>
            </w:pPr>
            <w:r>
              <w:rPr>
                <w:noProof/>
                <w:color w:val="006100"/>
                <w:sz w:val="18"/>
                <w:szCs w:val="18"/>
              </w:rPr>
              <w:t>Intrarea în vigoare a noii legislații</w:t>
            </w:r>
          </w:p>
        </w:tc>
        <w:tc>
          <w:tcPr>
            <w:tcW w:w="93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1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noii legislații privind: (i) declarațiile de avere; (ii) și codificarea legislației privind partidele politice. </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210</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13 - 4.2. </w:t>
            </w:r>
            <w:r>
              <w:rPr>
                <w:noProof/>
                <w:color w:val="006100"/>
                <w:sz w:val="18"/>
                <w:szCs w:val="18"/>
              </w:rPr>
              <w:t>Modernizarea administrației publice, inclusiv prin accelerarea punerii în aplicare a investițiilor publice, îmbunătățirea cadrului de achiziții publice, măsuri de consolidare a capacităților și combaterea corupției — 16952_Consolidarea cadrului național an</w:t>
            </w:r>
            <w:r>
              <w:rPr>
                <w:noProof/>
                <w:color w:val="006100"/>
                <w:sz w:val="18"/>
                <w:szCs w:val="18"/>
              </w:rPr>
              <w:t>ticorupție prin intervenții specifice în domeniile detectării, prevenirii și sensibilizării</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Planul național de acțiune anticorupție</w:t>
            </w:r>
          </w:p>
        </w:tc>
        <w:tc>
          <w:tcPr>
            <w:tcW w:w="15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Adoptarea de către Autoritatea Națională pentru Transparență a Planului național de acțiune anticorupție pentru </w:t>
            </w:r>
            <w:r>
              <w:rPr>
                <w:noProof/>
                <w:color w:val="006100"/>
                <w:sz w:val="18"/>
                <w:szCs w:val="18"/>
              </w:rPr>
              <w:t>perioada 2022-2025</w:t>
            </w:r>
          </w:p>
        </w:tc>
        <w:tc>
          <w:tcPr>
            <w:tcW w:w="93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1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Adoptarea de către Autoritatea Națională pentru Transparență a Planului național de acțiune anticorupție pentru perioada 2022-2025, inclusiv specificarea: (i) acțiuni de sporire a transparenței și a responsabilității în cadrul</w:t>
            </w:r>
            <w:r>
              <w:rPr>
                <w:noProof/>
                <w:color w:val="006100"/>
                <w:sz w:val="18"/>
                <w:szCs w:val="18"/>
              </w:rPr>
              <w:t xml:space="preserve"> administrației publice; (ii) intervenții specifice pentru detectarea și prevenirea corupției în domenii cu risc ridicat (inclusiv, de exemplu, sănătate, finanțe publice, investiții); (iii) intervențiile de reglementare necesare în anumite domenii de polit</w:t>
            </w:r>
            <w:r>
              <w:rPr>
                <w:noProof/>
                <w:color w:val="006100"/>
                <w:sz w:val="18"/>
                <w:szCs w:val="18"/>
              </w:rPr>
              <w:t>ică.</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211</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13 - 4.2. Modernizarea administrației publice, inclusiv prin accelerarea punerii în aplicare a investițiilor publice, îmbunătățirea cadrului de achiziții publice, măsuri de consolidare a capacităților și combaterea corupției — 16952_Consolidarea </w:t>
            </w:r>
            <w:r>
              <w:rPr>
                <w:noProof/>
                <w:color w:val="006100"/>
                <w:sz w:val="18"/>
                <w:szCs w:val="18"/>
              </w:rPr>
              <w:t>cadrului național anticorupție prin intervenții specifice în domeniile detectării, prevenirii și sensibilizării</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Punerea în aplicare a legislației privind controalele interne</w:t>
            </w:r>
          </w:p>
        </w:tc>
        <w:tc>
          <w:tcPr>
            <w:tcW w:w="15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Autorității Naționale pentru Transparență privind sistemele de </w:t>
            </w:r>
            <w:r>
              <w:rPr>
                <w:noProof/>
                <w:color w:val="006100"/>
                <w:sz w:val="18"/>
                <w:szCs w:val="18"/>
              </w:rPr>
              <w:t>control intern instituite</w:t>
            </w:r>
          </w:p>
          <w:p w:rsidR="00780A28" w:rsidRDefault="001867D7">
            <w:pPr>
              <w:spacing w:after="0" w:line="240" w:lineRule="auto"/>
              <w:rPr>
                <w:rFonts w:eastAsia="Times New Roman" w:cs="Calibri"/>
                <w:noProof/>
                <w:color w:val="006100"/>
                <w:sz w:val="18"/>
                <w:szCs w:val="18"/>
              </w:rPr>
            </w:pPr>
            <w:r>
              <w:rPr>
                <w:noProof/>
                <w:color w:val="006100"/>
                <w:sz w:val="18"/>
                <w:szCs w:val="18"/>
              </w:rPr>
              <w:t>— Acte de reglementare emise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Decizie ministerială comună emisă </w:t>
            </w:r>
          </w:p>
        </w:tc>
        <w:tc>
          <w:tcPr>
            <w:tcW w:w="93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1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Punerea în aplicare a noii legi privind controalele interne în administrația publică, inclusiv: (i) înființarea de unități de audit intern în cadrul mini</w:t>
            </w:r>
            <w:r>
              <w:rPr>
                <w:noProof/>
                <w:color w:val="006100"/>
                <w:sz w:val="18"/>
                <w:szCs w:val="18"/>
              </w:rPr>
              <w:t xml:space="preserve">sterelor de resort; (ii) emiterea actelor de reglementare pentru înființarea unităților de audit intern și a comitetelor de audit în cadrul entităților administrației publice locale (gradul 1 și al 2-lea), al universităților, al spitalelor – al unităților </w:t>
            </w:r>
            <w:r>
              <w:rPr>
                <w:noProof/>
                <w:color w:val="006100"/>
                <w:sz w:val="18"/>
                <w:szCs w:val="18"/>
              </w:rPr>
              <w:t>sanitare, al autorităților independente și al entităților juridice ale entităților administrației publice locale; (iii) emiterea unei decizii ministeriale comune de stabilire a criteriilor pentru cooperarea unităților de audit intern cu experți externi.</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A</w:t>
            </w:r>
            <w:r>
              <w:rPr>
                <w:noProof/>
                <w:color w:val="006100"/>
                <w:sz w:val="18"/>
                <w:szCs w:val="18"/>
              </w:rPr>
              <w:t>utoritatea Națională pentru Transparență, în cooperare cu Ministerul de Interne, asigură supravegherea și îndrumarea entităților administrației publice în vederea instituirii unui sistem de control intern coerent și funcțional. Autoritatea națională pentru</w:t>
            </w:r>
            <w:r>
              <w:rPr>
                <w:noProof/>
                <w:color w:val="006100"/>
                <w:sz w:val="18"/>
                <w:szCs w:val="18"/>
              </w:rPr>
              <w:t xml:space="preserve"> transparență facilitează o autoevaluare pilot în ceea ce privește elementele de bază ale sistemului de control intern. Curtea de Conturi elenă a inclus în planul său anual de lucru audituri pentru evaluarea mecanismelor de control intern la nivelul entită</w:t>
            </w:r>
            <w:r>
              <w:rPr>
                <w:noProof/>
                <w:color w:val="006100"/>
                <w:sz w:val="18"/>
                <w:szCs w:val="18"/>
              </w:rPr>
              <w:t>ț</w:t>
            </w:r>
            <w:r>
              <w:rPr>
                <w:noProof/>
                <w:color w:val="006100"/>
                <w:sz w:val="18"/>
                <w:szCs w:val="18"/>
              </w:rPr>
              <w:t xml:space="preserve">ilor administrației publice. </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212</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13 - 4.2. Modernizarea administrației publice, inclusiv prin accelerarea punerii în aplicare a investițiilor publice, îmbunătățirea cadrului de achiziții publice, măsuri de consolidare a capacităților și combaterea </w:t>
            </w:r>
            <w:r>
              <w:rPr>
                <w:noProof/>
                <w:color w:val="006100"/>
                <w:sz w:val="18"/>
                <w:szCs w:val="18"/>
              </w:rPr>
              <w:t>corupției — 16702_Consolidarea cadrului de combatere a spălării banilor și a finanțării terorismului</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Cadrul consolidat de combatere a spălării banilor (AML) și a finanțării terorismului (CFT)</w:t>
            </w:r>
          </w:p>
        </w:tc>
        <w:tc>
          <w:tcPr>
            <w:tcW w:w="15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Lansarea platformei pentru colectarea datelor statistice; </w:t>
            </w:r>
            <w:r>
              <w:rPr>
                <w:noProof/>
                <w:color w:val="006100"/>
                <w:sz w:val="18"/>
                <w:szCs w:val="18"/>
              </w:rPr>
              <w:t>finalizarea îmbunătățirilor aduse registrului special al beneficiarilor reali</w:t>
            </w:r>
          </w:p>
        </w:tc>
        <w:tc>
          <w:tcPr>
            <w:tcW w:w="93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rFonts w:ascii="Times New Roman" w:hAnsi="Times New Roman"/>
                <w:noProof/>
                <w:sz w:val="24"/>
              </w:rPr>
              <w:t xml:space="preserve">   </w:t>
            </w:r>
          </w:p>
        </w:tc>
        <w:tc>
          <w:tcPr>
            <w:tcW w:w="85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rFonts w:ascii="Times New Roman" w:hAnsi="Times New Roman"/>
                <w:noProof/>
                <w:sz w:val="24"/>
              </w:rPr>
              <w:t xml:space="preserve">     </w:t>
            </w:r>
          </w:p>
        </w:tc>
        <w:tc>
          <w:tcPr>
            <w:tcW w:w="7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51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 lansarea platformei pentru colectarea datelor statistice deținute de autoritățile naționale competente (și anume, judiciare, de supraveghere și de aplicare</w:t>
            </w:r>
            <w:r>
              <w:rPr>
                <w:noProof/>
                <w:color w:val="006100"/>
                <w:sz w:val="18"/>
                <w:szCs w:val="18"/>
              </w:rPr>
              <w:t xml:space="preserve"> a legii), gestionată de Direcția pentru politica financiară a Ministerului elen de Finanțe, care acționează ca unitate centrală de coordonare, în conformitate cu Legea nr. 4557/2018 (legislația națională privind combaterea spălării banilor); (ii) îmbunătă</w:t>
            </w:r>
            <w:r>
              <w:rPr>
                <w:noProof/>
                <w:color w:val="006100"/>
                <w:sz w:val="18"/>
                <w:szCs w:val="18"/>
              </w:rPr>
              <w:t>ț</w:t>
            </w:r>
            <w:r>
              <w:rPr>
                <w:noProof/>
                <w:color w:val="006100"/>
                <w:sz w:val="18"/>
                <w:szCs w:val="18"/>
              </w:rPr>
              <w:t>irea registrului special pentru ținerea evidenței informațiilor privind beneficiarii reali, pentru a facilita accesul direct al autorităților competente la astfel de informații și pentru a se interconecta cu registrele respective ale statelor membre ale U</w:t>
            </w:r>
            <w:r>
              <w:rPr>
                <w:noProof/>
                <w:color w:val="006100"/>
                <w:sz w:val="18"/>
                <w:szCs w:val="18"/>
              </w:rPr>
              <w:t>E prin intermediul platformei relevante a UE. Registrul este deținut de Direcția pentru politică financiară a Ministerului elen de finanțe, care acționează ca unitate centrală de coordonare, în conformitate cu Legea nr. 4557/2018 (legislația națională priv</w:t>
            </w:r>
            <w:r>
              <w:rPr>
                <w:noProof/>
                <w:color w:val="006100"/>
                <w:sz w:val="18"/>
                <w:szCs w:val="18"/>
              </w:rPr>
              <w:t>ind combaterea spălării banilor) și găzduită de Secretariatul General al Sistemelor Informatice (GSIS) din cadrul Ministerului Guvernanței Digitale.</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213</w:t>
            </w:r>
          </w:p>
        </w:tc>
        <w:tc>
          <w:tcPr>
            <w:tcW w:w="17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13 - 4.2. Modernizarea administrației publice, inclusiv prin accelerarea punerii în aplicare a </w:t>
            </w:r>
            <w:r>
              <w:rPr>
                <w:noProof/>
                <w:color w:val="006100"/>
                <w:sz w:val="18"/>
                <w:szCs w:val="18"/>
              </w:rPr>
              <w:t>investițiilor publice, îmbunătățirea cadrului de achiziții publice, măsuri de consolidare a capacităților și combaterea corupției — 16703_Combaterea comerțului ilegal și protejarea proprietății intelectuale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Combaterea comerțului ilegal — sistem infor</w:t>
            </w:r>
            <w:r>
              <w:rPr>
                <w:noProof/>
                <w:color w:val="006100"/>
                <w:sz w:val="18"/>
                <w:szCs w:val="18"/>
              </w:rPr>
              <w:t>matic și stații de control</w:t>
            </w:r>
          </w:p>
        </w:tc>
        <w:tc>
          <w:tcPr>
            <w:tcW w:w="15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Sistemul IT este operațional și 10 noi posturi de control complet echipate (inclusiv echipamentele necesare) sunt pe deplin operaționale</w:t>
            </w:r>
          </w:p>
        </w:tc>
        <w:tc>
          <w:tcPr>
            <w:tcW w:w="93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1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Un sistem de informații integrat și interoperabil este pus în funcțiune pentru a permite gestionarea eficientă a controalelor efectuate în întreaga țară pentru combaterea traficului și controlul circulației bunurilor și serviciilor, atât în interior, cât ș</w:t>
            </w:r>
            <w:r>
              <w:rPr>
                <w:noProof/>
                <w:color w:val="006100"/>
                <w:sz w:val="18"/>
                <w:szCs w:val="18"/>
              </w:rPr>
              <w:t>i în exterior. Pentru a asigura utilizarea deplină a noului sistem de informații, capacitatea operațională a Unității Interagenții pentru Controlul Pieței (DIMEA), inclusiv infrastructura periferică, este consolidată prin accesul la echipamentele logistice</w:t>
            </w:r>
            <w:r>
              <w:rPr>
                <w:noProof/>
                <w:color w:val="006100"/>
                <w:sz w:val="18"/>
                <w:szCs w:val="18"/>
              </w:rPr>
              <w:t xml:space="preserve"> necesare care sunt conectate la baza de date de supraveghere a pieței a sistemului de informații, permițând utilizarea acestora în cadrul controalelor la fața locului și impunerea imediată de amenzi. </w:t>
            </w:r>
          </w:p>
          <w:p w:rsidR="00780A28" w:rsidRDefault="001867D7">
            <w:pPr>
              <w:spacing w:after="0" w:line="240" w:lineRule="auto"/>
              <w:rPr>
                <w:rFonts w:eastAsia="Times New Roman" w:cs="Calibri"/>
                <w:noProof/>
                <w:color w:val="006100"/>
                <w:sz w:val="18"/>
                <w:szCs w:val="18"/>
              </w:rPr>
            </w:pPr>
            <w:r>
              <w:rPr>
                <w:noProof/>
                <w:color w:val="006100"/>
                <w:sz w:val="18"/>
                <w:szCs w:val="18"/>
              </w:rPr>
              <w:t>Finalizarea componentei pentru înființarea de noi staț</w:t>
            </w:r>
            <w:r>
              <w:rPr>
                <w:noProof/>
                <w:color w:val="006100"/>
                <w:sz w:val="18"/>
                <w:szCs w:val="18"/>
              </w:rPr>
              <w:t>ii de control pentru combaterea comerțului ilegal prin intermediul a 10 clădiri prefabricate (ISOBOX) dotate cu echipamentele necesare, inclusiv trei scanere (HXM MobileScanTM sau echivalent).</w:t>
            </w:r>
          </w:p>
        </w:tc>
      </w:tr>
    </w:tbl>
    <w:p w:rsidR="00780A28" w:rsidRDefault="00780A28">
      <w:pPr>
        <w:spacing w:before="120" w:after="120" w:line="240" w:lineRule="auto"/>
        <w:jc w:val="both"/>
        <w:rPr>
          <w:rFonts w:ascii="Times New Roman" w:hAnsi="Times New Roman" w:cs="Times New Roman"/>
          <w:noProof/>
          <w:sz w:val="24"/>
          <w:szCs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20: Consolidarea administrației publice</w:t>
      </w:r>
    </w:p>
    <w:p w:rsidR="00780A28" w:rsidRDefault="001867D7">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GOV-ERP (ID: </w:t>
      </w:r>
      <w:r>
        <w:rPr>
          <w:rFonts w:ascii="Times New Roman" w:hAnsi="Times New Roman"/>
          <w:noProof/>
          <w:sz w:val="24"/>
        </w:rPr>
        <w:t>16705)</w:t>
      </w:r>
    </w:p>
    <w:p w:rsidR="00780A28" w:rsidRDefault="001867D7">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Reforma contabilă (ID: 16974)</w:t>
      </w:r>
    </w:p>
    <w:p w:rsidR="00780A28" w:rsidRDefault="001867D7">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Cadrul instituțional modern pentru întreprinderile de stat (ID: 16657)</w:t>
      </w:r>
    </w:p>
    <w:p w:rsidR="00780A28" w:rsidRDefault="001867D7">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Consolidarea rețelei de ajutoare de stat (ID: 16701)</w:t>
      </w:r>
    </w:p>
    <w:p w:rsidR="00780A28" w:rsidRDefault="001867D7">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Modernizarea Fondului elen de depunere și creditare a transporturilor (ID: 16940)</w:t>
      </w:r>
    </w:p>
    <w:p w:rsidR="00780A28" w:rsidRDefault="001867D7">
      <w:pPr>
        <w:numPr>
          <w:ilvl w:val="0"/>
          <w:numId w:val="26"/>
        </w:numPr>
        <w:spacing w:before="120" w:after="0" w:line="240" w:lineRule="auto"/>
        <w:jc w:val="both"/>
        <w:rPr>
          <w:rFonts w:ascii="Times New Roman" w:hAnsi="Times New Roman" w:cs="Times New Roman"/>
          <w:noProof/>
          <w:sz w:val="24"/>
        </w:rPr>
      </w:pPr>
      <w:r>
        <w:rPr>
          <w:rFonts w:ascii="Times New Roman" w:hAnsi="Times New Roman"/>
          <w:noProof/>
          <w:sz w:val="24"/>
        </w:rPr>
        <w:t>Profesionaliz</w:t>
      </w:r>
      <w:r>
        <w:rPr>
          <w:rFonts w:ascii="Times New Roman" w:hAnsi="Times New Roman"/>
          <w:noProof/>
          <w:sz w:val="24"/>
        </w:rPr>
        <w:t>area domeniului achizițiilor publice (ID: 16711)</w:t>
      </w:r>
    </w:p>
    <w:p w:rsidR="00780A28" w:rsidRDefault="00780A28">
      <w:pPr>
        <w:spacing w:after="0" w:line="240" w:lineRule="auto"/>
        <w:ind w:left="720"/>
        <w:jc w:val="both"/>
        <w:rPr>
          <w:rFonts w:ascii="Times New Roman" w:hAnsi="Times New Roman" w:cs="Times New Roman"/>
          <w:noProof/>
          <w:sz w:val="24"/>
        </w:rPr>
      </w:pPr>
    </w:p>
    <w:tbl>
      <w:tblPr>
        <w:tblW w:w="15615" w:type="dxa"/>
        <w:tblLayout w:type="fixed"/>
        <w:tblLook w:val="04A0" w:firstRow="1" w:lastRow="0" w:firstColumn="1" w:lastColumn="0" w:noHBand="0" w:noVBand="1"/>
      </w:tblPr>
      <w:tblGrid>
        <w:gridCol w:w="1068"/>
        <w:gridCol w:w="1839"/>
        <w:gridCol w:w="1161"/>
        <w:gridCol w:w="1948"/>
        <w:gridCol w:w="1308"/>
        <w:gridCol w:w="992"/>
        <w:gridCol w:w="912"/>
        <w:gridCol w:w="878"/>
        <w:gridCol w:w="881"/>
        <w:gridCol w:w="634"/>
        <w:gridCol w:w="127"/>
        <w:gridCol w:w="3867"/>
      </w:tblGrid>
      <w:tr w:rsidR="00780A28">
        <w:trPr>
          <w:trHeight w:val="927"/>
          <w:tblHeader/>
        </w:trPr>
        <w:tc>
          <w:tcPr>
            <w:tcW w:w="106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948"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calitativi (pentru jaloane)</w:t>
            </w:r>
          </w:p>
        </w:tc>
        <w:tc>
          <w:tcPr>
            <w:tcW w:w="2782"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cantitativi (pentru ținte)</w:t>
            </w:r>
          </w:p>
        </w:tc>
        <w:tc>
          <w:tcPr>
            <w:tcW w:w="1642"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Calendar orientativ pentru atingerea jaloanelor/țintelor</w:t>
            </w:r>
            <w:r>
              <w:rPr>
                <w:rFonts w:ascii="Times New Roman" w:hAnsi="Times New Roman"/>
                <w:b/>
                <w:bCs/>
                <w:noProof/>
                <w:sz w:val="18"/>
                <w:szCs w:val="18"/>
              </w:rPr>
              <w:t xml:space="preserve"> </w:t>
            </w:r>
          </w:p>
        </w:tc>
        <w:tc>
          <w:tcPr>
            <w:tcW w:w="386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rPr>
        <w:tc>
          <w:tcPr>
            <w:tcW w:w="1068"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948"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91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878"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81"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761"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386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214</w:t>
            </w:r>
          </w:p>
        </w:tc>
        <w:tc>
          <w:tcPr>
            <w:tcW w:w="183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13 - 4.2. Modernizarea administrației publice, inclusiv prin accelerarea punerii în aplicare a investițiilor publice, îmbunătățirea cadrului de achiziții publice, măsuri de consolidare a capacităților și combaterea corupției — 16701_Consolidarea rețelei d</w:t>
            </w:r>
            <w:r>
              <w:rPr>
                <w:noProof/>
                <w:color w:val="006100"/>
                <w:sz w:val="18"/>
                <w:szCs w:val="18"/>
              </w:rPr>
              <w:t>e ajutoare de stat</w:t>
            </w:r>
          </w:p>
        </w:tc>
        <w:tc>
          <w:tcPr>
            <w:tcW w:w="116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9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Consolidarea rețelei de ajutoare de stat</w:t>
            </w:r>
          </w:p>
        </w:tc>
        <w:tc>
          <w:tcPr>
            <w:tcW w:w="13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cadrului consolidat privind ajutoarele de stat</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994" w:type="dxa"/>
            <w:gridSpan w:val="2"/>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modificărilor aduse cadrului juridic privind ajutoarele de stat pentru funcționarea rețe</w:t>
            </w:r>
            <w:r>
              <w:rPr>
                <w:noProof/>
                <w:color w:val="006100"/>
                <w:sz w:val="18"/>
                <w:szCs w:val="18"/>
              </w:rPr>
              <w:t>lei centrale a ajutoarelor de stat (CESANET), în vederea consolidării competențelor Unității centrale pentru ajutoarele de stat și ale Unităților descentralizate de ajutor de stat</w:t>
            </w:r>
          </w:p>
        </w:tc>
      </w:tr>
      <w:tr w:rsidR="00780A28">
        <w:trPr>
          <w:trHeight w:val="309"/>
        </w:trPr>
        <w:tc>
          <w:tcPr>
            <w:tcW w:w="1068"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215</w:t>
            </w:r>
          </w:p>
        </w:tc>
        <w:tc>
          <w:tcPr>
            <w:tcW w:w="183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13 - 4.2. Modernizarea administrației publice, inclusiv prin </w:t>
            </w:r>
            <w:r>
              <w:rPr>
                <w:noProof/>
                <w:color w:val="006100"/>
                <w:sz w:val="18"/>
                <w:szCs w:val="18"/>
              </w:rPr>
              <w:t>accelerarea punerii în aplicare a investițiilor publice, îmbunătățirea cadrului de achiziții publice, măsuri de consolidare a capacităților și combaterea corupției — 16981_Consolidarea planificării și coordonării politicilor</w:t>
            </w:r>
          </w:p>
        </w:tc>
        <w:tc>
          <w:tcPr>
            <w:tcW w:w="116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94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Planificarea și coordonar</w:t>
            </w:r>
            <w:r>
              <w:rPr>
                <w:noProof/>
                <w:color w:val="006100"/>
                <w:sz w:val="18"/>
                <w:szCs w:val="18"/>
              </w:rPr>
              <w:t>ea politicilor — evaluarea impactului</w:t>
            </w:r>
          </w:p>
        </w:tc>
        <w:tc>
          <w:tcPr>
            <w:tcW w:w="13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 fost lansat un program de formare, la care au participat 100 de funcționari publici.</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8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994" w:type="dxa"/>
            <w:gridSpan w:val="2"/>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În urma lansării platformei electronice pentru evaluarea impactului, se lansează un program de formare și o procedură de acreditare aferentă, cu cel puțin 100 de funcționari publici înscriși, inclusiv funcționari publici selectați pentru „ramurile executiv</w:t>
            </w:r>
            <w:r>
              <w:rPr>
                <w:noProof/>
                <w:color w:val="006100"/>
                <w:sz w:val="18"/>
                <w:szCs w:val="18"/>
              </w:rPr>
              <w:t xml:space="preserve">e” (Legea nr. 4622/2019, articolul 104), cu scopul de a îmbunătăți calitatea evaluărilor de impact pregătite și de a facilita utilizarea platformei electronice. </w:t>
            </w:r>
          </w:p>
        </w:tc>
      </w:tr>
      <w:tr w:rsidR="00780A28">
        <w:trPr>
          <w:trHeight w:val="309"/>
        </w:trPr>
        <w:tc>
          <w:tcPr>
            <w:tcW w:w="1068"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216</w:t>
            </w:r>
          </w:p>
        </w:tc>
        <w:tc>
          <w:tcPr>
            <w:tcW w:w="183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13 - 4.2. Modernizarea administrației publice, inclusiv prin accelerarea punerii în </w:t>
            </w:r>
            <w:r>
              <w:rPr>
                <w:noProof/>
                <w:color w:val="006100"/>
                <w:sz w:val="18"/>
                <w:szCs w:val="18"/>
              </w:rPr>
              <w:t>aplicare a investițiilor publice, îmbunătățirea cadrului de achiziții publice, măsuri de consolidare a capacităților și combaterea corupției — 16711_Profesionalizarea domeniului achizițiilor publice</w:t>
            </w:r>
          </w:p>
        </w:tc>
        <w:tc>
          <w:tcPr>
            <w:tcW w:w="116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94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Profesionalizarea domeniului achizițiilor publice —</w:t>
            </w:r>
            <w:r>
              <w:rPr>
                <w:noProof/>
                <w:color w:val="006100"/>
                <w:sz w:val="18"/>
                <w:szCs w:val="18"/>
              </w:rPr>
              <w:t xml:space="preserve"> noua legislație</w:t>
            </w:r>
          </w:p>
        </w:tc>
        <w:tc>
          <w:tcPr>
            <w:tcW w:w="130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A intrat în vigoare o nouă legislație; studiu aprofundat finalizat</w:t>
            </w:r>
          </w:p>
        </w:tc>
        <w:tc>
          <w:tcPr>
            <w:tcW w:w="99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91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87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88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63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994" w:type="dxa"/>
            <w:gridSpan w:val="2"/>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(i) intrarea în vigoare a unei noi legislații care să prevadă fluxuri de lucru profesionale pentru personalul care se ocupă de achizițiile publice, grupuri de</w:t>
            </w:r>
            <w:r>
              <w:rPr>
                <w:noProof/>
                <w:color w:val="006100"/>
                <w:sz w:val="18"/>
                <w:szCs w:val="18"/>
              </w:rPr>
              <w:t xml:space="preserve"> competențe specifice și adoptarea de stimulente financiare și nefinanciare în deplină concordanță cu grila salarială unificată (Legea nr. 4354/2015), fără a stabili nicio derogare; (ii) Prezentarea studiului aprofundat pentru a reorganiza structura și res</w:t>
            </w:r>
            <w:r>
              <w:rPr>
                <w:noProof/>
                <w:color w:val="006100"/>
                <w:sz w:val="18"/>
                <w:szCs w:val="18"/>
              </w:rPr>
              <w:t>ponsabilitățile organismelor relevante care achiziționează contracte de achiziții publice.</w:t>
            </w:r>
          </w:p>
        </w:tc>
      </w:tr>
      <w:tr w:rsidR="00780A28">
        <w:trPr>
          <w:trHeight w:val="309"/>
        </w:trPr>
        <w:tc>
          <w:tcPr>
            <w:tcW w:w="1068"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217</w:t>
            </w:r>
          </w:p>
        </w:tc>
        <w:tc>
          <w:tcPr>
            <w:tcW w:w="183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13 - 4.2. Modernizarea administrației publice, inclusiv prin accelerarea punerii în aplicare a investițiilor publice, îmbunătățirea cadrului de achiziții </w:t>
            </w:r>
            <w:r>
              <w:rPr>
                <w:noProof/>
                <w:color w:val="006100"/>
                <w:sz w:val="18"/>
                <w:szCs w:val="18"/>
              </w:rPr>
              <w:t>publice, măsuri de consolidare a capacităților și combaterea corupției — 16940_Modernizarea Fondului elen de depozitare și creditare a transporturilor </w:t>
            </w:r>
          </w:p>
        </w:tc>
        <w:tc>
          <w:tcPr>
            <w:tcW w:w="116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94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tuturor subproiectelor Fondului elen de depozit și credite de transport</w:t>
            </w:r>
          </w:p>
        </w:tc>
        <w:tc>
          <w:tcPr>
            <w:tcW w:w="130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w:t>
            </w:r>
            <w:r>
              <w:rPr>
                <w:noProof/>
                <w:color w:val="006100"/>
                <w:sz w:val="18"/>
                <w:szCs w:val="18"/>
              </w:rPr>
              <w:t>Fondului elen de depozit și împrumuturi pentru transporturi, care atestă finalizarea subproiectelor.</w:t>
            </w:r>
          </w:p>
        </w:tc>
        <w:tc>
          <w:tcPr>
            <w:tcW w:w="992"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91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878"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88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63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94" w:type="dxa"/>
            <w:gridSpan w:val="2"/>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tuturor subproiectelor Fondului elen de depozit și credite de transport: (i) digitalizarea arhivelor și sistemul de gestionare a do</w:t>
            </w:r>
            <w:r>
              <w:rPr>
                <w:noProof/>
                <w:color w:val="006100"/>
                <w:sz w:val="18"/>
                <w:szCs w:val="18"/>
              </w:rPr>
              <w:t>cumentelor; (ii) sistemul informatic integrat; (iii) sistemul de informații ERP; (iv) servicii de imprimare gestionate; (v) Sistemul de gestionare a resurselor umane.</w:t>
            </w:r>
          </w:p>
        </w:tc>
      </w:tr>
      <w:tr w:rsidR="00780A28">
        <w:trPr>
          <w:trHeight w:val="309"/>
        </w:trPr>
        <w:tc>
          <w:tcPr>
            <w:tcW w:w="1068" w:type="dxa"/>
            <w:tcBorders>
              <w:top w:val="single" w:sz="4" w:space="0" w:color="auto"/>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218</w:t>
            </w:r>
          </w:p>
        </w:tc>
        <w:tc>
          <w:tcPr>
            <w:tcW w:w="1839"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13 - 4.2. Modernizarea administrației publice, inclusiv prin accelerarea punerii în</w:t>
            </w:r>
            <w:r>
              <w:rPr>
                <w:noProof/>
                <w:color w:val="006100"/>
                <w:sz w:val="18"/>
                <w:szCs w:val="18"/>
              </w:rPr>
              <w:t xml:space="preserve"> aplicare a investițiilor publice, îmbunătățirea cadrului de achiziții publice, măsuri de consolidare a capacităților și combaterea corupției — 16711_Profesionalizarea domeniului achizițiilor publice</w:t>
            </w:r>
          </w:p>
        </w:tc>
        <w:tc>
          <w:tcPr>
            <w:tcW w:w="1161"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948"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Punerea în aplicare a Strategiei naționale privind</w:t>
            </w:r>
            <w:r>
              <w:rPr>
                <w:noProof/>
                <w:color w:val="006100"/>
                <w:sz w:val="18"/>
                <w:szCs w:val="18"/>
              </w:rPr>
              <w:t xml:space="preserve"> achizițiile publice 2021-2025</w:t>
            </w:r>
          </w:p>
        </w:tc>
        <w:tc>
          <w:tcPr>
            <w:tcW w:w="1308"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Implementarea integrală a strategiei naționale privind achizițiile publice</w:t>
            </w:r>
          </w:p>
        </w:tc>
        <w:tc>
          <w:tcPr>
            <w:tcW w:w="992"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912"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878"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881"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34" w:type="dxa"/>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94" w:type="dxa"/>
            <w:gridSpan w:val="2"/>
            <w:tcBorders>
              <w:top w:val="single" w:sz="4" w:space="0" w:color="auto"/>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Punerea în aplicare a întregii strategii naționale privind achizițiile publice, inclusiv: (i) instituirea unor mecanisme de guvernanță </w:t>
            </w:r>
            <w:r>
              <w:rPr>
                <w:noProof/>
                <w:color w:val="006100"/>
                <w:sz w:val="18"/>
                <w:szCs w:val="18"/>
              </w:rPr>
              <w:t>ș</w:t>
            </w:r>
            <w:r>
              <w:rPr>
                <w:noProof/>
                <w:color w:val="006100"/>
                <w:sz w:val="18"/>
                <w:szCs w:val="18"/>
              </w:rPr>
              <w:t>i reorganizarea părților interesate; (ii) instituirea unui cadru de monitorizare; (iii) intrarea în vigoare a legislației secundare și a altor acțiuni pentru operaționalizarea deplină a cadrului; (iv) instituirea unor inițiative-cheie precum achizițiile p</w:t>
            </w:r>
            <w:r>
              <w:rPr>
                <w:noProof/>
                <w:color w:val="006100"/>
                <w:sz w:val="18"/>
                <w:szCs w:val="18"/>
              </w:rPr>
              <w:t>ublice ecologice și Procure2Innovate, cadrul pentru certificarea sistemelor private de achiziții publice electronice.</w:t>
            </w:r>
          </w:p>
        </w:tc>
      </w:tr>
      <w:tr w:rsidR="00780A28">
        <w:trPr>
          <w:trHeight w:val="309"/>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219</w:t>
            </w:r>
          </w:p>
        </w:tc>
        <w:tc>
          <w:tcPr>
            <w:tcW w:w="183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13 - 4.2. Modernizarea administrației publice, inclusiv prin accelerarea punerii în aplicare a investițiilor publice, îmbunătățirea </w:t>
            </w:r>
            <w:r>
              <w:rPr>
                <w:noProof/>
                <w:color w:val="006100"/>
                <w:sz w:val="18"/>
                <w:szCs w:val="18"/>
              </w:rPr>
              <w:t>cadrului de achiziții publice, măsuri de consolidare a capacităților și combaterea corupției — 16974_Reforma contabilă</w:t>
            </w:r>
          </w:p>
        </w:tc>
        <w:tc>
          <w:tcPr>
            <w:tcW w:w="116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9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Reforma contabilă:</w:t>
            </w:r>
          </w:p>
          <w:p w:rsidR="00780A28" w:rsidRDefault="001867D7">
            <w:pPr>
              <w:spacing w:after="0" w:line="240" w:lineRule="auto"/>
              <w:rPr>
                <w:rFonts w:eastAsia="Times New Roman" w:cs="Calibri"/>
                <w:noProof/>
                <w:color w:val="006100"/>
                <w:sz w:val="18"/>
                <w:szCs w:val="18"/>
              </w:rPr>
            </w:pPr>
            <w:r>
              <w:rPr>
                <w:noProof/>
                <w:color w:val="006100"/>
                <w:sz w:val="18"/>
                <w:szCs w:val="18"/>
              </w:rPr>
              <w:t>Situații financiare consolidate</w:t>
            </w:r>
          </w:p>
        </w:tc>
        <w:tc>
          <w:tcPr>
            <w:tcW w:w="13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Întocmirea situațiilor financiare consolidate – finalizată.</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94" w:type="dxa"/>
            <w:gridSpan w:val="2"/>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Întocmirea situațiilor financiare consolidate pentru toate subsectoarele administrației publice, inclusiv administrațiile locale.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Pentru a obține aceste rezultate, sunt necesare următoarele acțiuni: </w:t>
            </w:r>
          </w:p>
          <w:p w:rsidR="00780A28" w:rsidRDefault="001867D7">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 xml:space="preserve">Conceperea, punerea în aplicare și funcționarea </w:t>
            </w:r>
            <w:r>
              <w:rPr>
                <w:noProof/>
                <w:color w:val="006100"/>
                <w:sz w:val="18"/>
                <w:szCs w:val="18"/>
              </w:rPr>
              <w:t>funcțiilor de gestiune fiscală și financiară și de raportare ale administrației centrale, precum și colectarea și monitorizarea datelor fiscale și financiare ale tuturor celorlalte entități guvernamentale din afara administrației centrale.</w:t>
            </w:r>
          </w:p>
          <w:p w:rsidR="00780A28" w:rsidRDefault="001867D7">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Introducerea fac</w:t>
            </w:r>
            <w:r>
              <w:rPr>
                <w:noProof/>
                <w:color w:val="006100"/>
                <w:sz w:val="18"/>
                <w:szCs w:val="18"/>
              </w:rPr>
              <w:t>turii în GOV-ERP</w:t>
            </w:r>
          </w:p>
          <w:p w:rsidR="00780A28" w:rsidRDefault="001867D7">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Formarea funcționarilor entităților de servicii financiare cu privire la aspectele legate de cadrul contabil general al administrației publice (GGAF) și de gestiunea finanțelor publice (GFM)</w:t>
            </w:r>
          </w:p>
          <w:p w:rsidR="00780A28" w:rsidRDefault="001867D7">
            <w:pPr>
              <w:numPr>
                <w:ilvl w:val="0"/>
                <w:numId w:val="45"/>
              </w:numPr>
              <w:spacing w:before="120" w:after="0" w:line="259" w:lineRule="auto"/>
              <w:ind w:left="229" w:hanging="229"/>
              <w:contextualSpacing/>
              <w:jc w:val="both"/>
              <w:rPr>
                <w:rFonts w:eastAsia="Times New Roman" w:cs="Calibri"/>
                <w:noProof/>
                <w:color w:val="006100"/>
                <w:sz w:val="18"/>
                <w:szCs w:val="18"/>
              </w:rPr>
            </w:pPr>
            <w:r>
              <w:rPr>
                <w:noProof/>
                <w:color w:val="006100"/>
                <w:sz w:val="18"/>
                <w:szCs w:val="18"/>
              </w:rPr>
              <w:t>Întocmirea situațiilor financiare consolidate.</w:t>
            </w:r>
          </w:p>
        </w:tc>
      </w:tr>
      <w:tr w:rsidR="00780A28">
        <w:trPr>
          <w:trHeight w:val="309"/>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220</w:t>
            </w:r>
          </w:p>
        </w:tc>
        <w:tc>
          <w:tcPr>
            <w:tcW w:w="183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13 - 4.2. Modernizarea administrației publice, inclusiv prin accelerarea punerii în aplicare a investițiilor publice, îmbunătățirea cadrului de achiziții publice, măsuri de consolidare a capacităților și combaterea corupției — 16705_Transformarea digit</w:t>
            </w:r>
            <w:r>
              <w:rPr>
                <w:noProof/>
                <w:color w:val="006100"/>
                <w:sz w:val="18"/>
                <w:szCs w:val="18"/>
              </w:rPr>
              <w:t>ală a gestiunii fiscale și a supravegherii în materie de guvernanță &amp; facturarea electronică</w:t>
            </w:r>
          </w:p>
        </w:tc>
        <w:tc>
          <w:tcPr>
            <w:tcW w:w="116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9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Planificarea resurselor întreprinderilor guvernamentale (GOV-ERP)</w:t>
            </w:r>
          </w:p>
        </w:tc>
        <w:tc>
          <w:tcPr>
            <w:tcW w:w="13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Sistemul IT este pe deplin operațional.</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94" w:type="dxa"/>
            <w:gridSpan w:val="2"/>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jc w:val="both"/>
              <w:rPr>
                <w:rFonts w:eastAsia="Times New Roman" w:cs="Calibri"/>
                <w:noProof/>
                <w:color w:val="006100"/>
                <w:sz w:val="18"/>
                <w:szCs w:val="18"/>
              </w:rPr>
            </w:pPr>
            <w:r>
              <w:rPr>
                <w:noProof/>
                <w:color w:val="006100"/>
                <w:sz w:val="18"/>
                <w:szCs w:val="18"/>
              </w:rPr>
              <w:t xml:space="preserve">Să realizeze transformarea digitală a </w:t>
            </w:r>
            <w:r>
              <w:rPr>
                <w:noProof/>
                <w:color w:val="006100"/>
                <w:sz w:val="18"/>
                <w:szCs w:val="18"/>
              </w:rPr>
              <w:t>cadrului de gestiune financiară și de supraveghere prin operaționalizarea deplină a planificării resurselor întreprinderii guvernamentale (GOV-ERP).</w:t>
            </w:r>
          </w:p>
          <w:p w:rsidR="00780A28" w:rsidRDefault="001867D7">
            <w:pPr>
              <w:spacing w:after="0" w:line="240" w:lineRule="auto"/>
              <w:jc w:val="both"/>
              <w:rPr>
                <w:rFonts w:eastAsia="Times New Roman" w:cs="Calibri"/>
                <w:noProof/>
                <w:color w:val="006100"/>
                <w:sz w:val="18"/>
                <w:szCs w:val="18"/>
              </w:rPr>
            </w:pPr>
            <w:r>
              <w:rPr>
                <w:noProof/>
                <w:color w:val="006100"/>
                <w:sz w:val="18"/>
                <w:szCs w:val="18"/>
              </w:rPr>
              <w:t xml:space="preserve">Pentru a obține acest rezultat, finalizați subproiectele: </w:t>
            </w:r>
          </w:p>
          <w:p w:rsidR="00780A28" w:rsidRDefault="001867D7">
            <w:pPr>
              <w:spacing w:after="0" w:line="240" w:lineRule="auto"/>
              <w:jc w:val="both"/>
              <w:rPr>
                <w:rFonts w:eastAsia="Times New Roman" w:cs="Calibri"/>
                <w:noProof/>
                <w:color w:val="006100"/>
                <w:sz w:val="18"/>
                <w:szCs w:val="18"/>
              </w:rPr>
            </w:pPr>
            <w:r>
              <w:rPr>
                <w:noProof/>
                <w:color w:val="006100"/>
                <w:sz w:val="18"/>
                <w:szCs w:val="18"/>
              </w:rPr>
              <w:t>Transformarea digitală a gestionării și supraveg</w:t>
            </w:r>
            <w:r>
              <w:rPr>
                <w:noProof/>
                <w:color w:val="006100"/>
                <w:sz w:val="18"/>
                <w:szCs w:val="18"/>
              </w:rPr>
              <w:t>herii fiscale a entităților guvernamentale ale administrației publice.</w:t>
            </w:r>
          </w:p>
          <w:p w:rsidR="00780A28" w:rsidRDefault="001867D7">
            <w:pPr>
              <w:spacing w:after="0" w:line="240" w:lineRule="auto"/>
              <w:jc w:val="both"/>
              <w:rPr>
                <w:rFonts w:eastAsia="Times New Roman" w:cs="Calibri"/>
                <w:noProof/>
                <w:color w:val="006100"/>
                <w:sz w:val="18"/>
                <w:szCs w:val="18"/>
              </w:rPr>
            </w:pPr>
            <w:r>
              <w:rPr>
                <w:noProof/>
                <w:color w:val="006100"/>
                <w:sz w:val="18"/>
                <w:szCs w:val="18"/>
              </w:rPr>
              <w:t xml:space="preserve">Conectarea sistemelor ERP ale guvernului general la facturarea electronică a Greciei, asigurând: </w:t>
            </w:r>
          </w:p>
          <w:p w:rsidR="00780A28" w:rsidRDefault="001867D7">
            <w:pPr>
              <w:spacing w:after="0" w:line="240" w:lineRule="auto"/>
              <w:jc w:val="both"/>
              <w:rPr>
                <w:rFonts w:eastAsia="Times New Roman" w:cs="Calibri"/>
                <w:noProof/>
                <w:color w:val="006100"/>
                <w:sz w:val="18"/>
                <w:szCs w:val="18"/>
              </w:rPr>
            </w:pPr>
            <w:r>
              <w:rPr>
                <w:noProof/>
                <w:color w:val="006100"/>
                <w:sz w:val="18"/>
                <w:szCs w:val="18"/>
              </w:rPr>
              <w:t xml:space="preserve"> — Conectivitatea sistemelor ERP la rețeaua de facturi electronice</w:t>
            </w:r>
          </w:p>
          <w:p w:rsidR="00780A28" w:rsidRDefault="001867D7">
            <w:pPr>
              <w:spacing w:after="0" w:line="240" w:lineRule="auto"/>
              <w:jc w:val="both"/>
              <w:rPr>
                <w:rFonts w:eastAsia="Times New Roman" w:cs="Calibri"/>
                <w:noProof/>
                <w:color w:val="006100"/>
                <w:sz w:val="18"/>
                <w:szCs w:val="18"/>
              </w:rPr>
            </w:pPr>
            <w:r>
              <w:rPr>
                <w:noProof/>
                <w:color w:val="006100"/>
                <w:sz w:val="18"/>
                <w:szCs w:val="18"/>
              </w:rPr>
              <w:t xml:space="preserve"> — Conectivitatea fu</w:t>
            </w:r>
            <w:r>
              <w:rPr>
                <w:noProof/>
                <w:color w:val="006100"/>
                <w:sz w:val="18"/>
                <w:szCs w:val="18"/>
              </w:rPr>
              <w:t>rnizorilor de servicii de facturare electronică la rețeaua de facturi electronice</w:t>
            </w:r>
          </w:p>
        </w:tc>
      </w:tr>
      <w:tr w:rsidR="00780A28">
        <w:trPr>
          <w:trHeight w:val="309"/>
        </w:trPr>
        <w:tc>
          <w:tcPr>
            <w:tcW w:w="1068"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221</w:t>
            </w:r>
          </w:p>
        </w:tc>
        <w:tc>
          <w:tcPr>
            <w:tcW w:w="183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13 - 4.2. Modernizarea administrației publice, inclusiv prin accelerarea punerii în aplicare a investițiilor publice, îmbunătățirea cadrului de achiziții publice, măsuri</w:t>
            </w:r>
            <w:r>
              <w:rPr>
                <w:noProof/>
                <w:color w:val="006100"/>
                <w:sz w:val="18"/>
                <w:szCs w:val="18"/>
              </w:rPr>
              <w:t xml:space="preserve"> de consolidare a capacităților și combaterea corupției — 16711_Profesionalizarea domeniului achizițiilor publice</w:t>
            </w:r>
          </w:p>
        </w:tc>
        <w:tc>
          <w:tcPr>
            <w:tcW w:w="116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9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programelor de perfecționare/recalificare pentru achizițiile publice</w:t>
            </w:r>
          </w:p>
        </w:tc>
        <w:tc>
          <w:tcPr>
            <w:tcW w:w="13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funcționari publici formați și certificați</w:t>
            </w:r>
          </w:p>
        </w:tc>
        <w:tc>
          <w:tcPr>
            <w:tcW w:w="91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87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6 000</w:t>
            </w:r>
          </w:p>
        </w:tc>
        <w:tc>
          <w:tcPr>
            <w:tcW w:w="8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94" w:type="dxa"/>
            <w:gridSpan w:val="2"/>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programelor de perfecționare/recalificare pentru profesioniștii din domeniul achizițiilor publice și acordarea de certificate. </w:t>
            </w:r>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15"/>
          <w:headerReference w:type="default" r:id="rId216"/>
          <w:footerReference w:type="even" r:id="rId217"/>
          <w:footerReference w:type="default" r:id="rId218"/>
          <w:headerReference w:type="first" r:id="rId219"/>
          <w:footerReference w:type="first" r:id="rId220"/>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N. COMPONENTA 4.3: SĂ ÎMBUNĂTĂȚEASCĂ </w:t>
      </w:r>
      <w:r>
        <w:rPr>
          <w:rFonts w:ascii="Times New Roman" w:hAnsi="Times New Roman"/>
          <w:b/>
          <w:bCs/>
          <w:noProof/>
          <w:sz w:val="24"/>
        </w:rPr>
        <w:t>EFICIENȚA SISTEMULUI JUDICIAR</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componentă a planului de redresare și reziliență al Greciei cuprinde o serie de reforme ample, precum și investiții menite să sporească eficacitatea și eficiența sistemului elen de justiție, prin introducerea unei revi</w:t>
      </w:r>
      <w:r>
        <w:rPr>
          <w:rFonts w:ascii="Times New Roman" w:hAnsi="Times New Roman"/>
          <w:noProof/>
          <w:sz w:val="24"/>
        </w:rPr>
        <w:t>zuiri ambițioase a hărții judiciare a țării, prin abordarea nevoilor în materie de infrastructură, prin adoptarea de măsuri de sporire a capacităților digitale ale sistemului de justiție, prin modernizarea funcției instanțelor, prin instituirea unei poliți</w:t>
      </w:r>
      <w:r>
        <w:rPr>
          <w:rFonts w:ascii="Times New Roman" w:hAnsi="Times New Roman"/>
          <w:noProof/>
          <w:sz w:val="24"/>
        </w:rPr>
        <w:t xml:space="preserve">i judiciare și prin extinderea și modernizarea educației (atât inițiale, cât și pe tot parcursul vieții) magistraților și personalului administrativ. Se preconizează că măsurile vor sprijini abordarea provocărilor din recomandările specifice fiecărei țări </w:t>
      </w:r>
      <w:r>
        <w:rPr>
          <w:rFonts w:ascii="Times New Roman" w:hAnsi="Times New Roman"/>
          <w:noProof/>
          <w:sz w:val="24"/>
        </w:rPr>
        <w:t>privind investițiile publice și private (recomandarea specifică de țară 2 2019, recomandarea specifică fiecărei țări 3 2020) și reformele structurale pentru îmbunătățirea funcționării economiei (recomandarea specifică fiecărei țări 4 2020). Este de aștepta</w:t>
      </w:r>
      <w:r>
        <w:rPr>
          <w:rFonts w:ascii="Times New Roman" w:hAnsi="Times New Roman"/>
          <w:noProof/>
          <w:sz w:val="24"/>
        </w:rPr>
        <w:t>t ca nicio măsură din cadrul acestei componente să nu afecteze în mod semnificativ obiectivele de mediu în sensul articolului 17 din Regulamentul (UE) 2020/852, ținând seama de descrierea măsurilor și a măsurilor de atenuare stabilite în planul de redresar</w:t>
      </w:r>
      <w:r>
        <w:rPr>
          <w:rFonts w:ascii="Times New Roman" w:hAnsi="Times New Roman"/>
          <w:noProof/>
          <w:sz w:val="24"/>
        </w:rPr>
        <w:t>e și reziliență în conformitate cu Orientările tehnice bazate pe principiul de „a nu aduce prejudicii semnificative” (2021/C58/01).</w:t>
      </w:r>
    </w:p>
    <w:p w:rsidR="00780A28" w:rsidRDefault="001867D7">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N.1.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Investiț</w:t>
      </w:r>
      <w:r>
        <w:rPr>
          <w:rFonts w:ascii="Times New Roman" w:hAnsi="Times New Roman"/>
          <w:b/>
          <w:bCs/>
          <w:noProof/>
          <w:sz w:val="24"/>
        </w:rPr>
        <w:t xml:space="preserve">ia: </w:t>
      </w:r>
      <w:r>
        <w:rPr>
          <w:rFonts w:ascii="Times New Roman" w:hAnsi="Times New Roman"/>
          <w:noProof/>
          <w:sz w:val="24"/>
        </w:rPr>
        <w:t>Noi clădiri judiciare și renovări (ID-ul măsurii: 16292)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Măsura constă într-o investiție specifică pentru construirea și renovarea clădirilor care fac parte din sistemul judiciar, strâns legată de revizuirea hărții judiciare, pentru a maximiza eficienț</w:t>
      </w:r>
      <w:r>
        <w:rPr>
          <w:rFonts w:ascii="Times New Roman" w:hAnsi="Times New Roman"/>
          <w:noProof/>
          <w:sz w:val="24"/>
        </w:rPr>
        <w:t>a judiciară și pentru a evita eforturile și cheltuielile inutile. Toate proprietățile care aparțin sistemului judiciar sau sunt utilizate de acesta sunt înregistrate într-un registru electronic de identitate pentru a facilita monitorizarea și planificarea.</w:t>
      </w:r>
      <w:r>
        <w:rPr>
          <w:rFonts w:ascii="Times New Roman" w:hAnsi="Times New Roman"/>
          <w:noProof/>
          <w:sz w:val="24"/>
        </w:rPr>
        <w:t xml:space="preserve"> Toate clădirile nou construite trebuie să respecte o cerere de energie primară (DEP) care este cu cel puțin 20 % mai mică decât cerința NZEB (clădiri al căror consum de energie este aproape egal cu zero, directivele naționale). Se preconizează că această </w:t>
      </w:r>
      <w:r>
        <w:rPr>
          <w:rFonts w:ascii="Times New Roman" w:hAnsi="Times New Roman"/>
          <w:noProof/>
          <w:sz w:val="24"/>
        </w:rPr>
        <w:t>măsură nu aduce prejudicii semnificative obiectivelor de mediu în sensul articolului 17 din Regulamentul (UE) 2020/852, ținând seama de descrierea măsurii și de măsurile de atenuare stabilite în planul de redresare și reziliență, în conformitate cu Orientă</w:t>
      </w:r>
      <w:r>
        <w:rPr>
          <w:rFonts w:ascii="Times New Roman" w:hAnsi="Times New Roman"/>
          <w:noProof/>
          <w:sz w:val="24"/>
        </w:rPr>
        <w:t>rile tehnice bazate pe principiul de „a nu aduce prejudicii semnificative” (2021/C58/01). În special, măsura impune operatorilor economici care efectuează lucrări de construcții să se asigure că cel puțin 70 % (în greutate) din deșeurile nepericuloase prov</w:t>
      </w:r>
      <w:r>
        <w:rPr>
          <w:rFonts w:ascii="Times New Roman" w:hAnsi="Times New Roman"/>
          <w:noProof/>
          <w:sz w:val="24"/>
        </w:rPr>
        <w:t xml:space="preserve">enite din activități de construcție și demolări [cu excepția materialelor geologice naturale menționate în categoria 17 05 04 din Lista europeană a deșeurilor stabilită prin Decizia 2000/532/CE din 3 mai 2000 de înlocuire a Deciziei 94/3/CE de stabilire a </w:t>
      </w:r>
      <w:r>
        <w:rPr>
          <w:rFonts w:ascii="Times New Roman" w:hAnsi="Times New Roman"/>
          <w:noProof/>
          <w:sz w:val="24"/>
        </w:rPr>
        <w:t>unei liste de deșeuri în temeiul articolului 1 litera a) din Directiva 75/442/CEE a Consiliului privind deșeurile și a Deciziei 94/904/CE a Consiliului de stabilire a unei liste de deșeuri periculoase în temeiul articolului 1 alineatul (4) din Directiva 91</w:t>
      </w:r>
      <w:r>
        <w:rPr>
          <w:rFonts w:ascii="Times New Roman" w:hAnsi="Times New Roman"/>
          <w:noProof/>
          <w:sz w:val="24"/>
        </w:rPr>
        <w:t>/689/CEE a Consiliului privind deșeurile periculoase [notificată cu numărul de document C (2000) 1147] generate pe șantier sunt pregătite pentru reutilizare, reciclare și alte deșeuri, inclusiv operațiunile de rambleiere care utilizează deșeuri pentru a în</w:t>
      </w:r>
      <w:r>
        <w:rPr>
          <w:rFonts w:ascii="Times New Roman" w:hAnsi="Times New Roman"/>
          <w:noProof/>
          <w:sz w:val="24"/>
        </w:rPr>
        <w:t xml:space="preserve">locui alte materiale, în conformitate cu ierarhia deșeurilor și cu Protocolul UE privind gestionarea deșeurilor din construcții și demolări.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Transformarea digitală a justiție</w:t>
      </w:r>
      <w:r>
        <w:rPr>
          <w:rFonts w:ascii="Times New Roman" w:hAnsi="Times New Roman"/>
          <w:noProof/>
          <w:sz w:val="24"/>
        </w:rPr>
        <w:t>i (e-justiție) (numărul de identificare al măsurii:16727)</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Transformarea digitală a sistemului de justiție elen se realizează sub supravegherea Ministerului Justiției și constă într-un set de acțiuni care vor spori capacitățile sale informatice în ceea ce p</w:t>
      </w:r>
      <w:r>
        <w:rPr>
          <w:rFonts w:ascii="Times New Roman" w:hAnsi="Times New Roman"/>
          <w:noProof/>
          <w:sz w:val="24"/>
        </w:rPr>
        <w:t>rivește digitalizarea documentelor, consolidarea sistemului de evidență al instanțelor, simplificarea, standardizarea și accelerarea procedurilor prin digitalizare și interoperabilitatea sistemelor informatice ale instanțelor cu cele ale Ministerului Justi</w:t>
      </w:r>
      <w:r>
        <w:rPr>
          <w:rFonts w:ascii="Times New Roman" w:hAnsi="Times New Roman"/>
          <w:noProof/>
          <w:sz w:val="24"/>
        </w:rPr>
        <w:t>ț</w:t>
      </w:r>
      <w:r>
        <w:rPr>
          <w:rFonts w:ascii="Times New Roman" w:hAnsi="Times New Roman"/>
          <w:noProof/>
          <w:sz w:val="24"/>
        </w:rPr>
        <w:t>iei, precum și cu alte autorități naționale și internaționale și/sau baze de date. Toate ramurile sistemului judiciar (civile, penale și administrative, precum și Curtea de Conturi) fac obiectul acestei reforme. La finalizarea acesteia, judecătorii și per</w:t>
      </w:r>
      <w:r>
        <w:rPr>
          <w:rFonts w:ascii="Times New Roman" w:hAnsi="Times New Roman"/>
          <w:noProof/>
          <w:sz w:val="24"/>
        </w:rPr>
        <w:t>sonalul din justiție dispun de instrumente și de infrastructuri care să le permită să sporească eficiența gestionării cauzelor și viteza de administrare a justiției, fără a compromite calitatea acesteia.</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reformei trebuie finalizată până la 31</w:t>
      </w:r>
      <w:r>
        <w:rPr>
          <w:rFonts w:ascii="Times New Roman" w:hAnsi="Times New Roman"/>
          <w:noProof/>
          <w:sz w:val="24"/>
        </w:rPr>
        <w:t xml:space="preserve">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Competențe și competențe digitale pentru judecători și personalul judiciar (personalul din justiție) (numărul de identificare al măsurii:16733)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Ș</w:t>
      </w:r>
      <w:r>
        <w:rPr>
          <w:rFonts w:ascii="Times New Roman" w:hAnsi="Times New Roman"/>
          <w:noProof/>
          <w:sz w:val="24"/>
        </w:rPr>
        <w:t>coala Națională de Judecători suferă o serie de schimbări instituționale în ceea ce p</w:t>
      </w:r>
      <w:r>
        <w:rPr>
          <w:rFonts w:ascii="Times New Roman" w:hAnsi="Times New Roman"/>
          <w:noProof/>
          <w:sz w:val="24"/>
        </w:rPr>
        <w:t>rivește funcția și programa sa; criteriile sale de selecție a candidaților vor fi, de asemenea, revizuite, pentru a oferi un mediu de studii mai selectiv și mai competitiv, admițând în același timp alte categorii de studenți (judecători ai magistraților și</w:t>
      </w:r>
      <w:r>
        <w:rPr>
          <w:rFonts w:ascii="Times New Roman" w:hAnsi="Times New Roman"/>
          <w:noProof/>
          <w:sz w:val="24"/>
        </w:rPr>
        <w:t xml:space="preserve"> judecători ai curților de audit); acesta oferă, de asemenea, cursuri suplimentare care vizează furnizarea de noi competențe, cu accent pe competențele manageriale și digitale, precum și pe subiecte relevante pentru îndeplinirea sarcinilor judiciare, cum a</w:t>
      </w:r>
      <w:r>
        <w:rPr>
          <w:rFonts w:ascii="Times New Roman" w:hAnsi="Times New Roman"/>
          <w:noProof/>
          <w:sz w:val="24"/>
        </w:rPr>
        <w:t>r fi etica, gestionarea timpului, psihologia, teoria și analiza economică, gestionarea instanțelor și noile tehnologii; reforma include asigurarea formării obligatorii pe tot parcursul vieții a judecătorilor în domenii esențiale pentru îndeplinirea atribuț</w:t>
      </w:r>
      <w:r>
        <w:rPr>
          <w:rFonts w:ascii="Times New Roman" w:hAnsi="Times New Roman"/>
          <w:noProof/>
          <w:sz w:val="24"/>
        </w:rPr>
        <w:t>iilor lor de către formatorii care au fost, de asemenea, formați în Școala Națională a Judecătorilor. În cele din urmă, se creează o nouă Școală Națională de Grefieri Judiciari, care să ofere formare și formare pe tot parcursul vieții personalului administ</w:t>
      </w:r>
      <w:r>
        <w:rPr>
          <w:rFonts w:ascii="Times New Roman" w:hAnsi="Times New Roman"/>
          <w:noProof/>
          <w:sz w:val="24"/>
        </w:rPr>
        <w:t xml:space="preserve">rativ pe teme esențiale pentru îndeplinirea sarcinilor, gestionarea și organizarea serviciului, competențele digitale, dreptul procedural și dreptul material.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reformei trebuie finalizată până la 31 decembrie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Accelerarea admini</w:t>
      </w:r>
      <w:r>
        <w:rPr>
          <w:rFonts w:ascii="Times New Roman" w:hAnsi="Times New Roman"/>
          <w:noProof/>
          <w:sz w:val="24"/>
        </w:rPr>
        <w:t>strării justiției (numărul de identificare al măsurii:16575)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reformă accelerează administrarea justiției și contribuie la transformarea economică și instituțională a țării. Cel mai important element al reformei constă în revizuirea planificată a hă</w:t>
      </w:r>
      <w:r>
        <w:rPr>
          <w:rFonts w:ascii="Times New Roman" w:hAnsi="Times New Roman"/>
          <w:noProof/>
          <w:sz w:val="24"/>
        </w:rPr>
        <w:t>rții judiciare în întreaga țară, care are ca rezultat o reorganizare rațională a districtelor judiciare din Grecia și instituirea, abolirea sau redistribuirea structurilor judiciare în aceste districte, pe baza unor criterii obiective și a colectării ample</w:t>
      </w:r>
      <w:r>
        <w:rPr>
          <w:rFonts w:ascii="Times New Roman" w:hAnsi="Times New Roman"/>
          <w:noProof/>
          <w:sz w:val="24"/>
        </w:rPr>
        <w:t xml:space="preserve"> de date referitoare la toate instanțele din întreaga țară. Reforma hărții judiciare acoperă toate ramurile sistemului judiciar (civile, penale și administrative). Acțiunile suplimentare sporesc eficiența și eficacitatea justiției: </w:t>
      </w:r>
    </w:p>
    <w:p w:rsidR="00780A28" w:rsidRDefault="001867D7">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crearea unei poliții ju</w:t>
      </w:r>
      <w:r>
        <w:rPr>
          <w:rFonts w:ascii="Times New Roman" w:hAnsi="Times New Roman"/>
          <w:noProof/>
          <w:sz w:val="24"/>
        </w:rPr>
        <w:t xml:space="preserve">diciare pentru a sprijini și a îmbunătăți funcționarea justiției, prin furnizarea de know-how în anchetarea infracțiunilor complexe (inclusiv a infracțiunilor financiare, a corupției și a spălării banilor) și prin furnizarea unei game largi de servicii de </w:t>
      </w:r>
      <w:r>
        <w:rPr>
          <w:rFonts w:ascii="Times New Roman" w:hAnsi="Times New Roman"/>
          <w:noProof/>
          <w:sz w:val="24"/>
        </w:rPr>
        <w:t>asistență judiciară (asistență la efectuarea examinărilor preliminare și a anchetelor, executarea hotărârilor judecătorești și notificarea actelor și actelor procedurale, executarea mandatelor, executarea hotărârilor judecătorești, menținerea ordinului jud</w:t>
      </w:r>
      <w:r>
        <w:rPr>
          <w:rFonts w:ascii="Times New Roman" w:hAnsi="Times New Roman"/>
          <w:noProof/>
          <w:sz w:val="24"/>
        </w:rPr>
        <w:t>ecătoresc, acordarea de asistență în ceea ce privește trimiterea sau răspunsul la cererile de asistență judiciară și îndeplinirea mandatelor care i-au fost încredințate de instanțele competente),</w:t>
      </w:r>
    </w:p>
    <w:p w:rsidR="00780A28" w:rsidRDefault="001867D7">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organizarea de seminare de formare pentru judecătorii care p</w:t>
      </w:r>
      <w:r>
        <w:rPr>
          <w:rFonts w:ascii="Times New Roman" w:hAnsi="Times New Roman"/>
          <w:noProof/>
          <w:sz w:val="24"/>
        </w:rPr>
        <w:t xml:space="preserve">rezidează cu privire la principiile generale ale administrării instanțelor; </w:t>
      </w:r>
    </w:p>
    <w:p w:rsidR="00780A28" w:rsidRDefault="001867D7">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modificarea legislației procedurale în instanțele administrative pentru a simplifica, a digitaliza și a accelera procesele; </w:t>
      </w:r>
    </w:p>
    <w:p w:rsidR="00780A28" w:rsidRDefault="001867D7">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introducerea proceselor-pilot în instanțele civile; </w:t>
      </w:r>
    </w:p>
    <w:p w:rsidR="00780A28" w:rsidRDefault="001867D7">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instituirea unor mecanisme de filtrare în ceea ce privește admisibilitatea căilor de atac;</w:t>
      </w:r>
    </w:p>
    <w:p w:rsidR="00780A28" w:rsidRDefault="001867D7">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reconfigurarea metodei de calcul al cheltuielilor de judecată și </w:t>
      </w:r>
    </w:p>
    <w:p w:rsidR="00780A28" w:rsidRDefault="001867D7">
      <w:pPr>
        <w:numPr>
          <w:ilvl w:val="0"/>
          <w:numId w:val="61"/>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introducerea unui regim temporar pentru acordarea de stimulente financiare grefierilor judiciari, p</w:t>
      </w:r>
      <w:r>
        <w:rPr>
          <w:rFonts w:ascii="Times New Roman" w:hAnsi="Times New Roman"/>
          <w:noProof/>
          <w:sz w:val="24"/>
        </w:rPr>
        <w:t>e baza unor indici de performanță individuali măsurabili în mod obiectiv și în deplină concordanță cu grila salarială unificată (Legea nr. 4354/2015), fără a stabili nicio scutire, pentru accelerarea îndeplinirii sarcinilor și sarcinilor legate de instanțe</w:t>
      </w:r>
      <w:r>
        <w:rPr>
          <w:rFonts w:ascii="Times New Roman" w:hAnsi="Times New Roman"/>
          <w:noProof/>
          <w:sz w:val="24"/>
        </w:rPr>
        <w:t xml:space="preserve"> și pentru eliminarea întârzierilor în instanță.</w:t>
      </w:r>
    </w:p>
    <w:p w:rsidR="00780A28" w:rsidRDefault="001867D7">
      <w:pPr>
        <w:spacing w:before="120" w:after="120" w:line="240" w:lineRule="auto"/>
        <w:jc w:val="both"/>
        <w:rPr>
          <w:rFonts w:cs="Calibri"/>
          <w:noProof/>
          <w:sz w:val="24"/>
        </w:rPr>
      </w:pPr>
      <w:r>
        <w:rPr>
          <w:rFonts w:ascii="Times New Roman" w:hAnsi="Times New Roman"/>
          <w:noProof/>
          <w:sz w:val="24"/>
        </w:rPr>
        <w:t xml:space="preserve">Pentru a finaliza reforma, se adoptă un set de măsuri pentru înființarea și consolidarea instituțiilor de soluționare alternativă a litigiilor prin furnizarea de cursuri de formare pentru consilierii </w:t>
      </w:r>
      <w:r>
        <w:rPr>
          <w:rFonts w:ascii="Times New Roman" w:hAnsi="Times New Roman"/>
          <w:noProof/>
          <w:sz w:val="24"/>
        </w:rPr>
        <w:t>juridici, extinderea procedurilor de mediere la procedurile penale și la litigiile administrative, acordarea de stimulente financiare părților care selectează metode alternative de soluționare a litigiilor în cadrul procedurilor judiciare, consolidarea mec</w:t>
      </w:r>
      <w:r>
        <w:rPr>
          <w:rFonts w:ascii="Times New Roman" w:hAnsi="Times New Roman"/>
          <w:noProof/>
          <w:sz w:val="24"/>
        </w:rPr>
        <w:t>anismului de arbitraj și acordarea de stimulente financiare centrelor de arbitraj și de mediere pentru a crea sisteme digitale ușor de utilizat.</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În cele din urmă, crearea unui oficiu independent pentru colectarea, prelucrarea, agregarea, prezentarea și mon</w:t>
      </w:r>
      <w:r>
        <w:rPr>
          <w:rFonts w:ascii="Times New Roman" w:hAnsi="Times New Roman"/>
          <w:noProof/>
          <w:sz w:val="24"/>
        </w:rPr>
        <w:t>itorizarea sistematică a datelor judiciare asigură supravegherea și monitorizarea corespunzătoare a funcției și a performanței sistemului judiciar.</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Implementarea reformei și a investiției trebuie finalizată până la 31 decembrie 2025. </w:t>
      </w:r>
    </w:p>
    <w:p w:rsidR="00780A28" w:rsidRDefault="00780A28">
      <w:pPr>
        <w:spacing w:before="120" w:after="120" w:line="240" w:lineRule="auto"/>
        <w:ind w:left="709"/>
        <w:jc w:val="both"/>
        <w:rPr>
          <w:rFonts w:ascii="Times New Roman" w:hAnsi="Times New Roman" w:cs="Times New Roman"/>
          <w:b/>
          <w:bCs/>
          <w:noProof/>
          <w:sz w:val="24"/>
          <w:u w:val="single"/>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21"/>
          <w:headerReference w:type="default" r:id="rId222"/>
          <w:footerReference w:type="even" r:id="rId223"/>
          <w:footerReference w:type="default" r:id="rId224"/>
          <w:headerReference w:type="first" r:id="rId225"/>
          <w:footerReference w:type="first" r:id="rId226"/>
          <w:pgSz w:w="11907" w:h="16839"/>
          <w:pgMar w:top="1134" w:right="1417" w:bottom="1134" w:left="1417" w:header="709" w:footer="709" w:gutter="0"/>
          <w:cols w:space="720"/>
          <w:docGrid w:linePitch="360"/>
        </w:sectPr>
      </w:pPr>
    </w:p>
    <w:p w:rsidR="00780A28" w:rsidRDefault="001867D7">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N.2.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p>
    <w:p w:rsidR="00780A28" w:rsidRDefault="00780A28">
      <w:pPr>
        <w:keepNext/>
        <w:keepLines/>
        <w:spacing w:before="40" w:after="0" w:line="240" w:lineRule="auto"/>
        <w:jc w:val="both"/>
        <w:outlineLvl w:val="4"/>
        <w:rPr>
          <w:rFonts w:ascii="Cambria" w:eastAsia="Times New Roman" w:hAnsi="Cambria"/>
          <w:noProof/>
          <w:color w:val="365F91"/>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21: Să îmbunătățească eficiența sistemului judiciar</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Măsurile incluse în acest grup sun</w:t>
      </w:r>
      <w:r>
        <w:rPr>
          <w:rFonts w:ascii="Times New Roman" w:hAnsi="Times New Roman"/>
          <w:noProof/>
          <w:sz w:val="24"/>
        </w:rPr>
        <w:t>t:</w:t>
      </w:r>
    </w:p>
    <w:p w:rsidR="00780A28" w:rsidRDefault="001867D7">
      <w:pPr>
        <w:numPr>
          <w:ilvl w:val="0"/>
          <w:numId w:val="21"/>
        </w:numPr>
        <w:spacing w:before="120" w:after="0" w:line="240" w:lineRule="auto"/>
        <w:jc w:val="both"/>
        <w:rPr>
          <w:rFonts w:ascii="Times New Roman" w:hAnsi="Times New Roman" w:cs="Times New Roman"/>
          <w:noProof/>
          <w:sz w:val="24"/>
        </w:rPr>
      </w:pPr>
      <w:r>
        <w:rPr>
          <w:rFonts w:ascii="Times New Roman" w:hAnsi="Times New Roman"/>
          <w:noProof/>
          <w:sz w:val="24"/>
        </w:rPr>
        <w:t>Clădiri și renovări judiciare noi (ID: 16292)</w:t>
      </w:r>
    </w:p>
    <w:p w:rsidR="00780A28" w:rsidRDefault="001867D7">
      <w:pPr>
        <w:numPr>
          <w:ilvl w:val="0"/>
          <w:numId w:val="21"/>
        </w:numPr>
        <w:spacing w:before="120" w:after="0" w:line="240" w:lineRule="auto"/>
        <w:jc w:val="both"/>
        <w:rPr>
          <w:rFonts w:ascii="Times New Roman" w:hAnsi="Times New Roman" w:cs="Times New Roman"/>
          <w:noProof/>
          <w:sz w:val="24"/>
        </w:rPr>
      </w:pPr>
      <w:r>
        <w:rPr>
          <w:rFonts w:ascii="Times New Roman" w:hAnsi="Times New Roman"/>
          <w:noProof/>
          <w:sz w:val="24"/>
        </w:rPr>
        <w:t>Transformarea digitală a justiției (e-justiție) (ID: 16727)</w:t>
      </w:r>
    </w:p>
    <w:p w:rsidR="00780A28" w:rsidRDefault="001867D7">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Competențe și competențe digitale pentru judecători și personalul judiciar (personalul din justiție) (ID: 16733)</w:t>
      </w:r>
    </w:p>
    <w:p w:rsidR="00780A28" w:rsidRDefault="001867D7">
      <w:pPr>
        <w:numPr>
          <w:ilvl w:val="0"/>
          <w:numId w:val="21"/>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Accelerarea administrării </w:t>
      </w:r>
      <w:r>
        <w:rPr>
          <w:rFonts w:ascii="Times New Roman" w:hAnsi="Times New Roman"/>
          <w:noProof/>
          <w:sz w:val="24"/>
        </w:rPr>
        <w:t>justiției (ID: 16575)</w:t>
      </w:r>
    </w:p>
    <w:tbl>
      <w:tblPr>
        <w:tblW w:w="15730" w:type="dxa"/>
        <w:jc w:val="center"/>
        <w:tblLook w:val="04A0" w:firstRow="1" w:lastRow="0" w:firstColumn="1" w:lastColumn="0" w:noHBand="0" w:noVBand="1"/>
      </w:tblPr>
      <w:tblGrid>
        <w:gridCol w:w="1027"/>
        <w:gridCol w:w="1845"/>
        <w:gridCol w:w="1424"/>
        <w:gridCol w:w="1397"/>
        <w:gridCol w:w="1552"/>
        <w:gridCol w:w="1173"/>
        <w:gridCol w:w="896"/>
        <w:gridCol w:w="866"/>
        <w:gridCol w:w="931"/>
        <w:gridCol w:w="685"/>
        <w:gridCol w:w="4885"/>
      </w:tblGrid>
      <w:tr w:rsidR="00780A28">
        <w:trPr>
          <w:trHeight w:val="927"/>
          <w:tblHeader/>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397"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calitativi (pentru jaloane)</w:t>
            </w:r>
          </w:p>
        </w:tc>
        <w:tc>
          <w:tcPr>
            <w:tcW w:w="2436"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cantitativi (pentru ținte)</w:t>
            </w:r>
          </w:p>
        </w:tc>
        <w:tc>
          <w:tcPr>
            <w:tcW w:w="1468"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Calendar orientativ pentru atingerea jaloanelor/țintelor</w:t>
            </w:r>
          </w:p>
        </w:tc>
        <w:tc>
          <w:tcPr>
            <w:tcW w:w="488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Descrierea fiecărui jalon </w:t>
            </w:r>
            <w:r>
              <w:rPr>
                <w:rFonts w:ascii="Times New Roman" w:hAnsi="Times New Roman"/>
                <w:b/>
                <w:bCs/>
                <w:noProof/>
                <w:sz w:val="18"/>
                <w:szCs w:val="18"/>
              </w:rPr>
              <w:t>ș</w:t>
            </w:r>
            <w:r>
              <w:rPr>
                <w:rFonts w:ascii="Times New Roman" w:hAnsi="Times New Roman"/>
                <w:b/>
                <w:bCs/>
                <w:noProof/>
                <w:sz w:val="18"/>
                <w:szCs w:val="18"/>
              </w:rPr>
              <w:t>i a fiecărei ținte</w:t>
            </w:r>
          </w:p>
        </w:tc>
      </w:tr>
      <w:tr w:rsidR="00780A28">
        <w:trPr>
          <w:trHeight w:val="734"/>
          <w:tblHeader/>
          <w:jc w:val="center"/>
        </w:trPr>
        <w:tc>
          <w:tcPr>
            <w:tcW w:w="1027" w:type="dxa"/>
            <w:vMerge/>
            <w:tcBorders>
              <w:top w:val="single" w:sz="4" w:space="0" w:color="auto"/>
              <w:left w:val="single" w:sz="4" w:space="0" w:color="auto"/>
              <w:bottom w:val="single" w:sz="4" w:space="0" w:color="auto"/>
              <w:right w:val="single" w:sz="4" w:space="0" w:color="auto"/>
            </w:tcBorders>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41" w:type="dxa"/>
            <w:vMerge/>
            <w:tcBorders>
              <w:top w:val="single" w:sz="4" w:space="0" w:color="auto"/>
              <w:left w:val="single" w:sz="4" w:space="0" w:color="auto"/>
              <w:bottom w:val="single" w:sz="4" w:space="0" w:color="auto"/>
              <w:right w:val="single" w:sz="4" w:space="0" w:color="auto"/>
            </w:tcBorders>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24" w:type="dxa"/>
            <w:vMerge/>
            <w:tcBorders>
              <w:top w:val="single" w:sz="4" w:space="0" w:color="auto"/>
              <w:left w:val="single" w:sz="4" w:space="0" w:color="auto"/>
              <w:bottom w:val="single" w:sz="4" w:space="0" w:color="auto"/>
              <w:right w:val="single" w:sz="4" w:space="0" w:color="auto"/>
            </w:tcBorders>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97" w:type="dxa"/>
            <w:vMerge/>
            <w:tcBorders>
              <w:top w:val="single" w:sz="4" w:space="0" w:color="auto"/>
              <w:left w:val="nil"/>
              <w:bottom w:val="single" w:sz="4" w:space="0" w:color="auto"/>
              <w:right w:val="single" w:sz="4" w:space="0" w:color="auto"/>
            </w:tcBorders>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52" w:type="dxa"/>
            <w:vMerge/>
            <w:tcBorders>
              <w:top w:val="single" w:sz="4" w:space="0" w:color="auto"/>
              <w:left w:val="single" w:sz="4" w:space="0" w:color="auto"/>
              <w:bottom w:val="single" w:sz="4" w:space="0" w:color="auto"/>
              <w:right w:val="single" w:sz="4" w:space="0" w:color="auto"/>
            </w:tcBorders>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857"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Valoare de referință</w:t>
            </w:r>
          </w:p>
        </w:tc>
        <w:tc>
          <w:tcPr>
            <w:tcW w:w="587"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Obiectiv</w:t>
            </w:r>
          </w:p>
        </w:tc>
        <w:tc>
          <w:tcPr>
            <w:tcW w:w="846"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62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885" w:type="dxa"/>
            <w:vMerge/>
            <w:tcBorders>
              <w:top w:val="single" w:sz="4" w:space="0" w:color="auto"/>
              <w:left w:val="single" w:sz="4" w:space="0" w:color="auto"/>
              <w:bottom w:val="single" w:sz="4" w:space="0" w:color="auto"/>
              <w:right w:val="single" w:sz="4" w:space="0" w:color="auto"/>
            </w:tcBorders>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222</w:t>
            </w:r>
          </w:p>
        </w:tc>
        <w:tc>
          <w:tcPr>
            <w:tcW w:w="15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14 - 4.3. Îmbunătățirea eficienței sistemului judiciar – 16292_noi clădiri judiciare</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Identificare — Clădiri eligibile</w:t>
            </w:r>
          </w:p>
        </w:tc>
        <w:tc>
          <w:tcPr>
            <w:tcW w:w="15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Completarea listei </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Q3</w:t>
            </w: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2021</w:t>
            </w:r>
          </w:p>
        </w:tc>
        <w:tc>
          <w:tcPr>
            <w:tcW w:w="488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Compilarea unei liste a clădirilor care nu sunt afectate de revizuirea hărții judiciare.</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223</w:t>
            </w:r>
          </w:p>
        </w:tc>
        <w:tc>
          <w:tcPr>
            <w:tcW w:w="154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14 - 4.3. Să îmbunătățească eficiența sistemului judiciar – </w:t>
            </w:r>
          </w:p>
          <w:p w:rsidR="00780A28" w:rsidRDefault="001867D7">
            <w:pPr>
              <w:spacing w:after="0" w:line="240" w:lineRule="auto"/>
              <w:rPr>
                <w:rFonts w:eastAsia="Times New Roman"/>
                <w:noProof/>
                <w:color w:val="006100"/>
                <w:sz w:val="18"/>
                <w:szCs w:val="18"/>
              </w:rPr>
            </w:pPr>
            <w:r>
              <w:rPr>
                <w:noProof/>
                <w:color w:val="006100"/>
                <w:sz w:val="18"/>
                <w:szCs w:val="18"/>
              </w:rPr>
              <w:t>16575 accelerarea administrării justiției</w:t>
            </w:r>
          </w:p>
        </w:tc>
        <w:tc>
          <w:tcPr>
            <w:tcW w:w="14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Asistență tehnică — Instrumentul de performanță judiciară</w:t>
            </w:r>
          </w:p>
        </w:tc>
        <w:tc>
          <w:tcPr>
            <w:tcW w:w="15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Atribuirea procedurii de ofertare pentru asistență tehnică</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Q3</w:t>
            </w:r>
          </w:p>
        </w:tc>
        <w:tc>
          <w:tcPr>
            <w:tcW w:w="6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de </w:t>
            </w:r>
            <w:r>
              <w:rPr>
                <w:noProof/>
                <w:color w:val="006100"/>
                <w:sz w:val="18"/>
                <w:szCs w:val="18"/>
              </w:rPr>
              <w:t>oferte pentru sprijin tehnic pentru dezvoltarea instrumentului de performanță judiciară pe baza unor obiective strategice, introducând indicatori-cheie de performanță obiectivi (timpul necesar pentru îndeplinirea unei sarcini, performanța individuală în ce</w:t>
            </w:r>
            <w:r>
              <w:rPr>
                <w:noProof/>
                <w:color w:val="006100"/>
                <w:sz w:val="18"/>
                <w:szCs w:val="18"/>
              </w:rPr>
              <w:t>ea ce privește timpul, comunicarea, motivația etc.) pe departament și/sau categorie de funcționari și furnizând date exacte și obiective privind alocarea primelor; primele se plătesc în primul trimestru de după sfârșitul anului în cauză, pe baza performanț</w:t>
            </w:r>
            <w:r>
              <w:rPr>
                <w:noProof/>
                <w:color w:val="006100"/>
                <w:sz w:val="18"/>
                <w:szCs w:val="18"/>
              </w:rPr>
              <w:t>elor anului respectiv. Instrumentul este temporar și în deplină concordanță cu grila salarială unificată (Legea nr. 4354/2015), fără a stabili nicio excepție pentru eliminarea întârzierilor în instanță.</w:t>
            </w:r>
          </w:p>
        </w:tc>
      </w:tr>
      <w:tr w:rsidR="00780A28">
        <w:tblPrEx>
          <w:tblLook w:val="0400" w:firstRow="0" w:lastRow="0" w:firstColumn="0" w:lastColumn="0" w:noHBand="0" w:noVBand="1"/>
        </w:tblPrEx>
        <w:trPr>
          <w:trHeight w:val="309"/>
          <w:jc w:val="center"/>
        </w:trPr>
        <w:tc>
          <w:tcPr>
            <w:tcW w:w="1027" w:type="dxa"/>
            <w:tcBorders>
              <w:top w:val="single" w:sz="4" w:space="0" w:color="000000"/>
              <w:left w:val="single" w:sz="4" w:space="0" w:color="000000"/>
              <w:bottom w:val="single" w:sz="4" w:space="0" w:color="000000"/>
              <w:right w:val="single" w:sz="4" w:space="0" w:color="000000"/>
            </w:tcBorders>
            <w:shd w:val="clear" w:color="auto" w:fill="C6EFCE"/>
          </w:tcPr>
          <w:p w:rsidR="00780A28" w:rsidRDefault="001867D7">
            <w:pPr>
              <w:spacing w:after="0" w:line="240" w:lineRule="auto"/>
              <w:rPr>
                <w:rFonts w:cs="Calibri"/>
                <w:noProof/>
                <w:color w:val="006100"/>
                <w:sz w:val="18"/>
                <w:szCs w:val="18"/>
              </w:rPr>
            </w:pPr>
            <w:r>
              <w:rPr>
                <w:noProof/>
                <w:color w:val="006100"/>
                <w:sz w:val="18"/>
                <w:szCs w:val="18"/>
              </w:rPr>
              <w:t>224</w:t>
            </w:r>
          </w:p>
        </w:tc>
        <w:tc>
          <w:tcPr>
            <w:tcW w:w="1541" w:type="dxa"/>
            <w:tcBorders>
              <w:top w:val="single" w:sz="4" w:space="0" w:color="000000"/>
              <w:left w:val="nil"/>
              <w:bottom w:val="single" w:sz="4" w:space="0" w:color="000000"/>
              <w:right w:val="single" w:sz="4" w:space="0" w:color="000000"/>
            </w:tcBorders>
            <w:shd w:val="clear" w:color="auto" w:fill="C6EFCE"/>
          </w:tcPr>
          <w:p w:rsidR="00780A28" w:rsidRDefault="001867D7">
            <w:pPr>
              <w:spacing w:after="0" w:line="240" w:lineRule="auto"/>
              <w:rPr>
                <w:rFonts w:cs="Calibri"/>
                <w:noProof/>
                <w:color w:val="006100"/>
                <w:sz w:val="18"/>
                <w:szCs w:val="18"/>
              </w:rPr>
            </w:pPr>
            <w:r>
              <w:rPr>
                <w:noProof/>
                <w:color w:val="006100"/>
                <w:sz w:val="18"/>
                <w:szCs w:val="18"/>
              </w:rPr>
              <w:t>14 - 4.3. Îmbunătățirea eficienței sistemului de</w:t>
            </w:r>
            <w:r>
              <w:rPr>
                <w:noProof/>
                <w:color w:val="006100"/>
                <w:sz w:val="18"/>
                <w:szCs w:val="18"/>
              </w:rPr>
              <w:t xml:space="preserve"> justiție — 16733_Competențe și competențe digitale pentru judecători și angajații din justiție (personalul din justiție)</w:t>
            </w:r>
          </w:p>
        </w:tc>
        <w:tc>
          <w:tcPr>
            <w:tcW w:w="1424" w:type="dxa"/>
            <w:tcBorders>
              <w:top w:val="single" w:sz="4" w:space="0" w:color="000000"/>
              <w:left w:val="nil"/>
              <w:bottom w:val="single" w:sz="4" w:space="0" w:color="000000"/>
              <w:right w:val="single" w:sz="4" w:space="0" w:color="000000"/>
            </w:tcBorders>
            <w:shd w:val="clear" w:color="auto" w:fill="C6EFCE"/>
          </w:tcPr>
          <w:p w:rsidR="00780A28" w:rsidRDefault="001867D7">
            <w:pPr>
              <w:spacing w:after="0" w:line="240" w:lineRule="auto"/>
              <w:rPr>
                <w:rFonts w:cs="Calibri"/>
                <w:noProof/>
                <w:color w:val="006100"/>
                <w:sz w:val="18"/>
                <w:szCs w:val="18"/>
              </w:rPr>
            </w:pPr>
            <w:r>
              <w:rPr>
                <w:noProof/>
                <w:color w:val="006100"/>
                <w:sz w:val="18"/>
                <w:szCs w:val="18"/>
              </w:rPr>
              <w:t>Ț</w:t>
            </w:r>
            <w:r>
              <w:rPr>
                <w:noProof/>
                <w:color w:val="006100"/>
                <w:sz w:val="18"/>
                <w:szCs w:val="18"/>
              </w:rPr>
              <w:t>intă</w:t>
            </w:r>
          </w:p>
        </w:tc>
        <w:tc>
          <w:tcPr>
            <w:tcW w:w="1397" w:type="dxa"/>
            <w:tcBorders>
              <w:top w:val="single" w:sz="4" w:space="0" w:color="000000"/>
              <w:left w:val="nil"/>
              <w:bottom w:val="single" w:sz="4" w:space="0" w:color="000000"/>
              <w:right w:val="single" w:sz="4" w:space="0" w:color="000000"/>
            </w:tcBorders>
            <w:shd w:val="clear" w:color="auto" w:fill="C6EFCE"/>
          </w:tcPr>
          <w:p w:rsidR="00780A28" w:rsidRDefault="001867D7">
            <w:pPr>
              <w:spacing w:after="0" w:line="240" w:lineRule="auto"/>
              <w:rPr>
                <w:rFonts w:cs="Calibri"/>
                <w:noProof/>
                <w:color w:val="006100"/>
                <w:sz w:val="18"/>
                <w:szCs w:val="18"/>
              </w:rPr>
            </w:pPr>
            <w:r>
              <w:rPr>
                <w:noProof/>
                <w:color w:val="006100"/>
                <w:sz w:val="18"/>
                <w:szCs w:val="18"/>
              </w:rPr>
              <w:t>Formare — Judecători și grefieri</w:t>
            </w:r>
          </w:p>
        </w:tc>
        <w:tc>
          <w:tcPr>
            <w:tcW w:w="1552" w:type="dxa"/>
            <w:tcBorders>
              <w:top w:val="single" w:sz="4" w:space="0" w:color="000000"/>
              <w:left w:val="nil"/>
              <w:bottom w:val="single" w:sz="4" w:space="0" w:color="000000"/>
              <w:right w:val="single" w:sz="4" w:space="0" w:color="000000"/>
            </w:tcBorders>
            <w:shd w:val="clear" w:color="auto" w:fill="C6EFCE"/>
          </w:tcPr>
          <w:p w:rsidR="00780A28" w:rsidRDefault="00780A28">
            <w:pPr>
              <w:spacing w:after="0" w:line="240" w:lineRule="auto"/>
              <w:rPr>
                <w:rFonts w:cs="Calibri"/>
                <w:noProof/>
                <w:color w:val="006100"/>
                <w:sz w:val="18"/>
                <w:szCs w:val="18"/>
              </w:rPr>
            </w:pPr>
          </w:p>
          <w:p w:rsidR="00780A28" w:rsidRDefault="00780A28">
            <w:pPr>
              <w:spacing w:after="0" w:line="240" w:lineRule="auto"/>
              <w:rPr>
                <w:rFonts w:cs="Calibri"/>
                <w:noProof/>
                <w:color w:val="006100"/>
                <w:sz w:val="18"/>
                <w:szCs w:val="18"/>
              </w:rPr>
            </w:pPr>
          </w:p>
        </w:tc>
        <w:tc>
          <w:tcPr>
            <w:tcW w:w="992" w:type="dxa"/>
            <w:tcBorders>
              <w:top w:val="single" w:sz="4" w:space="0" w:color="000000"/>
              <w:left w:val="nil"/>
              <w:bottom w:val="single" w:sz="4" w:space="0" w:color="000000"/>
              <w:right w:val="single" w:sz="4" w:space="0" w:color="000000"/>
            </w:tcBorders>
            <w:shd w:val="clear" w:color="auto" w:fill="C6EFCE"/>
          </w:tcPr>
          <w:p w:rsidR="00780A28" w:rsidRDefault="001867D7">
            <w:pPr>
              <w:spacing w:after="0" w:line="240" w:lineRule="auto"/>
              <w:rPr>
                <w:rFonts w:cs="Calibri"/>
                <w:noProof/>
                <w:color w:val="006100"/>
                <w:sz w:val="18"/>
                <w:szCs w:val="18"/>
              </w:rPr>
            </w:pPr>
            <w:r>
              <w:rPr>
                <w:noProof/>
                <w:color w:val="006100"/>
                <w:sz w:val="18"/>
                <w:szCs w:val="18"/>
              </w:rPr>
              <w:t>Numărul de judecători înscriși în Școala Națională a Judecătorilor</w:t>
            </w:r>
          </w:p>
        </w:tc>
        <w:tc>
          <w:tcPr>
            <w:tcW w:w="857" w:type="dxa"/>
            <w:tcBorders>
              <w:top w:val="single" w:sz="4" w:space="0" w:color="000000"/>
              <w:left w:val="nil"/>
              <w:bottom w:val="single" w:sz="4" w:space="0" w:color="000000"/>
              <w:right w:val="single" w:sz="4" w:space="0" w:color="000000"/>
            </w:tcBorders>
            <w:shd w:val="clear" w:color="auto" w:fill="C6EFCE"/>
          </w:tcPr>
          <w:p w:rsidR="00780A28" w:rsidRDefault="001867D7">
            <w:pPr>
              <w:spacing w:after="0" w:line="240" w:lineRule="auto"/>
              <w:rPr>
                <w:rFonts w:cs="Calibri"/>
                <w:noProof/>
                <w:color w:val="006100"/>
                <w:sz w:val="18"/>
                <w:szCs w:val="18"/>
              </w:rPr>
            </w:pPr>
            <w:r>
              <w:rPr>
                <w:noProof/>
                <w:color w:val="006100"/>
                <w:sz w:val="18"/>
                <w:szCs w:val="18"/>
              </w:rPr>
              <w:t>0</w:t>
            </w:r>
          </w:p>
        </w:tc>
        <w:tc>
          <w:tcPr>
            <w:tcW w:w="587" w:type="dxa"/>
            <w:tcBorders>
              <w:top w:val="single" w:sz="4" w:space="0" w:color="000000"/>
              <w:left w:val="nil"/>
              <w:bottom w:val="single" w:sz="4" w:space="0" w:color="000000"/>
              <w:right w:val="single" w:sz="4" w:space="0" w:color="000000"/>
            </w:tcBorders>
            <w:shd w:val="clear" w:color="auto" w:fill="C6EFCE"/>
          </w:tcPr>
          <w:p w:rsidR="00780A28" w:rsidRDefault="001867D7">
            <w:pPr>
              <w:spacing w:after="0" w:line="240" w:lineRule="auto"/>
              <w:rPr>
                <w:rFonts w:cs="Calibri"/>
                <w:noProof/>
                <w:color w:val="006100"/>
                <w:sz w:val="18"/>
                <w:szCs w:val="18"/>
              </w:rPr>
            </w:pPr>
            <w:r>
              <w:rPr>
                <w:noProof/>
                <w:color w:val="006100"/>
                <w:sz w:val="18"/>
                <w:szCs w:val="18"/>
              </w:rPr>
              <w:t>10</w:t>
            </w:r>
          </w:p>
        </w:tc>
        <w:tc>
          <w:tcPr>
            <w:tcW w:w="846" w:type="dxa"/>
            <w:tcBorders>
              <w:top w:val="single" w:sz="4" w:space="0" w:color="000000"/>
              <w:left w:val="nil"/>
              <w:bottom w:val="single" w:sz="4" w:space="0" w:color="000000"/>
              <w:right w:val="single" w:sz="4" w:space="0" w:color="000000"/>
            </w:tcBorders>
            <w:shd w:val="clear" w:color="auto" w:fill="C6EFCE"/>
          </w:tcPr>
          <w:p w:rsidR="00780A28" w:rsidRDefault="001867D7">
            <w:pPr>
              <w:spacing w:after="0" w:line="240" w:lineRule="auto"/>
              <w:rPr>
                <w:rFonts w:cs="Calibri"/>
                <w:noProof/>
                <w:color w:val="006100"/>
                <w:sz w:val="18"/>
                <w:szCs w:val="18"/>
              </w:rPr>
            </w:pPr>
            <w:r>
              <w:rPr>
                <w:noProof/>
                <w:color w:val="006100"/>
                <w:sz w:val="18"/>
                <w:szCs w:val="18"/>
              </w:rPr>
              <w:t>Q1</w:t>
            </w:r>
          </w:p>
        </w:tc>
        <w:tc>
          <w:tcPr>
            <w:tcW w:w="622" w:type="dxa"/>
            <w:tcBorders>
              <w:top w:val="single" w:sz="4" w:space="0" w:color="000000"/>
              <w:left w:val="nil"/>
              <w:bottom w:val="single" w:sz="4" w:space="0" w:color="000000"/>
              <w:right w:val="single" w:sz="4" w:space="0" w:color="000000"/>
            </w:tcBorders>
            <w:shd w:val="clear" w:color="auto" w:fill="C6EFCE"/>
          </w:tcPr>
          <w:p w:rsidR="00780A28" w:rsidRDefault="001867D7">
            <w:pPr>
              <w:spacing w:after="0" w:line="240" w:lineRule="auto"/>
              <w:rPr>
                <w:rFonts w:cs="Calibri"/>
                <w:noProof/>
                <w:color w:val="006100"/>
                <w:sz w:val="18"/>
                <w:szCs w:val="18"/>
              </w:rPr>
            </w:pPr>
            <w:r>
              <w:rPr>
                <w:noProof/>
                <w:color w:val="006100"/>
                <w:sz w:val="18"/>
                <w:szCs w:val="18"/>
              </w:rPr>
              <w:t>2022</w:t>
            </w:r>
          </w:p>
        </w:tc>
        <w:tc>
          <w:tcPr>
            <w:tcW w:w="4885" w:type="dxa"/>
            <w:tcBorders>
              <w:top w:val="single" w:sz="4" w:space="0" w:color="000000"/>
              <w:left w:val="nil"/>
              <w:bottom w:val="single" w:sz="4" w:space="0" w:color="000000"/>
              <w:right w:val="single" w:sz="4" w:space="0" w:color="000000"/>
            </w:tcBorders>
            <w:shd w:val="clear" w:color="auto" w:fill="C6EFCE"/>
          </w:tcPr>
          <w:p w:rsidR="00780A28" w:rsidRDefault="001867D7">
            <w:pPr>
              <w:spacing w:after="0" w:line="240" w:lineRule="auto"/>
              <w:rPr>
                <w:rFonts w:ascii="Times New Roman" w:hAnsi="Times New Roman" w:cs="Times New Roman"/>
                <w:noProof/>
                <w:sz w:val="24"/>
              </w:rPr>
            </w:pPr>
            <w:r>
              <w:rPr>
                <w:noProof/>
                <w:color w:val="006100"/>
                <w:sz w:val="18"/>
                <w:szCs w:val="18"/>
              </w:rPr>
              <w:t xml:space="preserve">10 judecători de magistrați înscriși în Școala Națională de Judecători </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225</w:t>
            </w:r>
          </w:p>
        </w:tc>
        <w:tc>
          <w:tcPr>
            <w:tcW w:w="154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14 - 4.3. Îmbunătățirea eficienței sistemului de justiție — 16575 Accelerarea administrării justiției</w:t>
            </w:r>
          </w:p>
        </w:tc>
        <w:tc>
          <w:tcPr>
            <w:tcW w:w="14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Poliția judiciară — Legislația secundară </w:t>
            </w:r>
          </w:p>
        </w:tc>
        <w:tc>
          <w:tcPr>
            <w:tcW w:w="15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Intrarea în vigoare a </w:t>
            </w:r>
            <w:r>
              <w:rPr>
                <w:noProof/>
                <w:color w:val="006100"/>
                <w:sz w:val="18"/>
                <w:szCs w:val="18"/>
              </w:rPr>
              <w:t>legislației</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Q3</w:t>
            </w:r>
          </w:p>
        </w:tc>
        <w:tc>
          <w:tcPr>
            <w:tcW w:w="6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780A28" w:rsidRDefault="001867D7">
            <w:pPr>
              <w:spacing w:before="120" w:after="120" w:line="240" w:lineRule="auto"/>
              <w:jc w:val="both"/>
              <w:rPr>
                <w:noProof/>
                <w:color w:val="006100"/>
                <w:sz w:val="18"/>
                <w:szCs w:val="18"/>
              </w:rPr>
            </w:pPr>
            <w:r>
              <w:rPr>
                <w:noProof/>
                <w:color w:val="006100"/>
                <w:sz w:val="18"/>
                <w:szCs w:val="18"/>
              </w:rPr>
              <w:t xml:space="preserve">Intrarea în vigoare a întregii legislații secundare (sub forma decretelor prezidențiale sau a deciziilor ministeriale, după caz) necesare pentru punerea în aplicare deplină a legii privind poliția judiciară, pentru a sprijini </w:t>
            </w:r>
            <w:r>
              <w:rPr>
                <w:noProof/>
                <w:color w:val="006100"/>
                <w:sz w:val="18"/>
                <w:szCs w:val="18"/>
              </w:rPr>
              <w:t>activitatea autorităților judiciare și a procuraturii cu:</w:t>
            </w:r>
          </w:p>
          <w:p w:rsidR="00780A28" w:rsidRDefault="001867D7">
            <w:pPr>
              <w:numPr>
                <w:ilvl w:val="0"/>
                <w:numId w:val="58"/>
              </w:numPr>
              <w:spacing w:before="120" w:after="0" w:line="240" w:lineRule="auto"/>
              <w:ind w:left="231" w:hanging="219"/>
              <w:jc w:val="both"/>
              <w:rPr>
                <w:noProof/>
                <w:color w:val="006100"/>
                <w:sz w:val="18"/>
                <w:szCs w:val="18"/>
              </w:rPr>
            </w:pPr>
            <w:r>
              <w:rPr>
                <w:noProof/>
                <w:color w:val="006100"/>
                <w:sz w:val="18"/>
                <w:szCs w:val="18"/>
              </w:rPr>
              <w:t xml:space="preserve">acordarea de asistență științifică și tehnică judecătorilor și procurorilor în chestiuni care necesită expertiză tehnică sau profesională; </w:t>
            </w:r>
          </w:p>
          <w:p w:rsidR="00780A28" w:rsidRDefault="001867D7">
            <w:pPr>
              <w:numPr>
                <w:ilvl w:val="0"/>
                <w:numId w:val="58"/>
              </w:numPr>
              <w:spacing w:before="120" w:after="0" w:line="240" w:lineRule="auto"/>
              <w:ind w:left="231" w:hanging="219"/>
              <w:jc w:val="both"/>
              <w:rPr>
                <w:noProof/>
                <w:color w:val="006100"/>
                <w:sz w:val="18"/>
                <w:szCs w:val="18"/>
              </w:rPr>
            </w:pPr>
            <w:r>
              <w:rPr>
                <w:noProof/>
                <w:color w:val="006100"/>
                <w:sz w:val="18"/>
                <w:szCs w:val="18"/>
              </w:rPr>
              <w:t>desfășurarea examinărilor preliminare și a investigațiilor</w:t>
            </w:r>
            <w:r>
              <w:rPr>
                <w:noProof/>
                <w:color w:val="006100"/>
                <w:sz w:val="18"/>
                <w:szCs w:val="18"/>
              </w:rPr>
              <w:t>;</w:t>
            </w:r>
          </w:p>
          <w:p w:rsidR="00780A28" w:rsidRDefault="001867D7">
            <w:pPr>
              <w:numPr>
                <w:ilvl w:val="0"/>
                <w:numId w:val="58"/>
              </w:numPr>
              <w:spacing w:before="120" w:after="0" w:line="240" w:lineRule="auto"/>
              <w:ind w:left="231" w:hanging="219"/>
              <w:jc w:val="both"/>
              <w:rPr>
                <w:noProof/>
                <w:color w:val="006100"/>
                <w:sz w:val="18"/>
                <w:szCs w:val="18"/>
              </w:rPr>
            </w:pPr>
            <w:r>
              <w:rPr>
                <w:noProof/>
                <w:color w:val="006100"/>
                <w:sz w:val="18"/>
                <w:szCs w:val="18"/>
              </w:rPr>
              <w:t>executarea warantelor;</w:t>
            </w:r>
          </w:p>
          <w:p w:rsidR="00780A28" w:rsidRDefault="001867D7">
            <w:pPr>
              <w:numPr>
                <w:ilvl w:val="0"/>
                <w:numId w:val="58"/>
              </w:numPr>
              <w:spacing w:before="120" w:after="0" w:line="240" w:lineRule="auto"/>
              <w:ind w:left="231" w:hanging="219"/>
              <w:jc w:val="both"/>
              <w:rPr>
                <w:noProof/>
                <w:color w:val="006100"/>
                <w:sz w:val="18"/>
                <w:szCs w:val="18"/>
              </w:rPr>
            </w:pPr>
            <w:r>
              <w:rPr>
                <w:noProof/>
                <w:color w:val="006100"/>
                <w:sz w:val="18"/>
                <w:szCs w:val="18"/>
              </w:rPr>
              <w:t>acordarea de asistență pentru prezentarea sau răspunsul la cererile de asistență judiciară;</w:t>
            </w:r>
          </w:p>
          <w:p w:rsidR="00780A28" w:rsidRDefault="001867D7">
            <w:pPr>
              <w:numPr>
                <w:ilvl w:val="0"/>
                <w:numId w:val="58"/>
              </w:numPr>
              <w:spacing w:before="120" w:after="0" w:line="240" w:lineRule="auto"/>
              <w:ind w:left="231" w:hanging="219"/>
              <w:jc w:val="both"/>
              <w:rPr>
                <w:noProof/>
                <w:color w:val="006100"/>
                <w:sz w:val="18"/>
                <w:szCs w:val="18"/>
              </w:rPr>
            </w:pPr>
            <w:r>
              <w:rPr>
                <w:noProof/>
                <w:color w:val="006100"/>
                <w:sz w:val="18"/>
                <w:szCs w:val="18"/>
              </w:rPr>
              <w:t>notificarea sau comunicarea actelor și actelor de procedură;</w:t>
            </w:r>
          </w:p>
          <w:p w:rsidR="00780A28" w:rsidRDefault="001867D7">
            <w:pPr>
              <w:numPr>
                <w:ilvl w:val="0"/>
                <w:numId w:val="58"/>
              </w:numPr>
              <w:spacing w:before="120" w:after="0" w:line="240" w:lineRule="auto"/>
              <w:ind w:left="231" w:hanging="219"/>
              <w:jc w:val="both"/>
              <w:rPr>
                <w:noProof/>
                <w:color w:val="006100"/>
                <w:sz w:val="18"/>
                <w:szCs w:val="18"/>
              </w:rPr>
            </w:pPr>
            <w:r>
              <w:rPr>
                <w:noProof/>
                <w:color w:val="006100"/>
                <w:sz w:val="18"/>
                <w:szCs w:val="18"/>
              </w:rPr>
              <w:t>executarea hotărârilor judecătorești;</w:t>
            </w:r>
          </w:p>
          <w:p w:rsidR="00780A28" w:rsidRDefault="001867D7">
            <w:pPr>
              <w:numPr>
                <w:ilvl w:val="0"/>
                <w:numId w:val="58"/>
              </w:numPr>
              <w:spacing w:before="120" w:after="0" w:line="240" w:lineRule="auto"/>
              <w:ind w:left="231" w:hanging="219"/>
              <w:jc w:val="both"/>
              <w:rPr>
                <w:noProof/>
                <w:color w:val="006100"/>
                <w:sz w:val="18"/>
                <w:szCs w:val="18"/>
              </w:rPr>
            </w:pPr>
            <w:r>
              <w:rPr>
                <w:noProof/>
                <w:color w:val="006100"/>
                <w:sz w:val="18"/>
                <w:szCs w:val="18"/>
              </w:rPr>
              <w:t>paza și menținerea ordinii în tribunale;</w:t>
            </w:r>
          </w:p>
          <w:p w:rsidR="00780A28" w:rsidRDefault="001867D7">
            <w:pPr>
              <w:numPr>
                <w:ilvl w:val="0"/>
                <w:numId w:val="58"/>
              </w:numPr>
              <w:spacing w:before="120" w:after="0" w:line="240" w:lineRule="auto"/>
              <w:ind w:left="231" w:hanging="219"/>
              <w:jc w:val="both"/>
              <w:rPr>
                <w:noProof/>
                <w:color w:val="006100"/>
                <w:sz w:val="18"/>
                <w:szCs w:val="18"/>
              </w:rPr>
            </w:pPr>
            <w:r>
              <w:rPr>
                <w:noProof/>
                <w:color w:val="006100"/>
                <w:sz w:val="18"/>
                <w:szCs w:val="18"/>
              </w:rPr>
              <w:t>alte acte de procedură care îi sunt încredințate de instanțele și procurorii competenți</w:t>
            </w:r>
          </w:p>
          <w:p w:rsidR="00780A28" w:rsidRDefault="00780A28">
            <w:pPr>
              <w:spacing w:after="0" w:line="240" w:lineRule="auto"/>
              <w:rPr>
                <w:rFonts w:eastAsia="Times New Roman"/>
                <w:noProof/>
                <w:color w:val="006100"/>
                <w:sz w:val="18"/>
                <w:szCs w:val="18"/>
                <w:lang w:eastAsia="en-GB"/>
              </w:rPr>
            </w:pP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226</w:t>
            </w:r>
          </w:p>
        </w:tc>
        <w:tc>
          <w:tcPr>
            <w:tcW w:w="154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14 - 4.3. Îmbunătățirea eficienței sistemului de justiție — 16575 Accelerarea administrării justiției</w:t>
            </w:r>
          </w:p>
        </w:tc>
        <w:tc>
          <w:tcPr>
            <w:tcW w:w="14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Hartă judiciară — legislație primară — administrativă</w:t>
            </w:r>
          </w:p>
        </w:tc>
        <w:tc>
          <w:tcPr>
            <w:tcW w:w="15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Intrarea în vigoare a legislației</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 xml:space="preserve">Intrarea în vigoare a legislației primare pentru revizuirea hărții judiciare a justiției administrative. </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227</w:t>
            </w:r>
          </w:p>
        </w:tc>
        <w:tc>
          <w:tcPr>
            <w:tcW w:w="154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14 - 4.3. Îmbunătățirea eficienței sistemului judiciar – 16292_noi clădiri judiciare</w:t>
            </w:r>
          </w:p>
        </w:tc>
        <w:tc>
          <w:tcPr>
            <w:tcW w:w="14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Clădiri </w:t>
            </w:r>
            <w:r>
              <w:rPr>
                <w:noProof/>
                <w:color w:val="006100"/>
                <w:sz w:val="18"/>
                <w:szCs w:val="18"/>
              </w:rPr>
              <w:t>judiciare — Construcții și renovări — Ajustare pe listă — lansarea licitațiilor</w:t>
            </w:r>
          </w:p>
        </w:tc>
        <w:tc>
          <w:tcPr>
            <w:tcW w:w="15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Lista proiectelor de renovare în conformitate cu legislația relevantă privind revizuirea hărții judiciare, conform etapei 14 4.3/Q4 2022; lansarea licitațiilor</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2022</w:t>
            </w:r>
          </w:p>
        </w:tc>
        <w:tc>
          <w:tcPr>
            <w:tcW w:w="488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Adaptarea listei proiectelor în conformitate cu revizuirea hărții judiciare, astfel cum a fost adoptată prin lege.</w:t>
            </w:r>
          </w:p>
          <w:p w:rsidR="00780A28" w:rsidRDefault="001867D7">
            <w:pPr>
              <w:spacing w:after="0" w:line="240" w:lineRule="auto"/>
              <w:rPr>
                <w:rFonts w:eastAsia="Times New Roman"/>
                <w:noProof/>
                <w:color w:val="006100"/>
                <w:sz w:val="18"/>
                <w:szCs w:val="18"/>
              </w:rPr>
            </w:pPr>
            <w:r>
              <w:rPr>
                <w:noProof/>
                <w:color w:val="006100"/>
                <w:sz w:val="18"/>
                <w:szCs w:val="18"/>
              </w:rPr>
              <w:t>Lansarea licitațiilor privind instanțele administrative. Condițiile de participare la licitație prevăd că clădirile nou construite trebuie să</w:t>
            </w:r>
            <w:r>
              <w:rPr>
                <w:noProof/>
                <w:color w:val="006100"/>
                <w:sz w:val="18"/>
                <w:szCs w:val="18"/>
              </w:rPr>
              <w:t xml:space="preserve"> atingă o cerere de energie primară (DEP) cu cel puțin 20 % mai mică decât cerința NZEB (clădiri al căror consum de energie este aproape egal cu zero, directivele naționale).</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228</w:t>
            </w:r>
          </w:p>
        </w:tc>
        <w:tc>
          <w:tcPr>
            <w:tcW w:w="154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14 - 4.3. Îmbunătățirea eficienței sistemului de justiție — 16733_Competențe</w:t>
            </w:r>
            <w:r>
              <w:rPr>
                <w:noProof/>
                <w:color w:val="006100"/>
                <w:sz w:val="18"/>
                <w:szCs w:val="18"/>
              </w:rPr>
              <w:t xml:space="preserve"> și competențe digitale pentru judecători și angajații din justiție (personalul din justiție)</w:t>
            </w:r>
          </w:p>
        </w:tc>
        <w:tc>
          <w:tcPr>
            <w:tcW w:w="14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Ț</w:t>
            </w:r>
            <w:r>
              <w:rPr>
                <w:noProof/>
                <w:color w:val="006100"/>
                <w:sz w:val="18"/>
                <w:szCs w:val="18"/>
              </w:rPr>
              <w:t>intă</w:t>
            </w:r>
          </w:p>
        </w:tc>
        <w:tc>
          <w:tcPr>
            <w:tcW w:w="13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Formare — Judecători și grefieri</w:t>
            </w:r>
          </w:p>
        </w:tc>
        <w:tc>
          <w:tcPr>
            <w:tcW w:w="155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Numărul de judecători înscriși în Școala Națională a Judecătorilor</w:t>
            </w:r>
          </w:p>
        </w:tc>
        <w:tc>
          <w:tcPr>
            <w:tcW w:w="85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10</w:t>
            </w:r>
          </w:p>
        </w:tc>
        <w:tc>
          <w:tcPr>
            <w:tcW w:w="58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25</w:t>
            </w: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Q1</w:t>
            </w:r>
          </w:p>
        </w:tc>
        <w:tc>
          <w:tcPr>
            <w:tcW w:w="6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2023</w:t>
            </w:r>
          </w:p>
        </w:tc>
        <w:tc>
          <w:tcPr>
            <w:tcW w:w="488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Alți 14 judecători de magistrați înscriși</w:t>
            </w:r>
            <w:r>
              <w:rPr>
                <w:noProof/>
                <w:color w:val="006100"/>
                <w:sz w:val="18"/>
                <w:szCs w:val="18"/>
              </w:rPr>
              <w:t xml:space="preserve"> în școala națională de judecători, 1 judecători ai curții de audit înscriși în școala națională de judecători. Astfel, numărul total al judecătorilor care participă la formare se ridică la 25.</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229</w:t>
            </w:r>
          </w:p>
        </w:tc>
        <w:tc>
          <w:tcPr>
            <w:tcW w:w="154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 14 - 4.3. Să îmbunătățească eficiența sistemului judiciar – </w:t>
            </w:r>
          </w:p>
          <w:p w:rsidR="00780A28" w:rsidRDefault="001867D7">
            <w:pPr>
              <w:spacing w:after="0" w:line="240" w:lineRule="auto"/>
              <w:rPr>
                <w:rFonts w:eastAsia="Times New Roman"/>
                <w:noProof/>
                <w:color w:val="006100"/>
                <w:sz w:val="18"/>
                <w:szCs w:val="18"/>
              </w:rPr>
            </w:pPr>
            <w:r>
              <w:rPr>
                <w:noProof/>
                <w:color w:val="006100"/>
                <w:sz w:val="18"/>
                <w:szCs w:val="18"/>
              </w:rPr>
              <w:t>16727 transformarea digitală a justiției (e-justiție)</w:t>
            </w:r>
          </w:p>
        </w:tc>
        <w:tc>
          <w:tcPr>
            <w:tcW w:w="14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Modernizarea sistemelor de înregistrare &amp; Sisteme informatice de justiție</w:t>
            </w:r>
          </w:p>
        </w:tc>
        <w:tc>
          <w:tcPr>
            <w:tcW w:w="155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Rapoarte de audit al proiectului pentru confirmarea respectării obligațiilor contractuale </w:t>
            </w: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Q2</w:t>
            </w:r>
          </w:p>
        </w:tc>
        <w:tc>
          <w:tcPr>
            <w:tcW w:w="62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2023</w:t>
            </w:r>
          </w:p>
        </w:tc>
        <w:tc>
          <w:tcPr>
            <w:tcW w:w="488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Primirea de probe oficiale, prin intermediul unei documentații adecvate (certificări de finalizare, protocoale de acceptare calitativă și cantitativă și f</w:t>
            </w:r>
            <w:r>
              <w:rPr>
                <w:noProof/>
                <w:color w:val="006100"/>
                <w:sz w:val="18"/>
                <w:szCs w:val="18"/>
              </w:rPr>
              <w:t>acturi emise) privind executarea corespunzătoare și punctuală a tuturor angajamentelor contractuale scadente până la data respectivă, în conformitate cu calendarele proiectului, care acoperă toate elementele celor două subproiecte, [sisteme de înregistrare</w:t>
            </w:r>
            <w:r>
              <w:rPr>
                <w:noProof/>
                <w:color w:val="006100"/>
                <w:sz w:val="18"/>
                <w:szCs w:val="18"/>
              </w:rPr>
              <w:t xml:space="preserve"> judiciară și modernizări ale sistemelor informatice de justiție (OSDDY-PP, OSDDY-DD, Curtea de Conturi, cazierul judiciar național)], prin mijloace adecvate (cum ar fi rapoartele de audit și probele cantitative).</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230</w:t>
            </w:r>
          </w:p>
        </w:tc>
        <w:tc>
          <w:tcPr>
            <w:tcW w:w="154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xml:space="preserve"> 14 - 4.3. Să îmbunătățească eficiența sistemului judiciar – </w:t>
            </w:r>
          </w:p>
          <w:p w:rsidR="00780A28" w:rsidRDefault="001867D7">
            <w:pPr>
              <w:spacing w:after="0" w:line="240" w:lineRule="auto"/>
              <w:rPr>
                <w:rFonts w:eastAsia="Times New Roman"/>
                <w:noProof/>
                <w:color w:val="006100"/>
                <w:sz w:val="18"/>
                <w:szCs w:val="18"/>
              </w:rPr>
            </w:pPr>
            <w:r>
              <w:rPr>
                <w:noProof/>
                <w:color w:val="006100"/>
                <w:sz w:val="18"/>
                <w:szCs w:val="18"/>
              </w:rPr>
              <w:t>16575 accelerarea administrării justiției</w:t>
            </w:r>
          </w:p>
        </w:tc>
        <w:tc>
          <w:tcPr>
            <w:tcW w:w="142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Jalon</w:t>
            </w:r>
          </w:p>
        </w:tc>
        <w:tc>
          <w:tcPr>
            <w:tcW w:w="139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Adoptare — Instrumentul de performanță al grefierilor judiciari</w:t>
            </w:r>
          </w:p>
        </w:tc>
        <w:tc>
          <w:tcPr>
            <w:tcW w:w="155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Intrarea în vigoare a legislației primare și secundare</w:t>
            </w:r>
          </w:p>
        </w:tc>
        <w:tc>
          <w:tcPr>
            <w:tcW w:w="99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w:t>
            </w:r>
          </w:p>
        </w:tc>
        <w:tc>
          <w:tcPr>
            <w:tcW w:w="58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w:t>
            </w:r>
          </w:p>
        </w:tc>
        <w:tc>
          <w:tcPr>
            <w:tcW w:w="84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Q2</w:t>
            </w:r>
          </w:p>
          <w:p w:rsidR="00780A28" w:rsidRDefault="00780A28">
            <w:pPr>
              <w:spacing w:after="0" w:line="240" w:lineRule="auto"/>
              <w:rPr>
                <w:rFonts w:eastAsia="Times New Roman"/>
                <w:noProof/>
                <w:color w:val="006100"/>
                <w:sz w:val="18"/>
                <w:szCs w:val="18"/>
                <w:lang w:eastAsia="en-GB"/>
              </w:rPr>
            </w:pPr>
          </w:p>
        </w:tc>
        <w:tc>
          <w:tcPr>
            <w:tcW w:w="62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2023 </w:t>
            </w:r>
          </w:p>
        </w:tc>
        <w:tc>
          <w:tcPr>
            <w:tcW w:w="488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Adoptarea</w:t>
            </w:r>
            <w:r>
              <w:rPr>
                <w:noProof/>
                <w:color w:val="006100"/>
                <w:sz w:val="18"/>
                <w:szCs w:val="18"/>
              </w:rPr>
              <w:t xml:space="preserve"> legislației primare și secundare pentru a institui un sistem de prime temporare care să se bazeze pe dezvoltarea unui instrument de performanță al grefierilor judiciari care să stabilească obiective strategice și să introducă indicatori-cheie de performan</w:t>
            </w:r>
            <w:r>
              <w:rPr>
                <w:noProof/>
                <w:color w:val="006100"/>
                <w:sz w:val="18"/>
                <w:szCs w:val="18"/>
              </w:rPr>
              <w:t>ț</w:t>
            </w:r>
            <w:r>
              <w:rPr>
                <w:noProof/>
                <w:color w:val="006100"/>
                <w:sz w:val="18"/>
                <w:szCs w:val="18"/>
              </w:rPr>
              <w:t xml:space="preserve">ă obiectivi (cum ar fi timpul necesar pentru îndeplinirea unei sarcini, performanța individuală în ceea ce privește timpul, comunicarea și motivația) pe departament și/sau categorie de funcționari și să furnizeze date exacte și obiective privind alocarea </w:t>
            </w:r>
            <w:r>
              <w:rPr>
                <w:noProof/>
                <w:color w:val="006100"/>
                <w:sz w:val="18"/>
                <w:szCs w:val="18"/>
              </w:rPr>
              <w:t>primelor; primele de plătit în primul trimestru după sfârșitul anului în cauză, pe baza rezultatelor anului respectiv.</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231</w:t>
            </w:r>
          </w:p>
        </w:tc>
        <w:tc>
          <w:tcPr>
            <w:tcW w:w="154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14 - 4.3. Îmbunătățirea eficienței sistemului judiciar – 16292_noi clădiri judiciare</w:t>
            </w:r>
          </w:p>
        </w:tc>
        <w:tc>
          <w:tcPr>
            <w:tcW w:w="142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Jalon</w:t>
            </w:r>
          </w:p>
        </w:tc>
        <w:tc>
          <w:tcPr>
            <w:tcW w:w="139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xml:space="preserve">Contracte </w:t>
            </w:r>
          </w:p>
        </w:tc>
        <w:tc>
          <w:tcPr>
            <w:tcW w:w="155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Atribuirea contractelor</w:t>
            </w:r>
          </w:p>
        </w:tc>
        <w:tc>
          <w:tcPr>
            <w:tcW w:w="99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w:t>
            </w:r>
          </w:p>
        </w:tc>
        <w:tc>
          <w:tcPr>
            <w:tcW w:w="85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w:t>
            </w:r>
          </w:p>
        </w:tc>
        <w:tc>
          <w:tcPr>
            <w:tcW w:w="58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w:t>
            </w:r>
          </w:p>
        </w:tc>
        <w:tc>
          <w:tcPr>
            <w:tcW w:w="84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Q2</w:t>
            </w:r>
          </w:p>
        </w:tc>
        <w:tc>
          <w:tcPr>
            <w:tcW w:w="62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2023 </w:t>
            </w:r>
          </w:p>
        </w:tc>
        <w:tc>
          <w:tcPr>
            <w:tcW w:w="488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jc w:val="both"/>
              <w:rPr>
                <w:noProof/>
                <w:color w:val="006100"/>
                <w:sz w:val="18"/>
                <w:szCs w:val="18"/>
              </w:rPr>
            </w:pPr>
            <w:r>
              <w:rPr>
                <w:noProof/>
                <w:color w:val="006100"/>
                <w:sz w:val="18"/>
                <w:szCs w:val="18"/>
              </w:rPr>
              <w:t>Atribuirea contractelor pentru proiecte de construcții care nu sunt afectate de revizuirea hărții judiciare.</w:t>
            </w:r>
          </w:p>
          <w:p w:rsidR="00780A28" w:rsidRDefault="001867D7">
            <w:pPr>
              <w:spacing w:after="0" w:line="240" w:lineRule="auto"/>
              <w:rPr>
                <w:rFonts w:eastAsia="Times New Roman" w:cs="Calibri"/>
                <w:noProof/>
                <w:color w:val="006100"/>
                <w:sz w:val="18"/>
                <w:szCs w:val="18"/>
              </w:rPr>
            </w:pPr>
            <w:r>
              <w:rPr>
                <w:noProof/>
                <w:color w:val="006100"/>
                <w:sz w:val="18"/>
                <w:szCs w:val="18"/>
              </w:rPr>
              <w:t>Condițiile de acordare a premiilor stabilesc că noile clădiri care urmează să fie construite trebuie să atingă o cerere de energie prim</w:t>
            </w:r>
            <w:r>
              <w:rPr>
                <w:noProof/>
                <w:color w:val="006100"/>
                <w:sz w:val="18"/>
                <w:szCs w:val="18"/>
              </w:rPr>
              <w:t>ară (DEP) cu cel puțin 20 % mai mică decât cerința privind clădirile al căror consum de energie este aproape egal cu zero (clădiri al căror consum de energie este aproape egal cu zero, directivele naționale).</w:t>
            </w:r>
          </w:p>
        </w:tc>
      </w:tr>
      <w:tr w:rsidR="00780A28">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232</w:t>
            </w:r>
          </w:p>
        </w:tc>
        <w:tc>
          <w:tcPr>
            <w:tcW w:w="15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14 - 4.3. Îmbunătățirea eficienței </w:t>
            </w:r>
            <w:r>
              <w:rPr>
                <w:noProof/>
                <w:color w:val="006100"/>
                <w:sz w:val="18"/>
                <w:szCs w:val="18"/>
              </w:rPr>
              <w:t>sistemului de justiție — 16575 Accelerarea administrării justiției</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Revizuirea hărții judiciare — legislația primară — civilă și penală</w:t>
            </w:r>
          </w:p>
        </w:tc>
        <w:tc>
          <w:tcPr>
            <w:tcW w:w="15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Intrarea în vigoare a legislației</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2023</w:t>
            </w:r>
          </w:p>
        </w:tc>
        <w:tc>
          <w:tcPr>
            <w:tcW w:w="488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 xml:space="preserve">Intrarea în vigoare a legislației primare pentru revizuirea hărții </w:t>
            </w:r>
            <w:r>
              <w:rPr>
                <w:noProof/>
                <w:color w:val="006100"/>
                <w:sz w:val="18"/>
                <w:szCs w:val="18"/>
              </w:rPr>
              <w:t>judiciare a justiției civile și penale.</w:t>
            </w:r>
          </w:p>
        </w:tc>
      </w:tr>
      <w:tr w:rsidR="00780A28">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233</w:t>
            </w:r>
          </w:p>
        </w:tc>
        <w:tc>
          <w:tcPr>
            <w:tcW w:w="15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14 - 4.3. Îmbunătățirea eficienței sistemului judiciar – 16292_noi clădiri judiciare</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Construcții judiciare și renovare — lansarea procedurilor de ofertare</w:t>
            </w:r>
          </w:p>
        </w:tc>
        <w:tc>
          <w:tcPr>
            <w:tcW w:w="15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Lansarea licitațiilor</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2023</w:t>
            </w:r>
          </w:p>
        </w:tc>
        <w:tc>
          <w:tcPr>
            <w:tcW w:w="488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 xml:space="preserve">Adaptarea listei </w:t>
            </w:r>
            <w:r>
              <w:rPr>
                <w:noProof/>
                <w:color w:val="006100"/>
                <w:sz w:val="18"/>
                <w:szCs w:val="18"/>
              </w:rPr>
              <w:t>proiectelor în conformitate cu legea privind revizuirea hărții judiciare.</w:t>
            </w:r>
          </w:p>
          <w:p w:rsidR="00780A28" w:rsidRDefault="001867D7">
            <w:pPr>
              <w:spacing w:after="0" w:line="240" w:lineRule="auto"/>
              <w:rPr>
                <w:noProof/>
                <w:color w:val="006100"/>
                <w:sz w:val="18"/>
                <w:szCs w:val="18"/>
              </w:rPr>
            </w:pPr>
            <w:r>
              <w:rPr>
                <w:noProof/>
                <w:color w:val="006100"/>
                <w:sz w:val="18"/>
                <w:szCs w:val="18"/>
              </w:rPr>
              <w:t>Lansarea licitației pentru proiectele privind tribunalele civile și penale incluse în lista revizuită a renovărilor. Condițiile de participare la licitație prevăd că noile clădiri ca</w:t>
            </w:r>
            <w:r>
              <w:rPr>
                <w:noProof/>
                <w:color w:val="006100"/>
                <w:sz w:val="18"/>
                <w:szCs w:val="18"/>
              </w:rPr>
              <w:t xml:space="preserve">re urmează să fie construite trebuie să atingă o cerere de energie primară (DEP) cu cel puțin 20 % mai mică decât cerința privind clădirile al căror consum de energie este aproape egal cu zero (clădiri al căror consum de energie este aproape egal cu zero, </w:t>
            </w:r>
            <w:r>
              <w:rPr>
                <w:noProof/>
                <w:color w:val="006100"/>
                <w:sz w:val="18"/>
                <w:szCs w:val="18"/>
              </w:rPr>
              <w:t>directivele naționale).</w:t>
            </w:r>
          </w:p>
        </w:tc>
      </w:tr>
      <w:tr w:rsidR="00780A28">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234</w:t>
            </w:r>
          </w:p>
        </w:tc>
        <w:tc>
          <w:tcPr>
            <w:tcW w:w="15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14 - 4.3. Îmbunătățirea eficienței sistemului de justiție — 16575 Accelerarea administrării justiției</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Poliția judiciară operațională</w:t>
            </w:r>
          </w:p>
        </w:tc>
        <w:tc>
          <w:tcPr>
            <w:tcW w:w="15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Poliția judiciară este pe deplin operațională și funcțională atât la nivel central, cât </w:t>
            </w:r>
            <w:r>
              <w:rPr>
                <w:noProof/>
                <w:color w:val="006100"/>
                <w:sz w:val="18"/>
                <w:szCs w:val="18"/>
              </w:rPr>
              <w:t>ș</w:t>
            </w:r>
            <w:r>
              <w:rPr>
                <w:noProof/>
                <w:color w:val="006100"/>
                <w:sz w:val="18"/>
                <w:szCs w:val="18"/>
              </w:rPr>
              <w:t>i regional</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2023</w:t>
            </w:r>
          </w:p>
        </w:tc>
        <w:tc>
          <w:tcPr>
            <w:tcW w:w="4885"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jc w:val="both"/>
              <w:rPr>
                <w:rFonts w:eastAsia="Times New Roman"/>
                <w:noProof/>
                <w:color w:val="006100"/>
                <w:sz w:val="18"/>
                <w:szCs w:val="18"/>
              </w:rPr>
            </w:pPr>
            <w:r>
              <w:rPr>
                <w:noProof/>
                <w:color w:val="006100"/>
                <w:sz w:val="18"/>
                <w:szCs w:val="18"/>
              </w:rPr>
              <w:t>Operaționalizarea poliției judiciare în toate competențele sale, atât la nivelul administrației centrale, cât și la nivel regional, în cadrul instanțelor</w:t>
            </w:r>
          </w:p>
        </w:tc>
      </w:tr>
      <w:tr w:rsidR="00780A28">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235</w:t>
            </w:r>
          </w:p>
        </w:tc>
        <w:tc>
          <w:tcPr>
            <w:tcW w:w="15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14 - 4.3. Îmbunătățirea eficienței sistemului de justiție — </w:t>
            </w:r>
            <w:r>
              <w:rPr>
                <w:noProof/>
                <w:color w:val="006100"/>
                <w:sz w:val="18"/>
                <w:szCs w:val="18"/>
              </w:rPr>
              <w:t>16733_Competențe și competențe digitale pentru judecători și angajații din justiție (personalul din justiție)</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Formare — Judecători și grefieri</w:t>
            </w:r>
          </w:p>
        </w:tc>
        <w:tc>
          <w:tcPr>
            <w:tcW w:w="15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 xml:space="preserve">Raport de certificare </w:t>
            </w:r>
          </w:p>
          <w:p w:rsidR="00780A28" w:rsidRDefault="001867D7">
            <w:pPr>
              <w:spacing w:after="0" w:line="240" w:lineRule="auto"/>
              <w:rPr>
                <w:noProof/>
                <w:color w:val="006100"/>
                <w:sz w:val="18"/>
                <w:szCs w:val="18"/>
              </w:rPr>
            </w:pPr>
            <w:r>
              <w:rPr>
                <w:noProof/>
                <w:color w:val="006100"/>
                <w:sz w:val="18"/>
                <w:szCs w:val="18"/>
              </w:rPr>
              <w:t xml:space="preserve">Punerea în aplicare a modificărilor programei Școlii Naționale de Judecători și </w:t>
            </w:r>
            <w:r>
              <w:rPr>
                <w:noProof/>
                <w:color w:val="006100"/>
                <w:sz w:val="18"/>
                <w:szCs w:val="18"/>
              </w:rPr>
              <w:t>înscrierea a 65 % dintre judecători și grefieri în formarea continuă</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2024</w:t>
            </w:r>
          </w:p>
        </w:tc>
        <w:tc>
          <w:tcPr>
            <w:tcW w:w="488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Punerea în aplicare integrală a tuturor proiectelor incluse în reforma privind competențele și competențele digitale pentru judecători și personalul judiciar, cu: </w:t>
            </w:r>
          </w:p>
          <w:p w:rsidR="00780A28" w:rsidRDefault="001867D7">
            <w:pPr>
              <w:numPr>
                <w:ilvl w:val="0"/>
                <w:numId w:val="22"/>
              </w:numPr>
              <w:spacing w:before="120" w:after="0" w:line="240" w:lineRule="auto"/>
              <w:jc w:val="both"/>
              <w:rPr>
                <w:noProof/>
                <w:color w:val="006100"/>
                <w:sz w:val="18"/>
                <w:szCs w:val="18"/>
              </w:rPr>
            </w:pPr>
            <w:r>
              <w:rPr>
                <w:noProof/>
                <w:color w:val="006100"/>
                <w:sz w:val="18"/>
                <w:szCs w:val="18"/>
              </w:rPr>
              <w:t xml:space="preserve">65 % dintre </w:t>
            </w:r>
            <w:r>
              <w:rPr>
                <w:noProof/>
                <w:color w:val="006100"/>
                <w:sz w:val="18"/>
                <w:szCs w:val="18"/>
              </w:rPr>
              <w:t>judecătorii și grefierii înscriși în formare pe tot parcursul vieții și care au participat la cel puțin o sesiune de formare (seminar)</w:t>
            </w:r>
          </w:p>
          <w:p w:rsidR="00780A28" w:rsidRDefault="001867D7">
            <w:pPr>
              <w:numPr>
                <w:ilvl w:val="0"/>
                <w:numId w:val="23"/>
              </w:numPr>
              <w:spacing w:before="120" w:after="0" w:line="240" w:lineRule="auto"/>
              <w:jc w:val="both"/>
              <w:rPr>
                <w:noProof/>
                <w:color w:val="006100"/>
                <w:sz w:val="18"/>
                <w:szCs w:val="18"/>
              </w:rPr>
            </w:pPr>
            <w:r>
              <w:rPr>
                <w:noProof/>
                <w:color w:val="006100"/>
                <w:sz w:val="18"/>
                <w:szCs w:val="18"/>
              </w:rPr>
              <w:t>Ș</w:t>
            </w:r>
            <w:r>
              <w:rPr>
                <w:noProof/>
                <w:color w:val="006100"/>
                <w:sz w:val="18"/>
                <w:szCs w:val="18"/>
              </w:rPr>
              <w:t>coala Națională de Grefieri Judiciari în regim de funcționare deplină</w:t>
            </w:r>
          </w:p>
          <w:p w:rsidR="00780A28" w:rsidRDefault="001867D7">
            <w:pPr>
              <w:numPr>
                <w:ilvl w:val="0"/>
                <w:numId w:val="23"/>
              </w:numPr>
              <w:spacing w:before="120" w:after="0" w:line="240" w:lineRule="auto"/>
              <w:jc w:val="both"/>
              <w:rPr>
                <w:noProof/>
                <w:color w:val="006100"/>
                <w:sz w:val="18"/>
                <w:szCs w:val="18"/>
              </w:rPr>
            </w:pPr>
            <w:r>
              <w:rPr>
                <w:noProof/>
                <w:color w:val="006100"/>
                <w:sz w:val="18"/>
                <w:szCs w:val="18"/>
              </w:rPr>
              <w:t>Toate modificările aduse criteriilor de selecție ș</w:t>
            </w:r>
            <w:r>
              <w:rPr>
                <w:noProof/>
                <w:color w:val="006100"/>
                <w:sz w:val="18"/>
                <w:szCs w:val="18"/>
              </w:rPr>
              <w:t>i programei puse în aplicare</w:t>
            </w:r>
          </w:p>
          <w:p w:rsidR="00780A28" w:rsidRDefault="001867D7">
            <w:pPr>
              <w:spacing w:before="120" w:after="0" w:line="240" w:lineRule="auto"/>
              <w:rPr>
                <w:b/>
                <w:bCs/>
                <w:noProof/>
                <w:color w:val="006100"/>
                <w:sz w:val="18"/>
                <w:szCs w:val="18"/>
              </w:rPr>
            </w:pPr>
            <w:r>
              <w:rPr>
                <w:noProof/>
                <w:color w:val="006100"/>
                <w:sz w:val="18"/>
                <w:szCs w:val="18"/>
              </w:rPr>
              <w:t xml:space="preserve">Modificări ale programului educațional al Școlii Naționale de Judecători, care vizează în special consolidarea formării practice și oferirea de cursuri de etică, de gestionare a timpului, de psihologie, de teorie și analiză </w:t>
            </w:r>
            <w:r>
              <w:rPr>
                <w:noProof/>
                <w:color w:val="006100"/>
                <w:sz w:val="18"/>
                <w:szCs w:val="18"/>
              </w:rPr>
              <w:t>economică, de gestionare a instanțelor și de noi tehnologii. Asigurarea formării continue a judecătorilor în diferite domenii de drept și aspecte manageriale sau procedurale relevante pentru funcțiile judiciare (gestionarea instanțelor, gestionarea cauzelo</w:t>
            </w:r>
            <w:r>
              <w:rPr>
                <w:noProof/>
                <w:color w:val="006100"/>
                <w:sz w:val="18"/>
                <w:szCs w:val="18"/>
              </w:rPr>
              <w:t>r, comunicarea și cooperarea cu autoritățile naționale și străine); o astfel de formare este o condiție prealabilă pentru avansarea profesională.</w:t>
            </w:r>
            <w:r>
              <w:rPr>
                <w:rFonts w:ascii="Times New Roman" w:hAnsi="Times New Roman"/>
                <w:noProof/>
                <w:sz w:val="24"/>
              </w:rPr>
              <w:t xml:space="preserve"> </w:t>
            </w:r>
            <w:r>
              <w:rPr>
                <w:noProof/>
                <w:color w:val="006100"/>
                <w:sz w:val="18"/>
                <w:szCs w:val="18"/>
              </w:rPr>
              <w:t>Formarea personalului din justiție pe teme esențiale pentru îndeplinirea atribuțiilor lor, și anume gestionare</w:t>
            </w:r>
            <w:r>
              <w:rPr>
                <w:noProof/>
                <w:color w:val="006100"/>
                <w:sz w:val="18"/>
                <w:szCs w:val="18"/>
              </w:rPr>
              <w:t>a și organizarea serviciului, competențele digitale, dreptul procedural și dreptul material.</w:t>
            </w:r>
          </w:p>
        </w:tc>
      </w:tr>
      <w:tr w:rsidR="00780A28">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236</w:t>
            </w:r>
          </w:p>
        </w:tc>
        <w:tc>
          <w:tcPr>
            <w:tcW w:w="15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14 - 4.3. Îmbunătățirea eficienței sistemului de justiție — 16575 Accelerarea administrării justiției</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Revizuirea hărții judiciare — Progrese înregistrate </w:t>
            </w:r>
          </w:p>
        </w:tc>
        <w:tc>
          <w:tcPr>
            <w:tcW w:w="15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Raport privind progresele înregistrate care reflectă și verifică procentele, astfel cum reiese din declarațiile oficiale ale administrațiilor instanțelor respective care confirmă operaționalizarea și fun</w:t>
            </w:r>
            <w:r>
              <w:rPr>
                <w:noProof/>
                <w:color w:val="006100"/>
                <w:sz w:val="18"/>
                <w:szCs w:val="18"/>
              </w:rPr>
              <w:t>cționalitatea entităților reformate.</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2024</w:t>
            </w:r>
          </w:p>
        </w:tc>
        <w:tc>
          <w:tcPr>
            <w:tcW w:w="488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Revizuirea hărții judiciare</w:t>
            </w:r>
          </w:p>
          <w:p w:rsidR="00780A28" w:rsidRDefault="001867D7">
            <w:pPr>
              <w:spacing w:after="0" w:line="240" w:lineRule="auto"/>
              <w:rPr>
                <w:noProof/>
                <w:color w:val="006100"/>
                <w:sz w:val="18"/>
                <w:szCs w:val="18"/>
              </w:rPr>
            </w:pPr>
            <w:r>
              <w:rPr>
                <w:noProof/>
                <w:color w:val="006100"/>
                <w:sz w:val="18"/>
                <w:szCs w:val="18"/>
              </w:rPr>
              <w:t>Cel puțin 70 % dintre entitățile afectate (instanțe) sunt pe deplin operaționale și funcționale în ceea ce privește justiția administrativă; cel puțin 40 % dintre entitățile afectate (instanțe) sunt pe deplin operaționale și funcționale pentru justiția civ</w:t>
            </w:r>
            <w:r>
              <w:rPr>
                <w:noProof/>
                <w:color w:val="006100"/>
                <w:sz w:val="18"/>
                <w:szCs w:val="18"/>
              </w:rPr>
              <w:t xml:space="preserve">ilă și penală </w:t>
            </w:r>
          </w:p>
        </w:tc>
      </w:tr>
      <w:tr w:rsidR="00780A28">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237</w:t>
            </w:r>
          </w:p>
        </w:tc>
        <w:tc>
          <w:tcPr>
            <w:tcW w:w="15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14 - 4.3. Îmbunătățirea eficienței sistemului judiciar – 16292_noi clădiri judiciare</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Lucrări de construcții și renovare — identitate electronică — finalizare </w:t>
            </w:r>
          </w:p>
        </w:tc>
        <w:tc>
          <w:tcPr>
            <w:tcW w:w="15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 xml:space="preserve">Raport care să verifice dacă toate proiectele de construcție sunt </w:t>
            </w:r>
            <w:r>
              <w:rPr>
                <w:noProof/>
                <w:color w:val="006100"/>
                <w:sz w:val="18"/>
                <w:szCs w:val="18"/>
              </w:rPr>
              <w:t>finalizate integral și predate utilizatorilor. </w:t>
            </w:r>
          </w:p>
          <w:p w:rsidR="00780A28" w:rsidRDefault="00780A28">
            <w:pPr>
              <w:spacing w:after="0" w:line="240" w:lineRule="auto"/>
              <w:rPr>
                <w:rFonts w:cs="Calibri"/>
                <w:noProof/>
                <w:color w:val="006100"/>
                <w:sz w:val="18"/>
                <w:szCs w:val="18"/>
              </w:rPr>
            </w:pPr>
          </w:p>
          <w:p w:rsidR="00780A28" w:rsidRDefault="001867D7">
            <w:pPr>
              <w:spacing w:after="0" w:line="240" w:lineRule="auto"/>
              <w:rPr>
                <w:noProof/>
                <w:color w:val="006100"/>
                <w:sz w:val="18"/>
                <w:szCs w:val="18"/>
              </w:rPr>
            </w:pPr>
            <w:r>
              <w:rPr>
                <w:noProof/>
                <w:color w:val="006100"/>
                <w:sz w:val="18"/>
                <w:szCs w:val="18"/>
              </w:rPr>
              <w:t>Se raportează confirmarea operaționalizării depline și a funcționalității platformei de e-identitate.</w:t>
            </w:r>
          </w:p>
          <w:p w:rsidR="00780A28" w:rsidRDefault="00780A28">
            <w:pPr>
              <w:spacing w:after="0" w:line="240" w:lineRule="auto"/>
              <w:rPr>
                <w:rFonts w:cs="Calibri"/>
                <w:noProof/>
                <w:color w:val="006100"/>
                <w:sz w:val="18"/>
                <w:szCs w:val="18"/>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2025</w:t>
            </w:r>
          </w:p>
        </w:tc>
        <w:tc>
          <w:tcPr>
            <w:tcW w:w="4885" w:type="dxa"/>
            <w:tcBorders>
              <w:top w:val="single" w:sz="4" w:space="0" w:color="auto"/>
              <w:left w:val="nil"/>
              <w:bottom w:val="single" w:sz="4" w:space="0" w:color="auto"/>
              <w:right w:val="single" w:sz="4" w:space="0" w:color="auto"/>
            </w:tcBorders>
            <w:shd w:val="clear" w:color="auto" w:fill="C6EFCE"/>
            <w:noWrap/>
          </w:tcPr>
          <w:p w:rsidR="00780A28" w:rsidRDefault="001867D7">
            <w:pPr>
              <w:spacing w:before="120" w:after="0" w:line="240" w:lineRule="auto"/>
              <w:jc w:val="both"/>
              <w:rPr>
                <w:noProof/>
                <w:color w:val="006100"/>
                <w:sz w:val="18"/>
                <w:szCs w:val="18"/>
              </w:rPr>
            </w:pPr>
            <w:r>
              <w:rPr>
                <w:noProof/>
                <w:color w:val="006100"/>
                <w:sz w:val="18"/>
                <w:szCs w:val="18"/>
              </w:rPr>
              <w:t xml:space="preserve">Finalizarea tuturor clădirilor și renovărilor noi rămase, lansate în T1 2023, în conformitate cu nevoile hărții judiciare revizuite. </w:t>
            </w:r>
          </w:p>
          <w:p w:rsidR="00780A28" w:rsidRDefault="001867D7">
            <w:pPr>
              <w:spacing w:before="120" w:after="0" w:line="240" w:lineRule="auto"/>
              <w:jc w:val="both"/>
              <w:rPr>
                <w:b/>
                <w:bCs/>
                <w:noProof/>
                <w:color w:val="006100"/>
                <w:sz w:val="18"/>
                <w:szCs w:val="18"/>
              </w:rPr>
            </w:pPr>
            <w:r>
              <w:rPr>
                <w:noProof/>
                <w:color w:val="006100"/>
                <w:sz w:val="18"/>
                <w:szCs w:val="18"/>
              </w:rPr>
              <w:t xml:space="preserve">Finalizarea și operaționalizarea online completă a platformei de e-identitate a clădirilor judiciare </w:t>
            </w:r>
          </w:p>
        </w:tc>
      </w:tr>
      <w:tr w:rsidR="00780A28">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238</w:t>
            </w:r>
          </w:p>
        </w:tc>
        <w:tc>
          <w:tcPr>
            <w:tcW w:w="15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14 - 4.3. </w:t>
            </w:r>
            <w:r>
              <w:rPr>
                <w:noProof/>
                <w:color w:val="006100"/>
                <w:sz w:val="18"/>
                <w:szCs w:val="18"/>
              </w:rPr>
              <w:t>Îmbunătățirea eficienței sistemului de justiție — 16575 Accelerarea administrării justiției</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Revizuirea hărții judiciare — punerea în aplicare integrală</w:t>
            </w:r>
          </w:p>
        </w:tc>
        <w:tc>
          <w:tcPr>
            <w:tcW w:w="15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Raport intermediar care confirmă operaționalizarea și funcționalitatea tuturor entităților reforma</w:t>
            </w:r>
            <w:r>
              <w:rPr>
                <w:noProof/>
                <w:color w:val="006100"/>
                <w:sz w:val="18"/>
                <w:szCs w:val="18"/>
              </w:rPr>
              <w:t>te pe baza documentelor oficiale.</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2025</w:t>
            </w:r>
          </w:p>
        </w:tc>
        <w:tc>
          <w:tcPr>
            <w:tcW w:w="488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Revizuirea hărții judiciare</w:t>
            </w:r>
          </w:p>
          <w:p w:rsidR="00780A28" w:rsidRDefault="001867D7">
            <w:pPr>
              <w:spacing w:after="0" w:line="240" w:lineRule="auto"/>
              <w:rPr>
                <w:rFonts w:cs="Calibri"/>
                <w:b/>
                <w:noProof/>
                <w:color w:val="006100"/>
                <w:sz w:val="18"/>
                <w:szCs w:val="18"/>
              </w:rPr>
            </w:pPr>
            <w:r>
              <w:rPr>
                <w:noProof/>
                <w:color w:val="006100"/>
                <w:sz w:val="18"/>
                <w:szCs w:val="18"/>
              </w:rPr>
              <w:t>Punerea în aplicare integrală sau revizuirea hărților judiciare pentru fiecare justiție administrativă, civilă și penală, astfel cum reiese din declarațiile oficiale ale administrațiilor instanțelor respective care confirmă operaționalizarea și funcționali</w:t>
            </w:r>
            <w:r>
              <w:rPr>
                <w:noProof/>
                <w:color w:val="006100"/>
                <w:sz w:val="18"/>
                <w:szCs w:val="18"/>
              </w:rPr>
              <w:t xml:space="preserve">tatea entităților reformate. </w:t>
            </w:r>
          </w:p>
        </w:tc>
      </w:tr>
      <w:tr w:rsidR="00780A28">
        <w:trPr>
          <w:trHeight w:val="309"/>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239</w:t>
            </w:r>
          </w:p>
        </w:tc>
        <w:tc>
          <w:tcPr>
            <w:tcW w:w="15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14 - 4.3. Îmbunătățirea eficienței sistemului de justiție — 16727_Transformarea digitală a justiției (e-justiție)</w:t>
            </w:r>
          </w:p>
        </w:tc>
        <w:tc>
          <w:tcPr>
            <w:tcW w:w="14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Ț</w:t>
            </w:r>
            <w:r>
              <w:rPr>
                <w:noProof/>
                <w:color w:val="006100"/>
                <w:sz w:val="18"/>
                <w:szCs w:val="18"/>
              </w:rPr>
              <w:t>inerea evidențelor și actualizări IT</w:t>
            </w:r>
          </w:p>
        </w:tc>
        <w:tc>
          <w:tcPr>
            <w:tcW w:w="155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 xml:space="preserve">Sisteme de evidență a datelor audio complet operaționale în </w:t>
            </w:r>
            <w:r>
              <w:rPr>
                <w:noProof/>
                <w:color w:val="006100"/>
                <w:sz w:val="18"/>
                <w:szCs w:val="18"/>
              </w:rPr>
              <w:t>toate instanțele civile și penale.</w:t>
            </w:r>
          </w:p>
          <w:p w:rsidR="00780A28" w:rsidRDefault="00780A28">
            <w:pPr>
              <w:spacing w:after="0" w:line="240" w:lineRule="auto"/>
              <w:rPr>
                <w:rFonts w:cs="Calibri"/>
                <w:noProof/>
                <w:color w:val="006100"/>
                <w:sz w:val="18"/>
                <w:szCs w:val="18"/>
              </w:rPr>
            </w:pPr>
          </w:p>
          <w:p w:rsidR="00780A28" w:rsidRDefault="001867D7">
            <w:pPr>
              <w:spacing w:after="0" w:line="240" w:lineRule="auto"/>
              <w:rPr>
                <w:rFonts w:cs="Calibri"/>
                <w:noProof/>
                <w:color w:val="006100"/>
                <w:sz w:val="18"/>
                <w:szCs w:val="18"/>
              </w:rPr>
            </w:pPr>
            <w:r>
              <w:rPr>
                <w:noProof/>
                <w:color w:val="006100"/>
                <w:sz w:val="18"/>
                <w:szCs w:val="18"/>
              </w:rPr>
              <w:t>OSDDY-PP faza II, OSDDY-DD, Curtea de Conturi și proiectele naționale privind cazierul judiciar au fost puse în aplicare integral, au fost realizate și au devenit operaționale.</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58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84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2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2025</w:t>
            </w:r>
          </w:p>
        </w:tc>
        <w:tc>
          <w:tcPr>
            <w:tcW w:w="488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 xml:space="preserve">e-justiție Acceptarea rezultatelor pentru „Actualizarea și extinderea sistemelor informatice din sectorul justiției” privind: </w:t>
            </w:r>
          </w:p>
          <w:p w:rsidR="00780A28" w:rsidRDefault="001867D7">
            <w:pPr>
              <w:numPr>
                <w:ilvl w:val="0"/>
                <w:numId w:val="24"/>
              </w:numPr>
              <w:spacing w:before="120" w:after="0" w:line="240" w:lineRule="auto"/>
              <w:ind w:left="314"/>
              <w:jc w:val="both"/>
              <w:rPr>
                <w:noProof/>
                <w:color w:val="006100"/>
                <w:sz w:val="18"/>
                <w:szCs w:val="18"/>
              </w:rPr>
            </w:pPr>
            <w:r>
              <w:rPr>
                <w:noProof/>
                <w:color w:val="006100"/>
                <w:sz w:val="18"/>
                <w:szCs w:val="18"/>
              </w:rPr>
              <w:t>Modernizarea sistemului de evidență a instanțelor.</w:t>
            </w:r>
          </w:p>
          <w:p w:rsidR="00780A28" w:rsidRDefault="001867D7">
            <w:pPr>
              <w:numPr>
                <w:ilvl w:val="0"/>
                <w:numId w:val="24"/>
              </w:numPr>
              <w:spacing w:before="120" w:after="0" w:line="259" w:lineRule="auto"/>
              <w:ind w:left="314"/>
              <w:contextualSpacing/>
              <w:jc w:val="both"/>
              <w:rPr>
                <w:noProof/>
                <w:color w:val="006100"/>
                <w:sz w:val="18"/>
                <w:szCs w:val="18"/>
              </w:rPr>
            </w:pPr>
            <w:r>
              <w:rPr>
                <w:noProof/>
                <w:color w:val="006100"/>
                <w:sz w:val="18"/>
                <w:szCs w:val="18"/>
              </w:rPr>
              <w:t>Modernizarea și sprijinirea sistemelor informatice din sectorul justiției pent</w:t>
            </w:r>
            <w:r>
              <w:rPr>
                <w:noProof/>
                <w:color w:val="006100"/>
                <w:sz w:val="18"/>
                <w:szCs w:val="18"/>
              </w:rPr>
              <w:t>ru instanțele civile, penale și administrative, Curtea de Conturi și cazierul judiciar național.</w:t>
            </w:r>
          </w:p>
          <w:p w:rsidR="00780A28" w:rsidRDefault="001867D7">
            <w:pPr>
              <w:spacing w:after="0" w:line="240" w:lineRule="auto"/>
              <w:rPr>
                <w:rFonts w:eastAsia="Times New Roman"/>
                <w:noProof/>
                <w:color w:val="006100"/>
                <w:sz w:val="18"/>
                <w:szCs w:val="18"/>
              </w:rPr>
            </w:pPr>
            <w:r>
              <w:rPr>
                <w:noProof/>
                <w:color w:val="006100"/>
                <w:sz w:val="18"/>
                <w:szCs w:val="18"/>
              </w:rPr>
              <w:t>Subproiectele trebuie să includă următoarele: – Modernizarea sistemului de evidență a instanțelor — Servicii de modernizare și sprijin pentru „Sistemul integra</w:t>
            </w:r>
            <w:r>
              <w:rPr>
                <w:noProof/>
                <w:color w:val="006100"/>
                <w:sz w:val="18"/>
                <w:szCs w:val="18"/>
              </w:rPr>
              <w:t>t de gestionare a cauzelor în instanțele civile și penale (OSDDY-PP A)” și introducerea sistemului în toate instanțele civile și penale din țară (OSDDY-PP B) — Servicii de actualizare și sprijin pentru „Sistemul integrat de gestionare a cauzelor în instanț</w:t>
            </w:r>
            <w:r>
              <w:rPr>
                <w:noProof/>
                <w:color w:val="006100"/>
                <w:sz w:val="18"/>
                <w:szCs w:val="18"/>
              </w:rPr>
              <w:t xml:space="preserve">ă pentru Consiliul de Stat și toate instanțele administrative (OSDDY-DD) (www.adjustice.gr)”. – Servicii de actualizare și sprijin pentru „Sistemul național de înregistrare a cazierelor judiciare (NCRI) — Servicii de actualizare și sprijin pentru sistemul </w:t>
            </w:r>
            <w:r>
              <w:rPr>
                <w:noProof/>
                <w:color w:val="006100"/>
                <w:sz w:val="18"/>
                <w:szCs w:val="18"/>
              </w:rPr>
              <w:t>de gestionare a cazurilor („CMS”) al Curții de Conturi elene (ELSYN)</w:t>
            </w:r>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27"/>
          <w:headerReference w:type="default" r:id="rId228"/>
          <w:footerReference w:type="even" r:id="rId229"/>
          <w:footerReference w:type="default" r:id="rId230"/>
          <w:headerReference w:type="first" r:id="rId231"/>
          <w:footerReference w:type="first" r:id="rId232"/>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O. COMPONENTA 4.4: CONSOLIDAREA SECTORULUI FINANCIAR ȘI A PIEȚELOR DE CAPITAL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componentă a planului de redresare și </w:t>
      </w:r>
      <w:r>
        <w:rPr>
          <w:rFonts w:ascii="Times New Roman" w:hAnsi="Times New Roman"/>
          <w:noProof/>
          <w:sz w:val="24"/>
        </w:rPr>
        <w:t>reziliență al Greciei vizează consolidarea capacității sistemului financiar de a sprijini dezvoltarea economiei, prin furnizarea de finanțare pentru întreprinderi și persoane fizice în vederea dezvoltării de noi activități. Acesta sprijină abordarea expune</w:t>
      </w:r>
      <w:r>
        <w:rPr>
          <w:rFonts w:ascii="Times New Roman" w:hAnsi="Times New Roman"/>
          <w:noProof/>
          <w:sz w:val="24"/>
        </w:rPr>
        <w:t>rilor neperformante ridicate și a creditelor neperformante din sectorul bancar elen, îmbunătățind, în același timp, accesul la informații privind profilurile de credit ale întreprinderilor și ale persoanelor fizice de pe piață.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Componenta sprijină, de </w:t>
      </w:r>
      <w:r>
        <w:rPr>
          <w:rFonts w:ascii="Times New Roman" w:hAnsi="Times New Roman"/>
          <w:noProof/>
          <w:sz w:val="24"/>
        </w:rPr>
        <w:t>asemenea, abordarea problemei îndatorării private și consolidarea piețelor de capital. Schimbările structurale din aceste două domenii contribuie la creșterea economică și sporesc reziliența economică a Greciei în fața șocurilor viitoare.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Reformele din ca</w:t>
      </w:r>
      <w:r>
        <w:rPr>
          <w:rFonts w:ascii="Times New Roman" w:hAnsi="Times New Roman"/>
          <w:noProof/>
          <w:sz w:val="24"/>
        </w:rPr>
        <w:t>drul acestei componente constau în: </w:t>
      </w:r>
    </w:p>
    <w:p w:rsidR="00780A28" w:rsidRDefault="001867D7">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Consolidarea supravegherii și a credibilității pieței de capital </w:t>
      </w:r>
    </w:p>
    <w:p w:rsidR="00780A28" w:rsidRDefault="001867D7">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Consolidarea capacității sistemului financiar de a depăși provocările moștenite și de a finanța economia reală </w:t>
      </w:r>
    </w:p>
    <w:p w:rsidR="00780A28" w:rsidRDefault="001867D7">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Modernizarea infrastructurii digitale nec</w:t>
      </w:r>
      <w:r>
        <w:rPr>
          <w:rFonts w:ascii="Times New Roman" w:hAnsi="Times New Roman"/>
          <w:noProof/>
          <w:sz w:val="24"/>
        </w:rPr>
        <w:t xml:space="preserve">esare pentru punerea în aplicare a noului cadru unic de insolvență pentru restructurarea datoriilor și a celei de a 2-a șanse </w:t>
      </w:r>
    </w:p>
    <w:p w:rsidR="00780A28" w:rsidRDefault="001867D7">
      <w:pPr>
        <w:numPr>
          <w:ilvl w:val="0"/>
          <w:numId w:val="62"/>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Promovarea împrumuturilor noi — Instituirea Observatorului extinderii creditelor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Unele dintre aceste reforme includ acțiuni care</w:t>
      </w:r>
      <w:r>
        <w:rPr>
          <w:rFonts w:ascii="Times New Roman" w:hAnsi="Times New Roman"/>
          <w:noProof/>
          <w:sz w:val="24"/>
        </w:rPr>
        <w:t xml:space="preserve"> abordează lacunele în materie de informații care împiedică fluxul de credite reușit și monitorizarea eficientă a riscurilor. Acestea constau în crearea unui registru de monitorizare a datoriei private, crearea unui birou public de credit, a unui registru </w:t>
      </w:r>
      <w:r>
        <w:rPr>
          <w:rFonts w:ascii="Times New Roman" w:hAnsi="Times New Roman"/>
          <w:noProof/>
          <w:sz w:val="24"/>
        </w:rPr>
        <w:t xml:space="preserve">central al creditelor și a unui observator al extinderii creditelor. Aceste acțiuni contribuie, de asemenea, la tranziția digitală a economiei Greciei, deoarece se bazează pe tehnologia informației.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Măsurile din cadrul acestei componente promovează rezili</w:t>
      </w:r>
      <w:r>
        <w:rPr>
          <w:rFonts w:ascii="Times New Roman" w:hAnsi="Times New Roman"/>
          <w:noProof/>
          <w:sz w:val="24"/>
        </w:rPr>
        <w:t>ența economică și instituțională, consolidează pregătirea pentru situații de criză și capacitatea instituțională și, prin urmare, sprijină punerea în aplicare a recomandării specifice fiecărei țări privind „reformele structurale pentru îmbunătățirea funcți</w:t>
      </w:r>
      <w:r>
        <w:rPr>
          <w:rFonts w:ascii="Times New Roman" w:hAnsi="Times New Roman"/>
          <w:noProof/>
          <w:sz w:val="24"/>
        </w:rPr>
        <w:t xml:space="preserve">onării economiei” (recomandarea specifică fiecărei țări 1 2019 și recomandarea specifică fiecărei țări 4 2020). Este de așteptat ca nicio măsură din cadrul acestei componente să nu afecteze în mod semnificativ obiectivele de mediu în sensul articolului 17 </w:t>
      </w:r>
      <w:r>
        <w:rPr>
          <w:rFonts w:ascii="Times New Roman" w:hAnsi="Times New Roman"/>
          <w:noProof/>
          <w:sz w:val="24"/>
        </w:rPr>
        <w:t>din Regulamentul (UE) 2020/852, ținând seama de descrierea măsurilor și a măsurilor de atenuare stabilite în planul de redresare și reziliență în conformitate cu Orientările tehnice bazate pe principiul de „a nu aduce prejudicii semnificative” (2021/C58/01</w:t>
      </w:r>
      <w:r>
        <w:rPr>
          <w:rFonts w:ascii="Times New Roman" w:hAnsi="Times New Roman"/>
          <w:noProof/>
          <w:sz w:val="24"/>
        </w:rPr>
        <w:t>).</w:t>
      </w:r>
    </w:p>
    <w:p w:rsidR="00780A28" w:rsidRDefault="001867D7">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O.1.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Consolidarea supravegherii și a credibilității pieței de capital (numărul de identificare al măsurii:16581)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urmărește să</w:t>
      </w:r>
      <w:r>
        <w:rPr>
          <w:rFonts w:ascii="Times New Roman" w:hAnsi="Times New Roman"/>
          <w:noProof/>
          <w:sz w:val="24"/>
        </w:rPr>
        <w:t xml:space="preserve"> consolideze supravegherea piețelor de capital până în 1) să investească în transformarea digitală a capacităților digitale ale Comisiei elene pentru piața de capital (HCMC) și să digitalizeze procesele și organizarea sa internă și 2) să codifice și să mod</w:t>
      </w:r>
      <w:r>
        <w:rPr>
          <w:rFonts w:ascii="Times New Roman" w:hAnsi="Times New Roman"/>
          <w:noProof/>
          <w:sz w:val="24"/>
        </w:rPr>
        <w:t>ernizeze cadrul legislativ și de reglementare pentru piețele de capital în vederea consolidării capacității de supraveghere a pieței de capital. Reforma intră în vigoare până în al treilea trimestru al anului 1 2021 și investițiile în sistemul informatic p</w:t>
      </w:r>
      <w:r>
        <w:rPr>
          <w:rFonts w:ascii="Times New Roman" w:hAnsi="Times New Roman"/>
          <w:noProof/>
          <w:sz w:val="24"/>
        </w:rPr>
        <w:t>ână în al treilea trimestru al anului 4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Consolidarea capacității sistemului financiar de a depăși provocările moștenite și de a finanța economia reală (numărul de identificare al măsurii:16957)</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reformă cuprinde trei părți. În primul </w:t>
      </w:r>
      <w:r>
        <w:rPr>
          <w:rFonts w:ascii="Times New Roman" w:hAnsi="Times New Roman"/>
          <w:noProof/>
          <w:sz w:val="24"/>
        </w:rPr>
        <w:t xml:space="preserve">rând, este vorba despre înființarea și funcționarea unui birou public de credite. Acesta furnizează rezultate privind bonitatea debitorilor și elimină asimetria informațiilor dintre entitățile din sectorul public și bănci, pe baza datelor și informațiilor </w:t>
      </w:r>
      <w:r>
        <w:rPr>
          <w:rFonts w:ascii="Times New Roman" w:hAnsi="Times New Roman"/>
          <w:noProof/>
          <w:sz w:val="24"/>
        </w:rPr>
        <w:t>din sectorul public. Acesta include, de asemenea, finalizarea unui sistem informatic pentru a efectua evaluări ale solvabilității. În al doilea rând, reforma vizează punerea în aplicare a Strategiei naționale pentru gestionarea datoriei private și dezvolta</w:t>
      </w:r>
      <w:r>
        <w:rPr>
          <w:rFonts w:ascii="Times New Roman" w:hAnsi="Times New Roman"/>
          <w:noProof/>
          <w:sz w:val="24"/>
        </w:rPr>
        <w:t>rea unui registru privat de monitorizare a datoriei, care va fi finalizat până în al patrulea trimestru al anului 4 2025. Strategia națională include un total de 33 de proiecte, care sunt împărțite în trei axe de intervenție. Fiecare axă de intervenție viz</w:t>
      </w:r>
      <w:r>
        <w:rPr>
          <w:rFonts w:ascii="Times New Roman" w:hAnsi="Times New Roman"/>
          <w:noProof/>
          <w:sz w:val="24"/>
        </w:rPr>
        <w:t>ează un aspect diferit al soluționării problemei gestionării datoriei private și, în mod colectiv, în conformitate cu strategia națională. Prima și a treia axă includ intervenții pentru reducerea activă a datoriei private prin îmbunătățirea procesului de i</w:t>
      </w:r>
      <w:r>
        <w:rPr>
          <w:rFonts w:ascii="Times New Roman" w:hAnsi="Times New Roman"/>
          <w:noProof/>
          <w:sz w:val="24"/>
        </w:rPr>
        <w:t>nsolvență și, respectiv, prin consolidarea pieței creditelor neperformante. A doua axă constă în intervenții care vizează prevenirea acumulării de datorii private în viitor. Principala investiție în cadrul acestei subreforme este dezvoltarea unui sistem in</w:t>
      </w:r>
      <w:r>
        <w:rPr>
          <w:rFonts w:ascii="Times New Roman" w:hAnsi="Times New Roman"/>
          <w:noProof/>
          <w:sz w:val="24"/>
        </w:rPr>
        <w:t xml:space="preserve">formatic pentru registrul privat de monitorizare a datoriilor.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 treia subreformă se referă la înființarea unui registru central al creditelor (CCR) care ar completa sistemul Hercules Asset Protection Scheme, consolidând piața secundară a creditelor neper</w:t>
      </w:r>
      <w:r>
        <w:rPr>
          <w:rFonts w:ascii="Times New Roman" w:hAnsi="Times New Roman"/>
          <w:noProof/>
          <w:sz w:val="24"/>
        </w:rPr>
        <w:t>formante.</w:t>
      </w:r>
      <w:r>
        <w:rPr>
          <w:rFonts w:ascii="Times New Roman" w:hAnsi="Times New Roman"/>
          <w:noProof/>
          <w:color w:val="000000"/>
          <w:sz w:val="24"/>
        </w:rPr>
        <w:t xml:space="preserve"> </w:t>
      </w:r>
      <w:r>
        <w:rPr>
          <w:rFonts w:ascii="Times New Roman" w:hAnsi="Times New Roman" w:cs="Times New Roman"/>
          <w:noProof/>
          <w:color w:val="000000"/>
          <w:sz w:val="24"/>
          <w:szCs w:val="24"/>
        </w:rPr>
        <w:t>CCR este găzduit de Banca Greciei și înregistrează cu titlu granular istoricul plăților fiecărui împrumut individual al clienților tuturor băncilor și instituțiilor financiare, precum și tipurile de garanții reale furnizate</w:t>
      </w:r>
      <w:r>
        <w:rPr>
          <w:noProof/>
          <w:color w:val="000000"/>
        </w:rPr>
        <w:t>.</w:t>
      </w:r>
      <w:r>
        <w:rPr>
          <w:rFonts w:ascii="Times New Roman" w:hAnsi="Times New Roman"/>
          <w:noProof/>
          <w:color w:val="000000"/>
          <w:sz w:val="24"/>
        </w:rPr>
        <w:t xml:space="preserve"> Registrul central de </w:t>
      </w:r>
      <w:r>
        <w:rPr>
          <w:rFonts w:ascii="Times New Roman" w:hAnsi="Times New Roman"/>
          <w:noProof/>
          <w:color w:val="000000"/>
          <w:sz w:val="24"/>
        </w:rPr>
        <w:t xml:space="preserve">credite va fi complementar și în deplină concordanță cu sistemul Tiresias existent (Biroul de credit privat), precum și cu propunerea Biroului public de credite și a Registrului de monitorizare a datoriei private. </w:t>
      </w:r>
      <w:r>
        <w:rPr>
          <w:rFonts w:ascii="Times New Roman" w:hAnsi="Times New Roman"/>
          <w:noProof/>
          <w:sz w:val="24"/>
        </w:rPr>
        <w:t>Acesta permite accesul la informații privi</w:t>
      </w:r>
      <w:r>
        <w:rPr>
          <w:rFonts w:ascii="Times New Roman" w:hAnsi="Times New Roman"/>
          <w:noProof/>
          <w:sz w:val="24"/>
        </w:rPr>
        <w:t>nd creditele, remediind disfuncționalitățile pieței cauzate de informațiile asimetrice, facilitând astfel accesul la credite. Prin sporirea informațiilor privind istoricul de credite al potențialilor debitori, CCR abordează problema de selecție negativă cu</w:t>
      </w:r>
      <w:r>
        <w:rPr>
          <w:rFonts w:ascii="Times New Roman" w:hAnsi="Times New Roman"/>
          <w:noProof/>
          <w:sz w:val="24"/>
        </w:rPr>
        <w:t xml:space="preserve"> care se confruntă instituțiile financiare atunci când acordă noi împrumuturi potențialilor creditori, cu privire la care acestea dispun de informații incomplete. Acest lucru are, la rândul său, un impact pozitiv asupra cantității și calității cheltuielilo</w:t>
      </w:r>
      <w:r>
        <w:rPr>
          <w:rFonts w:ascii="Times New Roman" w:hAnsi="Times New Roman"/>
          <w:noProof/>
          <w:sz w:val="24"/>
        </w:rPr>
        <w:t xml:space="preserve">r de investiții. În plus, CCR va avea efecte benefice asupra gradului de concurență între instituțiile financiare, conducând la un cost de capital mai mic pentru firmele elene și clienții individuali. În cele din urmă, prin furnizarea de informații exacte </w:t>
      </w:r>
      <w:r>
        <w:rPr>
          <w:rFonts w:ascii="Times New Roman" w:hAnsi="Times New Roman"/>
          <w:noProof/>
          <w:sz w:val="24"/>
        </w:rPr>
        <w:t>ș</w:t>
      </w:r>
      <w:r>
        <w:rPr>
          <w:rFonts w:ascii="Times New Roman" w:hAnsi="Times New Roman"/>
          <w:noProof/>
          <w:sz w:val="24"/>
        </w:rPr>
        <w:t>i în timp util cu privire la împrumuturile individuale, CCR facilitează considerabil capacitatea investitorilor de a stabili prețurile riscului pe piața secundară a creditelor neperformante. Acest lucru va spori evaluările creditelor neperformante, va sti</w:t>
      </w:r>
      <w:r>
        <w:rPr>
          <w:rFonts w:ascii="Times New Roman" w:hAnsi="Times New Roman"/>
          <w:noProof/>
          <w:sz w:val="24"/>
        </w:rPr>
        <w:t>mula ratele de recuperare și, prin urmare, va ajuta băncile să soluționeze mai rapid provocările legate de creditele neperformante moștenite și mai eficient în ceea ce privește utilizarea capitalului.</w:t>
      </w:r>
      <w:r>
        <w:rPr>
          <w:noProof/>
          <w:color w:val="000000"/>
          <w:bdr w:val="none" w:sz="0" w:space="0" w:color="auto" w:frame="1"/>
        </w:rPr>
        <w:t> </w:t>
      </w:r>
      <w:r>
        <w:rPr>
          <w:rFonts w:ascii="Times New Roman" w:hAnsi="Times New Roman"/>
          <w:noProof/>
          <w:sz w:val="24"/>
        </w:rPr>
        <w:t>Toate acestea ar trebui încheiate până în T4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w:t>
      </w:r>
      <w:r>
        <w:rPr>
          <w:rFonts w:ascii="Times New Roman" w:hAnsi="Times New Roman"/>
          <w:b/>
          <w:bCs/>
          <w:noProof/>
          <w:sz w:val="24"/>
        </w:rPr>
        <w:t>rma:</w:t>
      </w:r>
      <w:r>
        <w:rPr>
          <w:rFonts w:ascii="Times New Roman" w:hAnsi="Times New Roman"/>
          <w:noProof/>
          <w:sz w:val="24"/>
        </w:rPr>
        <w:t xml:space="preserve"> Modernizarea infrastructurii digitale necesare pentru punerea în aplicare a noului cadru unic de insolvență pentru restructurarea datoriei și a celei de a doua șanse (numărul de identificare al măsurii:16580)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Reforma vizează modernizarea </w:t>
      </w:r>
      <w:r>
        <w:rPr>
          <w:rFonts w:ascii="Times New Roman" w:hAnsi="Times New Roman"/>
          <w:noProof/>
          <w:sz w:val="24"/>
        </w:rPr>
        <w:t>infrastructurii digitale necesare pentru a sprijini procedurile de avertizare timpurie și de restructurare preventivă a datoriilor furnizate prin noul cadru juridic unificat/codificat pentru gestionarea datoriilor persoanelor fizice și juridice;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w:t>
      </w:r>
      <w:r>
        <w:rPr>
          <w:rFonts w:ascii="Times New Roman" w:hAnsi="Times New Roman"/>
          <w:noProof/>
          <w:sz w:val="24"/>
        </w:rPr>
        <w:t>formă va fi finalizată până în al patrulea trimestru al anului 4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Promovarea împrumuturilor noi — Înființarea Observatorului extinderii creditelor (numărul de identificare al măsurii:16576)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Reforma vizează crearea unui Observator al </w:t>
      </w:r>
      <w:r>
        <w:rPr>
          <w:rFonts w:ascii="Times New Roman" w:hAnsi="Times New Roman"/>
          <w:noProof/>
          <w:sz w:val="24"/>
        </w:rPr>
        <w:t>extinderii creditelor, care colectează date detaliate privind lichiditățile furnizate de bănci persoanelor fizice și entităților juridice, pentru a concepe și a pune în aplicare mai bine politici publice specifice care vizează creșterea accesului la finanț</w:t>
      </w:r>
      <w:r>
        <w:rPr>
          <w:rFonts w:ascii="Times New Roman" w:hAnsi="Times New Roman"/>
          <w:noProof/>
          <w:sz w:val="24"/>
        </w:rPr>
        <w:t>are. Acesta monitorizează lichiditatea pieței, atât în mod independent, cât și în ceea ce privește expansiunea creditului, în contextul sprijinirii economiei și al valorificării la maximum a instrumentelor de finanțare pentru a răspunde nevoilor de lichidi</w:t>
      </w:r>
      <w:r>
        <w:rPr>
          <w:rFonts w:ascii="Times New Roman" w:hAnsi="Times New Roman"/>
          <w:noProof/>
          <w:sz w:val="24"/>
        </w:rPr>
        <w:t>tăți ale persoanelor fizice și ale întreprinderilor.</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Investițiile realizate în cadrul acestei reforme includ, de asemenea, elaborarea și operaționalizarea unui sistem informatic de colectare a datelor care funcționează ca un instrument de monitorizare a ex</w:t>
      </w:r>
      <w:r>
        <w:rPr>
          <w:rFonts w:ascii="Times New Roman" w:hAnsi="Times New Roman"/>
          <w:noProof/>
          <w:sz w:val="24"/>
        </w:rPr>
        <w:t>pansiunii creditului și de îmbunătățire a gradului de pregătire a statului și a politicilor sale relevante. Acesta ar trebui finalizat până în T4 2024.</w:t>
      </w:r>
    </w:p>
    <w:p w:rsidR="00780A28" w:rsidRDefault="00780A28">
      <w:pPr>
        <w:spacing w:before="120" w:after="120" w:line="240" w:lineRule="auto"/>
        <w:ind w:left="709"/>
        <w:jc w:val="both"/>
        <w:rPr>
          <w:rFonts w:ascii="Times New Roman" w:hAnsi="Times New Roman" w:cs="Times New Roman"/>
          <w:b/>
          <w:bCs/>
          <w:noProof/>
          <w:sz w:val="24"/>
          <w:u w:val="single"/>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33"/>
          <w:headerReference w:type="default" r:id="rId234"/>
          <w:footerReference w:type="even" r:id="rId235"/>
          <w:footerReference w:type="default" r:id="rId236"/>
          <w:headerReference w:type="first" r:id="rId237"/>
          <w:footerReference w:type="first" r:id="rId238"/>
          <w:pgSz w:w="11907" w:h="16839"/>
          <w:pgMar w:top="1134" w:right="1417" w:bottom="1134" w:left="1417" w:header="709" w:footer="709" w:gutter="0"/>
          <w:cols w:space="720"/>
          <w:docGrid w:linePitch="360"/>
        </w:sectPr>
      </w:pPr>
    </w:p>
    <w:p w:rsidR="00780A28" w:rsidRDefault="001867D7">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O.2. </w:t>
      </w:r>
      <w:r>
        <w:rPr>
          <w:rFonts w:ascii="Times New Roman" w:hAnsi="Times New Roman"/>
          <w:b/>
          <w:noProof/>
          <w:sz w:val="24"/>
          <w:u w:val="single"/>
        </w:rPr>
        <w:tab/>
      </w:r>
      <w:r>
        <w:rPr>
          <w:rFonts w:ascii="Times New Roman" w:hAnsi="Times New Roman"/>
          <w:b/>
          <w:bCs/>
          <w:noProof/>
          <w:sz w:val="24"/>
          <w:u w:val="single"/>
        </w:rPr>
        <w:t>Jaloane, ținte, indicatori și calendarul</w:t>
      </w:r>
      <w:r>
        <w:rPr>
          <w:rFonts w:ascii="Times New Roman" w:hAnsi="Times New Roman"/>
          <w:b/>
          <w:bCs/>
          <w:noProof/>
          <w:sz w:val="24"/>
          <w:u w:val="single"/>
        </w:rPr>
        <w:t xml:space="preserve"> de monitorizare și implementare aplicabile sprijinului financiar nerambursabil</w:t>
      </w:r>
    </w:p>
    <w:p w:rsidR="00780A28" w:rsidRDefault="00780A28">
      <w:pPr>
        <w:keepNext/>
        <w:keepLines/>
        <w:spacing w:before="40" w:after="0" w:line="240" w:lineRule="auto"/>
        <w:jc w:val="both"/>
        <w:outlineLvl w:val="4"/>
        <w:rPr>
          <w:rFonts w:ascii="Cambria" w:eastAsia="Times New Roman" w:hAnsi="Cambria"/>
          <w:noProof/>
          <w:color w:val="365F91"/>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22: Consolidarea sectorului financiar și a piețelor de capital</w:t>
      </w:r>
    </w:p>
    <w:p w:rsidR="00780A28" w:rsidRDefault="001867D7">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Consolidarea supravegherii și a credibilității pieței de capital (ID: 16581)</w:t>
      </w:r>
    </w:p>
    <w:p w:rsidR="00780A28" w:rsidRDefault="001867D7">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Consolidarea capacității sist</w:t>
      </w:r>
      <w:r>
        <w:rPr>
          <w:rFonts w:ascii="Times New Roman" w:hAnsi="Times New Roman"/>
          <w:noProof/>
          <w:sz w:val="24"/>
        </w:rPr>
        <w:t>emului financiar de a depăși provocările moștenite și de a finanța economia reală (ID: 16957)</w:t>
      </w:r>
    </w:p>
    <w:p w:rsidR="00780A28" w:rsidRDefault="001867D7">
      <w:pPr>
        <w:numPr>
          <w:ilvl w:val="0"/>
          <w:numId w:val="34"/>
        </w:numPr>
        <w:spacing w:before="120" w:after="0" w:line="240" w:lineRule="auto"/>
        <w:jc w:val="both"/>
        <w:rPr>
          <w:rFonts w:ascii="Times New Roman" w:hAnsi="Times New Roman" w:cs="Times New Roman"/>
          <w:noProof/>
          <w:sz w:val="24"/>
        </w:rPr>
      </w:pPr>
      <w:r>
        <w:rPr>
          <w:rFonts w:ascii="Times New Roman" w:hAnsi="Times New Roman"/>
          <w:noProof/>
          <w:sz w:val="24"/>
        </w:rPr>
        <w:t>Punerea în aplicare a noului cadru unic de insolvență pentru restructurarea datoriei și a celei de a 2-a șanse (ID: 16580)</w:t>
      </w:r>
    </w:p>
    <w:p w:rsidR="00780A28" w:rsidRDefault="001867D7">
      <w:pPr>
        <w:numPr>
          <w:ilvl w:val="0"/>
          <w:numId w:val="34"/>
        </w:numPr>
        <w:spacing w:before="120" w:after="120" w:line="240" w:lineRule="auto"/>
        <w:jc w:val="both"/>
        <w:rPr>
          <w:rFonts w:ascii="Times New Roman" w:hAnsi="Times New Roman" w:cs="Times New Roman"/>
          <w:noProof/>
          <w:sz w:val="24"/>
        </w:rPr>
      </w:pPr>
      <w:r>
        <w:rPr>
          <w:rFonts w:ascii="Times New Roman" w:hAnsi="Times New Roman"/>
          <w:noProof/>
          <w:sz w:val="24"/>
        </w:rPr>
        <w:t>Promovarea împrumuturilor noi — Înființ</w:t>
      </w:r>
      <w:r>
        <w:rPr>
          <w:rFonts w:ascii="Times New Roman" w:hAnsi="Times New Roman"/>
          <w:noProof/>
          <w:sz w:val="24"/>
        </w:rPr>
        <w:t>area Observatorului extinderii creditelor (ID: 16576)</w:t>
      </w:r>
    </w:p>
    <w:tbl>
      <w:tblPr>
        <w:tblW w:w="15730" w:type="dxa"/>
        <w:jc w:val="center"/>
        <w:tblLook w:val="04A0" w:firstRow="1" w:lastRow="0" w:firstColumn="1" w:lastColumn="0" w:noHBand="0" w:noVBand="1"/>
      </w:tblPr>
      <w:tblGrid>
        <w:gridCol w:w="1027"/>
        <w:gridCol w:w="1942"/>
        <w:gridCol w:w="1107"/>
        <w:gridCol w:w="1379"/>
        <w:gridCol w:w="1576"/>
        <w:gridCol w:w="968"/>
        <w:gridCol w:w="896"/>
        <w:gridCol w:w="866"/>
        <w:gridCol w:w="947"/>
        <w:gridCol w:w="669"/>
        <w:gridCol w:w="5194"/>
      </w:tblGrid>
      <w:tr w:rsidR="00780A28">
        <w:trPr>
          <w:trHeight w:val="927"/>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171"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57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calitativi (pentru jaloane)</w:t>
            </w:r>
          </w:p>
        </w:tc>
        <w:tc>
          <w:tcPr>
            <w:tcW w:w="2412"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noProof/>
              </w:rPr>
              <w:t>Indicatori cantitativi (pentru ținte)</w:t>
            </w:r>
          </w:p>
        </w:tc>
        <w:tc>
          <w:tcPr>
            <w:tcW w:w="1442"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519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770"/>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71"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7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6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85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58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84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59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5194"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240</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5 - 4.4. Consolidarea sectorului financiar și a piețelor de capital — 16581_Consolidarea supravegherii și a credibilității pieței de capital</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7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Piețele de capital, supravegherea, digitalizarea proceselor de supraveghere, uniunea piețelor de capital (UPC</w:t>
            </w:r>
            <w:r>
              <w:rPr>
                <w:noProof/>
                <w:color w:val="006100"/>
                <w:sz w:val="18"/>
                <w:szCs w:val="18"/>
              </w:rPr>
              <w:t>)</w:t>
            </w:r>
          </w:p>
        </w:tc>
        <w:tc>
          <w:tcPr>
            <w:tcW w:w="15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(trimitere la Jurnalul Oficial)</w:t>
            </w:r>
          </w:p>
        </w:tc>
        <w:tc>
          <w:tcPr>
            <w:tcW w:w="96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5194" w:type="dxa"/>
            <w:tcBorders>
              <w:top w:val="nil"/>
              <w:left w:val="nil"/>
              <w:bottom w:val="single" w:sz="4" w:space="0" w:color="auto"/>
              <w:right w:val="single" w:sz="4" w:space="0" w:color="auto"/>
            </w:tcBorders>
            <w:shd w:val="clear" w:color="auto" w:fill="C6EFCE"/>
            <w:noWrap/>
          </w:tcPr>
          <w:p w:rsidR="00780A28" w:rsidRDefault="001867D7">
            <w:pPr>
              <w:spacing w:before="120" w:after="120" w:line="240" w:lineRule="auto"/>
              <w:jc w:val="both"/>
              <w:rPr>
                <w:rFonts w:eastAsia="Times New Roman" w:cs="Calibri"/>
                <w:noProof/>
                <w:color w:val="006100"/>
                <w:sz w:val="18"/>
                <w:szCs w:val="18"/>
              </w:rPr>
            </w:pPr>
            <w:r>
              <w:rPr>
                <w:noProof/>
                <w:color w:val="006100"/>
                <w:sz w:val="18"/>
                <w:szCs w:val="18"/>
              </w:rPr>
              <w:t xml:space="preserve">Intrarea în vigoare a unei noi legi privind Comisia elenă pentru piața de capital, care va modifica procesele și organizarea internă. </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241</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15 - 4.4. Consolidarea sectorului </w:t>
            </w:r>
            <w:r>
              <w:rPr>
                <w:noProof/>
                <w:color w:val="006100"/>
                <w:sz w:val="18"/>
                <w:szCs w:val="18"/>
              </w:rPr>
              <w:t>financiar și a piețelor de capital — 16580_Punerea în aplicare a noului cadru unificat de insolvență pentru restructurarea datoriei și a celei de a 2-a șanse</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7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Supravegherea, digitalizarea proceselor de supraveghere, uniunea piețelor de capital, piețel</w:t>
            </w:r>
            <w:r>
              <w:rPr>
                <w:noProof/>
                <w:color w:val="006100"/>
                <w:sz w:val="18"/>
                <w:szCs w:val="18"/>
              </w:rPr>
              <w:t>e de capital, restructurarea preventivă a datoriilor</w:t>
            </w:r>
          </w:p>
        </w:tc>
        <w:tc>
          <w:tcPr>
            <w:tcW w:w="15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Rapoarte care atestă operaționalizarea sistemelor de mai sus, inclusiv linkuri către site-uri internet, dacă este cazul</w:t>
            </w:r>
          </w:p>
        </w:tc>
        <w:tc>
          <w:tcPr>
            <w:tcW w:w="96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51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cs="Calibri"/>
                <w:noProof/>
                <w:color w:val="006100"/>
                <w:sz w:val="18"/>
                <w:szCs w:val="18"/>
              </w:rPr>
            </w:pPr>
            <w:r>
              <w:rPr>
                <w:noProof/>
                <w:color w:val="006100"/>
                <w:sz w:val="18"/>
                <w:szCs w:val="18"/>
              </w:rPr>
              <w:t>Modernizarea mecanismului de alertă timpurie și de restructurare prevent</w:t>
            </w:r>
            <w:r>
              <w:rPr>
                <w:noProof/>
                <w:color w:val="006100"/>
                <w:sz w:val="18"/>
                <w:szCs w:val="18"/>
              </w:rPr>
              <w:t>ivă a datoriilor, care permite persoanelor fizice și întreprinderilor să evite îndatorarea excesivă, precum și să abordeze problema achitării datoriilor prin utilizarea unor proceduri extrajudiciare.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Contractantul actualizează sistemele informatice de ave</w:t>
            </w:r>
            <w:r>
              <w:rPr>
                <w:noProof/>
                <w:color w:val="006100"/>
                <w:sz w:val="18"/>
                <w:szCs w:val="18"/>
              </w:rPr>
              <w:t>rtizare timpurie și de restructurare preventivă a datoriilor, gestionate de Ministerul de Finanțe/SecPD în urma evaluării funcționării acestora.</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242</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ascii="Times New Roman" w:hAnsi="Times New Roman" w:cs="Times New Roman"/>
                <w:noProof/>
                <w:sz w:val="18"/>
                <w:szCs w:val="18"/>
              </w:rPr>
            </w:pPr>
            <w:r>
              <w:rPr>
                <w:noProof/>
                <w:color w:val="006100"/>
                <w:sz w:val="18"/>
                <w:szCs w:val="18"/>
              </w:rPr>
              <w:t xml:space="preserve">15 - 4.4. Consolidarea sectorului financiar și a piețelor de capital — 16576_noua promovare a </w:t>
            </w:r>
            <w:r>
              <w:rPr>
                <w:noProof/>
                <w:color w:val="006100"/>
                <w:sz w:val="18"/>
                <w:szCs w:val="18"/>
              </w:rPr>
              <w:t>împrumuturilor — Instituirea Observatorului extinderii creditelor</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7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Piețele de capital, supravegherea, digitalizarea proceselor de supraveghere, uniunea piețelor de capital</w:t>
            </w:r>
          </w:p>
        </w:tc>
        <w:tc>
          <w:tcPr>
            <w:tcW w:w="15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Rapoarte care atestă operaționalizarea sistemelor, inclusiv linkuri către </w:t>
            </w:r>
            <w:r>
              <w:rPr>
                <w:noProof/>
                <w:color w:val="006100"/>
                <w:sz w:val="18"/>
                <w:szCs w:val="18"/>
              </w:rPr>
              <w:t>site-uri internet, după caz</w:t>
            </w:r>
          </w:p>
        </w:tc>
        <w:tc>
          <w:tcPr>
            <w:tcW w:w="96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51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Sistemul informatic al Observatorului Extinderii de Credite este finalizat și pus în funcțiune, constând într-un sistem informatic de colectare a datelor, care monitorizează extinderea creditelor și, prin urmare, îmbu</w:t>
            </w:r>
            <w:r>
              <w:rPr>
                <w:noProof/>
                <w:color w:val="006100"/>
                <w:sz w:val="18"/>
                <w:szCs w:val="18"/>
              </w:rPr>
              <w:t>nătățește gradul de pregătire a deciziilor de elaborare a politicilor de stat.</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243</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15 - 4.4. Consolidarea sectorului financiar și a piețelor de capital — 16581_Consolidarea supravegherii și a credibilității pieței de capital</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7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Piețele de capital, </w:t>
            </w:r>
            <w:r>
              <w:rPr>
                <w:noProof/>
                <w:color w:val="006100"/>
                <w:sz w:val="18"/>
                <w:szCs w:val="18"/>
              </w:rPr>
              <w:t>supravegherea, digitalizarea proceselor de supraveghere, uniunea piețelor de capital (UPC)</w:t>
            </w:r>
          </w:p>
        </w:tc>
        <w:tc>
          <w:tcPr>
            <w:tcW w:w="15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Operaționalizarea sistemului informatic UPC</w:t>
            </w:r>
          </w:p>
        </w:tc>
        <w:tc>
          <w:tcPr>
            <w:tcW w:w="96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194" w:type="dxa"/>
            <w:tcBorders>
              <w:top w:val="nil"/>
              <w:left w:val="nil"/>
              <w:bottom w:val="single" w:sz="4" w:space="0" w:color="auto"/>
              <w:right w:val="single" w:sz="4" w:space="0" w:color="auto"/>
            </w:tcBorders>
            <w:shd w:val="clear" w:color="auto" w:fill="C6EFCE"/>
            <w:noWrap/>
          </w:tcPr>
          <w:p w:rsidR="00780A28" w:rsidRDefault="001867D7">
            <w:pPr>
              <w:spacing w:before="120" w:after="0" w:line="240" w:lineRule="auto"/>
              <w:jc w:val="both"/>
              <w:rPr>
                <w:rFonts w:eastAsia="Times New Roman" w:cs="Calibri"/>
                <w:noProof/>
                <w:color w:val="006100"/>
                <w:sz w:val="18"/>
                <w:szCs w:val="18"/>
              </w:rPr>
            </w:pPr>
            <w:r>
              <w:rPr>
                <w:noProof/>
                <w:color w:val="006100"/>
                <w:sz w:val="18"/>
                <w:szCs w:val="18"/>
              </w:rPr>
              <w:t xml:space="preserve">1. Finalizarea reproiectării și a foii de parcurs pentru noua structură organizațională, gestionarea datelor, </w:t>
            </w:r>
            <w:r>
              <w:rPr>
                <w:noProof/>
                <w:color w:val="006100"/>
                <w:sz w:val="18"/>
                <w:szCs w:val="18"/>
              </w:rPr>
              <w:t xml:space="preserve">formarea personalului, 2. Dezvoltarea și/sau achiziționarea de infrastructuri și aplicații informatice pentru primirea, stocarea, extragerea și gestionarea sistematică a tranzacțiilor privind datele de pe piața bursieră și a informațiilor auxiliare pentru </w:t>
            </w:r>
            <w:r>
              <w:rPr>
                <w:noProof/>
                <w:color w:val="006100"/>
                <w:sz w:val="18"/>
                <w:szCs w:val="18"/>
              </w:rPr>
              <w:t>producerea și gestionarea alertelor și a rapoartelor de audit; 3. Introducerea unui sistem informatic la scară largă și integrarea tuturor datelor colectate în prezent (și în viitor) de personalul Comisiei pentru piețele de capital din Grecia, permițând an</w:t>
            </w:r>
            <w:r>
              <w:rPr>
                <w:noProof/>
                <w:color w:val="006100"/>
                <w:sz w:val="18"/>
                <w:szCs w:val="18"/>
              </w:rPr>
              <w:t>aliza, revizuirea și prezentarea multidimensională a actualelor condiții de piață care permit ajustarea procedurilor și a intervențiilor</w:t>
            </w:r>
          </w:p>
        </w:tc>
      </w:tr>
      <w:tr w:rsidR="00780A28">
        <w:trPr>
          <w:trHeight w:val="309"/>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244</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15 - 4.4. Consolidarea sectorului financiar și a piețelor de capital — 16957_Consolidarea capacității sistemului </w:t>
            </w:r>
            <w:r>
              <w:rPr>
                <w:noProof/>
                <w:color w:val="006100"/>
                <w:sz w:val="18"/>
                <w:szCs w:val="18"/>
              </w:rPr>
              <w:t>financiar de a depăși provocările moștenite și de a finanța economia reală</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7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Rezoluția datoriilor, rezoluția creditelor neperformante, vânzările de credite neperformante, stabilitatea financiară, Biroul pentru credite publice, solvabilitatea,</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Strategia privind creditele neperformante, Registrul de monitorizare a datoriei private. </w:t>
            </w:r>
          </w:p>
        </w:tc>
        <w:tc>
          <w:tcPr>
            <w:tcW w:w="15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privind verificarea finalizării celor 33 proiecte planificate în cadrul strategiei</w:t>
            </w:r>
          </w:p>
        </w:tc>
        <w:tc>
          <w:tcPr>
            <w:tcW w:w="96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8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4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5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19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Strategia națională de rezoluție a datoriei private a fost pusă î</w:t>
            </w:r>
            <w:r>
              <w:rPr>
                <w:noProof/>
                <w:color w:val="006100"/>
                <w:sz w:val="18"/>
                <w:szCs w:val="18"/>
              </w:rPr>
              <w:t xml:space="preserve">n aplicare și operaționalizată pe deplin, în special prin lansarea Biroului public de credite și a Registrului de monitorizare a datoriei private. Registrul central al creditelor (CCR, strâns legat de proiectele de mai sus, completează strategia națională </w:t>
            </w:r>
            <w:r>
              <w:rPr>
                <w:noProof/>
                <w:color w:val="006100"/>
                <w:sz w:val="18"/>
                <w:szCs w:val="18"/>
              </w:rPr>
              <w:t>de reducere a creditelor neperformante, de creștere a transparenței și de recâștigare a încrederii investitorilor). Aceste acțiuni vizează prevenirea acumulării de datorii private în viitor și capacitarea pieței creditelor neperformante, inclusiv prin abor</w:t>
            </w:r>
            <w:r>
              <w:rPr>
                <w:noProof/>
                <w:color w:val="006100"/>
                <w:sz w:val="18"/>
                <w:szCs w:val="18"/>
              </w:rPr>
              <w:t>darea asimetriilor informaționale, care facilitează procesul decizional în materie de credite și sporesc transparența istoricului plăților și nivelul garanțiilor furnizate.</w:t>
            </w:r>
          </w:p>
          <w:p w:rsidR="00780A28" w:rsidRDefault="001867D7">
            <w:pPr>
              <w:spacing w:after="0" w:line="240" w:lineRule="auto"/>
              <w:rPr>
                <w:rFonts w:eastAsia="Times New Roman" w:cs="Calibri"/>
                <w:noProof/>
                <w:color w:val="006100"/>
                <w:sz w:val="18"/>
                <w:szCs w:val="18"/>
              </w:rPr>
            </w:pPr>
            <w:r>
              <w:rPr>
                <w:noProof/>
                <w:color w:val="006100"/>
                <w:sz w:val="18"/>
                <w:szCs w:val="18"/>
              </w:rPr>
              <w:t>Biroul public de credite: Dezvoltarea sistemului informatic de evaluare a solvabili</w:t>
            </w:r>
            <w:r>
              <w:rPr>
                <w:noProof/>
                <w:color w:val="006100"/>
                <w:sz w:val="18"/>
                <w:szCs w:val="18"/>
              </w:rPr>
              <w:t xml:space="preserve">tății și finalizarea operativului-pilot al acestuia.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Lansarea sistemului informatic al Registrului de monitorizare a datoriei private.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Finalizarea cu succes a strategiei naționale privind creditele neperformante, inclusiv acțiuni de facilitare a tranza</w:t>
            </w:r>
            <w:r>
              <w:rPr>
                <w:noProof/>
                <w:color w:val="006100"/>
                <w:sz w:val="18"/>
                <w:szCs w:val="18"/>
              </w:rPr>
              <w:t xml:space="preserve">cțiilor cu credite neperformante: (i) să elaboreze, să consulte și să lanseze noi acte legislative care să elimine măsurile fiscale de descurajare a transferurilor de credite neperformante, (ii) să stabilească un model comun de date pentru tranzacțiile cu </w:t>
            </w:r>
            <w:r>
              <w:rPr>
                <w:noProof/>
                <w:color w:val="006100"/>
                <w:sz w:val="18"/>
                <w:szCs w:val="18"/>
              </w:rPr>
              <w:t>credite neperformante, (iii) să stabilească un model comun pentru examinarea și evaluarea portofoliilor de credite neperformante, (iv) să conceapă o platformă de tranzacționare pentru portofoliile de credite neperformante pentru a ajuta vânzătorii și cumpă</w:t>
            </w:r>
            <w:r>
              <w:rPr>
                <w:noProof/>
                <w:color w:val="006100"/>
                <w:sz w:val="18"/>
                <w:szCs w:val="18"/>
              </w:rPr>
              <w:t>rătorii să facă schimb de informații și să depună oferte în mod eficient și confidențial.</w:t>
            </w:r>
          </w:p>
          <w:p w:rsidR="00780A28" w:rsidRDefault="00780A28">
            <w:pPr>
              <w:spacing w:after="0" w:line="240" w:lineRule="auto"/>
              <w:rPr>
                <w:rFonts w:eastAsia="Times New Roman" w:cs="Calibri"/>
                <w:noProof/>
                <w:color w:val="006100"/>
                <w:sz w:val="18"/>
                <w:szCs w:val="18"/>
                <w:lang w:eastAsia="en-GB"/>
              </w:rPr>
            </w:pPr>
          </w:p>
          <w:p w:rsidR="00780A28" w:rsidRDefault="001867D7">
            <w:pPr>
              <w:widowControl w:val="0"/>
              <w:pBdr>
                <w:top w:val="nil"/>
                <w:left w:val="nil"/>
                <w:bottom w:val="nil"/>
                <w:right w:val="nil"/>
                <w:between w:val="nil"/>
              </w:pBdr>
              <w:spacing w:after="0" w:line="240" w:lineRule="auto"/>
              <w:rPr>
                <w:rFonts w:eastAsia="Times New Roman" w:cs="Calibri"/>
                <w:noProof/>
                <w:color w:val="006100"/>
                <w:sz w:val="18"/>
                <w:szCs w:val="18"/>
              </w:rPr>
            </w:pPr>
            <w:r>
              <w:rPr>
                <w:noProof/>
                <w:color w:val="006100"/>
                <w:sz w:val="18"/>
                <w:szCs w:val="18"/>
              </w:rPr>
              <w:t>Instituirea infrastructurii informatice necesare pentru CCR. CCR este o bază de date națională, găzduită de Banca Greciei, sprijinind astfel obligațiile și funcțiile</w:t>
            </w:r>
            <w:r>
              <w:rPr>
                <w:noProof/>
                <w:color w:val="006100"/>
                <w:sz w:val="18"/>
                <w:szCs w:val="18"/>
              </w:rPr>
              <w:t xml:space="preserve"> acesteia de supraveghere a sectorului financiar și de asigurare a stabilității financiare. Banca Greciei (BoG) acționează în calitate de operator de date și se asigură că există protocoale stricte în materie de securitate și protecție a datelor, pentru a </w:t>
            </w:r>
            <w:r>
              <w:rPr>
                <w:noProof/>
                <w:color w:val="006100"/>
                <w:sz w:val="18"/>
                <w:szCs w:val="18"/>
              </w:rPr>
              <w:t xml:space="preserve">proteja informațiile referitoare la debitori, transmise de creditori către CCR. Alte servicii ale Ministerului Finanțelor (Secretariatul special pentru gestionarea datoriei private) beneficiază, de asemenea, prin interoperabilitatea posibilă (în măsura în </w:t>
            </w:r>
            <w:r>
              <w:rPr>
                <w:noProof/>
                <w:color w:val="006100"/>
                <w:sz w:val="18"/>
                <w:szCs w:val="18"/>
              </w:rPr>
              <w:t>care este necesar) a sistemului cu Biroul de credite publice și cu Registrul de monitorizare a datoriei private. Ministerul Justiției (în calitate de coresponsabil pentru registrul de garanții electronice) ar putea beneficia, de asemenea, de acest lucru. M</w:t>
            </w:r>
            <w:r>
              <w:rPr>
                <w:noProof/>
                <w:color w:val="006100"/>
                <w:sz w:val="18"/>
                <w:szCs w:val="18"/>
              </w:rPr>
              <w:t>inisterul guvernanței digitale ar putea fi un actor-cheie pentru conceperea și funcționarea CCR.</w:t>
            </w:r>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39"/>
          <w:headerReference w:type="default" r:id="rId240"/>
          <w:footerReference w:type="even" r:id="rId241"/>
          <w:footerReference w:type="default" r:id="rId242"/>
          <w:headerReference w:type="first" r:id="rId243"/>
          <w:footerReference w:type="first" r:id="rId244"/>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P. COMPONENTA 4.5: PROMOVAREA CERCETĂRII ȘI A INOVĂRII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Obiectivele-cheie ale acestei componente a</w:t>
      </w:r>
      <w:r>
        <w:rPr>
          <w:rFonts w:ascii="Times New Roman" w:hAnsi="Times New Roman"/>
          <w:noProof/>
          <w:sz w:val="24"/>
        </w:rPr>
        <w:t xml:space="preserve"> planului de redresare și reziliență al Greciei sunt creșterea investițiilor publice și private în cercetare și dezvoltare (C &amp; D), consolidarea legăturilor dintre știință și întreprinderi și dezvoltarea unei infrastructuri de C &amp; D inovatoare, în vederea </w:t>
      </w:r>
      <w:r>
        <w:rPr>
          <w:rFonts w:ascii="Times New Roman" w:hAnsi="Times New Roman"/>
          <w:noProof/>
          <w:sz w:val="24"/>
        </w:rPr>
        <w:t>îmbunătățirii performanțelor Greciei în materie de cercetare și inovare. Se preconizează că acest lucru va fi realizat prin reforme și investiții specifice pentru a crește cheltuielile publice și private în domeniul C &amp; D, pentru a moderniza infrastructuri</w:t>
      </w:r>
      <w:r>
        <w:rPr>
          <w:rFonts w:ascii="Times New Roman" w:hAnsi="Times New Roman"/>
          <w:noProof/>
          <w:sz w:val="24"/>
        </w:rPr>
        <w:t xml:space="preserve">le de cercetare ale țării, pentru a promova finanțarea cercetării, pentru a spori internaționalizarea ecosistemului de cercetare din Grecia și pentru a dezvolta colaborări în domeniul cercetării. Componenta include, de asemenea, dezvoltarea unui sistem de </w:t>
      </w:r>
      <w:r>
        <w:rPr>
          <w:rFonts w:ascii="Times New Roman" w:hAnsi="Times New Roman"/>
          <w:noProof/>
          <w:sz w:val="24"/>
        </w:rPr>
        <w:t>informații pentru protecția civilă, care va informa autoritățile competente în timp real cu privire la fenomenele fizice și dezastrele naturale, sprijinind în același timp cooperarea acestora. Această investiție facilitează, de asemenea, transformarea digi</w:t>
      </w:r>
      <w:r>
        <w:rPr>
          <w:rFonts w:ascii="Times New Roman" w:hAnsi="Times New Roman"/>
          <w:noProof/>
          <w:sz w:val="24"/>
        </w:rPr>
        <w:t xml:space="preserve">tală, prin dezvoltarea de tehnologii digitale avansate și digitalizarea metodelor de protecție civilă, precum și promovarea tranziției verzi, prin atenuarea impactului schimbărilor climatice pentru a asigura protecția civilă. Componenta sprijină abordarea </w:t>
      </w:r>
      <w:r>
        <w:rPr>
          <w:rFonts w:ascii="Times New Roman" w:hAnsi="Times New Roman"/>
          <w:noProof/>
          <w:sz w:val="24"/>
        </w:rPr>
        <w:t>recomandărilor specifice fiecărei țări privind investițiile publice și private (recomandarea specifică fiecărei țări 2 2019 și recomandarea specifică fiecărei țări 3 2020). Este de așteptat ca nicio măsură din cadrul acestei componente să nu afecteze în mo</w:t>
      </w:r>
      <w:r>
        <w:rPr>
          <w:rFonts w:ascii="Times New Roman" w:hAnsi="Times New Roman"/>
          <w:noProof/>
          <w:sz w:val="24"/>
        </w:rPr>
        <w:t>d semnificativ obiectivele de mediu în sensul articolului 17 din Regulamentul (UE) 2020/852, ținând seama de descrierea măsurilor și a măsurilor de atenuare stabilite în planul de redresare și reziliență în conformitate cu Orientările tehnice bazate pe pri</w:t>
      </w:r>
      <w:r>
        <w:rPr>
          <w:rFonts w:ascii="Times New Roman" w:hAnsi="Times New Roman"/>
          <w:noProof/>
          <w:sz w:val="24"/>
        </w:rPr>
        <w:t>ncipiul de „a nu aduce prejudicii semnificative” (2021/C58/01).</w:t>
      </w:r>
    </w:p>
    <w:p w:rsidR="00780A28" w:rsidRDefault="001867D7">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P.1.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Creare — extindere — Modernizarea infrastructurilor centrelor de</w:t>
      </w:r>
      <w:r>
        <w:rPr>
          <w:rFonts w:ascii="Times New Roman" w:hAnsi="Times New Roman"/>
          <w:noProof/>
          <w:sz w:val="24"/>
        </w:rPr>
        <w:t xml:space="preserve"> cercetare supravegheate de Secretariatul General pentru Cercetare și Inovare (GSRI) (numărul de identificare al măsurii:16624)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într-o modernizare a infrastructurii de 13 centre de cercetare și crearea uneia noi în Ioannina, pentru a cons</w:t>
      </w:r>
      <w:r>
        <w:rPr>
          <w:rFonts w:ascii="Times New Roman" w:hAnsi="Times New Roman"/>
          <w:noProof/>
          <w:sz w:val="24"/>
        </w:rPr>
        <w:t>olida capacitatea și capacitățile de cercetare ale acestora în domenii științifice și tehnologice importante. În special, investiția vizează următoarele centre de cercetare: Fundația pentru cercetare și tehnologie Hellas; Centrul de cercetare și inovare At</w:t>
      </w:r>
      <w:r>
        <w:rPr>
          <w:rFonts w:ascii="Times New Roman" w:hAnsi="Times New Roman"/>
          <w:noProof/>
          <w:sz w:val="24"/>
        </w:rPr>
        <w:t>hena; BSRC Flaming; Centrul de cercetare și tehnologie Hellas; Fundația Națională Elenă; Academia Fundației de cercetare biomedicală din Atena; Observatorul național din Atena; Centrul Elen pentru Cercetare Marină; Institutul Pasteur din Grecia; Centrul Na</w:t>
      </w:r>
      <w:r>
        <w:rPr>
          <w:rFonts w:ascii="Times New Roman" w:hAnsi="Times New Roman"/>
          <w:noProof/>
          <w:sz w:val="24"/>
        </w:rPr>
        <w:t>ț</w:t>
      </w:r>
      <w:r>
        <w:rPr>
          <w:rFonts w:ascii="Times New Roman" w:hAnsi="Times New Roman"/>
          <w:noProof/>
          <w:sz w:val="24"/>
        </w:rPr>
        <w:t xml:space="preserve">ional de Cercetare Socială; NOESIS — Centrul științific din Salonic &amp; Muzeul tehnologic; Comisia greacă pentru energie atomică Parcul științific al Patra; crearea unui parc de cercetare și tehnologie de înaltă tehnologie în regiunea Epir.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Pentru a se asi</w:t>
      </w:r>
      <w:r>
        <w:rPr>
          <w:rFonts w:ascii="Times New Roman" w:hAnsi="Times New Roman"/>
          <w:noProof/>
          <w:sz w:val="24"/>
        </w:rPr>
        <w:t xml:space="preserve">gura că măsura este conformă cu Orientările tehnice bazate pe principiul de „a nu aduce prejudicii semnificative” (2021/C58/01), criteriile de eligibilitate cuprinse în termenii de referință pentru cererile de propuneri de proiecte exclud următoarea listă </w:t>
      </w:r>
      <w:r>
        <w:rPr>
          <w:rFonts w:ascii="Times New Roman" w:hAnsi="Times New Roman"/>
          <w:noProof/>
          <w:sz w:val="24"/>
        </w:rPr>
        <w:t>de activități:</w:t>
      </w:r>
      <w:r>
        <w:rPr>
          <w:rFonts w:ascii="Times New Roman" w:hAnsi="Times New Roman"/>
          <w:noProof/>
          <w:color w:val="FF0000"/>
          <w:sz w:val="24"/>
        </w:rPr>
        <w:t xml:space="preserve"> </w:t>
      </w:r>
      <w:r>
        <w:rPr>
          <w:rFonts w:ascii="Times New Roman" w:hAnsi="Times New Roman"/>
          <w:noProof/>
          <w:sz w:val="24"/>
        </w:rPr>
        <w:t>(i) activitățile legate de combustibilii fosili, inclusiv utilizarea în aval</w:t>
      </w:r>
      <w:r>
        <w:rPr>
          <w:rFonts w:ascii="Times New Roman" w:hAnsi="Times New Roman" w:cs="Times New Roman"/>
          <w:noProof/>
          <w:sz w:val="24"/>
          <w:vertAlign w:val="superscript"/>
        </w:rPr>
        <w:footnoteReference w:id="18"/>
      </w:r>
      <w:r>
        <w:rPr>
          <w:rFonts w:ascii="Times New Roman" w:hAnsi="Times New Roman"/>
          <w:noProof/>
          <w:sz w:val="24"/>
        </w:rPr>
        <w:t>; (ii) activitățile din cadrul schemei UE de comercializare a certificatelor de emisii (ETS) care ating previziuni privind emisiile de gaze cu efect de seră care nu</w:t>
      </w:r>
      <w:r>
        <w:rPr>
          <w:rFonts w:ascii="Times New Roman" w:hAnsi="Times New Roman"/>
          <w:noProof/>
          <w:sz w:val="24"/>
        </w:rPr>
        <w:t xml:space="preserve"> sunt mai mici decât valorile de referință relevante</w:t>
      </w:r>
      <w:r>
        <w:rPr>
          <w:rFonts w:ascii="Times New Roman" w:hAnsi="Times New Roman" w:cs="Times New Roman"/>
          <w:noProof/>
          <w:sz w:val="24"/>
          <w:vertAlign w:val="superscript"/>
        </w:rPr>
        <w:footnoteReference w:id="19"/>
      </w:r>
      <w:r>
        <w:rPr>
          <w:rFonts w:ascii="Times New Roman" w:hAnsi="Times New Roman"/>
          <w:noProof/>
          <w:sz w:val="24"/>
        </w:rPr>
        <w:t>; (iii) activitățile legate de depozitele de deșeuri, incineratoare</w:t>
      </w:r>
      <w:r>
        <w:rPr>
          <w:rFonts w:ascii="Times New Roman" w:hAnsi="Times New Roman" w:cs="Times New Roman"/>
          <w:noProof/>
          <w:sz w:val="24"/>
          <w:vertAlign w:val="superscript"/>
        </w:rPr>
        <w:footnoteReference w:id="20"/>
      </w:r>
      <w:r>
        <w:rPr>
          <w:rFonts w:ascii="Times New Roman" w:hAnsi="Times New Roman"/>
          <w:noProof/>
          <w:sz w:val="24"/>
        </w:rPr>
        <w:t xml:space="preserve"> și instalații de tratare mecano-biologică</w:t>
      </w:r>
      <w:r>
        <w:rPr>
          <w:rFonts w:ascii="Times New Roman" w:hAnsi="Times New Roman" w:cs="Times New Roman"/>
          <w:noProof/>
          <w:sz w:val="24"/>
          <w:vertAlign w:val="superscript"/>
        </w:rPr>
        <w:footnoteReference w:id="21"/>
      </w:r>
      <w:r>
        <w:rPr>
          <w:rFonts w:ascii="Times New Roman" w:hAnsi="Times New Roman"/>
          <w:noProof/>
          <w:sz w:val="24"/>
        </w:rPr>
        <w:t>; și (iv) activități în cadrul cărora eliminarea pe termen lung a deșeurilor poate dăuna med</w:t>
      </w:r>
      <w:r>
        <w:rPr>
          <w:rFonts w:ascii="Times New Roman" w:hAnsi="Times New Roman"/>
          <w:noProof/>
          <w:sz w:val="24"/>
        </w:rPr>
        <w:t>iului. În plus, mandatul impune ca numai activitățile care respectă legislația UE și națională relevantă în materie de mediu să poată fi selectate.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Basic &amp; Cercetare aplica</w:t>
      </w:r>
      <w:r>
        <w:rPr>
          <w:rFonts w:ascii="Times New Roman" w:hAnsi="Times New Roman"/>
          <w:noProof/>
          <w:sz w:val="24"/>
        </w:rPr>
        <w:t>tă (numărul de identificare al măsurii:16618)</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șapte subproiecte: (i) acordarea de finanțare orizontală pentru cercetarea fundamentală; (ii) sprijin financiar pentru proiecte de cercetare emblematice în sectoare interdisciplinare cu apl</w:t>
      </w:r>
      <w:r>
        <w:rPr>
          <w:rFonts w:ascii="Times New Roman" w:hAnsi="Times New Roman"/>
          <w:noProof/>
          <w:sz w:val="24"/>
        </w:rPr>
        <w:t>icații practice pentru economia Greciei; (iii) sprijin financiar pentru cercetarea aplicată în domeniul medicinei de precizie, pus în aplicare prin intermediul unei organizații non-profit Hellenic Precision Medicine Network; (iv) furnizarea de finanțare pe</w:t>
      </w:r>
      <w:r>
        <w:rPr>
          <w:rFonts w:ascii="Times New Roman" w:hAnsi="Times New Roman"/>
          <w:noProof/>
          <w:sz w:val="24"/>
        </w:rPr>
        <w:t>ntru un centru de cercetare și dezvoltare a sistemelor fără pilot la bord pentru a sprijini cercetarea aplicată în domeniul dronelor; (v) înființarea unui institut C &amp; I aplicat privind inteligența artificială, prelucrarea datelor și dezvoltarea algoritmil</w:t>
      </w:r>
      <w:r>
        <w:rPr>
          <w:rFonts w:ascii="Times New Roman" w:hAnsi="Times New Roman"/>
          <w:noProof/>
          <w:sz w:val="24"/>
        </w:rPr>
        <w:t>or; (vi) sprijin financiar pentru furnizarea de tehnologii ale materialelor sustenabile, care pot fi comercializate pe piață; (vii) sprijin financiar pentru participarea la parteneriate europene, și anume Euro-HPC (calculul de înaltă performanță) și tehnol</w:t>
      </w:r>
      <w:r>
        <w:rPr>
          <w:rFonts w:ascii="Times New Roman" w:hAnsi="Times New Roman"/>
          <w:noProof/>
          <w:sz w:val="24"/>
        </w:rPr>
        <w:t>ogiile digitale esențiale. Investiția urmărește să creeze entități care să sprijine cercetarea aplicată pe termen lung și să promoveze un ecosistem de inovare „deep-tech” prin finanțarea activităților de C &amp; D interdisciplinare cu implicații pentru industr</w:t>
      </w:r>
      <w:r>
        <w:rPr>
          <w:rFonts w:ascii="Times New Roman" w:hAnsi="Times New Roman"/>
          <w:noProof/>
          <w:sz w:val="24"/>
        </w:rPr>
        <w:t xml:space="preserve">ie. Implementarea investiției trebuie finalizată până la 31 decembrie 2025.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TH</w:t>
      </w:r>
      <w:r>
        <w:rPr>
          <w:rFonts w:ascii="Times New Roman" w:hAnsi="Times New Roman"/>
          <w:noProof/>
          <w:sz w:val="24"/>
          <w:vertAlign w:val="superscript"/>
        </w:rPr>
        <w:t>2</w:t>
      </w:r>
      <w:r>
        <w:rPr>
          <w:rFonts w:ascii="Times New Roman" w:hAnsi="Times New Roman"/>
          <w:noProof/>
          <w:sz w:val="24"/>
        </w:rPr>
        <w:t>ORAX: Trellis Holistic &amp; Hybrid Operational Ruggedized Autonomous eXemplary system (numărul de identificare al măsurii: 16654)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color w:val="000000"/>
          <w:sz w:val="24"/>
        </w:rPr>
        <w:t>Investiția constă în dezvoltarea unui</w:t>
      </w:r>
      <w:r>
        <w:rPr>
          <w:rFonts w:ascii="Times New Roman" w:hAnsi="Times New Roman"/>
          <w:noProof/>
          <w:color w:val="000000"/>
          <w:sz w:val="24"/>
        </w:rPr>
        <w:t xml:space="preserve"> sistem informatic de „generație următoare”, care se preconizează că va combina diferite tipuri și forme de infrastructuri colaborative pentru a consolida procesul decizional al instituțiilor în timp real. </w:t>
      </w:r>
      <w:r>
        <w:rPr>
          <w:rFonts w:ascii="Times New Roman" w:hAnsi="Times New Roman"/>
          <w:noProof/>
          <w:sz w:val="24"/>
        </w:rPr>
        <w:t>Sistemul este compus din tehnologii de ultimă gene</w:t>
      </w:r>
      <w:r>
        <w:rPr>
          <w:rFonts w:ascii="Times New Roman" w:hAnsi="Times New Roman"/>
          <w:noProof/>
          <w:sz w:val="24"/>
        </w:rPr>
        <w:t>rație, cum ar fi inteligența artificială, și este conceput astfel încât să răspundă nevoilor unei game variate de utilizatori finali pe termen lung. Se preconizează că acesta va contribui la gestionarea frontierelor, la combaterea criminalității și a teror</w:t>
      </w:r>
      <w:r>
        <w:rPr>
          <w:rFonts w:ascii="Times New Roman" w:hAnsi="Times New Roman"/>
          <w:noProof/>
          <w:sz w:val="24"/>
        </w:rPr>
        <w:t>ismului, la securitatea cibernetică, la protecția și reziliența infrastructurilor critice, la operațiunile de căutare și salvare și la rezistența în fața dezastrelor.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Cerce</w:t>
      </w:r>
      <w:r>
        <w:rPr>
          <w:rFonts w:ascii="Times New Roman" w:hAnsi="Times New Roman"/>
          <w:noProof/>
          <w:sz w:val="24"/>
        </w:rPr>
        <w:t>tare — Creare — Innovate (numărul de identificare al măsurii:16971)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urmărește să sprijine 36 de propuneri de proiecte care sunt evaluate cu un punctaj foarte ridicat în ceea ce privește criteriul „excelenței” în sectoarele specializării intelige</w:t>
      </w:r>
      <w:r>
        <w:rPr>
          <w:rFonts w:ascii="Times New Roman" w:hAnsi="Times New Roman"/>
          <w:noProof/>
          <w:sz w:val="24"/>
        </w:rPr>
        <w:t>nte (RIS3), dar care nu au fost finanțate în cadrul ORIZONT 2020 din cauza constrângerilor bugetare. Investițiile sprijină propunerile selectate cu finanțare și se preconizează că vor atrage cofinanțare din partea sectorului privat prin consolidarea legătu</w:t>
      </w:r>
      <w:r>
        <w:rPr>
          <w:rFonts w:ascii="Times New Roman" w:hAnsi="Times New Roman"/>
          <w:noProof/>
          <w:sz w:val="24"/>
        </w:rPr>
        <w:t>rii dintre sectorul științific public și întreprinderi. Sectoarele eligibile pentru finanțare sunt: (i) comerțul, mediul și dezvoltarea durabilă; (ii) energie; (iii) tehnologia informației și comunicațiilor; (iv) sănătate și farmacie; (v) lanțul de transpo</w:t>
      </w:r>
      <w:r>
        <w:rPr>
          <w:rFonts w:ascii="Times New Roman" w:hAnsi="Times New Roman"/>
          <w:noProof/>
          <w:sz w:val="24"/>
        </w:rPr>
        <w:t>rt și de aprovizionare; (vi) industria agroalimentară și alimentară; (vii) materiale și construcții; și (viii) turismul, cultura și industriile creative.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„Marca de excelenț</w:t>
      </w:r>
      <w:r>
        <w:rPr>
          <w:rFonts w:ascii="Times New Roman" w:hAnsi="Times New Roman"/>
          <w:noProof/>
          <w:sz w:val="24"/>
        </w:rPr>
        <w:t>ă” Orizont 2020: finanțarea celor mai importante întreprinderi inovatoare (numărul de identificare al măsurii:16622)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vizează 13 propuneri de proiecte din partea întreprinderilor mici și mijlocii care au primit eticheta de calitate „marcă de exce</w:t>
      </w:r>
      <w:r>
        <w:rPr>
          <w:rFonts w:ascii="Times New Roman" w:hAnsi="Times New Roman"/>
          <w:noProof/>
          <w:sz w:val="24"/>
        </w:rPr>
        <w:t>lență” ORIZONT 2020 și care sunt eligibile pentru un grant, dar care nu sunt finanțate în cadrul ORIZONT 2020 din cauza constrângerilor bugetare. Investițiile sprijină aceste propuneri, adăugând finanțare privată din partea beneficiarilor. Sectoarele eligi</w:t>
      </w:r>
      <w:r>
        <w:rPr>
          <w:rFonts w:ascii="Times New Roman" w:hAnsi="Times New Roman"/>
          <w:noProof/>
          <w:sz w:val="24"/>
        </w:rPr>
        <w:t>bile pentru finanțare sunt: (i) comerțul, mediul și dezvoltarea durabilă; (ii) energie; (iii) tehnologia informației și comunicațiilor; (iv) sănătate și farmacie; (v) lanțul de transport și de aprovizionare; (vi) industria agroalimentară și alimentară; (vi</w:t>
      </w:r>
      <w:r>
        <w:rPr>
          <w:rFonts w:ascii="Times New Roman" w:hAnsi="Times New Roman"/>
          <w:noProof/>
          <w:sz w:val="24"/>
        </w:rPr>
        <w:t>i) materiale și construcții; și (viii) turismul, cultura și industriile creative.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Extroversion of the Research and Innovation Ecosystem of Greece (numărul de identificare al m</w:t>
      </w:r>
      <w:r>
        <w:rPr>
          <w:rFonts w:ascii="Times New Roman" w:hAnsi="Times New Roman"/>
          <w:noProof/>
          <w:sz w:val="24"/>
        </w:rPr>
        <w:t>ăsurii: 16621)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Reforma cuprinde înființarea unei organizații distincte, „ELEVATE Greece SA”, ca o continuare a dezvoltării platformei „ELEVATE Greece”, care funcționează în prezent în cadrul Secretariatului General pentru Cercetare și Inovare. Prin </w:t>
      </w:r>
      <w:r>
        <w:rPr>
          <w:rFonts w:ascii="Times New Roman" w:hAnsi="Times New Roman"/>
          <w:noProof/>
          <w:sz w:val="24"/>
        </w:rPr>
        <w:t xml:space="preserve">intermediul portalului său digital, elevate de Grecia le permite întreprinderilor nou-înființate naționale să se înregistreze și să obțină acreditarea guvernamentală ca „întreprinderi nou-înființate”, atât timp cât îndeplinesc două caracteristici de bază: </w:t>
      </w:r>
      <w:r>
        <w:rPr>
          <w:rFonts w:ascii="Times New Roman" w:hAnsi="Times New Roman"/>
          <w:noProof/>
          <w:sz w:val="24"/>
        </w:rPr>
        <w:t>(i) inovarea și (ii) scalabilitatea. Noua organizație furnizează întreprinderilor nou-înființate acreditate servicii de promovare la nivel mondial. Obiectivul este de a extinde aceste servicii la întregul ecosistem național de inovare, inclusiv centre de c</w:t>
      </w:r>
      <w:r>
        <w:rPr>
          <w:rFonts w:ascii="Times New Roman" w:hAnsi="Times New Roman"/>
          <w:noProof/>
          <w:sz w:val="24"/>
        </w:rPr>
        <w:t>ercetare, clustere de inovare, centre de competență și întreprinderi foarte inovatoare. Implementarea reformei trebuie finalizată până la 31 decembrie 2025.</w:t>
      </w:r>
    </w:p>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45"/>
          <w:headerReference w:type="default" r:id="rId246"/>
          <w:footerReference w:type="even" r:id="rId247"/>
          <w:footerReference w:type="default" r:id="rId248"/>
          <w:headerReference w:type="first" r:id="rId249"/>
          <w:footerReference w:type="first" r:id="rId250"/>
          <w:pgSz w:w="11907" w:h="16839"/>
          <w:pgMar w:top="1134" w:right="1417" w:bottom="1134" w:left="1417" w:header="709" w:footer="709" w:gutter="0"/>
          <w:cols w:space="720"/>
          <w:docGrid w:linePitch="360"/>
        </w:sectPr>
      </w:pPr>
    </w:p>
    <w:p w:rsidR="00780A28" w:rsidRDefault="001867D7">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P.2. </w:t>
      </w:r>
      <w:r>
        <w:rPr>
          <w:rFonts w:ascii="Times New Roman" w:hAnsi="Times New Roman"/>
          <w:b/>
          <w:noProof/>
          <w:sz w:val="24"/>
          <w:u w:val="single"/>
        </w:rPr>
        <w:tab/>
      </w:r>
      <w:r>
        <w:rPr>
          <w:rFonts w:ascii="Times New Roman" w:hAnsi="Times New Roman"/>
          <w:b/>
          <w:bCs/>
          <w:noProof/>
          <w:sz w:val="24"/>
          <w:u w:val="single"/>
        </w:rPr>
        <w:t xml:space="preserve">Jaloane, ținte, indicatori și </w:t>
      </w:r>
      <w:r>
        <w:rPr>
          <w:rFonts w:ascii="Times New Roman" w:hAnsi="Times New Roman"/>
          <w:b/>
          <w:bCs/>
          <w:noProof/>
          <w:sz w:val="24"/>
          <w:u w:val="single"/>
        </w:rPr>
        <w:t>calendarul de monitorizare și implementare aplicabile sprijinului financiar nerambursabil</w:t>
      </w:r>
    </w:p>
    <w:p w:rsidR="00780A28" w:rsidRDefault="00780A28">
      <w:pPr>
        <w:keepNext/>
        <w:keepLines/>
        <w:spacing w:before="40" w:after="0" w:line="240" w:lineRule="auto"/>
        <w:jc w:val="both"/>
        <w:outlineLvl w:val="4"/>
        <w:rPr>
          <w:rFonts w:ascii="Cambria" w:eastAsia="Times New Roman" w:hAnsi="Cambria"/>
          <w:noProof/>
          <w:color w:val="365F91"/>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23: Promovarea cercetării și a inovării</w:t>
      </w:r>
    </w:p>
    <w:p w:rsidR="00780A28" w:rsidRDefault="001867D7">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Creare — extindere — Modernizarea infrastructurilor centrelor de cercetare supravegheate de Secretariatul General pentr</w:t>
      </w:r>
      <w:r>
        <w:rPr>
          <w:rFonts w:ascii="Times New Roman" w:hAnsi="Times New Roman"/>
          <w:noProof/>
          <w:sz w:val="24"/>
        </w:rPr>
        <w:t>u Cercetare și Tehnologie (GSRT) (ID: 16624)</w:t>
      </w:r>
    </w:p>
    <w:p w:rsidR="00780A28" w:rsidRDefault="001867D7">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Basic &amp; Cercetare aplicată (ID: 16618)</w:t>
      </w:r>
    </w:p>
    <w:p w:rsidR="00780A28" w:rsidRDefault="001867D7">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TH 2 ORAX: Trellis Holistic &amp; Hybrid Operational Ruggedized Autonomous eXemplary system (ID: 16654)</w:t>
      </w:r>
    </w:p>
    <w:p w:rsidR="00780A28" w:rsidRDefault="001867D7">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Cercetare — Creare — Innovate (ID: 16971)</w:t>
      </w:r>
    </w:p>
    <w:p w:rsidR="00780A28" w:rsidRDefault="001867D7">
      <w:pPr>
        <w:numPr>
          <w:ilvl w:val="0"/>
          <w:numId w:val="33"/>
        </w:numPr>
        <w:spacing w:before="120" w:after="0" w:line="240" w:lineRule="auto"/>
        <w:jc w:val="both"/>
        <w:rPr>
          <w:rFonts w:ascii="Times New Roman" w:hAnsi="Times New Roman" w:cs="Times New Roman"/>
          <w:noProof/>
          <w:sz w:val="24"/>
        </w:rPr>
      </w:pPr>
      <w:r>
        <w:rPr>
          <w:rFonts w:ascii="Times New Roman" w:hAnsi="Times New Roman"/>
          <w:noProof/>
          <w:sz w:val="24"/>
        </w:rPr>
        <w:t>„Marca de excelență” Orizont 2</w:t>
      </w:r>
      <w:r>
        <w:rPr>
          <w:rFonts w:ascii="Times New Roman" w:hAnsi="Times New Roman"/>
          <w:noProof/>
          <w:sz w:val="24"/>
        </w:rPr>
        <w:t>020: finanțarea întreprinderilor inovatoare de vârf (ID: 16622)</w:t>
      </w:r>
    </w:p>
    <w:p w:rsidR="00780A28" w:rsidRDefault="001867D7">
      <w:pPr>
        <w:numPr>
          <w:ilvl w:val="0"/>
          <w:numId w:val="33"/>
        </w:numPr>
        <w:spacing w:before="120" w:after="120" w:line="240" w:lineRule="auto"/>
        <w:jc w:val="both"/>
        <w:rPr>
          <w:rFonts w:ascii="Times New Roman" w:hAnsi="Times New Roman" w:cs="Times New Roman"/>
          <w:noProof/>
          <w:sz w:val="24"/>
        </w:rPr>
      </w:pPr>
      <w:r>
        <w:rPr>
          <w:rFonts w:ascii="Times New Roman" w:hAnsi="Times New Roman"/>
          <w:noProof/>
          <w:sz w:val="24"/>
        </w:rPr>
        <w:t>Extroversion of the Research and Innovation Ecosystem of Greece (Exploatarea ecosistemului de cercetare și inovare din Grecia) (ID: 16621)</w:t>
      </w:r>
    </w:p>
    <w:tbl>
      <w:tblPr>
        <w:tblW w:w="15730" w:type="dxa"/>
        <w:tblInd w:w="113" w:type="dxa"/>
        <w:tblLayout w:type="fixed"/>
        <w:tblLook w:val="04A0" w:firstRow="1" w:lastRow="0" w:firstColumn="1" w:lastColumn="0" w:noHBand="0" w:noVBand="1"/>
      </w:tblPr>
      <w:tblGrid>
        <w:gridCol w:w="1027"/>
        <w:gridCol w:w="1488"/>
        <w:gridCol w:w="1159"/>
        <w:gridCol w:w="1056"/>
        <w:gridCol w:w="1717"/>
        <w:gridCol w:w="919"/>
        <w:gridCol w:w="993"/>
        <w:gridCol w:w="708"/>
        <w:gridCol w:w="851"/>
        <w:gridCol w:w="877"/>
        <w:gridCol w:w="4935"/>
      </w:tblGrid>
      <w:tr w:rsidR="00780A28">
        <w:trPr>
          <w:trHeight w:val="927"/>
          <w:tblHead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48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w:t>
            </w:r>
            <w:r>
              <w:rPr>
                <w:rFonts w:ascii="Times New Roman" w:hAnsi="Times New Roman"/>
                <w:b/>
                <w:bCs/>
                <w:noProof/>
                <w:sz w:val="18"/>
                <w:szCs w:val="18"/>
              </w:rPr>
              <w:t>e)</w:t>
            </w:r>
          </w:p>
        </w:tc>
        <w:tc>
          <w:tcPr>
            <w:tcW w:w="115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05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71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620"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728"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Calendar orientativ pentru atingerea jaloanelor/țintelor </w:t>
            </w:r>
          </w:p>
        </w:tc>
        <w:tc>
          <w:tcPr>
            <w:tcW w:w="493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Descrierea fiecărui jalon și a fiecărei ținte</w:t>
            </w:r>
          </w:p>
        </w:tc>
      </w:tr>
      <w:tr w:rsidR="00780A28">
        <w:trPr>
          <w:trHeight w:val="662"/>
          <w:tblHead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8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5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56"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1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1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Unitate de măsură</w:t>
            </w:r>
          </w:p>
        </w:tc>
        <w:tc>
          <w:tcPr>
            <w:tcW w:w="99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Valoare de referință </w:t>
            </w:r>
          </w:p>
        </w:tc>
        <w:tc>
          <w:tcPr>
            <w:tcW w:w="70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Obiectiv </w:t>
            </w:r>
          </w:p>
        </w:tc>
        <w:tc>
          <w:tcPr>
            <w:tcW w:w="85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 sfert</w:t>
            </w:r>
          </w:p>
        </w:tc>
        <w:tc>
          <w:tcPr>
            <w:tcW w:w="87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Anul</w:t>
            </w:r>
          </w:p>
        </w:tc>
        <w:tc>
          <w:tcPr>
            <w:tcW w:w="4935"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245</w:t>
            </w:r>
          </w:p>
        </w:tc>
        <w:tc>
          <w:tcPr>
            <w:tcW w:w="148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16 - 4.5. Promovarea cercetării și inovării — 16618_Basic &amp; Cercetarea aplicată</w:t>
            </w:r>
          </w:p>
        </w:tc>
        <w:tc>
          <w:tcPr>
            <w:tcW w:w="115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Legislație privind cercetarea de bază &amp; Aplicată</w:t>
            </w:r>
          </w:p>
        </w:tc>
        <w:tc>
          <w:tcPr>
            <w:tcW w:w="17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(acte primare și secundare de instituire a entităților juridice)</w:t>
            </w:r>
          </w:p>
        </w:tc>
        <w:tc>
          <w:tcPr>
            <w:tcW w:w="9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87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w:t>
            </w:r>
            <w:r>
              <w:rPr>
                <w:noProof/>
                <w:color w:val="006100"/>
                <w:sz w:val="18"/>
                <w:szCs w:val="18"/>
              </w:rPr>
              <w:t>22</w:t>
            </w:r>
          </w:p>
        </w:tc>
        <w:tc>
          <w:tcPr>
            <w:tcW w:w="49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unui cadru juridic revizuit pentru cercetarea de bază &amp; Aplicată și emiterea de acte secundare de instituire a entităților juridice.</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Cadrul juridic: a) redefinirea domeniilor de cercetare pentru finanțarea cererilor de propuneri în cadrul strategiei naționale actualizate de specializare inteligentă (RIS3); b) să instituie o nouă structură de guvernanță pentru a îmbunătăți gestionarea și</w:t>
            </w:r>
            <w:r>
              <w:rPr>
                <w:noProof/>
                <w:color w:val="006100"/>
                <w:sz w:val="18"/>
                <w:szCs w:val="18"/>
              </w:rPr>
              <w:t xml:space="preserve"> coordonarea acestor proiecte; și c) stabilirea statutului juridic al noilor entități de cercetare.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Domeniile de cercetare sunt redefinite în comun de Consiliul Național pentru Cercetare și Inovare (NCRI) și de Secretariatul General pentru Cercetare și </w:t>
            </w:r>
            <w:r>
              <w:rPr>
                <w:noProof/>
                <w:color w:val="006100"/>
                <w:sz w:val="18"/>
                <w:szCs w:val="18"/>
              </w:rPr>
              <w:t>Inovare din cadrul Ministerului Dezvoltării (GSRI).</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246</w:t>
            </w:r>
          </w:p>
        </w:tc>
        <w:tc>
          <w:tcPr>
            <w:tcW w:w="148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16 - 4.5. Promovarea cercetării și inovării — 16624_Creare — Extindere — Actualizarea infrastructurilor centrelor de cercetare supravegheate de Secretariatul General pentru Cercetare și Inovare (GSRI</w:t>
            </w:r>
            <w:r>
              <w:rPr>
                <w:noProof/>
                <w:color w:val="006100"/>
                <w:sz w:val="18"/>
                <w:szCs w:val="18"/>
              </w:rPr>
              <w:t>)</w:t>
            </w:r>
          </w:p>
        </w:tc>
        <w:tc>
          <w:tcPr>
            <w:tcW w:w="115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Cerere de propuneri pentru centre de cercetare</w:t>
            </w:r>
          </w:p>
        </w:tc>
        <w:tc>
          <w:tcPr>
            <w:tcW w:w="17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Lansarea cererii de propuneri și publicarea caietului de sarcini</w:t>
            </w:r>
          </w:p>
        </w:tc>
        <w:tc>
          <w:tcPr>
            <w:tcW w:w="9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87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9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Lansarea cererii de propuneri pentru crearea — extinderea — actualizarea infrastructurilor centrelor de cercetare, inclusiv </w:t>
            </w:r>
            <w:r>
              <w:rPr>
                <w:noProof/>
                <w:color w:val="006100"/>
                <w:sz w:val="18"/>
                <w:szCs w:val="18"/>
              </w:rPr>
              <w:t>publicarea caietelor de sarcini care garantează că cererile selectate respectă Orientările tehnice bazate pe principiul de „a nu aduce prejudicii semnificative” (2021/C58/01), prin utilizarea unei liste de excludere și a cerinței de conformitate cu legisla</w:t>
            </w:r>
            <w:r>
              <w:rPr>
                <w:noProof/>
                <w:color w:val="006100"/>
                <w:sz w:val="18"/>
                <w:szCs w:val="18"/>
              </w:rPr>
              <w:t>ț</w:t>
            </w:r>
            <w:r>
              <w:rPr>
                <w:noProof/>
                <w:color w:val="006100"/>
                <w:sz w:val="18"/>
                <w:szCs w:val="18"/>
              </w:rPr>
              <w:t>ia UE și națională relevantă în materie de mediu.</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247</w:t>
            </w:r>
          </w:p>
        </w:tc>
        <w:tc>
          <w:tcPr>
            <w:tcW w:w="148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16 - 4.5. Promovarea cercetării și inovării — 16624_Creare — Extindere — Actualizarea infrastructurilor centrelor de cercetare supravegheate de Secretariatul General pentru Cercetare și Inovare (GSRI)</w:t>
            </w:r>
          </w:p>
        </w:tc>
        <w:tc>
          <w:tcPr>
            <w:tcW w:w="115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contractelor pentru centrele de cercetare</w:t>
            </w:r>
          </w:p>
        </w:tc>
        <w:tc>
          <w:tcPr>
            <w:tcW w:w="17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9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87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9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Selectarea propunerilor și atribuirea contractelor pentru crearea de proiecte — extinderea — modernizarea infrastructurilor centrelor de cercetare </w:t>
            </w:r>
            <w:r>
              <w:rPr>
                <w:noProof/>
                <w:color w:val="006100"/>
                <w:sz w:val="18"/>
                <w:szCs w:val="18"/>
              </w:rPr>
              <w:t>supravegheate de Secretariatul General pentru Cercetare și Inovare (GSRI).</w:t>
            </w:r>
          </w:p>
        </w:tc>
      </w:tr>
      <w:tr w:rsidR="00780A28">
        <w:trPr>
          <w:trHeight w:val="309"/>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248</w:t>
            </w:r>
          </w:p>
        </w:tc>
        <w:tc>
          <w:tcPr>
            <w:tcW w:w="148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16 - 4.5. Promovarea cercetării și inovării — 16654_TH 2 ORAX: Trellis Holistic &amp; Hybrid Operational Ruggedized Autonomous eXemplary system</w:t>
            </w:r>
          </w:p>
        </w:tc>
        <w:tc>
          <w:tcPr>
            <w:tcW w:w="115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contractelor pentru</w:t>
            </w:r>
            <w:r>
              <w:rPr>
                <w:noProof/>
                <w:color w:val="006100"/>
                <w:sz w:val="18"/>
                <w:szCs w:val="18"/>
              </w:rPr>
              <w:t xml:space="preserve"> TH²ORAX</w:t>
            </w:r>
          </w:p>
        </w:tc>
        <w:tc>
          <w:tcPr>
            <w:tcW w:w="17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91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87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93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contractelor pentru proiectul TH²ORAX.</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Ministerul Dezvoltării și Investițiilor împreună cu Secretariatul General pentru Cercetare &amp; Inovare (GSRI) sunt responsabile de punerea în aplicare efectivă a procesului de evaluare. Contractul (contractele) se atribuie pe baza celui mai bun raport calita</w:t>
            </w:r>
            <w:r>
              <w:rPr>
                <w:noProof/>
                <w:color w:val="006100"/>
                <w:sz w:val="18"/>
                <w:szCs w:val="18"/>
              </w:rPr>
              <w:t xml:space="preserve">te-preț. </w:t>
            </w:r>
          </w:p>
        </w:tc>
      </w:tr>
      <w:tr w:rsidR="00780A28">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249</w:t>
            </w:r>
          </w:p>
        </w:tc>
        <w:tc>
          <w:tcPr>
            <w:tcW w:w="14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16 - 4.5. Promovarea cercetării și inovării — 16624_Creare — Extindere — Actualizarea infrastructurilor centrelor de cercetare supravegheate de Secretariatul General pentru Cercetare și Inovare (GSRI)</w:t>
            </w:r>
          </w:p>
        </w:tc>
        <w:tc>
          <w:tcPr>
            <w:tcW w:w="1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proiectelor privind </w:t>
            </w:r>
            <w:r>
              <w:rPr>
                <w:noProof/>
                <w:color w:val="006100"/>
                <w:sz w:val="18"/>
                <w:szCs w:val="18"/>
              </w:rPr>
              <w:t>centrele de cercetare</w:t>
            </w:r>
          </w:p>
        </w:tc>
        <w:tc>
          <w:tcPr>
            <w:tcW w:w="17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Secretariatului General pentru Cercetare &amp; Inovare (GSRI) care atestă că proiectele sunt finalizate</w:t>
            </w:r>
          </w:p>
        </w:tc>
        <w:tc>
          <w:tcPr>
            <w:tcW w:w="91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9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tuturor subproiectelor din cadrul Creării — Extindere — Actualizarea infrastructurilor centrelor de cercetare supravegheate de GSRI, și anume: Fundația pentru cercetare și tehnologie Hellas; Centrul de cercetare și inovare Athena; BSRC Flaming;</w:t>
            </w:r>
            <w:r>
              <w:rPr>
                <w:noProof/>
                <w:color w:val="006100"/>
                <w:sz w:val="18"/>
                <w:szCs w:val="18"/>
              </w:rPr>
              <w:t xml:space="preserve"> Centrul de cercetare și tehnologie Hellas; Fundația Națională Elenă; Academia Fundației de cercetare biomedicală din Atena; Observatorul național din Atena; Centrul Elen pentru Cercetare Marină; Institutul Pasteur din Grecia; Centrul Național de Cercetare</w:t>
            </w:r>
            <w:r>
              <w:rPr>
                <w:noProof/>
                <w:color w:val="006100"/>
                <w:sz w:val="18"/>
                <w:szCs w:val="18"/>
              </w:rPr>
              <w:t xml:space="preserve"> Socială; NOESIS — Centrul științific din Salonic &amp; Muzeul tehnologic; Comisia greacă pentru energie atomică Parcul științific al Patra; High Technology and Research Park in the Region of Epirus (Parcul de cercetare și tehnologie înaltă din regiunea Epir).</w:t>
            </w:r>
            <w:r>
              <w:rPr>
                <w:noProof/>
                <w:color w:val="006100"/>
                <w:sz w:val="18"/>
                <w:szCs w:val="18"/>
              </w:rPr>
              <w:t xml:space="preserve"> </w:t>
            </w:r>
          </w:p>
        </w:tc>
      </w:tr>
      <w:tr w:rsidR="00780A28">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250</w:t>
            </w:r>
          </w:p>
        </w:tc>
        <w:tc>
          <w:tcPr>
            <w:tcW w:w="14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16 - 4.5. Promovarea cercetării și inovării — 16618_Basic &amp; Cercetarea aplicată</w:t>
            </w:r>
          </w:p>
        </w:tc>
        <w:tc>
          <w:tcPr>
            <w:tcW w:w="1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proiectelor de cercetare de bază &amp; Aplicate</w:t>
            </w:r>
          </w:p>
        </w:tc>
        <w:tc>
          <w:tcPr>
            <w:tcW w:w="17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Secretariatului General pentru Cercetare &amp; Inovare (GSRI) care atestă că proiectele sunt </w:t>
            </w:r>
            <w:r>
              <w:rPr>
                <w:noProof/>
                <w:color w:val="006100"/>
                <w:sz w:val="18"/>
                <w:szCs w:val="18"/>
              </w:rPr>
              <w:t>finalizate</w:t>
            </w:r>
          </w:p>
        </w:tc>
        <w:tc>
          <w:tcPr>
            <w:tcW w:w="91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9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următoarelor subproiecte în cadrul măsurii de cercetare aplicată de bază: Finanțarea cercetării de bază; Proiecte de cercetare emblematice în sectoare interdisciplinare problematice; înființarea institutului C &amp; I aplicat </w:t>
            </w:r>
            <w:r>
              <w:rPr>
                <w:noProof/>
                <w:color w:val="006100"/>
                <w:sz w:val="18"/>
                <w:szCs w:val="18"/>
              </w:rPr>
              <w:t>privind inteligența artificială, prelucrarea datelor și dezvoltarea algoritmilor; furnizarea de tehnologii ale materialelor sustenabile, care pot fi comercializate pe piață; participarea la parteneriatele europene pentru calculul de înaltă performanță (Eur</w:t>
            </w:r>
            <w:r>
              <w:rPr>
                <w:noProof/>
                <w:color w:val="006100"/>
                <w:sz w:val="18"/>
                <w:szCs w:val="18"/>
              </w:rPr>
              <w:t>o-HPC) și la tehnologiile digitale esențiale; cercetarea aplicată pentru dezvoltarea dronelor (finanțare pentru centrul de cercetare și dezvoltare a sistemelor fără pilot); cercetare aplicată pentru medicina de precizie prin intermediul unei organizații no</w:t>
            </w:r>
            <w:r>
              <w:rPr>
                <w:noProof/>
                <w:color w:val="006100"/>
                <w:sz w:val="18"/>
                <w:szCs w:val="18"/>
              </w:rPr>
              <w:t>n-profit (ONP) de drept privat — „Hellenic Precision Medicine Network” (ΗPMN).</w:t>
            </w:r>
          </w:p>
        </w:tc>
      </w:tr>
      <w:tr w:rsidR="00780A28">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251</w:t>
            </w:r>
          </w:p>
        </w:tc>
        <w:tc>
          <w:tcPr>
            <w:tcW w:w="14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16 - 4.5. Promovarea cercetării și inovării — 16654_TH 2 ORAX: Trellis Holistic &amp; Hybrid Operational Ruggedized Autonomous eXemplary system</w:t>
            </w:r>
          </w:p>
        </w:tc>
        <w:tc>
          <w:tcPr>
            <w:tcW w:w="1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w:t>
            </w:r>
            <w:r>
              <w:rPr>
                <w:noProof/>
                <w:color w:val="006100"/>
                <w:sz w:val="18"/>
                <w:szCs w:val="18"/>
              </w:rPr>
              <w:t>TH²ORAX</w:t>
            </w:r>
          </w:p>
        </w:tc>
        <w:tc>
          <w:tcPr>
            <w:tcW w:w="17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Secretariatului General pentru Cercetare &amp; Inovarea (GSRI) care atestă finalizarea proiectului</w:t>
            </w:r>
          </w:p>
        </w:tc>
        <w:tc>
          <w:tcPr>
            <w:tcW w:w="91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9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TH²ORAX</w:t>
            </w:r>
          </w:p>
          <w:p w:rsidR="00780A28" w:rsidRDefault="001867D7">
            <w:pPr>
              <w:pBdr>
                <w:top w:val="nil"/>
                <w:left w:val="nil"/>
                <w:bottom w:val="nil"/>
                <w:right w:val="nil"/>
                <w:between w:val="nil"/>
              </w:pBdr>
              <w:spacing w:after="0" w:line="240" w:lineRule="auto"/>
              <w:rPr>
                <w:rFonts w:eastAsia="Times New Roman" w:cs="Calibri"/>
                <w:noProof/>
                <w:color w:val="006100"/>
                <w:sz w:val="18"/>
                <w:szCs w:val="18"/>
              </w:rPr>
            </w:pPr>
            <w:r>
              <w:rPr>
                <w:noProof/>
                <w:color w:val="006100"/>
                <w:sz w:val="18"/>
                <w:szCs w:val="18"/>
              </w:rPr>
              <w:t xml:space="preserve">Prin dezvoltarea unei platforme holistice care să asigure conștientizarea situației, capacitățile </w:t>
            </w:r>
            <w:r>
              <w:rPr>
                <w:noProof/>
                <w:color w:val="006100"/>
                <w:sz w:val="18"/>
                <w:szCs w:val="18"/>
              </w:rPr>
              <w:t>decizionale de consolidare a coordonării și sincronizării tuturor autorităților competente relevante, în timp real și pe o bază 24/7, pentru întregul teritoriu elen, la nivel interdisciplinar și interministerial, sunt finalizate, iar raportul de finalizare</w:t>
            </w:r>
            <w:r>
              <w:rPr>
                <w:noProof/>
                <w:color w:val="006100"/>
                <w:sz w:val="18"/>
                <w:szCs w:val="18"/>
              </w:rPr>
              <w:t xml:space="preserve"> aferent este emis de GSRI.</w:t>
            </w:r>
          </w:p>
        </w:tc>
      </w:tr>
      <w:tr w:rsidR="00780A28">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252</w:t>
            </w:r>
          </w:p>
        </w:tc>
        <w:tc>
          <w:tcPr>
            <w:tcW w:w="14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16 - 4.5. Promovarea cercetării și inovării – 16971_Cercetare – Creare – Inovare</w:t>
            </w:r>
          </w:p>
        </w:tc>
        <w:tc>
          <w:tcPr>
            <w:tcW w:w="1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proiectelor de Cercetare – Creare – Inovare</w:t>
            </w:r>
          </w:p>
        </w:tc>
        <w:tc>
          <w:tcPr>
            <w:tcW w:w="17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Secretariatului General pentru Cercetare &amp; Inovare (GSRI) care atestă </w:t>
            </w:r>
            <w:r>
              <w:rPr>
                <w:noProof/>
                <w:color w:val="006100"/>
                <w:sz w:val="18"/>
                <w:szCs w:val="18"/>
              </w:rPr>
              <w:t>că proiectele sunt finalizate</w:t>
            </w:r>
          </w:p>
        </w:tc>
        <w:tc>
          <w:tcPr>
            <w:tcW w:w="91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9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tuturor intervențiilor eligibile din cadrul măsurii „Crearea de cercetare” în următoarele categorii: Cercetare și dezvoltare pentru întreprinderi; parteneriate între întreprinderi și organizații de </w:t>
            </w:r>
            <w:r>
              <w:rPr>
                <w:noProof/>
                <w:color w:val="006100"/>
                <w:sz w:val="18"/>
                <w:szCs w:val="18"/>
              </w:rPr>
              <w:t>cercetare; exploatarea rezultatelor cercetării; și „marca de excelență” pentru propuneri excelente, dar nefinanțate din cererea de propuneri relevantă din cadrul ORIZONT 2020.</w:t>
            </w:r>
          </w:p>
        </w:tc>
      </w:tr>
      <w:tr w:rsidR="00780A28">
        <w:trPr>
          <w:trHeight w:val="309"/>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253</w:t>
            </w:r>
          </w:p>
        </w:tc>
        <w:tc>
          <w:tcPr>
            <w:tcW w:w="148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16 - 4.5. Promovarea cercetării și inovării — 16621_Extroversiunea </w:t>
            </w:r>
            <w:r>
              <w:rPr>
                <w:noProof/>
                <w:color w:val="006100"/>
                <w:sz w:val="18"/>
                <w:szCs w:val="18"/>
              </w:rPr>
              <w:t>ecosistemului de cercetare și inovare din Grecia</w:t>
            </w:r>
          </w:p>
        </w:tc>
        <w:tc>
          <w:tcPr>
            <w:tcW w:w="11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05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extroversiunii proiectelor de ecosistem C &amp; I</w:t>
            </w:r>
          </w:p>
        </w:tc>
        <w:tc>
          <w:tcPr>
            <w:tcW w:w="17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Secretariatului General pentru Cercetare &amp; Inovare (GSRI) care atestă că proiectele sunt finalizate</w:t>
            </w:r>
          </w:p>
        </w:tc>
        <w:tc>
          <w:tcPr>
            <w:tcW w:w="91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0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7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93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w:t>
            </w:r>
            <w:r>
              <w:rPr>
                <w:noProof/>
                <w:color w:val="006100"/>
                <w:sz w:val="18"/>
                <w:szCs w:val="18"/>
              </w:rPr>
              <w:t>următoarelor subproiecte ale extroversiunii măsurii privind ecosistemul de cercetare și inovare: promovarea și publicitatea globală a ecosistemului național de inovare &amp; nou-înființate; dezvoltarea, întreținerea și sprijinirea procesului de evaluare a soft</w:t>
            </w:r>
            <w:r>
              <w:rPr>
                <w:noProof/>
                <w:color w:val="006100"/>
                <w:sz w:val="18"/>
                <w:szCs w:val="18"/>
              </w:rPr>
              <w:t>ware-ului.</w:t>
            </w:r>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51"/>
          <w:headerReference w:type="default" r:id="rId252"/>
          <w:footerReference w:type="even" r:id="rId253"/>
          <w:footerReference w:type="default" r:id="rId254"/>
          <w:headerReference w:type="first" r:id="rId255"/>
          <w:footerReference w:type="first" r:id="rId256"/>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Q. COMPONENTA 4.6: MODERNIZAREA ȘI ÎMBUNĂTĂȚIREA REZILIENȚEI SECTOARELOR ECONOMICE CHEIE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componentă a planului de redresare și reziliență al Greciei cuprinde reforme specifice</w:t>
      </w:r>
      <w:r>
        <w:rPr>
          <w:rFonts w:ascii="Times New Roman" w:hAnsi="Times New Roman"/>
          <w:noProof/>
          <w:sz w:val="24"/>
        </w:rPr>
        <w:t xml:space="preserve"> și investiții menite să îmbunătățească competitivitatea sectoarelor-cheie ale economiei Greciei, și anume turismul și cultura, agricultura, industria prelucrătoare și acvacultura. Componenta include, de asemenea, investiții în infrastructura de transport </w:t>
      </w:r>
      <w:r>
        <w:rPr>
          <w:rFonts w:ascii="Times New Roman" w:hAnsi="Times New Roman"/>
          <w:noProof/>
          <w:sz w:val="24"/>
        </w:rPr>
        <w:t>care vizează îmbunătățirea conectivității și a siguranței rutiere. Turismul este sprijinit prin investiții în turismul tematic, în vederea explorării unor noi piețe turistice. Componenta include, de asemenea, investiții în cultură pentru a îmbunătăți compe</w:t>
      </w:r>
      <w:r>
        <w:rPr>
          <w:rFonts w:ascii="Times New Roman" w:hAnsi="Times New Roman"/>
          <w:noProof/>
          <w:sz w:val="24"/>
        </w:rPr>
        <w:t>titivitatea și reziliența sectorului și pentru a exploata mai bine legăturile acestuia cu turismul. Investițiile în agricultură sporesc eficiența metodelor de producție, promovează organizațiile și cooperativele de producători și încurajează reorientarea c</w:t>
      </w:r>
      <w:r>
        <w:rPr>
          <w:rFonts w:ascii="Times New Roman" w:hAnsi="Times New Roman"/>
          <w:noProof/>
          <w:sz w:val="24"/>
        </w:rPr>
        <w:t>ătre produse cu o valoare adăugată mai mare. Componenta include, de asemenea, o reformă aprofundată a sectorului feroviar pentru a-l face mai eficient, precum și investiții într-o rețea feroviară modernă și competitivă. Aceste investiții sprijină buna func</w:t>
      </w:r>
      <w:r>
        <w:rPr>
          <w:rFonts w:ascii="Times New Roman" w:hAnsi="Times New Roman"/>
          <w:noProof/>
          <w:sz w:val="24"/>
        </w:rPr>
        <w:t>ț</w:t>
      </w:r>
      <w:r>
        <w:rPr>
          <w:rFonts w:ascii="Times New Roman" w:hAnsi="Times New Roman"/>
          <w:noProof/>
          <w:sz w:val="24"/>
        </w:rPr>
        <w:t>ionare a pieței interne și dezvoltarea unui sistem de transport durabil. Componenta sprijină abordarea recomandărilor specifice fiecărei țări privind investițiile publice și private (recomandarea specifică fiecărei țări 2 2019 și recomandarea specifică fi</w:t>
      </w:r>
      <w:r>
        <w:rPr>
          <w:rFonts w:ascii="Times New Roman" w:hAnsi="Times New Roman"/>
          <w:noProof/>
          <w:sz w:val="24"/>
        </w:rPr>
        <w:t>ecărei țări 3 2020). Este de așteptat ca nicio măsură din cadrul acestei componente să nu afecteze în mod semnificativ obiectivele de mediu în sensul articolului 17 din Regulamentul (UE) 2020/852, ținând seama de descrierea măsurilor și a măsurilor de aten</w:t>
      </w:r>
      <w:r>
        <w:rPr>
          <w:rFonts w:ascii="Times New Roman" w:hAnsi="Times New Roman"/>
          <w:noProof/>
          <w:sz w:val="24"/>
        </w:rPr>
        <w:t>uare stabilite în planul de redresare și reziliență în conformitate cu Orientările tehnice bazate pe principiul de „a nu aduce prejudicii semnificative” (2021/C58/01).</w:t>
      </w:r>
    </w:p>
    <w:p w:rsidR="00780A28" w:rsidRDefault="001867D7">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Q.1. </w:t>
      </w:r>
      <w:r>
        <w:rPr>
          <w:rFonts w:ascii="Times New Roman" w:hAnsi="Times New Roman"/>
          <w:b/>
          <w:bCs/>
          <w:noProof/>
          <w:sz w:val="24"/>
          <w:u w:val="single"/>
        </w:rPr>
        <w:tab/>
        <w:t>Descrierea reformelor și a investițiilor pentru care se prevede acordarea sprijinu</w:t>
      </w:r>
      <w:r>
        <w:rPr>
          <w:rFonts w:ascii="Times New Roman" w:hAnsi="Times New Roman"/>
          <w:b/>
          <w:bCs/>
          <w:noProof/>
          <w:sz w:val="24"/>
          <w:u w:val="single"/>
        </w:rPr>
        <w:t>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Investiția: </w:t>
      </w:r>
      <w:r>
        <w:rPr>
          <w:rFonts w:ascii="Times New Roman" w:hAnsi="Times New Roman"/>
          <w:noProof/>
          <w:sz w:val="24"/>
        </w:rPr>
        <w:t>Modernizarea siguranței rutiere (numărul de identificare al măsurii:16631)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constă în îmbunătățirea siguranței rețelelor rutiere din întreaga țară, în vederea reducerii numărului de accidente rutiere care </w:t>
      </w:r>
      <w:r>
        <w:rPr>
          <w:rFonts w:ascii="Times New Roman" w:hAnsi="Times New Roman"/>
          <w:noProof/>
          <w:sz w:val="24"/>
        </w:rPr>
        <w:t>implică intervenții în peste 7 000 de locații periculoase pe o rază de 2 500 km de rețea. Se preconizează că această măsură nu aduce prejudicii semnificative obiectivelor de mediu în sensul articolului 17 din Regulamentul (UE) 2020/852, ținând seama de des</w:t>
      </w:r>
      <w:r>
        <w:rPr>
          <w:rFonts w:ascii="Times New Roman" w:hAnsi="Times New Roman"/>
          <w:noProof/>
          <w:sz w:val="24"/>
        </w:rPr>
        <w:t xml:space="preserve">crierea măsurii și de măsurile de atenuare stabilite în planul de redresare și reziliență, în conformitate cu Orientările tehnice bazate pe principiul de „a nu aduce prejudicii semnificative” (2021/C58/01). În special, măsura face obiectul unei evaluări a </w:t>
      </w:r>
      <w:r>
        <w:rPr>
          <w:rFonts w:ascii="Times New Roman" w:hAnsi="Times New Roman"/>
          <w:noProof/>
          <w:sz w:val="24"/>
        </w:rPr>
        <w:t>impactului asupra mediului (EIM) în temeiul Directivei 2011/92/UE, pentru a se asigura că respectarea principiului de a nu prejudicia în mod semnificativ este integrată în proiect și respectată cu strictețe în etapele de construcție, exploatare și dezafect</w:t>
      </w:r>
      <w:r>
        <w:rPr>
          <w:rFonts w:ascii="Times New Roman" w:hAnsi="Times New Roman"/>
          <w:noProof/>
          <w:sz w:val="24"/>
        </w:rPr>
        <w:t>are a infrastructurii.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Autostrada E-65 a Greciei Centrale: Secțiunea Trikala- Egnatia (numărul de identificare al măsurii:16628)</w:t>
      </w:r>
    </w:p>
    <w:p w:rsidR="00780A28" w:rsidRDefault="001867D7">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Această investiție cuprinde construcția com</w:t>
      </w:r>
      <w:r>
        <w:rPr>
          <w:rFonts w:ascii="Times New Roman" w:hAnsi="Times New Roman"/>
          <w:noProof/>
          <w:sz w:val="24"/>
        </w:rPr>
        <w:t>pletă (drumul principal, drumurile de serviciu/drumurile de legătură și lucrările suplimentare) cu o lungime totală de 70 km a tronsonului de nord al autostrăzii E65, în special tronsonul Trikala — Egnatia. Autostrada, care îmbunătățește conectivitatea din</w:t>
      </w:r>
      <w:r>
        <w:rPr>
          <w:rFonts w:ascii="Times New Roman" w:hAnsi="Times New Roman"/>
          <w:noProof/>
          <w:sz w:val="24"/>
        </w:rPr>
        <w:t>tre sudul Greciei, Tesalia și Macedonia de Vest, pe de o parte, și Balcanii de Vest și restul Europei (prin portul Igoumenitsa), pe de altă parte, face parte din rețeaua transeuropeană de transport (TEN-T). Se preconizează că această măsură nu aduce prejud</w:t>
      </w:r>
      <w:r>
        <w:rPr>
          <w:rFonts w:ascii="Times New Roman" w:hAnsi="Times New Roman"/>
          <w:noProof/>
          <w:sz w:val="24"/>
        </w:rPr>
        <w:t>icii semnificative obiectivelor de mediu în sensul articolului 17 din Regulamentul (UE) 2020/852, ținând seama de descrierea măsurii și de măsurile de atenuare stabilite în planul de redresare și reziliență, în conformitate cu Orientările tehnice bazate pe</w:t>
      </w:r>
      <w:r>
        <w:rPr>
          <w:rFonts w:ascii="Times New Roman" w:hAnsi="Times New Roman"/>
          <w:noProof/>
          <w:sz w:val="24"/>
        </w:rPr>
        <w:t xml:space="preserve"> principiul de „a nu aduce prejudicii semnificative” (2021/C58/01). În special, măsura face obiectul unei evaluări a impactului asupra mediului (EIM) în temeiul Directivei 2011/92/UE, pentru a se asigura că respectarea principiului de a nu prejudicia în mo</w:t>
      </w:r>
      <w:r>
        <w:rPr>
          <w:rFonts w:ascii="Times New Roman" w:hAnsi="Times New Roman"/>
          <w:noProof/>
          <w:sz w:val="24"/>
        </w:rPr>
        <w:t>d semnificativ este integrată în proiect și respectată cu strictețe în etapele de construcție, exploatare și dezafectare a infrastructurii. Implementarea investiției trebuie finalizată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Investiția: </w:t>
      </w:r>
      <w:r>
        <w:rPr>
          <w:rFonts w:ascii="Times New Roman" w:hAnsi="Times New Roman"/>
          <w:noProof/>
          <w:sz w:val="24"/>
        </w:rPr>
        <w:t xml:space="preserve">Autostrada din nordul insulei Creta </w:t>
      </w:r>
      <w:r>
        <w:rPr>
          <w:rFonts w:ascii="Times New Roman" w:hAnsi="Times New Roman"/>
          <w:noProof/>
          <w:sz w:val="24"/>
        </w:rPr>
        <w:t>(Β.Ο.Α.Κ.) (numărul de identificare al măsurii:16630)</w:t>
      </w:r>
    </w:p>
    <w:p w:rsidR="00780A28" w:rsidRDefault="001867D7">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Investiția se referă la construirea autostrăzii din nordul insulei Creta (BOAK), care va conecta cele patru orașe mari din Creta (Chania, Rethymnon, Heraklion și Agios Nikolaos) și va face parte din reț</w:t>
      </w:r>
      <w:r>
        <w:rPr>
          <w:rFonts w:ascii="Times New Roman" w:hAnsi="Times New Roman"/>
          <w:noProof/>
          <w:sz w:val="24"/>
        </w:rPr>
        <w:t>eaua transeuropeană de transport (TEN-T). Investiția constă în trei subproiecte. Subproiectul 1 cuprinde segmentul cuprins între Chania și Heraklion și este o autostradă cu taxă de aproximativ 163 km, care va fi construită și exploatată în temeiul unui con</w:t>
      </w:r>
      <w:r>
        <w:rPr>
          <w:rFonts w:ascii="Times New Roman" w:hAnsi="Times New Roman"/>
          <w:noProof/>
          <w:sz w:val="24"/>
        </w:rPr>
        <w:t xml:space="preserve">tract de concesiune. Această măsură va finanța o serie de lucrări specifice predefinite, cum ar fi șoselele ocolitoare din Chania, Heraklion și Rethymnon, poduri, interacțiuni și lucrări subterane. Subproiectul 2 cuprinde segmentul Hersonissos-Neapoli, cu </w:t>
      </w:r>
      <w:r>
        <w:rPr>
          <w:rFonts w:ascii="Times New Roman" w:hAnsi="Times New Roman"/>
          <w:noProof/>
          <w:sz w:val="24"/>
        </w:rPr>
        <w:t>o lungime de aproximativ 22,5 km, care va fi construit în cadrul unui acord de parteneriat public-privat, iar subproiectul 3 cuprinde segmentul Neapolis — Agios Nikolaos, cu o lungime de aproximativ 14 km, care va fi construit ca proiect de lucrări publice</w:t>
      </w:r>
      <w:r>
        <w:rPr>
          <w:rFonts w:ascii="Times New Roman" w:hAnsi="Times New Roman"/>
          <w:noProof/>
          <w:sz w:val="24"/>
        </w:rPr>
        <w:t>. Autostrada vizează îmbunătățirea accesibilității între principalele orașe din Creta și toate porturile și aeroporturile importante ale insulei, reducerea timpului de călătorie, creșterea nivelului serviciilor și al siguranței rutiere și consolidarea acti</w:t>
      </w:r>
      <w:r>
        <w:rPr>
          <w:rFonts w:ascii="Times New Roman" w:hAnsi="Times New Roman"/>
          <w:noProof/>
          <w:sz w:val="24"/>
        </w:rPr>
        <w:t>vităților de transport regional, atât pentru traficul de călători, cât și pentru traficul de mărfuri. Întreaga autostradă va fi taxată. Veniturile din taxele de trecere aferente părții concesionare vor fi colectate și utilizate de concesionar pentru a fina</w:t>
      </w:r>
      <w:r>
        <w:rPr>
          <w:rFonts w:ascii="Times New Roman" w:hAnsi="Times New Roman"/>
          <w:noProof/>
          <w:sz w:val="24"/>
        </w:rPr>
        <w:t>nța proiectul, în timp ce taxele de trecere prevăzute în acordul PPP împreună cu secțiunea lucrări publice vor fi colectate și utilizate de către stat. Se preconizează că această măsură nu aduce prejudicii semnificative obiectivelor de mediu în sensul arti</w:t>
      </w:r>
      <w:r>
        <w:rPr>
          <w:rFonts w:ascii="Times New Roman" w:hAnsi="Times New Roman"/>
          <w:noProof/>
          <w:sz w:val="24"/>
        </w:rPr>
        <w:t>colului 17 din Regulamentul (UE) 2020/852, ținând seama de descrierea măsurii și de măsurile de atenuare stabilite în planul de redresare și reziliență, în conformitate cu Orientările tehnice bazate pe principiul de „a nu aduce prejudicii semnificative” (2</w:t>
      </w:r>
      <w:r>
        <w:rPr>
          <w:rFonts w:ascii="Times New Roman" w:hAnsi="Times New Roman"/>
          <w:noProof/>
          <w:sz w:val="24"/>
        </w:rPr>
        <w:t xml:space="preserve">021/C58/01). În special, măsura face obiectul unei evaluări a impactului asupra mediului (EIM) în temeiul Directivei 2011/92/UE, pentru a se asigura că respectarea principiului de a nu prejudicia în mod semnificativ este integrată în proiect și respectată </w:t>
      </w:r>
      <w:r>
        <w:rPr>
          <w:rFonts w:ascii="Times New Roman" w:hAnsi="Times New Roman"/>
          <w:noProof/>
          <w:sz w:val="24"/>
        </w:rPr>
        <w:t>cu strictețe în etapele de construcție, exploatare și dezafectare a infrastructurii.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Investiția: </w:t>
      </w:r>
      <w:r>
        <w:rPr>
          <w:rFonts w:ascii="Times New Roman" w:hAnsi="Times New Roman"/>
          <w:noProof/>
          <w:sz w:val="24"/>
        </w:rPr>
        <w:t>Infrastructură inteligentă cu accent pe mediu și cultură (numărul de identificare al mă</w:t>
      </w:r>
      <w:r>
        <w:rPr>
          <w:rFonts w:ascii="Times New Roman" w:hAnsi="Times New Roman"/>
          <w:noProof/>
          <w:sz w:val="24"/>
        </w:rPr>
        <w:t>surii:16960)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cuprinde următoarele proiecte digitale în domeniul mediului și al culturii: (1) instituirea unui sistem informatic pentru delimitarea cursurilor de apă pentru a contribui la protecția naturii și a biodiversității, (2) crearea unei b</w:t>
      </w:r>
      <w:r>
        <w:rPr>
          <w:rFonts w:ascii="Times New Roman" w:hAnsi="Times New Roman"/>
          <w:noProof/>
          <w:sz w:val="24"/>
        </w:rPr>
        <w:t>ănci digitale pentru tranzacțiile în funcție de raportul dintre parcele construite, (3) dezvoltarea unei hărți digitale unice, (4) instituirea unui sistem central de măsurare și monitorizare a poluanților atmosferici și a poluării marine pentru a contribui</w:t>
      </w:r>
      <w:r>
        <w:rPr>
          <w:rFonts w:ascii="Times New Roman" w:hAnsi="Times New Roman"/>
          <w:noProof/>
          <w:sz w:val="24"/>
        </w:rPr>
        <w:t xml:space="preserve"> la îmbunătățirea calității aerului și (5) crearea de servicii digitale interactive și producția de conținut digital pentru promovarea expozițiilor culturale cu acuitate și realitate virtuală pentru muzee. Implementarea investiției trebuie finalizată până </w:t>
      </w:r>
      <w:r>
        <w:rPr>
          <w:rFonts w:ascii="Times New Roman" w:hAnsi="Times New Roman"/>
          <w:noProof/>
          <w:sz w:val="24"/>
        </w:rPr>
        <w:t>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Intervenții pentru modernizarea și reamenajarea sistemului și a infrastructurii rețelei feroviare elene (numărul de identificare al măsurii:16954)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intervenții pentru modernizarea și asigurarea funcțion</w:t>
      </w:r>
      <w:r>
        <w:rPr>
          <w:rFonts w:ascii="Times New Roman" w:hAnsi="Times New Roman"/>
          <w:noProof/>
          <w:sz w:val="24"/>
        </w:rPr>
        <w:t>ării fără probleme și în siguranță a sistemului de rețele feroviare din Grecia, cum ar fi lucrări de modernizare a infrastructurii și suprastructurii feroviare existente, sisteme electromecanice, semnalizare, telecomunicații, electrificare și alte activită</w:t>
      </w:r>
      <w:r>
        <w:rPr>
          <w:rFonts w:ascii="Times New Roman" w:hAnsi="Times New Roman"/>
          <w:noProof/>
          <w:sz w:val="24"/>
        </w:rPr>
        <w:t>ț</w:t>
      </w:r>
      <w:r>
        <w:rPr>
          <w:rFonts w:ascii="Times New Roman" w:hAnsi="Times New Roman"/>
          <w:noProof/>
          <w:sz w:val="24"/>
        </w:rPr>
        <w:t>i. Investiția este împărțită în trei subproiecte:</w:t>
      </w:r>
    </w:p>
    <w:p w:rsidR="00780A28" w:rsidRDefault="001867D7">
      <w:pPr>
        <w:numPr>
          <w:ilvl w:val="0"/>
          <w:numId w:val="63"/>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Sucursala principală a rețelei (Grecia Centrală Pireu — Atena — Salonic — frontierele nordice)</w:t>
      </w:r>
    </w:p>
    <w:p w:rsidR="00780A28" w:rsidRDefault="001867D7">
      <w:pPr>
        <w:numPr>
          <w:ilvl w:val="0"/>
          <w:numId w:val="63"/>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Ramura de rețea Macedonia — Tracia (nordul Greciei)</w:t>
      </w:r>
    </w:p>
    <w:p w:rsidR="00780A28" w:rsidRDefault="001867D7">
      <w:pPr>
        <w:numPr>
          <w:ilvl w:val="0"/>
          <w:numId w:val="63"/>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Sucursala rețelei Atena-Kiato (Attica și Peloponez)</w:t>
      </w:r>
    </w:p>
    <w:p w:rsidR="00780A28" w:rsidRDefault="001867D7">
      <w:pPr>
        <w:spacing w:before="120" w:after="120" w:line="240" w:lineRule="auto"/>
        <w:jc w:val="both"/>
        <w:rPr>
          <w:rFonts w:ascii="Times New Roman" w:hAnsi="Times New Roman" w:cs="Times New Roman"/>
          <w:b/>
          <w:bCs/>
          <w:noProof/>
          <w:sz w:val="24"/>
        </w:rPr>
      </w:pPr>
      <w:r>
        <w:rPr>
          <w:rFonts w:ascii="Times New Roman" w:hAnsi="Times New Roman"/>
          <w:noProof/>
          <w:sz w:val="24"/>
        </w:rPr>
        <w:t xml:space="preserve">Toate </w:t>
      </w:r>
      <w:r>
        <w:rPr>
          <w:rFonts w:ascii="Times New Roman" w:hAnsi="Times New Roman"/>
          <w:noProof/>
          <w:sz w:val="24"/>
        </w:rPr>
        <w:t>secțiunile care au primit finanțare din partea fondurilor structurale și de investiții europene și a Mecanismului pentru interconectarea Europei sunt excluse din domeniul de aplicare al acestor intervenții. Se preconizează că această măsură nu aduce prejud</w:t>
      </w:r>
      <w:r>
        <w:rPr>
          <w:rFonts w:ascii="Times New Roman" w:hAnsi="Times New Roman"/>
          <w:noProof/>
          <w:sz w:val="24"/>
        </w:rPr>
        <w:t>icii semnificative obiectivelor de mediu în sensul articolului 17 din Regulamentul (UE) 2020/852, ținând seama de descrierea măsurii și de măsurile de atenuare stabilite în planul de redresare și reziliență, în conformitate cu Orientările tehnice bazate pe</w:t>
      </w:r>
      <w:r>
        <w:rPr>
          <w:rFonts w:ascii="Times New Roman" w:hAnsi="Times New Roman"/>
          <w:noProof/>
          <w:sz w:val="24"/>
        </w:rPr>
        <w:t xml:space="preserve"> principiul de „a nu aduce prejudicii semnificative” (2021/C58/01). În special, măsura face obiectul unei evaluări a impactului asupra mediului (EIM) în temeiul Directivei 2011/92/UE, pentru a se asigura că respectarea principiului de a nu prejudicia în mo</w:t>
      </w:r>
      <w:r>
        <w:rPr>
          <w:rFonts w:ascii="Times New Roman" w:hAnsi="Times New Roman"/>
          <w:noProof/>
          <w:sz w:val="24"/>
        </w:rPr>
        <w:t>d semnificativ este integrată în proiect și respectată cu strictețe în etapele de construcție, exploatare și dezafectare a infrastructurii.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Modernizarea căii ferate suburba</w:t>
      </w:r>
      <w:r>
        <w:rPr>
          <w:rFonts w:ascii="Times New Roman" w:hAnsi="Times New Roman"/>
          <w:noProof/>
          <w:sz w:val="24"/>
        </w:rPr>
        <w:t>ne din Attica de Vest (numărul de identificare al măsurii:16892)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investiție implică construirea unei noi rampe de cale ferată Suburban de 36 km la vest de Atena, de la Ano Liossia la Megara. Extinderea căii ferate contribuie la coeziunea economică,</w:t>
      </w:r>
      <w:r>
        <w:rPr>
          <w:rFonts w:ascii="Times New Roman" w:hAnsi="Times New Roman"/>
          <w:noProof/>
          <w:sz w:val="24"/>
        </w:rPr>
        <w:t xml:space="preserve"> socială și teritorială, promovând conectivitatea într-o zonă în care sectorul logistic are un potențial semnificativ. Se preconizează că această măsură nu aduce prejudicii semnificative obiectivelor de mediu în sensul articolului 17 din Regulamentul (UE) </w:t>
      </w:r>
      <w:r>
        <w:rPr>
          <w:rFonts w:ascii="Times New Roman" w:hAnsi="Times New Roman"/>
          <w:noProof/>
          <w:sz w:val="24"/>
        </w:rPr>
        <w:t>2020/852, ținând seama de descrierea măsurii și de măsurile de atenuare stabilite în planul de redresare și reziliență, în conformitate cu Orientările tehnice bazate pe principiul de „a nu aduce prejudicii semnificative” (2021/C58/01). În special, măsura f</w:t>
      </w:r>
      <w:r>
        <w:rPr>
          <w:rFonts w:ascii="Times New Roman" w:hAnsi="Times New Roman"/>
          <w:noProof/>
          <w:sz w:val="24"/>
        </w:rPr>
        <w:t>ace obiectul unei evaluări a impactului asupra mediului (EIM) în temeiul Directivei 2011/92/UE, pentru a se asigura că respectarea principiului de a nu prejudicia în mod semnificativ este integrată în proiect și respectată cu strictețe în etapele de constr</w:t>
      </w:r>
      <w:r>
        <w:rPr>
          <w:rFonts w:ascii="Times New Roman" w:hAnsi="Times New Roman"/>
          <w:noProof/>
          <w:sz w:val="24"/>
        </w:rPr>
        <w:t>ucție, exploatare și dezafectare a infrastructurii.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Punerea în aplicare a lucrărilor de remediere a conformității efectuate de AESA (numărul de identificare al măsurii:1683</w:t>
      </w:r>
      <w:r>
        <w:rPr>
          <w:rFonts w:ascii="Times New Roman" w:hAnsi="Times New Roman"/>
          <w:noProof/>
          <w:sz w:val="24"/>
        </w:rPr>
        <w:t>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investiție cuprinde modernizarea a 13 aeroporturi regionale pentru a remedia abaterile și/sau neconformitatea în temeiul noilor specificații de certificare ale Agenției Europene de Siguranță a Aviației (AESA), care constituie o obligație contrac</w:t>
      </w:r>
      <w:r>
        <w:rPr>
          <w:rFonts w:ascii="Times New Roman" w:hAnsi="Times New Roman"/>
          <w:noProof/>
          <w:sz w:val="24"/>
        </w:rPr>
        <w:t>tuală a statului. Investiția trebuie să asigure conformitatea deplină a acestor aeroporturi cu Regulamentul (UE) 2018/1139 al Parlamentului European și al Consiliului din 4 iulie 2018 privind normele comune în domeniul aviației civile și de înființare a Ag</w:t>
      </w:r>
      <w:r>
        <w:rPr>
          <w:rFonts w:ascii="Times New Roman" w:hAnsi="Times New Roman"/>
          <w:noProof/>
          <w:sz w:val="24"/>
        </w:rPr>
        <w:t>enției Uniunii Europene pentru Siguranța Aviației. Se preconizează că această măsură nu aduce prejudicii semnificative obiectivelor de mediu în sensul articolului 17 din Regulamentul (UE) 2020/852, ținând seama de descrierea măsurii și de măsurile de atenu</w:t>
      </w:r>
      <w:r>
        <w:rPr>
          <w:rFonts w:ascii="Times New Roman" w:hAnsi="Times New Roman"/>
          <w:noProof/>
          <w:sz w:val="24"/>
        </w:rPr>
        <w:t xml:space="preserve">are stabilite în planul de redresare și reziliență, în conformitate cu Orientările tehnice bazate pe principiul de „a nu aduce prejudicii semnificative” (2021/C58/01). În special, măsura impune operatorilor economici care efectuează lucrări de construcții </w:t>
      </w:r>
      <w:r>
        <w:rPr>
          <w:rFonts w:ascii="Times New Roman" w:hAnsi="Times New Roman"/>
          <w:noProof/>
          <w:sz w:val="24"/>
        </w:rPr>
        <w:t>să se asigure că cel puțin 70 % (în greutate) din deșeurile nepericuloase provenite din activități de construcție și demolări [cu excepția materialelor geologice naturale menționate în categoria 17 05 04 din Lista europeană a deșeurilor stabilită prin Deci</w:t>
      </w:r>
      <w:r>
        <w:rPr>
          <w:rFonts w:ascii="Times New Roman" w:hAnsi="Times New Roman"/>
          <w:noProof/>
          <w:sz w:val="24"/>
        </w:rPr>
        <w:t xml:space="preserve">zia 2000/532/CE din 3 mai 2000 de înlocuire a Deciziei 94/3/CE de stabilire a unei liste de deșeuri în temeiul articolului 1 litera a) din Directiva 75/442/CEE a Consiliului privind deșeurile și a Deciziei 94/904/CE a Consiliului de stabilire a unei liste </w:t>
      </w:r>
      <w:r>
        <w:rPr>
          <w:rFonts w:ascii="Times New Roman" w:hAnsi="Times New Roman"/>
          <w:noProof/>
          <w:sz w:val="24"/>
        </w:rPr>
        <w:t>de deșeuri periculoase în temeiul articolului 1 alineatul (4) din Directiva 91/689/CEE a Consiliului privind deșeurile periculoase [notificată cu numărul de document C (2000) 1147] generate pe șantier sunt pregătite pentru reutilizare, reciclare și alte de</w:t>
      </w:r>
      <w:r>
        <w:rPr>
          <w:rFonts w:ascii="Times New Roman" w:hAnsi="Times New Roman"/>
          <w:noProof/>
          <w:sz w:val="24"/>
        </w:rPr>
        <w:t>ș</w:t>
      </w:r>
      <w:r>
        <w:rPr>
          <w:rFonts w:ascii="Times New Roman" w:hAnsi="Times New Roman"/>
          <w:noProof/>
          <w:sz w:val="24"/>
        </w:rPr>
        <w:t>euri, inclusiv operațiunile de rambleiere care utilizează deșeuri pentru a înlocui alte materiale, în conformitate cu ierarhia deșeurilor și cu Protocolul UE privind gestionarea deșeurilor din construcții și demolări. Implementarea investiției trebuie fin</w:t>
      </w:r>
      <w:r>
        <w:rPr>
          <w:rFonts w:ascii="Times New Roman" w:hAnsi="Times New Roman"/>
          <w:noProof/>
          <w:sz w:val="24"/>
        </w:rPr>
        <w:t>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Poduri inteligente (numărul de identificare al măsurii:16949)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echipează punțile cu sisteme și senzori speciali de măsurare a sarcinii sau cu fibre optice care măsoară deplasarea podurilor în timp real. </w:t>
      </w:r>
      <w:r>
        <w:rPr>
          <w:rFonts w:ascii="Times New Roman" w:hAnsi="Times New Roman"/>
          <w:noProof/>
          <w:sz w:val="24"/>
        </w:rPr>
        <w:t>Aceste informații se înregistrează și se prelucrează cu ajutorul unor algoritmi speciali pentru a evalua vulnerabilitatea structurală a podurilor. Scopul acestei investiții este de a îmbunătăți nivelul de siguranță al podurilor și de a preveni accidentele,</w:t>
      </w:r>
      <w:r>
        <w:rPr>
          <w:rFonts w:ascii="Times New Roman" w:hAnsi="Times New Roman"/>
          <w:noProof/>
          <w:sz w:val="24"/>
        </w:rPr>
        <w:t xml:space="preserve"> fie de la trecerea vehiculelor grele, fie de la riscurile legate de schimbările climatice.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Taxe electronice (numărul de identificare al măsurii:16950)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dezvoltă </w:t>
      </w:r>
      <w:r>
        <w:rPr>
          <w:rFonts w:ascii="Times New Roman" w:hAnsi="Times New Roman"/>
          <w:noProof/>
          <w:sz w:val="24"/>
        </w:rPr>
        <w:t>un sistem interoperabil de taxare rutieră electronică fiabil, ușor de utilizat și rentabil în Grecia. Aceasta asigură disponibilitatea diferitelor opțiuni pentru plățile electronice automatizate, un mecanism de facturare a taxelor rutiere echitabil și tran</w:t>
      </w:r>
      <w:r>
        <w:rPr>
          <w:rFonts w:ascii="Times New Roman" w:hAnsi="Times New Roman"/>
          <w:noProof/>
          <w:sz w:val="24"/>
        </w:rPr>
        <w:t>sparent, un flux mai bun al vehiculelor și pune bazele unor servicii îmbunătățite și a interoperabilității cu alte țări europene.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 a Organizației Căil</w:t>
      </w:r>
      <w:r>
        <w:rPr>
          <w:rFonts w:ascii="Times New Roman" w:hAnsi="Times New Roman"/>
          <w:noProof/>
          <w:sz w:val="24"/>
        </w:rPr>
        <w:t>or Ferate Elene (numărul de identificare al măsurii:16959)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cuprinde modernizarea infrastructurilor și serviciilor Organizației Căilor Ferate Elene (OSE) prin intermediul unui parteneriat public-privat (PPP) prin dezvoltarea următoarelor sisteme </w:t>
      </w:r>
      <w:r>
        <w:rPr>
          <w:rFonts w:ascii="Times New Roman" w:hAnsi="Times New Roman"/>
          <w:noProof/>
          <w:sz w:val="24"/>
        </w:rPr>
        <w:t>ș</w:t>
      </w:r>
      <w:r>
        <w:rPr>
          <w:rFonts w:ascii="Times New Roman" w:hAnsi="Times New Roman"/>
          <w:noProof/>
          <w:sz w:val="24"/>
        </w:rPr>
        <w:t xml:space="preserve">i servicii: (a) Gestionarea legitimațiilor de transport și sisteme telematice, (b) infrastructuri pentru stații inteligente, (c) servicii de experiență pentru clienți, (d) internet de mare viteză în trenuri și stații și (e) un sistem de telematică pentru </w:t>
      </w:r>
      <w:r>
        <w:rPr>
          <w:rFonts w:ascii="Times New Roman" w:hAnsi="Times New Roman"/>
          <w:noProof/>
          <w:sz w:val="24"/>
        </w:rPr>
        <w:t>vehicule.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Sistemul digital integrat de gestionare a programelor pentru administrarea lucrărilor tehnice și a activelor structurale ale Ministerului Infrastructurii și Transpor</w:t>
      </w:r>
      <w:r>
        <w:rPr>
          <w:rFonts w:ascii="Times New Roman" w:hAnsi="Times New Roman"/>
          <w:noProof/>
          <w:sz w:val="24"/>
        </w:rPr>
        <w:t>turilor (numărul de identificare al măsurii:16937)</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introduce un sistem informatic de gestionare a portofoliului de ultimă generație, cu scopul de a furniza Ministerului Infrastructurii și Transporturilor un instrument de monitorizare, gestionare și</w:t>
      </w:r>
      <w:r>
        <w:rPr>
          <w:rFonts w:ascii="Times New Roman" w:hAnsi="Times New Roman"/>
          <w:noProof/>
          <w:sz w:val="24"/>
        </w:rPr>
        <w:t xml:space="preserve"> administrare a portofoliului său de lucrări și active tehnice. Sistemul furnizează informații exacte în timp real cu privire la rezultatele, costurile și calendarul pe parcursul întregului ciclu de viață al lucrărilor executate. Implementarea investiției </w:t>
      </w:r>
      <w:r>
        <w:rPr>
          <w:rFonts w:ascii="Times New Roman" w:hAnsi="Times New Roman"/>
          <w:noProof/>
          <w:sz w:val="24"/>
        </w:rPr>
        <w:t>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Simplificarea procedurilor Ministerului Infrastructurii &amp; Transport (numărul de identificare al măsurii:16786)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reformă implică digitalizarea serviciilor furnizate de Ministerul Infrastructurii </w:t>
      </w:r>
      <w:r>
        <w:rPr>
          <w:rFonts w:ascii="Times New Roman" w:hAnsi="Times New Roman"/>
          <w:noProof/>
          <w:sz w:val="24"/>
        </w:rPr>
        <w:t>&amp; Transporturile, în contextul reducerii sarcinii administrative și al simplificării proceselor din sectorul public. Acesta cuprinde a) eliberarea, înlocuirea și reînnoirea permiselor de conducere, b) procedurile legate de transferul vehiculelor, c) eliber</w:t>
      </w:r>
      <w:r>
        <w:rPr>
          <w:rFonts w:ascii="Times New Roman" w:hAnsi="Times New Roman"/>
          <w:noProof/>
          <w:sz w:val="24"/>
        </w:rPr>
        <w:t>area permiselor de înmatriculare și a plăcuțelor de înmatriculare și d) examinarea permiselor de conducere. 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Reforma forței de muncă în sectorul cultural (numărul de identificare al măsurii:16715)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reformă introduce legislația muncii și a securității sociale pentru sectorul cultural și creativ în vederea creșterii ponderii muncii declarate în acest sector</w:t>
      </w:r>
      <w:r>
        <w:rPr>
          <w:rFonts w:ascii="Times New Roman" w:hAnsi="Times New Roman"/>
          <w:noProof/>
          <w:sz w:val="24"/>
        </w:rPr>
        <w:t xml:space="preserve"> și a sprijinirii profesioniștilor din sector și a protejării drepturilor de proprietate intelectuală ale acestora. Obiectivul acestei reforme este de a spori reziliența sectorului cultural și creativ. Implementarea reformei trebuie finalizată până la 30 s</w:t>
      </w:r>
      <w:r>
        <w:rPr>
          <w:rFonts w:ascii="Times New Roman" w:hAnsi="Times New Roman"/>
          <w:noProof/>
          <w:sz w:val="24"/>
        </w:rPr>
        <w:t>eptembrie 2022.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Cultura ca motor al creșterii (numărul de identificare al măsurii:16293)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Obiectivul general al investiției este de a promova contribuția culturii la creșterea inteligentă și durabilă și la coeziunea economică, socială și teritor</w:t>
      </w:r>
      <w:r>
        <w:rPr>
          <w:rFonts w:ascii="Times New Roman" w:hAnsi="Times New Roman"/>
          <w:noProof/>
          <w:sz w:val="24"/>
        </w:rPr>
        <w:t>ială. Acesta constă în șase subproiecte:</w:t>
      </w:r>
    </w:p>
    <w:p w:rsidR="00780A28" w:rsidRDefault="001867D7">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sprijinirea strategiilor regionale ale industriilor culturale și creative (ICC), sprijinirea ecosistemelor artizanale locale, crearea unui ecosistem regional de creștere centrat pe cultură, evidențierea valorii adău</w:t>
      </w:r>
      <w:r>
        <w:rPr>
          <w:rFonts w:ascii="Times New Roman" w:hAnsi="Times New Roman"/>
          <w:noProof/>
          <w:sz w:val="24"/>
        </w:rPr>
        <w:t>gate transsectoriale funcționale și organice a ICC, crearea de locuri de muncă, introducerea unor activități financiare durabile, dezvoltarea „economiei bazate pe experiență” etc. Sprijinul include dezvoltarea și modernizarea spațiilor, serviciilor și expe</w:t>
      </w:r>
      <w:r>
        <w:rPr>
          <w:rFonts w:ascii="Times New Roman" w:hAnsi="Times New Roman"/>
          <w:noProof/>
          <w:sz w:val="24"/>
        </w:rPr>
        <w:t>riențelor culturale, perfecționarea forței de muncă, dezvoltarea căilor culturale locale, stimularea creativității și a inovării, finanțarea renovărilor eficiente din punct de vedere energetic și a măsurilor de eficiență energetică în ceea ce privește infr</w:t>
      </w:r>
      <w:r>
        <w:rPr>
          <w:rFonts w:ascii="Times New Roman" w:hAnsi="Times New Roman"/>
          <w:noProof/>
          <w:sz w:val="24"/>
        </w:rPr>
        <w:t>astructura publică etc.</w:t>
      </w:r>
    </w:p>
    <w:p w:rsidR="00780A28" w:rsidRDefault="001867D7">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extinderea utilizării siturilor arheologice și a monumentelor ca locuri de desfășurare și evenimente;</w:t>
      </w:r>
    </w:p>
    <w:p w:rsidR="00780A28" w:rsidRDefault="001867D7">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acordarea de sprijin pentru transformarea digitală a ICC și dezvoltarea de modele digitale de producție și distribuție culturală;</w:t>
      </w:r>
    </w:p>
    <w:p w:rsidR="00780A28" w:rsidRDefault="001867D7">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promovarea industriei cinematografice ca motor al creșterii și creativității și</w:t>
      </w:r>
    </w:p>
    <w:p w:rsidR="00780A28" w:rsidRDefault="001867D7">
      <w:pPr>
        <w:numPr>
          <w:ilvl w:val="0"/>
          <w:numId w:val="68"/>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promovarea mărcii culturale și a comerțului grec.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Se preconizează că această măsură nu aduce prejudicii semnificative obiectivelor de mediu în sensul articolului 17 din Regula</w:t>
      </w:r>
      <w:r>
        <w:rPr>
          <w:rFonts w:ascii="Times New Roman" w:hAnsi="Times New Roman"/>
          <w:noProof/>
          <w:sz w:val="24"/>
        </w:rPr>
        <w:t>mentul (UE) 2020/852, ținând seama de descrierea măsurii și de măsurile de atenuare stabilite în planul de redresare și reziliență, în conformitate cu Orientările tehnice bazate pe principiul de „a nu aduce prejudicii semnificative” (2021/C58/01). În speci</w:t>
      </w:r>
      <w:r>
        <w:rPr>
          <w:rFonts w:ascii="Times New Roman" w:hAnsi="Times New Roman"/>
          <w:noProof/>
          <w:sz w:val="24"/>
        </w:rPr>
        <w:t>al, subproiectul referitor la construirea de drumuri de acces face obiectul unei evaluări a impactului asupra mediului (EIM) în conformitate cu Directiva 2011/92/UE, pentru a se asigura că respectarea principiului de a nu prejudicia în mod semnificativ est</w:t>
      </w:r>
      <w:r>
        <w:rPr>
          <w:rFonts w:ascii="Times New Roman" w:hAnsi="Times New Roman"/>
          <w:noProof/>
          <w:sz w:val="24"/>
        </w:rPr>
        <w:t>e integrată în proiect și respectată cu strictețe în etapele de construcție, exploatare și dezafectare a infrastructurii.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Muzeu de antichități subacvatice (numărul de ident</w:t>
      </w:r>
      <w:r>
        <w:rPr>
          <w:rFonts w:ascii="Times New Roman" w:hAnsi="Times New Roman"/>
          <w:noProof/>
          <w:sz w:val="24"/>
        </w:rPr>
        <w:t>ificare al măsurii:16486)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investiție restabilește, printr-o renovare eficientă din punct de vedere energetic, o clădire industrială emblematică din Pireu și o redeschide ca muzeu de antichități subacvatice. Investiția urmărește să creeze valoare </w:t>
      </w:r>
      <w:r>
        <w:rPr>
          <w:rFonts w:ascii="Times New Roman" w:hAnsi="Times New Roman"/>
          <w:noProof/>
          <w:sz w:val="24"/>
        </w:rPr>
        <w:t>adăugată din punct de vedere cultural și turistic pentru orașul portuar Pireu și pentru zona extinsă a Atenei. Se preconizează că această măsură nu aduce prejudicii semnificative obiectivelor de mediu în sensul articolului 17 din Regulamentul (UE) 2020/852</w:t>
      </w:r>
      <w:r>
        <w:rPr>
          <w:rFonts w:ascii="Times New Roman" w:hAnsi="Times New Roman"/>
          <w:noProof/>
          <w:sz w:val="24"/>
        </w:rPr>
        <w:t>, ținând seama de descrierea măsurii și de măsurile de atenuare stabilite în planul de redresare și reziliență, în conformitate cu Orientările tehnice bazate pe principiul de „a nu aduce prejudicii semnificative” (2021/C58/01). În special, măsura impune op</w:t>
      </w:r>
      <w:r>
        <w:rPr>
          <w:rFonts w:ascii="Times New Roman" w:hAnsi="Times New Roman"/>
          <w:noProof/>
          <w:sz w:val="24"/>
        </w:rPr>
        <w:t>eratorilor economici care efectuează lucrări de construcții să se asigure că cel puțin 70 % (în greutate) din deșeurile nepericuloase provenite din activități de construcție și demolări [cu excepția materialelor geologice naturale menționate în categoria 1</w:t>
      </w:r>
      <w:r>
        <w:rPr>
          <w:rFonts w:ascii="Times New Roman" w:hAnsi="Times New Roman"/>
          <w:noProof/>
          <w:sz w:val="24"/>
        </w:rPr>
        <w:t>7 05 04 din Lista europeană a deșeurilor stabilită prin Decizia 2000/532/CE din 3 mai 2000 de înlocuire a Deciziei 94/3/CE de stabilire a unei liste de deșeuri în temeiul articolului 1 litera a) din Directiva 75/442/CEE a Consiliului privind deșeurile și a</w:t>
      </w:r>
      <w:r>
        <w:rPr>
          <w:rFonts w:ascii="Times New Roman" w:hAnsi="Times New Roman"/>
          <w:noProof/>
          <w:sz w:val="24"/>
        </w:rPr>
        <w:t xml:space="preserve"> Deciziei 94/904/CE a Consiliului de stabilire a unei liste de deșeuri periculoase în temeiul articolului 1 alineatul (4) din Directiva 91/689/CEE a Consiliului privind deșeurile periculoase [notificată cu numărul de document C (2000) 1147] generate pe șan</w:t>
      </w:r>
      <w:r>
        <w:rPr>
          <w:rFonts w:ascii="Times New Roman" w:hAnsi="Times New Roman"/>
          <w:noProof/>
          <w:sz w:val="24"/>
        </w:rPr>
        <w:t>tier sunt pregătite pentru reutilizare, reciclare și alte deșeuri, inclusiv operațiunile de rambleiere care utilizează deșeuri pentru a înlocui alte materiale, în conformitate cu ierarhia deșeurilor și cu Protocolul UE privind gestionarea deșeurilor din co</w:t>
      </w:r>
      <w:r>
        <w:rPr>
          <w:rFonts w:ascii="Times New Roman" w:hAnsi="Times New Roman"/>
          <w:noProof/>
          <w:sz w:val="24"/>
        </w:rPr>
        <w:t>nstrucții și demolări.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Utilizarea „artelor pe bază de rețetă”, promovarea coeziunii sociale și exploatarea economiei vârstei a treia (numărul de identificare al măsurii:167</w:t>
      </w:r>
      <w:r>
        <w:rPr>
          <w:rFonts w:ascii="Times New Roman" w:hAnsi="Times New Roman"/>
          <w:noProof/>
          <w:sz w:val="24"/>
        </w:rPr>
        <w:t>35)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vizează atragerea vizitatorilor cu vârsta de cel puțin 65 ani, precum și a vizitatorilor cu handicap în spațiile culturale, cum ar fi muzeele, teatrele, festivalurile, siturile arheologice și monumentele, prin îmbunătățirea accesului fizic l</w:t>
      </w:r>
      <w:r>
        <w:rPr>
          <w:rFonts w:ascii="Times New Roman" w:hAnsi="Times New Roman"/>
          <w:noProof/>
          <w:sz w:val="24"/>
        </w:rPr>
        <w:t>a aceste locuri și prin dezvoltarea unor sisteme de vizitare ghidate cu ajutorul mijloacelor de auz și de vedere. Investiția trebuie să fie pe deplin aliniată la strategia elenă pentru persoanele cu handicap, care este deja în curs de desfășurare. În plus,</w:t>
      </w:r>
      <w:r>
        <w:rPr>
          <w:rFonts w:ascii="Times New Roman" w:hAnsi="Times New Roman"/>
          <w:noProof/>
          <w:sz w:val="24"/>
        </w:rPr>
        <w:t xml:space="preserve"> investițiile promovează programele din domeniul artelor pe bază de rețetă, astfel cum sunt descrise de Organizația Mondială a Sănătății, care utilizează artele și cultura ca parte integrantă a asistenței medicale, în special în domeniul sănătății mintale.</w:t>
      </w:r>
      <w:r>
        <w:rPr>
          <w:rFonts w:ascii="Times New Roman" w:hAnsi="Times New Roman"/>
          <w:noProof/>
          <w:sz w:val="24"/>
        </w:rPr>
        <w:t xml:space="preserv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 xml:space="preserve">Modernizarea infrastructurii, reînnoirea echipamentelor și îmbunătățirea calității serviciilor furnizate de HOCRED Stores — foste Stores ARF (la fața locului și în format </w:t>
      </w:r>
      <w:r>
        <w:rPr>
          <w:rFonts w:ascii="Times New Roman" w:hAnsi="Times New Roman"/>
          <w:noProof/>
          <w:sz w:val="24"/>
        </w:rPr>
        <w:t>electronic) (numărul de identificare al măsurii:16536)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investiție cuprinde măsuri de eficiență energetică, renovări, construirea magazinelor și a atelierelor și furnizarea de echipamente pentru magazinele fizice și online și modernizarea calității </w:t>
      </w:r>
      <w:r>
        <w:rPr>
          <w:rFonts w:ascii="Times New Roman" w:hAnsi="Times New Roman"/>
          <w:noProof/>
          <w:sz w:val="24"/>
        </w:rPr>
        <w:t>serviciilor furnizate de Organizația elenă pentru Dezvoltarea Resurselor Culturale (HOCRED), care colectează veniturile obținute din situri arheologice, situri istorice, monumente și muzee arheologice din Grecia și gestionează aceste resurse pentru a sprij</w:t>
      </w:r>
      <w:r>
        <w:rPr>
          <w:rFonts w:ascii="Times New Roman" w:hAnsi="Times New Roman"/>
          <w:noProof/>
          <w:sz w:val="24"/>
        </w:rPr>
        <w:t xml:space="preserve">ini patrimoniul cultural al Greciei. Se preconizează că această măsură nu aduce prejudicii semnificative obiectivelor de mediu în sensul articolului 17 din Regulamentul (UE) 2020/852, ținând seama de descrierea măsurii și de măsurile de atenuare stabilite </w:t>
      </w:r>
      <w:r>
        <w:rPr>
          <w:rFonts w:ascii="Times New Roman" w:hAnsi="Times New Roman"/>
          <w:noProof/>
          <w:sz w:val="24"/>
        </w:rPr>
        <w:t xml:space="preserve">în planul de redresare și reziliență, în conformitate cu Orientările tehnice bazate pe principiul de „a nu aduce prejudicii semnificative” (2021/C58/01). În special, măsura impune operatorilor economici care efectuează lucrări de construcții să se asigure </w:t>
      </w:r>
      <w:r>
        <w:rPr>
          <w:rFonts w:ascii="Times New Roman" w:hAnsi="Times New Roman"/>
          <w:noProof/>
          <w:sz w:val="24"/>
        </w:rPr>
        <w:t>că cel puțin 70 % (în greutate) din deșeurile nepericuloase provenite din activități de construcție și demolări [cu excepția materialelor geologice naturale menționate în categoria 17 05 04 din Lista europeană a deșeurilor stabilită prin Decizia 2000/532/C</w:t>
      </w:r>
      <w:r>
        <w:rPr>
          <w:rFonts w:ascii="Times New Roman" w:hAnsi="Times New Roman"/>
          <w:noProof/>
          <w:sz w:val="24"/>
        </w:rPr>
        <w:t>E din 3 mai 2000 de înlocuire a Deciziei 94/3/CE de stabilire a unei liste de deșeuri în temeiul articolului 1 litera a) din Directiva 75/442/CEE a Consiliului privind deșeurile și a Deciziei 94/904/CE a Consiliului de stabilire a unei liste de deșeuri per</w:t>
      </w:r>
      <w:r>
        <w:rPr>
          <w:rFonts w:ascii="Times New Roman" w:hAnsi="Times New Roman"/>
          <w:noProof/>
          <w:sz w:val="24"/>
        </w:rPr>
        <w:t>iculoase în temeiul articolului 1 alineatul (4) din Directiva 91/689/CEE a Consiliului privind deșeurile periculoase [notificată cu numărul de document C (2000) 1147] generate pe șantier sunt pregătite pentru reutilizare, reciclare și alte deșeuri, inclusi</w:t>
      </w:r>
      <w:r>
        <w:rPr>
          <w:rFonts w:ascii="Times New Roman" w:hAnsi="Times New Roman"/>
          <w:noProof/>
          <w:sz w:val="24"/>
        </w:rPr>
        <w:t>v operațiunile de rambleiere care utilizează deșeuri pentru a înlocui alte materiale, în conformitate cu ierarhia deșeurilor și cu Protocolul UE privind gestionarea deșeurilor din construcții și demolări. Implementarea investiției trebuie finalizată până l</w:t>
      </w:r>
      <w:r>
        <w:rPr>
          <w:rFonts w:ascii="Times New Roman" w:hAnsi="Times New Roman"/>
          <w:noProof/>
          <w:sz w:val="24"/>
        </w:rPr>
        <w:t>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Autostrăzi pentru natură și cultură (numărul de identificare al măsurii:16970)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investiție constă în îmbunătățirea accesibilității a aproximativ 30 de situri importante de patrimoniu cultural și/sau de frumusețe natu</w:t>
      </w:r>
      <w:r>
        <w:rPr>
          <w:rFonts w:ascii="Times New Roman" w:hAnsi="Times New Roman"/>
          <w:noProof/>
          <w:sz w:val="24"/>
        </w:rPr>
        <w:t xml:space="preserve">rală prin modernizarea legăturilor de acces care leagă siturile cu cea mai apropiată rețea de autostrăzi și modernizarea peisajului și a facilităților din fața porților, dezvoltarea infrastructurii digitale care furnizează informații și servicii legate de </w:t>
      </w:r>
      <w:r>
        <w:rPr>
          <w:rFonts w:ascii="Times New Roman" w:hAnsi="Times New Roman"/>
          <w:noProof/>
          <w:sz w:val="24"/>
        </w:rPr>
        <w:t>patrimoniul cultural și de siturile naturale, precum și activități de formare și de consolidare a capacităților pentru IMM-urile din regiunile în care proiectul va fi dezvoltat. Aceste intervenții sunt completate de dezvoltarea: (a) servicii digitale, b) s</w:t>
      </w:r>
      <w:r>
        <w:rPr>
          <w:rFonts w:ascii="Times New Roman" w:hAnsi="Times New Roman"/>
          <w:noProof/>
          <w:sz w:val="24"/>
        </w:rPr>
        <w:t>ervicii de comerț electronic și c) certificarea furnizorilor de bunuri și servicii locale. Se preconizează că această măsură nu aduce prejudicii semnificative obiectivelor de mediu în sensul articolului 17 din Regulamentul (UE) 2020/852, ținând seama de de</w:t>
      </w:r>
      <w:r>
        <w:rPr>
          <w:rFonts w:ascii="Times New Roman" w:hAnsi="Times New Roman"/>
          <w:noProof/>
          <w:sz w:val="24"/>
        </w:rPr>
        <w:t>scrierea măsurii și de măsurile de atenuare stabilite în planul de redresare și reziliență, în conformitate cu Orientările tehnice bazate pe principiul de „a nu aduce prejudicii semnificative” (2021/C58/01). În special, măsura impune operatorilor economici</w:t>
      </w:r>
      <w:r>
        <w:rPr>
          <w:rFonts w:ascii="Times New Roman" w:hAnsi="Times New Roman"/>
          <w:noProof/>
          <w:sz w:val="24"/>
        </w:rPr>
        <w:t xml:space="preserve"> care efectuează lucrări de construcții să se asigure că cel puțin 70 % (în greutate) din deșeurile nepericuloase provenite din activități de construcție și demolări [cu excepția materialelor geologice naturale menționate în categoria 17 05 04 din Lista eu</w:t>
      </w:r>
      <w:r>
        <w:rPr>
          <w:rFonts w:ascii="Times New Roman" w:hAnsi="Times New Roman"/>
          <w:noProof/>
          <w:sz w:val="24"/>
        </w:rPr>
        <w:t xml:space="preserve">ropeană a deșeurilor stabilită prin Decizia 2000/532/CE din 3 mai 2000 de înlocuire a Deciziei 94/3/CE de stabilire a unei liste de deșeuri în temeiul articolului 1 litera a) din Directiva 75/442/CEE a Consiliului privind deșeurile și a Deciziei 94/904/CE </w:t>
      </w:r>
      <w:r>
        <w:rPr>
          <w:rFonts w:ascii="Times New Roman" w:hAnsi="Times New Roman"/>
          <w:noProof/>
          <w:sz w:val="24"/>
        </w:rPr>
        <w:t xml:space="preserve">a Consiliului de stabilire a unei liste de deșeuri periculoase în temeiul articolului 1 alineatul (4) din Directiva 91/689/CEE a Consiliului privind deșeurile periculoase [notificată cu numărul de document C (2000) 1147] generate pe șantier sunt pregătite </w:t>
      </w:r>
      <w:r>
        <w:rPr>
          <w:rFonts w:ascii="Times New Roman" w:hAnsi="Times New Roman"/>
          <w:noProof/>
          <w:sz w:val="24"/>
        </w:rPr>
        <w:t>pentru reutilizare, reciclare și alte deșeuri, inclusiv operațiunile de rambleiere care utilizează deșeuri pentru a înlocui alte materiale, în conformitate cu ierarhia deșeurilor și cu Protocolul UE privind gestionarea deșeurilor din construcții și demolăr</w:t>
      </w:r>
      <w:r>
        <w:rPr>
          <w:rFonts w:ascii="Times New Roman" w:hAnsi="Times New Roman"/>
          <w:noProof/>
          <w:sz w:val="24"/>
        </w:rPr>
        <w:t>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Protecția monumentelor culturale și a siturilor arheologice împotriva schimbărilor climatice (numărul de identificare al măsurii:16433)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investiție cuprinde elabo</w:t>
      </w:r>
      <w:r>
        <w:rPr>
          <w:rFonts w:ascii="Times New Roman" w:hAnsi="Times New Roman"/>
          <w:noProof/>
          <w:sz w:val="24"/>
        </w:rPr>
        <w:t xml:space="preserve">rarea de planuri de adaptare la schimbările climatice pentru siturile de patrimoniu cultural. Obiectivul este de a proteja patrimoniul cultural al Greciei, îmbunătățind reziliența acesteia la schimbările climatice și susținând astfel contribuția siturilor </w:t>
      </w:r>
      <w:r>
        <w:rPr>
          <w:rFonts w:ascii="Times New Roman" w:hAnsi="Times New Roman"/>
          <w:noProof/>
          <w:sz w:val="24"/>
        </w:rPr>
        <w:t>din patrimoniul cultural la activitatea economică. Investiția include evaluări spațiale și temporale ale riscurilor climatice și identificarea vulnerabilităților cu care se confruntă siturile de patrimoniu cultural. Implementarea investiției trebuie finali</w:t>
      </w:r>
      <w:r>
        <w:rPr>
          <w:rFonts w:ascii="Times New Roman" w:hAnsi="Times New Roman"/>
          <w:noProof/>
          <w:sz w:val="24"/>
        </w:rPr>
        <w:t>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Modernizarea învățământului superior în domeniul artelor (numărul de identificare al măsurii:16725)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Investițiile modernizează învățământul superior în Grecia prin abordarea obstacolelor juridice, academice, insti</w:t>
      </w:r>
      <w:r>
        <w:rPr>
          <w:rFonts w:ascii="Times New Roman" w:hAnsi="Times New Roman"/>
          <w:noProof/>
          <w:sz w:val="24"/>
        </w:rPr>
        <w:t>tuționale și de altă natură. Aceasta este însoțită de o revizuire și actualizare a tuturor programelor de învățământ, pentru a permite, de asemenea, atragerea studenților străini în instituțiile elene de învățământ artistic. În plus, se preconizează că inv</w:t>
      </w:r>
      <w:r>
        <w:rPr>
          <w:rFonts w:ascii="Times New Roman" w:hAnsi="Times New Roman"/>
          <w:noProof/>
          <w:sz w:val="24"/>
        </w:rPr>
        <w:t xml:space="preserve">estițiile vor sprijini școlile de educație artistică prin modernizarea infrastructurii lor fizice și tehnice și prin sprijinirea tranziției lor către o infrastructură digitală modernă. În cele din urmă, Comisia își revizuiește modelul de operare cu scopul </w:t>
      </w:r>
      <w:r>
        <w:rPr>
          <w:rFonts w:ascii="Times New Roman" w:hAnsi="Times New Roman"/>
          <w:noProof/>
          <w:sz w:val="24"/>
        </w:rPr>
        <w:t>de a îmbunătăți studiile și de a asigura calitatea educației artistice furnizate de entitățile municipale.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cuprinde:</w:t>
      </w:r>
    </w:p>
    <w:p w:rsidR="00780A28" w:rsidRDefault="001867D7">
      <w:pPr>
        <w:numPr>
          <w:ilvl w:val="0"/>
          <w:numId w:val="64"/>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actualizarea programelor de învățământ în contextul cadrului european sectorial al calificărilor, inclusiv în vederea atragerii </w:t>
      </w:r>
      <w:r>
        <w:rPr>
          <w:rFonts w:ascii="Times New Roman" w:hAnsi="Times New Roman"/>
          <w:noProof/>
          <w:sz w:val="24"/>
        </w:rPr>
        <w:t>studenților străini în instituțiile elene de învățământ artistic;</w:t>
      </w:r>
    </w:p>
    <w:p w:rsidR="00780A28" w:rsidRDefault="001867D7">
      <w:pPr>
        <w:numPr>
          <w:ilvl w:val="0"/>
          <w:numId w:val="64"/>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înființarea Școlii Naționale de Audiovizual și</w:t>
      </w:r>
    </w:p>
    <w:p w:rsidR="00780A28" w:rsidRDefault="001867D7">
      <w:pPr>
        <w:numPr>
          <w:ilvl w:val="0"/>
          <w:numId w:val="64"/>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modernizarea infrastructurilor fizice și digitale ale principalelor instituții de învățământ de vârf.</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va stabili, de asemenea, echiv</w:t>
      </w:r>
      <w:r>
        <w:rPr>
          <w:rFonts w:ascii="Times New Roman" w:hAnsi="Times New Roman"/>
          <w:noProof/>
          <w:sz w:val="24"/>
        </w:rPr>
        <w:t>alența învățământului artistic din Grecia cu diplomele de învățământ superior furnizate de alte țări ale UE.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Itinerarii culturale la siturile și monumentele arheologice emb</w:t>
      </w:r>
      <w:r>
        <w:rPr>
          <w:rFonts w:ascii="Times New Roman" w:hAnsi="Times New Roman"/>
          <w:noProof/>
          <w:sz w:val="24"/>
        </w:rPr>
        <w:t>lematice (numărul de identificare al măsurii:16485)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investiție va proiecta cinci itinerarii culturale emblematice cu discursuri tematice care să acopere toate perioadele din istoria Greciei. Se preconizează că rutele vor fi răspândite geografic în </w:t>
      </w:r>
      <w:r>
        <w:rPr>
          <w:rFonts w:ascii="Times New Roman" w:hAnsi="Times New Roman"/>
          <w:noProof/>
          <w:sz w:val="24"/>
        </w:rPr>
        <w:t xml:space="preserve">întreaga țară. Investiția cuprinde, de asemenea, conservarea și restaurarea anumitor monumente, modernizarea serviciilor și a infrastructurii, dezvoltarea de aplicații digitale interactive și includerea artelor și a evenimentelor culturale. Monumentele și </w:t>
      </w:r>
      <w:r>
        <w:rPr>
          <w:rFonts w:ascii="Times New Roman" w:hAnsi="Times New Roman"/>
          <w:noProof/>
          <w:sz w:val="24"/>
        </w:rPr>
        <w:t>siturile incluse pe rute creează sinergii cu destinațiile turistice și acționează astfel ca un motor al creșterii durabile și al coeziunii economice, sociale și teritoriale.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Investiția</w:t>
      </w:r>
      <w:r>
        <w:rPr>
          <w:rFonts w:ascii="Times New Roman" w:hAnsi="Times New Roman"/>
          <w:b/>
          <w:bCs/>
          <w:noProof/>
          <w:sz w:val="24"/>
        </w:rPr>
        <w:t xml:space="preserve">: </w:t>
      </w:r>
      <w:r>
        <w:rPr>
          <w:rFonts w:ascii="Times New Roman" w:hAnsi="Times New Roman"/>
          <w:noProof/>
          <w:sz w:val="24"/>
        </w:rPr>
        <w:t>Restaurare — Conservare — Consolidarea monumentelor Acropolei (măsura 16435)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protejarea monumentelor din Atena împotriva schimbărilor climatice și include lucrări de restaurare pentru Partenon și Walls, conservarea anumitor părți ale</w:t>
      </w:r>
      <w:r>
        <w:rPr>
          <w:rFonts w:ascii="Times New Roman" w:hAnsi="Times New Roman"/>
          <w:noProof/>
          <w:sz w:val="24"/>
        </w:rPr>
        <w:t xml:space="preserve"> tuturor monumentelor Acropolei, consolidarea și stabilizarea maselor de rocă și îmbunătățirea accesibilității vizitatorilor.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Consolidarea competențelor pentru profesionișt</w:t>
      </w:r>
      <w:r>
        <w:rPr>
          <w:rFonts w:ascii="Times New Roman" w:hAnsi="Times New Roman"/>
          <w:noProof/>
          <w:sz w:val="24"/>
        </w:rPr>
        <w:t>ii din domeniul creativ și cultural (numărul de identificare al măsurii:16723)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investiție dezvoltă programe de formare pentru a spori capacitatea și reziliența organizațiilor din industriile culturale și creative și pentru a îmbunătăți competențele</w:t>
      </w:r>
      <w:r>
        <w:rPr>
          <w:rFonts w:ascii="Times New Roman" w:hAnsi="Times New Roman"/>
          <w:noProof/>
          <w:sz w:val="24"/>
        </w:rPr>
        <w:t xml:space="preserve"> profesioniștilor activi în acest sector, având în vedere, de asemenea, transformarea digitală a sectorului. Programele de formare sunt în conformitate cu Strategia națională elenă privind competențele și vizează administrarea afacerilor, gestiunea financi</w:t>
      </w:r>
      <w:r>
        <w:rPr>
          <w:rFonts w:ascii="Times New Roman" w:hAnsi="Times New Roman"/>
          <w:noProof/>
          <w:sz w:val="24"/>
        </w:rPr>
        <w:t>ară, gestionarea resurselor umane, marketingul, competențele digitale, protecția proprietății intelectuale și alte subiecte, orientate în mod specific către acest public-țintă specific. Implementarea investiției trebuie finalizată până la 31 decembrie 2025</w:t>
      </w:r>
      <w:r>
        <w:rPr>
          <w:rFonts w:ascii="Times New Roman" w:hAnsi="Times New Roman"/>
          <w:noProof/>
          <w:sz w:val="24"/>
        </w:rPr>
        <w:t>.</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Dezvoltarea turismului (numărul de identificare al măsurii:16931)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Scopul acestei investiții este de a prelungi sezonul turistic din Grecia dincolo de lunile de vară și de a promova forme alternative de turism, contribuind la reziliența econom</w:t>
      </w:r>
      <w:r>
        <w:rPr>
          <w:rFonts w:ascii="Times New Roman" w:hAnsi="Times New Roman"/>
          <w:noProof/>
          <w:sz w:val="24"/>
        </w:rPr>
        <w:t>ică, la creșterea durabilă și la coeziunea socială și teritorială. Investiția cuprinde două părți:</w:t>
      </w:r>
    </w:p>
    <w:p w:rsidR="00780A28" w:rsidRDefault="001867D7">
      <w:pPr>
        <w:numPr>
          <w:ilvl w:val="0"/>
          <w:numId w:val="65"/>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Dezvoltarea ecologică: dezvoltarea turismului montan care include renovarea eficientă din punct de vedere energetic a infrastructurii publice și instalarea </w:t>
      </w:r>
      <w:r>
        <w:rPr>
          <w:rFonts w:ascii="Times New Roman" w:hAnsi="Times New Roman"/>
          <w:noProof/>
          <w:sz w:val="24"/>
        </w:rPr>
        <w:t>de noi surse regenerabile de energie, turismul pentru sănătate și wellness, agroturismul și gastronomia.</w:t>
      </w:r>
    </w:p>
    <w:p w:rsidR="00780A28" w:rsidRDefault="001867D7">
      <w:pPr>
        <w:numPr>
          <w:ilvl w:val="0"/>
          <w:numId w:val="65"/>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Dezvoltarea albastră: modernizarea infrastructurii porturilor turistice prin măsuri de eficiență energetică pentru clădirile și clădirile de infrastruc</w:t>
      </w:r>
      <w:r>
        <w:rPr>
          <w:rFonts w:ascii="Times New Roman" w:hAnsi="Times New Roman"/>
          <w:noProof/>
          <w:sz w:val="24"/>
        </w:rPr>
        <w:t>tură existente, intervenții pentru îmbunătățirea guvernanței, a infrastructurii și a serviciilor oferite în porturi, accesibilitatea plajelor pentru persoanele în vârstă și pentru persoanele cu handicap, precum și pentru promovarea dezvoltării scufundărilo</w:t>
      </w:r>
      <w:r>
        <w:rPr>
          <w:rFonts w:ascii="Times New Roman" w:hAnsi="Times New Roman"/>
          <w:noProof/>
          <w:sz w:val="24"/>
        </w:rPr>
        <w:t>r și a turismului subacvatic.</w:t>
      </w:r>
    </w:p>
    <w:p w:rsidR="00780A28" w:rsidRDefault="001867D7">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 xml:space="preserve">Pentru a se asigura că măsura este conformă cu Orientările tehnice bazate pe principiul de „a nu aduce prejudicii semnificative” (2021/C58/01), criteriile de eligibilitate cuprinse în termenii de referință pentru cererile de </w:t>
      </w:r>
      <w:r>
        <w:rPr>
          <w:rFonts w:ascii="Times New Roman" w:hAnsi="Times New Roman"/>
          <w:noProof/>
          <w:sz w:val="24"/>
        </w:rPr>
        <w:t>propuneri de proiecte exclud următoarea listă de activități:</w:t>
      </w:r>
      <w:r>
        <w:rPr>
          <w:rFonts w:ascii="Times New Roman" w:hAnsi="Times New Roman"/>
          <w:noProof/>
          <w:color w:val="FF0000"/>
          <w:sz w:val="24"/>
        </w:rPr>
        <w:t xml:space="preserve"> </w:t>
      </w:r>
      <w:r>
        <w:rPr>
          <w:rFonts w:ascii="Times New Roman" w:hAnsi="Times New Roman"/>
          <w:noProof/>
          <w:sz w:val="24"/>
        </w:rPr>
        <w:t>(i) activitățile legate de combustibilii fosili, inclusiv utilizarea în aval</w:t>
      </w:r>
      <w:r>
        <w:rPr>
          <w:rFonts w:ascii="Times New Roman" w:hAnsi="Times New Roman" w:cs="Times New Roman"/>
          <w:noProof/>
          <w:sz w:val="24"/>
          <w:vertAlign w:val="superscript"/>
        </w:rPr>
        <w:footnoteReference w:id="22"/>
      </w:r>
      <w:r>
        <w:rPr>
          <w:rFonts w:ascii="Times New Roman" w:hAnsi="Times New Roman"/>
          <w:noProof/>
          <w:sz w:val="24"/>
        </w:rPr>
        <w:t>; (ii) activitățile din cadrul schemei UE de comercializare a certificatelor de emisii (ETS) care ating previziuni pri</w:t>
      </w:r>
      <w:r>
        <w:rPr>
          <w:rFonts w:ascii="Times New Roman" w:hAnsi="Times New Roman"/>
          <w:noProof/>
          <w:sz w:val="24"/>
        </w:rPr>
        <w:t>vind emisiile de gaze cu efect de seră care nu sunt mai mici decât valorile de referință relevante</w:t>
      </w:r>
      <w:r>
        <w:rPr>
          <w:rFonts w:ascii="Times New Roman" w:hAnsi="Times New Roman" w:cs="Times New Roman"/>
          <w:noProof/>
          <w:sz w:val="24"/>
          <w:vertAlign w:val="superscript"/>
        </w:rPr>
        <w:footnoteReference w:id="23"/>
      </w:r>
      <w:r>
        <w:rPr>
          <w:rFonts w:ascii="Times New Roman" w:hAnsi="Times New Roman"/>
          <w:noProof/>
          <w:sz w:val="24"/>
        </w:rPr>
        <w:t>; (iii) activitățile legate de depozitele de deșeuri, incineratoare</w:t>
      </w:r>
      <w:r>
        <w:rPr>
          <w:rFonts w:ascii="Times New Roman" w:hAnsi="Times New Roman" w:cs="Times New Roman"/>
          <w:noProof/>
          <w:sz w:val="24"/>
          <w:vertAlign w:val="superscript"/>
        </w:rPr>
        <w:footnoteReference w:id="24"/>
      </w:r>
      <w:r>
        <w:rPr>
          <w:rFonts w:ascii="Times New Roman" w:hAnsi="Times New Roman"/>
          <w:noProof/>
          <w:sz w:val="24"/>
        </w:rPr>
        <w:t xml:space="preserve"> și instalații de tratare mecano-biologică</w:t>
      </w:r>
      <w:r>
        <w:rPr>
          <w:rFonts w:ascii="Times New Roman" w:hAnsi="Times New Roman" w:cs="Times New Roman"/>
          <w:noProof/>
          <w:sz w:val="24"/>
          <w:vertAlign w:val="superscript"/>
        </w:rPr>
        <w:footnoteReference w:id="25"/>
      </w:r>
      <w:r>
        <w:rPr>
          <w:rFonts w:ascii="Times New Roman" w:hAnsi="Times New Roman"/>
          <w:noProof/>
          <w:sz w:val="24"/>
        </w:rPr>
        <w:t>; și (iv) activități în cadrul cărora eliminar</w:t>
      </w:r>
      <w:r>
        <w:rPr>
          <w:rFonts w:ascii="Times New Roman" w:hAnsi="Times New Roman"/>
          <w:noProof/>
          <w:sz w:val="24"/>
        </w:rPr>
        <w:t>ea pe termen lung a deșeurilor poate dăuna mediului. În plus, mandatul impune ca numai activitățile care respectă legislația UE și națională relevantă în materie de mediu să poată fi selectate. Implementarea investiției trebuie finalizată până la 31 decemb</w:t>
      </w:r>
      <w:r>
        <w:rPr>
          <w:rFonts w:ascii="Times New Roman" w:hAnsi="Times New Roman"/>
          <w:noProof/>
          <w:sz w:val="24"/>
        </w:rPr>
        <w:t>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Recalificarea și perfecționarea în turism (numărul de identificare al măsurii:16921)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cuprinde perfecționarea și recalificarea lucrătorilor sezonieri, a șomerilor de lungă durată, precum și a lucrătorilor din sectorul turism</w:t>
      </w:r>
      <w:r>
        <w:rPr>
          <w:rFonts w:ascii="Times New Roman" w:hAnsi="Times New Roman"/>
          <w:noProof/>
          <w:sz w:val="24"/>
        </w:rPr>
        <w:t>ului al căror contract de muncă a fost suspendat în timpul pandemiei. Programele de recalificare acoperă mai multe specializări și abordează nevoile viitoare ale sectorului pentru perioada post-COVID-19. Implementarea investiției trebuie finalizată până la</w:t>
      </w:r>
      <w:r>
        <w:rPr>
          <w:rFonts w:ascii="Times New Roman" w:hAnsi="Times New Roman"/>
          <w:noProof/>
          <w:sz w:val="24"/>
        </w:rPr>
        <w:t xml:space="preserve">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Noi parcuri industriale (numărul de identificare al măsurii:16634)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furnizarea de asistență financiară pentru a) crearea de parcuri industriale noi, de nouă generație, b) extinderea celor existente, în vedere</w:t>
      </w:r>
      <w:r>
        <w:rPr>
          <w:rFonts w:ascii="Times New Roman" w:hAnsi="Times New Roman"/>
          <w:noProof/>
          <w:sz w:val="24"/>
        </w:rPr>
        <w:t xml:space="preserve">a creșterii gradului lor de pregătire pentru tranziția către infrastructura rețelelor 5G și de bandă ultralargă și utilizarea surselor regenerabile de energie, gestionarea inteligentă a energiei și intervențiile de economisire a energiei, precum și pentru </w:t>
      </w:r>
      <w:r>
        <w:rPr>
          <w:rFonts w:ascii="Times New Roman" w:hAnsi="Times New Roman"/>
          <w:noProof/>
          <w:sz w:val="24"/>
        </w:rPr>
        <w:t>infrastructura economiei circulare și c) transformarea zonelor cu o concentrare industrială ridicată în parcuri industriale verzi și digitalizate. Măsura include, de asemenea, o reformă a cadrului de reglementare pentru parcurile industriale, inclusiv abor</w:t>
      </w:r>
      <w:r>
        <w:rPr>
          <w:rFonts w:ascii="Times New Roman" w:hAnsi="Times New Roman"/>
          <w:noProof/>
          <w:sz w:val="24"/>
        </w:rPr>
        <w:t>darea incertitudinilor juridice, soluționarea problemelor de guvernanță și furnizarea de stimulente eficace pentru soluționarea concentrărilor industriale informale.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Sprijinul financia</w:t>
      </w:r>
      <w:r>
        <w:rPr>
          <w:rFonts w:ascii="Times New Roman" w:hAnsi="Times New Roman"/>
          <w:noProof/>
          <w:sz w:val="24"/>
        </w:rPr>
        <w:t>r include investiții în a) infrastructură pentru crearea de parcuri de nouă generație (inclusiv achiziționarea terenului) cu criterii specifice de eficiență energetică pentru construirea de clădiri noi și eficiență energetică și proiecte demonstrative în î</w:t>
      </w:r>
      <w:r>
        <w:rPr>
          <w:rFonts w:ascii="Times New Roman" w:hAnsi="Times New Roman"/>
          <w:noProof/>
          <w:sz w:val="24"/>
        </w:rPr>
        <w:t>ntreprinderi mari și măsuri de sprijin, b) infrastructură pentru transformarea digitală și crearea de zone industriale inteligente, c) energie solară din surse regenerabile; d) gestionarea apei și conservarea resurselor de apă [investițiile trebuie să aibă</w:t>
      </w:r>
      <w:r>
        <w:rPr>
          <w:rFonts w:ascii="Times New Roman" w:hAnsi="Times New Roman"/>
          <w:noProof/>
          <w:sz w:val="24"/>
        </w:rPr>
        <w:t xml:space="preserve"> un indice mediu de scurgere a infrastructurii (ILI) de &lt; = 1,5], e) sisteme de colectare și tratare a apelor uzate care respectă criteriile de eficiență energetică, f) proiecte de electromobilitate (dezvoltarea de rețele de realimentare pentru vehicule el</w:t>
      </w:r>
      <w:r>
        <w:rPr>
          <w:rFonts w:ascii="Times New Roman" w:hAnsi="Times New Roman"/>
          <w:noProof/>
          <w:sz w:val="24"/>
        </w:rPr>
        <w:t>ectrice sau pe bază de hidrogen sau puncte de realimentare cu biometan pentru transport), g) proiecte pentru reabilitarea siturilor industriale și a terenurilor contaminate. Construcția unei clădiri noi trebuie să respecte o cerere de energie primară (PED)</w:t>
      </w:r>
      <w:r>
        <w:rPr>
          <w:rFonts w:ascii="Times New Roman" w:hAnsi="Times New Roman"/>
          <w:noProof/>
          <w:sz w:val="24"/>
        </w:rPr>
        <w:t xml:space="preserve"> care este cu cel puțin 20 % mai mică decât cerința NZEB (clădire al cărei consum de energie este aproape egal cu zero, directivele naționale). În cazul construirii de sisteme de tratare a apelor reziduale de la un capăt la altul, măsura trebuie să aibă un</w:t>
      </w:r>
      <w:r>
        <w:rPr>
          <w:rFonts w:ascii="Times New Roman" w:hAnsi="Times New Roman"/>
          <w:noProof/>
          <w:sz w:val="24"/>
        </w:rPr>
        <w:t xml:space="preserve"> consum net de energie egal cu zero, iar în cazul reînnoirii sistemelor de tratare a apelor reziduale de la un capăt la altul, aceasta trebuie să conducă la o scădere a consumului mediu de energie cu cel puțin 10 % (exclusiv prin măsuri de eficiență energe</w:t>
      </w:r>
      <w:r>
        <w:rPr>
          <w:rFonts w:ascii="Times New Roman" w:hAnsi="Times New Roman"/>
          <w:noProof/>
          <w:sz w:val="24"/>
        </w:rPr>
        <w:t>tică și nu prin modificări semnificative sau modificări ale sarcinii). Investițiile în electromobilitate sunt în conformitate cu Directiva (UE) 2018/2001 și se referă la combustibilii alternativi pentru transport.</w:t>
      </w:r>
    </w:p>
    <w:p w:rsidR="00780A28" w:rsidRDefault="001867D7">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Pentru a se asigura că măsura este conform</w:t>
      </w:r>
      <w:r>
        <w:rPr>
          <w:rFonts w:ascii="Times New Roman" w:hAnsi="Times New Roman"/>
          <w:noProof/>
          <w:sz w:val="24"/>
        </w:rPr>
        <w:t>ă cu Orientările tehnice bazate pe principiul de „a nu aduce prejudicii semnificative” (2021/C58/01), criteriile de eligibilitate cuprinse în termenii de referință pentru cererile de propuneri de proiecte exclud următoarea listă de activități:</w:t>
      </w:r>
      <w:r>
        <w:rPr>
          <w:rFonts w:ascii="Times New Roman" w:hAnsi="Times New Roman"/>
          <w:noProof/>
          <w:color w:val="FF0000"/>
          <w:sz w:val="24"/>
        </w:rPr>
        <w:t xml:space="preserve"> </w:t>
      </w:r>
      <w:r>
        <w:rPr>
          <w:rFonts w:ascii="Times New Roman" w:hAnsi="Times New Roman"/>
          <w:noProof/>
          <w:sz w:val="24"/>
        </w:rPr>
        <w:t>(i) activită</w:t>
      </w:r>
      <w:r>
        <w:rPr>
          <w:rFonts w:ascii="Times New Roman" w:hAnsi="Times New Roman"/>
          <w:noProof/>
          <w:sz w:val="24"/>
        </w:rPr>
        <w:t>ț</w:t>
      </w:r>
      <w:r>
        <w:rPr>
          <w:rFonts w:ascii="Times New Roman" w:hAnsi="Times New Roman"/>
          <w:noProof/>
          <w:sz w:val="24"/>
        </w:rPr>
        <w:t>ile legate de combustibilii fosili, inclusiv utilizarea în aval</w:t>
      </w:r>
      <w:r>
        <w:rPr>
          <w:rFonts w:ascii="Times New Roman" w:hAnsi="Times New Roman" w:cs="Times New Roman"/>
          <w:noProof/>
          <w:sz w:val="24"/>
          <w:vertAlign w:val="superscript"/>
        </w:rPr>
        <w:footnoteReference w:id="26"/>
      </w:r>
      <w:r>
        <w:rPr>
          <w:rFonts w:ascii="Times New Roman" w:hAnsi="Times New Roman"/>
          <w:noProof/>
          <w:sz w:val="24"/>
        </w:rPr>
        <w:t>; (ii) activitățile din cadrul schemei UE de comercializare a certificatelor de emisii (ETS) care ating previziuni privind emisiile de gaze cu efect de seră care nu sunt mai mici decât valori</w:t>
      </w:r>
      <w:r>
        <w:rPr>
          <w:rFonts w:ascii="Times New Roman" w:hAnsi="Times New Roman"/>
          <w:noProof/>
          <w:sz w:val="24"/>
        </w:rPr>
        <w:t>le de referință relevante</w:t>
      </w:r>
      <w:r>
        <w:rPr>
          <w:rFonts w:ascii="Times New Roman" w:hAnsi="Times New Roman" w:cs="Times New Roman"/>
          <w:noProof/>
          <w:sz w:val="24"/>
          <w:vertAlign w:val="superscript"/>
        </w:rPr>
        <w:footnoteReference w:id="27"/>
      </w:r>
      <w:r>
        <w:rPr>
          <w:rFonts w:ascii="Times New Roman" w:hAnsi="Times New Roman"/>
          <w:noProof/>
          <w:sz w:val="24"/>
        </w:rPr>
        <w:t>; (iii) activitățile legate de depozitele de deșeuri, incineratoare</w:t>
      </w:r>
      <w:r>
        <w:rPr>
          <w:rFonts w:ascii="Times New Roman" w:hAnsi="Times New Roman" w:cs="Times New Roman"/>
          <w:noProof/>
          <w:sz w:val="24"/>
          <w:vertAlign w:val="superscript"/>
        </w:rPr>
        <w:footnoteReference w:id="28"/>
      </w:r>
      <w:r>
        <w:rPr>
          <w:rFonts w:ascii="Times New Roman" w:hAnsi="Times New Roman"/>
          <w:noProof/>
          <w:sz w:val="24"/>
        </w:rPr>
        <w:t xml:space="preserve"> și instalații de tratare mecano-biologică</w:t>
      </w:r>
      <w:r>
        <w:rPr>
          <w:rFonts w:ascii="Times New Roman" w:hAnsi="Times New Roman" w:cs="Times New Roman"/>
          <w:noProof/>
          <w:sz w:val="24"/>
          <w:vertAlign w:val="superscript"/>
        </w:rPr>
        <w:footnoteReference w:id="29"/>
      </w:r>
      <w:r>
        <w:rPr>
          <w:rFonts w:ascii="Times New Roman" w:hAnsi="Times New Roman"/>
          <w:noProof/>
          <w:sz w:val="24"/>
        </w:rPr>
        <w:t>; și (iv) activități în cadrul cărora eliminarea pe termen lung a deșeurilor poate dăuna mediului. În plus, mandatul im</w:t>
      </w:r>
      <w:r>
        <w:rPr>
          <w:rFonts w:ascii="Times New Roman" w:hAnsi="Times New Roman"/>
          <w:noProof/>
          <w:sz w:val="24"/>
        </w:rPr>
        <w:t>pune ca numai activitățile care respectă legislația UE și națională relevantă în materie de mediu să poată fi selectate.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Accelerarea producției inteligente (numărul de identificare al măsurii:16721)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Investiția cuprinde sprijin financiar pentru </w:t>
      </w:r>
      <w:r>
        <w:rPr>
          <w:rFonts w:ascii="Times New Roman" w:hAnsi="Times New Roman"/>
          <w:noProof/>
          <w:sz w:val="24"/>
        </w:rPr>
        <w:t xml:space="preserve">întreprinderile mici și mijlocii din sectorul industrial în vederea modernizării echipamentelor și a infrastructurii lor de producție cu tehnologii inteligente de ultimă generație, cu un impact redus asupra mediului. Măsura sprijină, de asemenea, schemele </w:t>
      </w:r>
      <w:r>
        <w:rPr>
          <w:rFonts w:ascii="Times New Roman" w:hAnsi="Times New Roman"/>
          <w:noProof/>
          <w:sz w:val="24"/>
        </w:rPr>
        <w:t xml:space="preserve">industriale și clusterele de întreprinderi din lanțurile valorice industriale importante care promovează competitivitatea industriei elene și tranziția acesteia către Industria 4.0. Sprijinul financiar cuprinde investiții în ceea ce privește digitalizarea </w:t>
      </w:r>
      <w:r>
        <w:rPr>
          <w:rFonts w:ascii="Times New Roman" w:hAnsi="Times New Roman"/>
          <w:noProof/>
          <w:sz w:val="24"/>
        </w:rPr>
        <w:t>liniilor de producție, automatizarea și interconectarea lanțurilor de aprovizionare, proiectarea și producția de produse și servicii inteligente, punerea în aplicare a tehnologiilor de fabricație inteligente în rețeaua de foarte mare viteză/5G mecanică, de</w:t>
      </w:r>
      <w:r>
        <w:rPr>
          <w:rFonts w:ascii="Times New Roman" w:hAnsi="Times New Roman"/>
          <w:noProof/>
          <w:sz w:val="24"/>
        </w:rPr>
        <w:t xml:space="preserve"> laborator &amp; echipamente de producție, echipamente de control al calității, TIC &amp; echipamente software, licențe software, licențe de cloud, servicii de implementare pentru noua infrastructură IT și S/W, servicii de securitate informatică, proiectarea produ</w:t>
      </w:r>
      <w:r>
        <w:rPr>
          <w:rFonts w:ascii="Times New Roman" w:hAnsi="Times New Roman"/>
          <w:noProof/>
          <w:sz w:val="24"/>
        </w:rPr>
        <w:t>selor, proprietate intelectuală, brevete și costuri de certificare.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highlight w:val="green"/>
        </w:rPr>
      </w:pPr>
      <w:r>
        <w:rPr>
          <w:rFonts w:ascii="Times New Roman" w:hAnsi="Times New Roman"/>
          <w:noProof/>
          <w:sz w:val="24"/>
        </w:rPr>
        <w:t>Pentru a se asigura că măsura este conformă cu Orientările tehnice bazate pe principiul de „a nu aduce prejudicii se</w:t>
      </w:r>
      <w:r>
        <w:rPr>
          <w:rFonts w:ascii="Times New Roman" w:hAnsi="Times New Roman"/>
          <w:noProof/>
          <w:sz w:val="24"/>
        </w:rPr>
        <w:t>mnificative” (2021/C58/01), criteriile de eligibilitate cuprinse în termenii de referință pentru cererile de propuneri de proiecte exclud următoarea listă de activități:</w:t>
      </w:r>
      <w:r>
        <w:rPr>
          <w:rFonts w:ascii="Times New Roman" w:hAnsi="Times New Roman"/>
          <w:noProof/>
          <w:color w:val="FF0000"/>
          <w:sz w:val="24"/>
        </w:rPr>
        <w:t xml:space="preserve"> </w:t>
      </w:r>
      <w:r>
        <w:rPr>
          <w:rFonts w:ascii="Times New Roman" w:hAnsi="Times New Roman"/>
          <w:noProof/>
          <w:sz w:val="24"/>
        </w:rPr>
        <w:t>(i) activitățile legate de combustibilii fosili, inclusiv utilizarea în aval</w:t>
      </w:r>
      <w:r>
        <w:rPr>
          <w:rFonts w:ascii="Times New Roman" w:hAnsi="Times New Roman" w:cs="Times New Roman"/>
          <w:noProof/>
          <w:sz w:val="24"/>
          <w:vertAlign w:val="superscript"/>
        </w:rPr>
        <w:footnoteReference w:id="30"/>
      </w:r>
      <w:r>
        <w:rPr>
          <w:rFonts w:ascii="Times New Roman" w:hAnsi="Times New Roman"/>
          <w:noProof/>
          <w:sz w:val="24"/>
        </w:rPr>
        <w:t>; (ii) ac</w:t>
      </w:r>
      <w:r>
        <w:rPr>
          <w:rFonts w:ascii="Times New Roman" w:hAnsi="Times New Roman"/>
          <w:noProof/>
          <w:sz w:val="24"/>
        </w:rPr>
        <w:t>tivitățile din cadrul schemei UE de comercializare a certificatelor de emisii (ETS) care ating previziuni privind emisiile de gaze cu efect de seră care nu sunt mai mici decât valorile de referință relevante</w:t>
      </w:r>
      <w:r>
        <w:rPr>
          <w:rFonts w:ascii="Times New Roman" w:hAnsi="Times New Roman" w:cs="Times New Roman"/>
          <w:noProof/>
          <w:sz w:val="24"/>
          <w:vertAlign w:val="superscript"/>
        </w:rPr>
        <w:footnoteReference w:id="31"/>
      </w:r>
      <w:r>
        <w:rPr>
          <w:rFonts w:ascii="Times New Roman" w:hAnsi="Times New Roman"/>
          <w:noProof/>
          <w:sz w:val="24"/>
        </w:rPr>
        <w:t>; (iii) activitățile legate de depozitele de deș</w:t>
      </w:r>
      <w:r>
        <w:rPr>
          <w:rFonts w:ascii="Times New Roman" w:hAnsi="Times New Roman"/>
          <w:noProof/>
          <w:sz w:val="24"/>
        </w:rPr>
        <w:t>euri, incineratoare</w:t>
      </w:r>
      <w:r>
        <w:rPr>
          <w:rFonts w:ascii="Times New Roman" w:hAnsi="Times New Roman" w:cs="Times New Roman"/>
          <w:noProof/>
          <w:sz w:val="24"/>
          <w:vertAlign w:val="superscript"/>
        </w:rPr>
        <w:footnoteReference w:id="32"/>
      </w:r>
      <w:r>
        <w:rPr>
          <w:rFonts w:ascii="Times New Roman" w:hAnsi="Times New Roman"/>
          <w:noProof/>
          <w:sz w:val="24"/>
        </w:rPr>
        <w:t xml:space="preserve"> și instalații de tratare mecano-biologică</w:t>
      </w:r>
      <w:r>
        <w:rPr>
          <w:rFonts w:ascii="Times New Roman" w:hAnsi="Times New Roman" w:cs="Times New Roman"/>
          <w:noProof/>
          <w:sz w:val="24"/>
          <w:vertAlign w:val="superscript"/>
        </w:rPr>
        <w:footnoteReference w:id="33"/>
      </w:r>
      <w:r>
        <w:rPr>
          <w:rFonts w:ascii="Times New Roman" w:hAnsi="Times New Roman"/>
          <w:noProof/>
          <w:sz w:val="24"/>
        </w:rPr>
        <w:t>; și (iv) activități în cadrul cărora eliminarea pe termen lung a deșeurilor poate dăuna mediului. În plus, mandatul impune ca numai activitățile care respectă legislația UE și națională releva</w:t>
      </w:r>
      <w:r>
        <w:rPr>
          <w:rFonts w:ascii="Times New Roman" w:hAnsi="Times New Roman"/>
          <w:noProof/>
          <w:sz w:val="24"/>
        </w:rPr>
        <w:t>ntă în materie de mediu să poată fi selectate.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economică în sectorul agricol (numărul de identificare al măsurii:16626)</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următoarele cinci acțiuni menite să consolideze și să promoveze dezvoltarea sectorului ag</w:t>
      </w:r>
      <w:r>
        <w:rPr>
          <w:rFonts w:ascii="Times New Roman" w:hAnsi="Times New Roman"/>
          <w:noProof/>
          <w:sz w:val="24"/>
        </w:rPr>
        <w:t>ricol în Grecia: a) Inovarea și tranziția verde în ceea ce privește prelucrarea produselor agricole, b) modernizarea sectorului primar, c) dezvoltarea turismului ecologic, d) restructurarea cultivării și e) îmbunătățirea genetică a animalelor. O parte dedi</w:t>
      </w:r>
      <w:r>
        <w:rPr>
          <w:rFonts w:ascii="Times New Roman" w:hAnsi="Times New Roman"/>
          <w:noProof/>
          <w:sz w:val="24"/>
        </w:rPr>
        <w:t>cată a investițiilor prevăzute la literele (a), (c) și (d) oferă sprijin pentru modernizarea energetică a unităților de producție și a clădirilor, pentru echipamentele mecanice cu consum redus de energie pentru modernizarea unităților de producție existent</w:t>
      </w:r>
      <w:r>
        <w:rPr>
          <w:rFonts w:ascii="Times New Roman" w:hAnsi="Times New Roman"/>
          <w:noProof/>
          <w:sz w:val="24"/>
        </w:rPr>
        <w:t>e, pentru proiectele din unitățile de gestionare a deșeurilor și pentru gestionarea emisiilor de poluanți gazoși pentru protecția mediului, pentru introducerea de noi tehnologii de monitorizare a trasabilității, a proceselor de producție ecologice și a efi</w:t>
      </w:r>
      <w:r>
        <w:rPr>
          <w:rFonts w:ascii="Times New Roman" w:hAnsi="Times New Roman"/>
          <w:noProof/>
          <w:sz w:val="24"/>
        </w:rPr>
        <w:t>cienței resurselor, precum și pentru analiza pieței, colaborarea strategică și crearea unor lanțuri de aprovizionare de înaltă valoare, vizând în primul rând interconectarea sectoarelor economiei (agricultură — proces — turism). Aceste investiții vor sprij</w:t>
      </w:r>
      <w:r>
        <w:rPr>
          <w:rFonts w:ascii="Times New Roman" w:hAnsi="Times New Roman"/>
          <w:noProof/>
          <w:sz w:val="24"/>
        </w:rPr>
        <w:t>ini, de asemenea, mijloacele de transport ecologice, dezvoltarea de noi surse regenerabile de energie, adaptarea la schimbările climatice și măsurile de prevenire și de gestionare a riscurilor legate de climă, protecția biodiversității, patrimoniul natural</w:t>
      </w:r>
      <w:r>
        <w:rPr>
          <w:rFonts w:ascii="Times New Roman" w:hAnsi="Times New Roman"/>
          <w:noProof/>
          <w:sz w:val="24"/>
        </w:rPr>
        <w:t xml:space="preserve"> și resursele naturale.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Pentru a se asigura că măsura este conformă cu Orientările tehnice bazate pe principiul de „a nu aduce prejudicii semnificative” (2021/C58/01), criteriile de eligibilitate cuprinse în termenii de referință pentru cererile de propun</w:t>
      </w:r>
      <w:r>
        <w:rPr>
          <w:rFonts w:ascii="Times New Roman" w:hAnsi="Times New Roman"/>
          <w:noProof/>
          <w:sz w:val="24"/>
        </w:rPr>
        <w:t>eri de proiecte exclud următoarea listă de activități:</w:t>
      </w:r>
      <w:r>
        <w:rPr>
          <w:rFonts w:ascii="Times New Roman" w:hAnsi="Times New Roman"/>
          <w:noProof/>
          <w:color w:val="FF0000"/>
          <w:sz w:val="24"/>
        </w:rPr>
        <w:t xml:space="preserve"> </w:t>
      </w:r>
      <w:r>
        <w:rPr>
          <w:rFonts w:ascii="Times New Roman" w:hAnsi="Times New Roman"/>
          <w:noProof/>
          <w:sz w:val="24"/>
        </w:rPr>
        <w:t>(i) activitățile legate de combustibilii fosili, inclusiv utilizarea în aval</w:t>
      </w:r>
      <w:r>
        <w:rPr>
          <w:rFonts w:ascii="Times New Roman" w:hAnsi="Times New Roman" w:cs="Times New Roman"/>
          <w:noProof/>
          <w:sz w:val="24"/>
          <w:vertAlign w:val="superscript"/>
        </w:rPr>
        <w:footnoteReference w:id="34"/>
      </w:r>
      <w:r>
        <w:rPr>
          <w:rFonts w:ascii="Times New Roman" w:hAnsi="Times New Roman"/>
          <w:noProof/>
          <w:sz w:val="24"/>
        </w:rPr>
        <w:t>; (ii) activitățile din cadrul schemei UE de comercializare a certificatelor de emisii (ETS) care ating previziuni privind e</w:t>
      </w:r>
      <w:r>
        <w:rPr>
          <w:rFonts w:ascii="Times New Roman" w:hAnsi="Times New Roman"/>
          <w:noProof/>
          <w:sz w:val="24"/>
        </w:rPr>
        <w:t>misiile de gaze cu efect de seră care nu sunt mai mici decât valorile de referință relevante</w:t>
      </w:r>
      <w:r>
        <w:rPr>
          <w:rFonts w:ascii="Times New Roman" w:hAnsi="Times New Roman" w:cs="Times New Roman"/>
          <w:noProof/>
          <w:sz w:val="24"/>
          <w:vertAlign w:val="superscript"/>
        </w:rPr>
        <w:footnoteReference w:id="35"/>
      </w:r>
      <w:r>
        <w:rPr>
          <w:rFonts w:ascii="Times New Roman" w:hAnsi="Times New Roman"/>
          <w:noProof/>
          <w:sz w:val="24"/>
        </w:rPr>
        <w:t>; (iii) activitățile legate de depozitele de deșeuri, incineratoare</w:t>
      </w:r>
      <w:r>
        <w:rPr>
          <w:rFonts w:ascii="Times New Roman" w:hAnsi="Times New Roman" w:cs="Times New Roman"/>
          <w:noProof/>
          <w:sz w:val="24"/>
          <w:vertAlign w:val="superscript"/>
        </w:rPr>
        <w:footnoteReference w:id="36"/>
      </w:r>
      <w:r>
        <w:rPr>
          <w:rFonts w:ascii="Times New Roman" w:hAnsi="Times New Roman"/>
          <w:noProof/>
          <w:sz w:val="24"/>
        </w:rPr>
        <w:t xml:space="preserve"> și instalații de tratare mecano-biologică</w:t>
      </w:r>
      <w:r>
        <w:rPr>
          <w:rFonts w:ascii="Times New Roman" w:hAnsi="Times New Roman" w:cs="Times New Roman"/>
          <w:noProof/>
          <w:sz w:val="24"/>
          <w:vertAlign w:val="superscript"/>
        </w:rPr>
        <w:footnoteReference w:id="37"/>
      </w:r>
      <w:r>
        <w:rPr>
          <w:rFonts w:ascii="Times New Roman" w:hAnsi="Times New Roman"/>
          <w:noProof/>
          <w:sz w:val="24"/>
        </w:rPr>
        <w:t xml:space="preserve">; și (iv) activități în cadrul cărora eliminarea pe </w:t>
      </w:r>
      <w:r>
        <w:rPr>
          <w:rFonts w:ascii="Times New Roman" w:hAnsi="Times New Roman"/>
          <w:noProof/>
          <w:sz w:val="24"/>
        </w:rPr>
        <w:t>termen lung a deșeurilor poate dăuna mediului. În plus, mandatul impune ca numai activitățile care respectă legislația UE și națională relevantă în materie de mediu să poată fi selectate. Implementarea investiției trebuie finalizată până la 31 decembrie 20</w:t>
      </w:r>
      <w:r>
        <w:rPr>
          <w:rFonts w:ascii="Times New Roman" w:hAnsi="Times New Roman"/>
          <w:noProof/>
          <w:sz w:val="24"/>
        </w:rPr>
        <w:t>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Transformarea digitală a sectorului agroalimentar (numărul de identificare al măsurii:16653)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Investițiile promovează adoptarea de tehnologii inovatoare în sectorul agricol grec, controlul contrafacerii produselor grecești, facilitează </w:t>
      </w:r>
      <w:r>
        <w:rPr>
          <w:rFonts w:ascii="Times New Roman" w:hAnsi="Times New Roman"/>
          <w:noProof/>
          <w:sz w:val="24"/>
        </w:rPr>
        <w:t>accesul produselor alimentare grecești pe piețele străine, precum și dezvoltarea de noi cunoștințe agroalimentare în Grecia și utilizarea celor mai bune practici. Investiția cuprinde intervenții (a) pentru a sprijini transformarea digitală a sectorului agr</w:t>
      </w:r>
      <w:r>
        <w:rPr>
          <w:rFonts w:ascii="Times New Roman" w:hAnsi="Times New Roman"/>
          <w:noProof/>
          <w:sz w:val="24"/>
        </w:rPr>
        <w:t>icol, cum ar fi dezvoltarea unei infrastructuri digitale deschise la scară largă, cu infrastructură de tip cloud și capacități de prelucrare la scară largă a datelor satelitare și aeriene, și (b) pentru a promova comerțul cu produse agricole grecești, creș</w:t>
      </w:r>
      <w:r>
        <w:rPr>
          <w:rFonts w:ascii="Times New Roman" w:hAnsi="Times New Roman"/>
          <w:noProof/>
          <w:sz w:val="24"/>
        </w:rPr>
        <w:t xml:space="preserve">terea animalelor și pescuitul prin facilitarea eliberării certificatelor de export, dezvoltarea unui sistem de gestionare a datelor privind importurile și comerțul și a unui sistem de informații comerciale pentru importuri și comerț, precum și dezvoltarea </w:t>
      </w:r>
      <w:r>
        <w:rPr>
          <w:rFonts w:ascii="Times New Roman" w:hAnsi="Times New Roman"/>
          <w:noProof/>
          <w:sz w:val="24"/>
        </w:rPr>
        <w:t>unui portal orientat spre exterior pentru promovarea produselor agroalimentare și agricole grecești. Implementarea reformei trebuie finalizată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Propuneri de acțiuni în sectorul acvaculturii (numărul de identificare al măsu</w:t>
      </w:r>
      <w:r>
        <w:rPr>
          <w:rFonts w:ascii="Times New Roman" w:hAnsi="Times New Roman"/>
          <w:noProof/>
          <w:sz w:val="24"/>
        </w:rPr>
        <w:t>rii:16584)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investiție cuprinde soluții inovatoare în materie de echipamente, cercetare, transfer de know-how și formare a resurselor umane în vederea modernizării și diversificării producției de acvacultură. De asemenea, creează o bancă de material</w:t>
      </w:r>
      <w:r>
        <w:rPr>
          <w:rFonts w:ascii="Times New Roman" w:hAnsi="Times New Roman"/>
          <w:noProof/>
          <w:sz w:val="24"/>
        </w:rPr>
        <w:t xml:space="preserve"> genetic pentru speciile pe cale de dispariție și speciile comerciale de pești de apă dulce. Obiectivul investiției este de a sprijini procesele de producție ecologice și utilizarea eficientă a resurselor, ceea ce duce la intensificarea comerțului și la cr</w:t>
      </w:r>
      <w:r>
        <w:rPr>
          <w:rFonts w:ascii="Times New Roman" w:hAnsi="Times New Roman"/>
          <w:noProof/>
          <w:sz w:val="24"/>
        </w:rPr>
        <w:t>earea de locuri de muncă în acest sector.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Investiția: </w:t>
      </w:r>
      <w:r>
        <w:rPr>
          <w:rFonts w:ascii="Times New Roman" w:hAnsi="Times New Roman"/>
          <w:noProof/>
          <w:sz w:val="24"/>
        </w:rPr>
        <w:t>Intervenții pentru modernizarea porturilor regionale (numărul de identificare al măsurii:16975)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cuprinde intervenții pe</w:t>
      </w:r>
      <w:r>
        <w:rPr>
          <w:rFonts w:ascii="Times New Roman" w:hAnsi="Times New Roman"/>
          <w:noProof/>
          <w:sz w:val="24"/>
        </w:rPr>
        <w:t>ntru modernizarea porturilor regionale din insule și din zonele cu activități turistice dezvoltate. Intervențiile se efectuează în douăsprezece porturi din întreaga țară și constau în îmbunătățiri ale infrastructurii, cum ar fi modernizarea cheiurilor port</w:t>
      </w:r>
      <w:r>
        <w:rPr>
          <w:rFonts w:ascii="Times New Roman" w:hAnsi="Times New Roman"/>
          <w:noProof/>
          <w:sz w:val="24"/>
        </w:rPr>
        <w:t>urilor pentru a facilita îmbarcarea, întreruperile de undă, instalarea de cheiuri plutitoare, construirea de rampe de serviciu, pereții cheiurilor și lucrările de protecție costieră. Se preconizează că această măsură nu aduce prejudicii semnificative obiec</w:t>
      </w:r>
      <w:r>
        <w:rPr>
          <w:rFonts w:ascii="Times New Roman" w:hAnsi="Times New Roman"/>
          <w:noProof/>
          <w:sz w:val="24"/>
        </w:rPr>
        <w:t>tivelor de mediu în sensul articolului 17 din Regulamentul (UE) 2020/852, ținând seama de descrierea măsurii și de măsurile de atenuare stabilite în planul de redresare și reziliență, în conformitate cu Orientările tehnice bazate pe principiul de „a nu adu</w:t>
      </w:r>
      <w:r>
        <w:rPr>
          <w:rFonts w:ascii="Times New Roman" w:hAnsi="Times New Roman"/>
          <w:noProof/>
          <w:sz w:val="24"/>
        </w:rPr>
        <w:t>ce prejudicii semnificative” (2021/C58/01). În special, măsura face obiectul unei evaluări a impactului asupra mediului (EIM) în temeiul Directivei 2011/92/UE, pentru a se asigura că respectarea principiului de a nu prejudicia în mod semnificativ este inte</w:t>
      </w:r>
      <w:r>
        <w:rPr>
          <w:rFonts w:ascii="Times New Roman" w:hAnsi="Times New Roman"/>
          <w:noProof/>
          <w:sz w:val="24"/>
        </w:rPr>
        <w:t>grată în proiect și respectată cu strictețe în etapele de construcție, exploatare și dezafectare a infrastructurii. Implementarea investiției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noProof/>
          <w:sz w:val="24"/>
        </w:rPr>
        <w:t xml:space="preserve">Investiția: </w:t>
      </w:r>
      <w:r>
        <w:rPr>
          <w:rFonts w:ascii="Times New Roman" w:hAnsi="Times New Roman"/>
          <w:noProof/>
          <w:sz w:val="24"/>
        </w:rPr>
        <w:t>Planul general pentru reînnoirea flotei elene de transpo</w:t>
      </w:r>
      <w:r>
        <w:rPr>
          <w:rFonts w:ascii="Times New Roman" w:hAnsi="Times New Roman"/>
          <w:noProof/>
          <w:sz w:val="24"/>
        </w:rPr>
        <w:t>rt maritim de pasageri (numărul de identificare al măsurii:16944)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Investiția constă în pregătirea unui studiu detaliat, a unei strategii și a dezvoltării unui mecanism de finanțare pentru reînnoirea treptată a flotei de nave de pasageri a țării. Studiul de</w:t>
      </w:r>
      <w:r>
        <w:rPr>
          <w:rFonts w:ascii="Times New Roman" w:hAnsi="Times New Roman"/>
          <w:noProof/>
          <w:sz w:val="24"/>
        </w:rPr>
        <w:t xml:space="preserve">finește nevoile relevante de modernizare ale navelor și orizontul investiției, nevoile de finanțare ale operatorilor și veniturile potențiale care vor fi generate prin planul de reînnoire, definește reînnoirea infrastructurii care ar trebui să aibă loc în </w:t>
      </w:r>
      <w:r>
        <w:rPr>
          <w:rFonts w:ascii="Times New Roman" w:hAnsi="Times New Roman"/>
          <w:noProof/>
          <w:sz w:val="24"/>
        </w:rPr>
        <w:t>porturi pentru a sprijini exploatarea noilor nave și pentru a dezvolta un mecanism de finanțare pentru a facilita accesul la finanțare al operatorilor. Implementarea investiției trebuie finalizată până la 30 iunie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noProof/>
          <w:sz w:val="24"/>
        </w:rPr>
        <w:t>Reforma:</w:t>
      </w:r>
      <w:r>
        <w:rPr>
          <w:rFonts w:ascii="Times New Roman" w:hAnsi="Times New Roman"/>
          <w:noProof/>
          <w:sz w:val="24"/>
        </w:rPr>
        <w:t xml:space="preserve"> Reforma organizațională în </w:t>
      </w:r>
      <w:r>
        <w:rPr>
          <w:rFonts w:ascii="Times New Roman" w:hAnsi="Times New Roman"/>
          <w:noProof/>
          <w:sz w:val="24"/>
        </w:rPr>
        <w:t>sectorul feroviar (numărul de identificare al măsurii 16982)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Principalele acțiuni ale proiectului sunt:</w:t>
      </w:r>
    </w:p>
    <w:p w:rsidR="00780A28" w:rsidRDefault="001867D7">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Adoptarea unei foi de parcurs cu etapele pentru reorganizarea completă a societăților OSE și ERGOSE.</w:t>
      </w:r>
    </w:p>
    <w:p w:rsidR="00780A28" w:rsidRDefault="001867D7">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Recrutarea unui consultant specializat pentru a </w:t>
      </w:r>
      <w:r>
        <w:rPr>
          <w:rFonts w:ascii="Times New Roman" w:hAnsi="Times New Roman"/>
          <w:noProof/>
          <w:sz w:val="24"/>
        </w:rPr>
        <w:t>sprijini punerea în aplicare a reformei</w:t>
      </w:r>
    </w:p>
    <w:p w:rsidR="00780A28" w:rsidRDefault="001867D7">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Intrarea în vigoare a legislației primare și secundare pentru reforma celor două societăți, permițându-le să dezvolte, să exploateze și să întrețină o rețea feroviară modernă.</w:t>
      </w:r>
    </w:p>
    <w:p w:rsidR="00780A28" w:rsidRDefault="001867D7">
      <w:pPr>
        <w:numPr>
          <w:ilvl w:val="0"/>
          <w:numId w:val="66"/>
        </w:numPr>
        <w:spacing w:before="120" w:after="120" w:line="240" w:lineRule="auto"/>
        <w:ind w:left="360"/>
        <w:jc w:val="both"/>
        <w:rPr>
          <w:rFonts w:ascii="Times New Roman" w:hAnsi="Times New Roman" w:cs="Times New Roman"/>
          <w:noProof/>
          <w:sz w:val="24"/>
        </w:rPr>
      </w:pPr>
      <w:r>
        <w:rPr>
          <w:rFonts w:ascii="Times New Roman" w:hAnsi="Times New Roman"/>
          <w:noProof/>
          <w:sz w:val="24"/>
        </w:rPr>
        <w:t xml:space="preserve">Punerea în aplicare a reformei definite </w:t>
      </w:r>
      <w:r>
        <w:rPr>
          <w:rFonts w:ascii="Times New Roman" w:hAnsi="Times New Roman"/>
          <w:noProof/>
          <w:sz w:val="24"/>
        </w:rPr>
        <w:t xml:space="preserve">în legislația primară și secundară.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Implementarea reformei trebuie finalizată până la 31 decembrie 2023. Reforma urmărește să facă sectorul feroviar din Grecia mai eficient, mai integrat, mai modern și mai receptiv la cererea clienților. Reforma este spri</w:t>
      </w:r>
      <w:r>
        <w:rPr>
          <w:rFonts w:ascii="Times New Roman" w:hAnsi="Times New Roman"/>
          <w:noProof/>
          <w:sz w:val="24"/>
        </w:rPr>
        <w:t xml:space="preserve">jinită de un contract-cadru multiplu pentru restructurarea sectorului infrastructurii feroviare din Grecia.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noProof/>
          <w:sz w:val="24"/>
        </w:rPr>
        <w:t>Reforma:</w:t>
      </w:r>
      <w:r>
        <w:rPr>
          <w:rFonts w:ascii="Times New Roman" w:hAnsi="Times New Roman"/>
          <w:noProof/>
          <w:sz w:val="24"/>
        </w:rPr>
        <w:t xml:space="preserve"> Modificarea cadrului juridic pentru atragerea investițiilor strategice (numărul de identificare al măsurii 16593)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Obiectivul reformei este</w:t>
      </w:r>
      <w:r>
        <w:rPr>
          <w:rFonts w:ascii="Times New Roman" w:hAnsi="Times New Roman"/>
          <w:noProof/>
          <w:sz w:val="24"/>
        </w:rPr>
        <w:t xml:space="preserve"> de a promova Grecia ca destinație atractivă pentru potențialii investitori. Reforma revizuiește cadrul juridic pentru atragerea investițiilor strategice și unifică într-un singur act juridic dispozițiile a două legi diferite 3894/2010 și 4608/2019, astfel</w:t>
      </w:r>
      <w:r>
        <w:rPr>
          <w:rFonts w:ascii="Times New Roman" w:hAnsi="Times New Roman"/>
          <w:noProof/>
          <w:sz w:val="24"/>
        </w:rPr>
        <w:t xml:space="preserve"> încât cadrul juridic privind investițiile strategice să fie clar pentru potențialii investitori. Aceasta creează o nouă categorie de investiții strategice cu stimulente suplimentare, simplifică și consolidează procedura de acordare a licențelor prin inter</w:t>
      </w:r>
      <w:r>
        <w:rPr>
          <w:rFonts w:ascii="Times New Roman" w:hAnsi="Times New Roman"/>
          <w:noProof/>
          <w:sz w:val="24"/>
        </w:rPr>
        <w:t>mediul unui ghișeu unic și include noi domenii de activitate economică și potențiale proiecte importante de interes european comun (PIIEC) în cadrul de reglementare existent (Legea nr. 3894/2010 și Legea nr. 4608/2019). Principalele criterii pentru ca o in</w:t>
      </w:r>
      <w:r>
        <w:rPr>
          <w:rFonts w:ascii="Times New Roman" w:hAnsi="Times New Roman"/>
          <w:noProof/>
          <w:sz w:val="24"/>
        </w:rPr>
        <w:t>vestiție să fie calificată drept investiție emblematică de mare importanță este de a promova inovarea sau difuzarea tehnologiei, economia ecologică și/sau de a promova în mod semnificativ competitivitatea economiei elene la nivel internațional. Caracteriza</w:t>
      </w:r>
      <w:r>
        <w:rPr>
          <w:rFonts w:ascii="Times New Roman" w:hAnsi="Times New Roman"/>
          <w:noProof/>
          <w:sz w:val="24"/>
        </w:rPr>
        <w:t>rea proiectelor nu necesită o sumă minimă a costurilor de investiții sau un număr minim de cote anuale de ocupare a forței de muncă. Un comitet special format din trei oameni de știință renumiți pe diferite teme științifice, instituit printr-o decizie mini</w:t>
      </w:r>
      <w:r>
        <w:rPr>
          <w:rFonts w:ascii="Times New Roman" w:hAnsi="Times New Roman"/>
          <w:noProof/>
          <w:sz w:val="24"/>
        </w:rPr>
        <w:t xml:space="preserve">sterială comună emisă de ministrul finanțelor și ministrul dezvoltării și investițiilor, va decide cu privire la îndeplinirea criteriilor de mai sus în urma cererilor investitorilor și prezintă un aviz formal Comitetului interministerial pentru investiții </w:t>
      </w:r>
      <w:r>
        <w:rPr>
          <w:rFonts w:ascii="Times New Roman" w:hAnsi="Times New Roman"/>
          <w:noProof/>
          <w:sz w:val="24"/>
        </w:rPr>
        <w:t>strategice, care ia Deciziei finală privind caracterizarea investiției drept investiție strategică de mare importanță și stimulentele specifice la care are dreptul investiția. 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Investițiil</w:t>
      </w:r>
      <w:r>
        <w:rPr>
          <w:rFonts w:ascii="Times New Roman" w:hAnsi="Times New Roman"/>
          <w:noProof/>
          <w:sz w:val="24"/>
        </w:rPr>
        <w:t>e eligibile pentru finanțare includ proiecte care promovează inovarea sau difuzarea tehnologiei, utilizarea surselor regenerabile de energie și tranziția către o economie cu emisii scăzute de dioxid de carbon și/sau care promovează în mod semnificativ comp</w:t>
      </w:r>
      <w:r>
        <w:rPr>
          <w:rFonts w:ascii="Times New Roman" w:hAnsi="Times New Roman"/>
          <w:noProof/>
          <w:sz w:val="24"/>
        </w:rPr>
        <w:t xml:space="preserve">etitivitatea economiei Greciei la nivel internațional. Investițiile eligibile includ investiții în construirea de noi clădiri eficiente din punct de vedere energetic și sprijin pentru întreprinderile care furnizează servicii care contribuie la economia cu </w:t>
      </w:r>
      <w:r>
        <w:rPr>
          <w:rFonts w:ascii="Times New Roman" w:hAnsi="Times New Roman"/>
          <w:noProof/>
          <w:sz w:val="24"/>
        </w:rPr>
        <w:t>emisii scăzute de dioxid de carbon și la reziliența la schimbările climatice, și anume: a) infrastructuri cu criterii energetice specifice pentru construirea de clădiri noi, b) proiecte de generare de energie electrică hibride din surse regenerabile de ene</w:t>
      </w:r>
      <w:r>
        <w:rPr>
          <w:rFonts w:ascii="Times New Roman" w:hAnsi="Times New Roman"/>
          <w:noProof/>
          <w:sz w:val="24"/>
        </w:rPr>
        <w:t>rgie în insulele neconectate c) investiții pentru producția de hidrogen ecologic, d) sisteme de stocare a energiei electrice produse din surse regenerabile de energie și e) instalații de parcuri eoliene offshore și parcuri fotovoltaice offshore. Construcți</w:t>
      </w:r>
      <w:r>
        <w:rPr>
          <w:rFonts w:ascii="Times New Roman" w:hAnsi="Times New Roman"/>
          <w:noProof/>
          <w:sz w:val="24"/>
        </w:rPr>
        <w:t xml:space="preserve">a de clădiri noi trebuie să respecte o cerere de energie primară (PED) care este cu cel puțin 20 % mai mică decât cerința privind clădirile al căror consum de energie este aproape egal cu zero (clădiri al căror consum de energie este aproape egal cu zero, </w:t>
      </w:r>
      <w:r>
        <w:rPr>
          <w:rFonts w:ascii="Times New Roman" w:hAnsi="Times New Roman"/>
          <w:noProof/>
          <w:sz w:val="24"/>
        </w:rPr>
        <w:t xml:space="preserve">directivele naționale). </w:t>
      </w:r>
    </w:p>
    <w:p w:rsidR="00780A28" w:rsidRDefault="001867D7">
      <w:pPr>
        <w:spacing w:before="120" w:after="120" w:line="240" w:lineRule="auto"/>
        <w:jc w:val="both"/>
        <w:rPr>
          <w:rFonts w:ascii="Times New Roman" w:hAnsi="Times New Roman" w:cs="Times New Roman"/>
          <w:iCs/>
          <w:noProof/>
          <w:sz w:val="24"/>
          <w:highlight w:val="green"/>
        </w:rPr>
      </w:pPr>
      <w:r>
        <w:rPr>
          <w:rFonts w:ascii="Times New Roman" w:hAnsi="Times New Roman"/>
          <w:noProof/>
          <w:sz w:val="24"/>
        </w:rPr>
        <w:t>Pentru a se asigura că măsura este conformă cu Orientările tehnice bazate pe principiul de „a nu aduce prejudicii semnificative” (2021/C58/01), criteriile de eligibilitate cuprinse în termenii de referință pentru cererile de propun</w:t>
      </w:r>
      <w:r>
        <w:rPr>
          <w:rFonts w:ascii="Times New Roman" w:hAnsi="Times New Roman"/>
          <w:noProof/>
          <w:sz w:val="24"/>
        </w:rPr>
        <w:t>eri de proiecte exclud următoarea listă de activități:</w:t>
      </w:r>
      <w:r>
        <w:rPr>
          <w:rFonts w:ascii="Times New Roman" w:hAnsi="Times New Roman"/>
          <w:noProof/>
          <w:color w:val="FF0000"/>
          <w:sz w:val="24"/>
        </w:rPr>
        <w:t xml:space="preserve"> </w:t>
      </w:r>
      <w:r>
        <w:rPr>
          <w:rFonts w:ascii="Times New Roman" w:hAnsi="Times New Roman"/>
          <w:noProof/>
          <w:sz w:val="24"/>
        </w:rPr>
        <w:t>(i) activitățile legate de combustibilii fosili, inclusiv utilizarea în aval</w:t>
      </w:r>
      <w:r>
        <w:rPr>
          <w:rFonts w:ascii="Times New Roman" w:hAnsi="Times New Roman" w:cs="Times New Roman"/>
          <w:noProof/>
          <w:sz w:val="24"/>
          <w:vertAlign w:val="superscript"/>
        </w:rPr>
        <w:footnoteReference w:id="38"/>
      </w:r>
      <w:r>
        <w:rPr>
          <w:rFonts w:ascii="Times New Roman" w:hAnsi="Times New Roman"/>
          <w:noProof/>
          <w:sz w:val="24"/>
        </w:rPr>
        <w:t>; (ii) activitățile din cadrul schemei UE de comercializare a certificatelor de emisii (ETS) care ating previziuni privind e</w:t>
      </w:r>
      <w:r>
        <w:rPr>
          <w:rFonts w:ascii="Times New Roman" w:hAnsi="Times New Roman"/>
          <w:noProof/>
          <w:sz w:val="24"/>
        </w:rPr>
        <w:t>misiile de gaze cu efect de seră care nu sunt mai mici decât valorile de referință relevante</w:t>
      </w:r>
      <w:r>
        <w:rPr>
          <w:rFonts w:ascii="Times New Roman" w:hAnsi="Times New Roman" w:cs="Times New Roman"/>
          <w:noProof/>
          <w:sz w:val="24"/>
          <w:vertAlign w:val="superscript"/>
        </w:rPr>
        <w:footnoteReference w:id="39"/>
      </w:r>
      <w:r>
        <w:rPr>
          <w:rFonts w:ascii="Times New Roman" w:hAnsi="Times New Roman"/>
          <w:noProof/>
          <w:sz w:val="24"/>
        </w:rPr>
        <w:t>; (iii) activitățile legate de depozitele de deșeuri, incineratoare</w:t>
      </w:r>
      <w:r>
        <w:rPr>
          <w:rFonts w:ascii="Times New Roman" w:hAnsi="Times New Roman" w:cs="Times New Roman"/>
          <w:noProof/>
          <w:sz w:val="24"/>
          <w:vertAlign w:val="superscript"/>
        </w:rPr>
        <w:footnoteReference w:id="40"/>
      </w:r>
      <w:r>
        <w:rPr>
          <w:rFonts w:ascii="Times New Roman" w:hAnsi="Times New Roman"/>
          <w:noProof/>
          <w:sz w:val="24"/>
        </w:rPr>
        <w:t xml:space="preserve"> și instalații de tratare mecano-biologică</w:t>
      </w:r>
      <w:r>
        <w:rPr>
          <w:rFonts w:ascii="Times New Roman" w:hAnsi="Times New Roman" w:cs="Times New Roman"/>
          <w:noProof/>
          <w:sz w:val="24"/>
          <w:vertAlign w:val="superscript"/>
        </w:rPr>
        <w:footnoteReference w:id="41"/>
      </w:r>
      <w:r>
        <w:rPr>
          <w:rFonts w:ascii="Times New Roman" w:hAnsi="Times New Roman"/>
          <w:noProof/>
          <w:sz w:val="24"/>
        </w:rPr>
        <w:t xml:space="preserve">; și (iv) activități în cadrul cărora eliminarea pe </w:t>
      </w:r>
      <w:r>
        <w:rPr>
          <w:rFonts w:ascii="Times New Roman" w:hAnsi="Times New Roman"/>
          <w:noProof/>
          <w:sz w:val="24"/>
        </w:rPr>
        <w:t>termen lung a deșeurilor poate dăuna mediului. În plus, mandatul impune ca numai activitățile care respectă legislația UE și națională relevantă în materie de mediu să poată fi selectate.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noProof/>
          <w:sz w:val="24"/>
        </w:rPr>
        <w:t>Reforma:</w:t>
      </w:r>
      <w:r>
        <w:rPr>
          <w:rFonts w:ascii="Times New Roman" w:hAnsi="Times New Roman"/>
          <w:noProof/>
          <w:sz w:val="24"/>
        </w:rPr>
        <w:t xml:space="preserve"> Digitizarea rețelei diplomației economice (numărul de ident</w:t>
      </w:r>
      <w:r>
        <w:rPr>
          <w:rFonts w:ascii="Times New Roman" w:hAnsi="Times New Roman"/>
          <w:noProof/>
          <w:sz w:val="24"/>
        </w:rPr>
        <w:t>ificare al măsurii 16599)</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reformă constă într-un set de reforme de politică care vizează digitalizarea rețelei elene de diplomație economică. Reforma include extinderea serviciilor „Helpdesk” furnizate de Enterprise Greece, agenția de stat pentru c</w:t>
      </w:r>
      <w:r>
        <w:rPr>
          <w:rFonts w:ascii="Times New Roman" w:hAnsi="Times New Roman"/>
          <w:noProof/>
          <w:sz w:val="24"/>
        </w:rPr>
        <w:t>omerț și promovarea investițiilor, achiziționarea, prelucrarea și exploatarea bazelor de date de pe piețele internaționale și privind procedurile de export, instituirea unui serviciu de mediere pentru a ajuta exportatorii să depășească obstacolele din timp</w:t>
      </w:r>
      <w:r>
        <w:rPr>
          <w:rFonts w:ascii="Times New Roman" w:hAnsi="Times New Roman"/>
          <w:noProof/>
          <w:sz w:val="24"/>
        </w:rPr>
        <w:t>ul procesului de export, digitalizarea completă a proceselor interne ale întreprinderii Enterprise Greece și noile canale digitale de comunicare cu exportatorii și potențialii investitori. Implementarea reformei trebuie finalizată până la 30 iunie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noProof/>
          <w:sz w:val="24"/>
        </w:rPr>
        <w:t>Re</w:t>
      </w:r>
      <w:r>
        <w:rPr>
          <w:rFonts w:ascii="Times New Roman" w:hAnsi="Times New Roman"/>
          <w:b/>
          <w:noProof/>
          <w:sz w:val="24"/>
        </w:rPr>
        <w:t>forma:</w:t>
      </w:r>
      <w:r>
        <w:rPr>
          <w:rFonts w:ascii="Times New Roman" w:hAnsi="Times New Roman"/>
          <w:noProof/>
          <w:sz w:val="24"/>
        </w:rPr>
        <w:t xml:space="preserve"> Facilitarea comerțului (numărul de identificare al măsurii: 16592)</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vizează facilitarea comerțului prin simplificarea procedurilor administrative pentru societățile care își desfășoară activitatea în Grecia. În special, reforma vizează: a) re</w:t>
      </w:r>
      <w:r>
        <w:rPr>
          <w:rFonts w:ascii="Times New Roman" w:hAnsi="Times New Roman"/>
          <w:noProof/>
          <w:sz w:val="24"/>
        </w:rPr>
        <w:t>vizuirea și simplificarea procedurilor pre-vamale și vamale existente, b) identificarea oricăror sarcini și/sau costuri administrative inutile pentru întreprinderi, c) permiterea instituirii unui sistem informatic unic și integrat (ghișeu unic) în conformi</w:t>
      </w:r>
      <w:r>
        <w:rPr>
          <w:rFonts w:ascii="Times New Roman" w:hAnsi="Times New Roman"/>
          <w:noProof/>
          <w:sz w:val="24"/>
        </w:rPr>
        <w:t>tate cu cele mai bune practici internaționale, d) instituirea unui sistem de monitorizare pentru a asigura punerea în aplicare adecvată și eficientă a controalelor comerțului transfrontalier.</w:t>
      </w:r>
      <w:r>
        <w:rPr>
          <w:rFonts w:ascii="Times New Roman" w:hAnsi="Times New Roman"/>
          <w:noProof/>
          <w:color w:val="000000"/>
          <w:sz w:val="24"/>
        </w:rPr>
        <w:t> </w:t>
      </w:r>
      <w:r>
        <w:rPr>
          <w:rFonts w:ascii="Times New Roman" w:hAnsi="Times New Roman"/>
          <w:noProof/>
          <w:sz w:val="24"/>
        </w:rPr>
        <w:t>Reforma se bazează pe și completează reforma instituțională care</w:t>
      </w:r>
      <w:r>
        <w:rPr>
          <w:rFonts w:ascii="Times New Roman" w:hAnsi="Times New Roman"/>
          <w:noProof/>
          <w:sz w:val="24"/>
        </w:rPr>
        <w:t xml:space="preserve"> a fost inițiată în 2019 prin integrarea tuturor responsabilităților de promovare a exporturilor și de facilitare a comerțului în cadrul Ministerului Afacerilor Externe. Implementarea reformei trebuie finalizată până la 31 decembrie 2023.</w:t>
      </w:r>
    </w:p>
    <w:p w:rsidR="00780A28" w:rsidRDefault="00780A28">
      <w:pPr>
        <w:spacing w:before="120" w:after="120" w:line="240" w:lineRule="auto"/>
        <w:ind w:left="709"/>
        <w:jc w:val="both"/>
        <w:rPr>
          <w:rFonts w:ascii="Times New Roman" w:hAnsi="Times New Roman" w:cs="Times New Roman"/>
          <w:b/>
          <w:noProof/>
          <w:sz w:val="24"/>
          <w:u w:val="single"/>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57"/>
          <w:headerReference w:type="default" r:id="rId258"/>
          <w:footerReference w:type="even" r:id="rId259"/>
          <w:footerReference w:type="default" r:id="rId260"/>
          <w:headerReference w:type="first" r:id="rId261"/>
          <w:footerReference w:type="first" r:id="rId262"/>
          <w:pgSz w:w="11907" w:h="16839"/>
          <w:pgMar w:top="1134" w:right="1417" w:bottom="1134" w:left="1417" w:header="709" w:footer="709" w:gutter="0"/>
          <w:cols w:space="720"/>
          <w:docGrid w:linePitch="360"/>
        </w:sectPr>
      </w:pPr>
    </w:p>
    <w:p w:rsidR="00780A28" w:rsidRDefault="001867D7">
      <w:pPr>
        <w:keepNext/>
        <w:keepLines/>
        <w:spacing w:before="40" w:after="240" w:line="240" w:lineRule="auto"/>
        <w:jc w:val="both"/>
        <w:outlineLvl w:val="4"/>
        <w:rPr>
          <w:rFonts w:ascii="Cambria" w:eastAsia="Times New Roman" w:hAnsi="Cambria"/>
          <w:noProof/>
          <w:color w:val="365F91"/>
          <w:sz w:val="24"/>
        </w:rPr>
      </w:pPr>
      <w:r>
        <w:rPr>
          <w:rFonts w:ascii="Times New Roman" w:hAnsi="Times New Roman"/>
          <w:b/>
          <w:bCs/>
          <w:noProof/>
          <w:sz w:val="24"/>
          <w:u w:val="single"/>
        </w:rPr>
        <w:t xml:space="preserve">Q.2.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r>
        <w:rPr>
          <w:rFonts w:ascii="Cambria" w:hAnsi="Cambria"/>
          <w:noProof/>
          <w:color w:val="365F91"/>
          <w:sz w:val="24"/>
        </w:rPr>
        <w:t xml:space="preserve"> </w:t>
      </w:r>
    </w:p>
    <w:p w:rsidR="00780A28" w:rsidRDefault="001867D7">
      <w:pPr>
        <w:keepNext/>
        <w:keepLines/>
        <w:spacing w:before="40" w:after="240" w:line="240" w:lineRule="auto"/>
        <w:jc w:val="both"/>
        <w:outlineLvl w:val="4"/>
        <w:rPr>
          <w:rFonts w:ascii="Cambria" w:eastAsia="Times New Roman" w:hAnsi="Cambria"/>
          <w:noProof/>
          <w:color w:val="365F91"/>
          <w:sz w:val="24"/>
        </w:rPr>
      </w:pPr>
      <w:r>
        <w:rPr>
          <w:rFonts w:ascii="Cambria" w:hAnsi="Cambria"/>
          <w:noProof/>
          <w:color w:val="365F91"/>
          <w:sz w:val="24"/>
        </w:rPr>
        <w:t>Cele mai importante investiții 6: Autostrada E-65 a Greciei Centrale: secțiunea Trikala-</w:t>
      </w:r>
      <w:r>
        <w:rPr>
          <w:rFonts w:ascii="Cambria" w:hAnsi="Cambria"/>
          <w:noProof/>
          <w:color w:val="365F91"/>
          <w:sz w:val="24"/>
        </w:rPr>
        <w:t xml:space="preserve"> Egnatia</w:t>
      </w:r>
    </w:p>
    <w:tbl>
      <w:tblPr>
        <w:tblW w:w="15669" w:type="dxa"/>
        <w:jc w:val="center"/>
        <w:tblLook w:val="04A0" w:firstRow="1" w:lastRow="0" w:firstColumn="1" w:lastColumn="0" w:noHBand="0" w:noVBand="1"/>
      </w:tblPr>
      <w:tblGrid>
        <w:gridCol w:w="1027"/>
        <w:gridCol w:w="1577"/>
        <w:gridCol w:w="1107"/>
        <w:gridCol w:w="1137"/>
        <w:gridCol w:w="1713"/>
        <w:gridCol w:w="947"/>
        <w:gridCol w:w="992"/>
        <w:gridCol w:w="866"/>
        <w:gridCol w:w="850"/>
        <w:gridCol w:w="851"/>
        <w:gridCol w:w="5042"/>
      </w:tblGrid>
      <w:tr w:rsidR="00780A28">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Număr secvențial</w:t>
            </w:r>
          </w:p>
        </w:tc>
        <w:tc>
          <w:tcPr>
            <w:tcW w:w="129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Măsură conexă (reformă sau investiție)</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Jalon/Țintă</w:t>
            </w:r>
          </w:p>
        </w:tc>
        <w:tc>
          <w:tcPr>
            <w:tcW w:w="1137"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calitativi (pentru jaloane)</w:t>
            </w:r>
          </w:p>
        </w:tc>
        <w:tc>
          <w:tcPr>
            <w:tcW w:w="2790"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cantitativi (pentru ținte)</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Calendar orientativ pentru atingerea jaloanelor/țintelor </w:t>
            </w:r>
          </w:p>
        </w:tc>
        <w:tc>
          <w:tcPr>
            <w:tcW w:w="504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Descrierea fiecărui jalon și a fiecărei</w:t>
            </w:r>
            <w:r>
              <w:rPr>
                <w:rFonts w:ascii="Times New Roman" w:hAnsi="Times New Roman"/>
                <w:b/>
                <w:bCs/>
                <w:noProof/>
                <w:sz w:val="18"/>
                <w:szCs w:val="18"/>
              </w:rPr>
              <w:t xml:space="preserve"> ținte</w:t>
            </w:r>
          </w:p>
        </w:tc>
      </w:tr>
      <w:tr w:rsidR="00780A28">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9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37"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4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Unitate de măsură</w:t>
            </w:r>
          </w:p>
        </w:tc>
        <w:tc>
          <w:tcPr>
            <w:tcW w:w="99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Valoare de referință </w:t>
            </w:r>
          </w:p>
        </w:tc>
        <w:tc>
          <w:tcPr>
            <w:tcW w:w="85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Obiectiv </w:t>
            </w:r>
          </w:p>
        </w:tc>
        <w:tc>
          <w:tcPr>
            <w:tcW w:w="85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 sfert</w:t>
            </w:r>
          </w:p>
        </w:tc>
        <w:tc>
          <w:tcPr>
            <w:tcW w:w="85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Anul</w:t>
            </w:r>
          </w:p>
        </w:tc>
        <w:tc>
          <w:tcPr>
            <w:tcW w:w="5042"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254</w:t>
            </w:r>
          </w:p>
        </w:tc>
        <w:tc>
          <w:tcPr>
            <w:tcW w:w="12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7 - 4.6. Modernizarea și îmbunătățirea rezilienței principalelor sectoare economice — 16628_Autostrada E-65 a Greciei Centrale: secțiunea Trikala- Egnatia</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Începerea lucrărilor de construcție în E-65</w:t>
            </w:r>
          </w:p>
        </w:tc>
        <w:tc>
          <w:tcPr>
            <w:tcW w:w="171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Raportul unui inginer independent ratificat de Mini</w:t>
            </w:r>
            <w:r>
              <w:rPr>
                <w:noProof/>
                <w:color w:val="006100"/>
                <w:sz w:val="18"/>
                <w:szCs w:val="18"/>
              </w:rPr>
              <w:t>sterul Infrastructurii</w:t>
            </w:r>
          </w:p>
        </w:tc>
        <w:tc>
          <w:tcPr>
            <w:tcW w:w="94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0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Începerea lucrărilor de construcție pentru șoseaua E-65 Central Greece: Trikala- Egnatia</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255</w:t>
            </w:r>
          </w:p>
        </w:tc>
        <w:tc>
          <w:tcPr>
            <w:tcW w:w="129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principalelor sectoare economice — 16628_Autostrada E-65 a Greciei Centrale:</w:t>
            </w:r>
            <w:r>
              <w:rPr>
                <w:noProof/>
                <w:color w:val="006100"/>
                <w:sz w:val="18"/>
                <w:szCs w:val="18"/>
              </w:rPr>
              <w:t xml:space="preserve"> secțiunea Trikala- Egnatia</w:t>
            </w:r>
          </w:p>
        </w:tc>
        <w:tc>
          <w:tcPr>
            <w:tcW w:w="9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E-65 lucrări — prima fază de construcție</w:t>
            </w:r>
          </w:p>
        </w:tc>
        <w:tc>
          <w:tcPr>
            <w:tcW w:w="171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60 % din proiecte finalizate pe baza unui raport elaborat de un inginer independent ratificat de Ministerul Infrastructurii</w:t>
            </w:r>
          </w:p>
        </w:tc>
        <w:tc>
          <w:tcPr>
            <w:tcW w:w="94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50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jc w:val="both"/>
              <w:rPr>
                <w:rFonts w:eastAsia="Times New Roman" w:cs="Calibri"/>
                <w:noProof/>
                <w:color w:val="006100"/>
                <w:sz w:val="18"/>
                <w:szCs w:val="18"/>
              </w:rPr>
            </w:pPr>
            <w:r>
              <w:rPr>
                <w:noProof/>
                <w:color w:val="006100"/>
                <w:sz w:val="18"/>
                <w:szCs w:val="18"/>
              </w:rPr>
              <w:t xml:space="preserve">60 % din valoarea lucrărilor de construcție </w:t>
            </w:r>
            <w:r>
              <w:rPr>
                <w:noProof/>
                <w:color w:val="006100"/>
                <w:sz w:val="18"/>
                <w:szCs w:val="18"/>
              </w:rPr>
              <w:t>pentru șoseaua E-65 Central Greece: Șoseaua Trikala-Egnatia trebuie să fi fost finalizată și avizată de un inginer independent.</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256</w:t>
            </w:r>
          </w:p>
        </w:tc>
        <w:tc>
          <w:tcPr>
            <w:tcW w:w="129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17 - 4.6. Modernizarea și îmbunătățirea rezilienței principalelor sectoare economice — 16628_Autostrada E-65 a Greciei </w:t>
            </w:r>
            <w:r>
              <w:rPr>
                <w:noProof/>
                <w:color w:val="006100"/>
                <w:sz w:val="18"/>
                <w:szCs w:val="18"/>
              </w:rPr>
              <w:t>Centrale: secțiunea Trikala- Egnatia</w:t>
            </w:r>
          </w:p>
        </w:tc>
        <w:tc>
          <w:tcPr>
            <w:tcW w:w="96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3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E-65 lucrări — finalizare</w:t>
            </w:r>
          </w:p>
        </w:tc>
        <w:tc>
          <w:tcPr>
            <w:tcW w:w="171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100 % din proiecte finalizate, susținute de un inginer independent ratificat de Ministerul Infrastructurii</w:t>
            </w:r>
          </w:p>
        </w:tc>
        <w:tc>
          <w:tcPr>
            <w:tcW w:w="947"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85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Q2</w:t>
            </w:r>
          </w:p>
        </w:tc>
        <w:tc>
          <w:tcPr>
            <w:tcW w:w="85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04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inclusiv lucrări ocazionale (cum ar fi </w:t>
            </w:r>
            <w:r>
              <w:rPr>
                <w:noProof/>
                <w:color w:val="006100"/>
                <w:sz w:val="18"/>
                <w:szCs w:val="18"/>
              </w:rPr>
              <w:t>toate stațiile de taxare rutieră, măsurile de iluminat și de siguranță necesare pentru certificarea și funcționarea autostrăzii).</w:t>
            </w:r>
          </w:p>
        </w:tc>
      </w:tr>
    </w:tbl>
    <w:p w:rsidR="00780A28" w:rsidRDefault="00780A28">
      <w:pPr>
        <w:keepNext/>
        <w:keepLines/>
        <w:spacing w:before="240" w:after="0" w:line="240" w:lineRule="auto"/>
        <w:jc w:val="both"/>
        <w:outlineLvl w:val="4"/>
        <w:rPr>
          <w:rFonts w:ascii="Cambria" w:eastAsia="Times New Roman" w:hAnsi="Cambria"/>
          <w:noProof/>
          <w:color w:val="365F91"/>
          <w:sz w:val="24"/>
        </w:rPr>
        <w:sectPr w:rsidR="00780A28">
          <w:headerReference w:type="even" r:id="rId263"/>
          <w:headerReference w:type="default" r:id="rId264"/>
          <w:footerReference w:type="even" r:id="rId265"/>
          <w:footerReference w:type="default" r:id="rId266"/>
          <w:headerReference w:type="first" r:id="rId267"/>
          <w:footerReference w:type="first" r:id="rId268"/>
          <w:pgSz w:w="16839" w:h="11907" w:orient="landscape"/>
          <w:pgMar w:top="720" w:right="720" w:bottom="720" w:left="720" w:header="709" w:footer="709" w:gutter="0"/>
          <w:cols w:space="720"/>
          <w:docGrid w:linePitch="360"/>
        </w:sectPr>
      </w:pPr>
    </w:p>
    <w:p w:rsidR="00780A28" w:rsidRDefault="001867D7">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Cele mai importante investiții 7: Modernizarea siguranței rutiere</w:t>
      </w:r>
    </w:p>
    <w:tbl>
      <w:tblPr>
        <w:tblW w:w="15502" w:type="dxa"/>
        <w:tblInd w:w="113" w:type="dxa"/>
        <w:tblLook w:val="04A0" w:firstRow="1" w:lastRow="0" w:firstColumn="1" w:lastColumn="0" w:noHBand="0" w:noVBand="1"/>
      </w:tblPr>
      <w:tblGrid>
        <w:gridCol w:w="973"/>
        <w:gridCol w:w="1782"/>
        <w:gridCol w:w="1219"/>
        <w:gridCol w:w="1112"/>
        <w:gridCol w:w="1149"/>
        <w:gridCol w:w="935"/>
        <w:gridCol w:w="999"/>
        <w:gridCol w:w="869"/>
        <w:gridCol w:w="704"/>
        <w:gridCol w:w="907"/>
        <w:gridCol w:w="4833"/>
        <w:gridCol w:w="20"/>
      </w:tblGrid>
      <w:tr w:rsidR="00780A28">
        <w:trPr>
          <w:gridAfter w:val="1"/>
          <w:wAfter w:w="20" w:type="dxa"/>
          <w:trHeight w:val="939"/>
          <w:tblHeader/>
        </w:trPr>
        <w:tc>
          <w:tcPr>
            <w:tcW w:w="97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Număr secvențial</w:t>
            </w:r>
          </w:p>
        </w:tc>
        <w:tc>
          <w:tcPr>
            <w:tcW w:w="176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Măsură conexă (reformă sau investiție)</w:t>
            </w:r>
          </w:p>
        </w:tc>
        <w:tc>
          <w:tcPr>
            <w:tcW w:w="122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Jalon/Țintă</w:t>
            </w:r>
          </w:p>
        </w:tc>
        <w:tc>
          <w:tcPr>
            <w:tcW w:w="1103"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calitativi (pentru jaloane)</w:t>
            </w:r>
          </w:p>
        </w:tc>
        <w:tc>
          <w:tcPr>
            <w:tcW w:w="2814"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cantitativi (pentru ținte)</w:t>
            </w:r>
          </w:p>
        </w:tc>
        <w:tc>
          <w:tcPr>
            <w:tcW w:w="1599"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Calendar orientativ pentru atingerea jaloanelor/țintelor </w:t>
            </w:r>
          </w:p>
        </w:tc>
        <w:tc>
          <w:tcPr>
            <w:tcW w:w="4856"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Descrierea fiecărui jalon și a fiecărei ținte</w:t>
            </w:r>
          </w:p>
        </w:tc>
      </w:tr>
      <w:tr w:rsidR="00780A28">
        <w:trPr>
          <w:gridAfter w:val="1"/>
          <w:wAfter w:w="20" w:type="dxa"/>
          <w:trHeight w:val="1027"/>
          <w:tblHeader/>
        </w:trPr>
        <w:tc>
          <w:tcPr>
            <w:tcW w:w="97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6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2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03"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93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Unitate de măsură</w:t>
            </w:r>
          </w:p>
        </w:tc>
        <w:tc>
          <w:tcPr>
            <w:tcW w:w="100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Valoare de referință </w:t>
            </w:r>
          </w:p>
        </w:tc>
        <w:tc>
          <w:tcPr>
            <w:tcW w:w="87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Obiectiv </w:t>
            </w:r>
          </w:p>
        </w:tc>
        <w:tc>
          <w:tcPr>
            <w:tcW w:w="69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 sfert</w:t>
            </w:r>
          </w:p>
        </w:tc>
        <w:tc>
          <w:tcPr>
            <w:tcW w:w="90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Anul</w:t>
            </w:r>
          </w:p>
        </w:tc>
        <w:tc>
          <w:tcPr>
            <w:tcW w:w="4856"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trPr>
        <w:tc>
          <w:tcPr>
            <w:tcW w:w="97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257</w:t>
            </w:r>
          </w:p>
        </w:tc>
        <w:tc>
          <w:tcPr>
            <w:tcW w:w="17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principalelor sectoare economice — 16631_Modernizarea siguranței rutiere</w:t>
            </w:r>
          </w:p>
        </w:tc>
        <w:tc>
          <w:tcPr>
            <w:tcW w:w="12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0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contractelor pentru siguranța rutieră — pri</w:t>
            </w:r>
            <w:r>
              <w:rPr>
                <w:noProof/>
                <w:color w:val="006100"/>
                <w:sz w:val="18"/>
                <w:szCs w:val="18"/>
              </w:rPr>
              <w:t>mul lot de contracte</w:t>
            </w:r>
          </w:p>
        </w:tc>
        <w:tc>
          <w:tcPr>
            <w:tcW w:w="114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 pentru cel puțin 2 300 locații.</w:t>
            </w:r>
          </w:p>
        </w:tc>
        <w:tc>
          <w:tcPr>
            <w:tcW w:w="93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0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876" w:type="dxa"/>
            <w:gridSpan w:val="2"/>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Contracte atribuite pentru cel puțin 2 300 de locații care asigură a) îmbunătățirea siguranței rutiere în cadrul programului „Programul de îmbunătățire a si</w:t>
            </w:r>
            <w:r>
              <w:rPr>
                <w:noProof/>
                <w:color w:val="006100"/>
                <w:sz w:val="18"/>
                <w:szCs w:val="18"/>
              </w:rPr>
              <w:t>guranței rutiere (PEVOA)” pentru aproximativ 7 000 de locații periculoase; b) îmbunătățiri minore pentru restul de 2 500 km</w:t>
            </w:r>
          </w:p>
        </w:tc>
      </w:tr>
      <w:tr w:rsidR="00780A28">
        <w:trPr>
          <w:trHeight w:val="313"/>
        </w:trPr>
        <w:tc>
          <w:tcPr>
            <w:tcW w:w="97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258</w:t>
            </w:r>
          </w:p>
        </w:tc>
        <w:tc>
          <w:tcPr>
            <w:tcW w:w="176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principalelor sectoare economice — 16631_Modernizarea siguranței rutiere</w:t>
            </w:r>
          </w:p>
        </w:tc>
        <w:tc>
          <w:tcPr>
            <w:tcW w:w="12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0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contractelor pentru siguranța rutieră — toate contractele</w:t>
            </w:r>
          </w:p>
        </w:tc>
        <w:tc>
          <w:tcPr>
            <w:tcW w:w="114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a 100 % din contracte</w:t>
            </w:r>
          </w:p>
        </w:tc>
        <w:tc>
          <w:tcPr>
            <w:tcW w:w="93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0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7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9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90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876" w:type="dxa"/>
            <w:gridSpan w:val="2"/>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Contracte atribuite pentru 100 % din bugetul pentru siguranța rutieră în cadrul acestui proiect, asigurând a) îmbunătățirea </w:t>
            </w:r>
            <w:r>
              <w:rPr>
                <w:noProof/>
                <w:color w:val="006100"/>
                <w:sz w:val="18"/>
                <w:szCs w:val="18"/>
              </w:rPr>
              <w:t>siguranței rutiere în cadrul programului „Programul de îmbunătățire a siguranței rutiere (PEVOA)” în cel puțin 7 000 de locații periculoase; b) îmbunătățiri minore pentru restul de 2 500 km</w:t>
            </w:r>
          </w:p>
        </w:tc>
      </w:tr>
      <w:tr w:rsidR="00780A28">
        <w:trPr>
          <w:trHeight w:val="313"/>
        </w:trPr>
        <w:tc>
          <w:tcPr>
            <w:tcW w:w="977"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259</w:t>
            </w:r>
          </w:p>
        </w:tc>
        <w:tc>
          <w:tcPr>
            <w:tcW w:w="176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17 - 4.6. Modernizarea și îmbunătățirea rezilienței </w:t>
            </w:r>
            <w:r>
              <w:rPr>
                <w:noProof/>
                <w:color w:val="006100"/>
                <w:sz w:val="18"/>
                <w:szCs w:val="18"/>
              </w:rPr>
              <w:t>principalelor sectoare economice — 16631_Modernizarea siguranței rutiere</w:t>
            </w:r>
          </w:p>
        </w:tc>
        <w:tc>
          <w:tcPr>
            <w:tcW w:w="122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0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privind siguranța rutieră</w:t>
            </w:r>
          </w:p>
        </w:tc>
        <w:tc>
          <w:tcPr>
            <w:tcW w:w="1141"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highlight w:val="yellow"/>
              </w:rPr>
            </w:pPr>
            <w:r>
              <w:rPr>
                <w:noProof/>
                <w:color w:val="006100"/>
                <w:sz w:val="18"/>
                <w:szCs w:val="18"/>
              </w:rPr>
              <w:t>Dovada de către un inginer independent a finalizării tuturor lucrărilor de siguranță rutieră</w:t>
            </w:r>
          </w:p>
        </w:tc>
        <w:tc>
          <w:tcPr>
            <w:tcW w:w="93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100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87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69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Q4 </w:t>
            </w:r>
          </w:p>
        </w:tc>
        <w:tc>
          <w:tcPr>
            <w:tcW w:w="90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2025 </w:t>
            </w:r>
          </w:p>
        </w:tc>
        <w:tc>
          <w:tcPr>
            <w:tcW w:w="4876" w:type="dxa"/>
            <w:gridSpan w:val="2"/>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w:t>
            </w:r>
            <w:r>
              <w:rPr>
                <w:noProof/>
                <w:color w:val="006100"/>
                <w:sz w:val="18"/>
                <w:szCs w:val="18"/>
              </w:rPr>
              <w:t>proiectului și realizarea a) îmbunătățirii siguranței rutiere în cadrul programului „Programul de îmbunătățire a siguranței rutiere (PEVOA)” în cel puțin 7 000 locații periculoase; b) îmbunătățiri minore pentru restul de 2 500 km</w:t>
            </w:r>
          </w:p>
        </w:tc>
      </w:tr>
    </w:tbl>
    <w:p w:rsidR="00780A28" w:rsidRDefault="001867D7">
      <w:pPr>
        <w:keepNext/>
        <w:keepLines/>
        <w:spacing w:before="240" w:after="240" w:line="240" w:lineRule="auto"/>
        <w:jc w:val="both"/>
        <w:outlineLvl w:val="4"/>
        <w:rPr>
          <w:rFonts w:ascii="Cambria" w:eastAsia="Times New Roman" w:hAnsi="Cambria"/>
          <w:noProof/>
          <w:color w:val="365F91"/>
          <w:sz w:val="24"/>
        </w:rPr>
      </w:pPr>
      <w:r>
        <w:rPr>
          <w:rFonts w:ascii="Cambria" w:hAnsi="Cambria"/>
          <w:noProof/>
          <w:color w:val="365F91"/>
          <w:sz w:val="24"/>
        </w:rPr>
        <w:t xml:space="preserve">Cele mai importante </w:t>
      </w:r>
      <w:r>
        <w:rPr>
          <w:rFonts w:ascii="Cambria" w:hAnsi="Cambria"/>
          <w:noProof/>
          <w:color w:val="365F91"/>
          <w:sz w:val="24"/>
        </w:rPr>
        <w:t>investiții 8: Autostrada din Nordul insulei Creta (Β.Ο.Α.Κ.)</w:t>
      </w:r>
    </w:p>
    <w:tbl>
      <w:tblPr>
        <w:tblW w:w="15615" w:type="dxa"/>
        <w:jc w:val="center"/>
        <w:tblLook w:val="04A0" w:firstRow="1" w:lastRow="0" w:firstColumn="1" w:lastColumn="0" w:noHBand="0" w:noVBand="1"/>
      </w:tblPr>
      <w:tblGrid>
        <w:gridCol w:w="1081"/>
        <w:gridCol w:w="1573"/>
        <w:gridCol w:w="1185"/>
        <w:gridCol w:w="1114"/>
        <w:gridCol w:w="1305"/>
        <w:gridCol w:w="1619"/>
        <w:gridCol w:w="1193"/>
        <w:gridCol w:w="1011"/>
        <w:gridCol w:w="1021"/>
        <w:gridCol w:w="817"/>
        <w:gridCol w:w="3696"/>
      </w:tblGrid>
      <w:tr w:rsidR="00780A28">
        <w:trPr>
          <w:trHeight w:val="939"/>
          <w:tblHeader/>
          <w:jc w:val="center"/>
        </w:trPr>
        <w:tc>
          <w:tcPr>
            <w:tcW w:w="10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Număr secvențial</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Măsură conexă (reformă sau investiție)</w:t>
            </w:r>
          </w:p>
        </w:tc>
        <w:tc>
          <w:tcPr>
            <w:tcW w:w="118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Jalon/Țintă</w:t>
            </w:r>
          </w:p>
        </w:tc>
        <w:tc>
          <w:tcPr>
            <w:tcW w:w="1102"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calitativi (pentru jaloane)</w:t>
            </w:r>
          </w:p>
        </w:tc>
        <w:tc>
          <w:tcPr>
            <w:tcW w:w="3832"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cantitativi (pentru ținte)</w:t>
            </w:r>
          </w:p>
        </w:tc>
        <w:tc>
          <w:tcPr>
            <w:tcW w:w="1842"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Calendar orientativ pentru atingerea jaloanelor/țintelor </w:t>
            </w:r>
          </w:p>
        </w:tc>
        <w:tc>
          <w:tcPr>
            <w:tcW w:w="37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Descrierea fiecărui jalon și a fiecărei ținte</w:t>
            </w:r>
          </w:p>
        </w:tc>
      </w:tr>
      <w:tr w:rsidR="00780A28">
        <w:trPr>
          <w:trHeight w:val="431"/>
          <w:tblHeader/>
          <w:jc w:val="center"/>
        </w:trPr>
        <w:tc>
          <w:tcPr>
            <w:tcW w:w="10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8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02"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62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Unitate de măsură</w:t>
            </w:r>
          </w:p>
        </w:tc>
        <w:tc>
          <w:tcPr>
            <w:tcW w:w="119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Valoare de referință </w:t>
            </w:r>
          </w:p>
        </w:tc>
        <w:tc>
          <w:tcPr>
            <w:tcW w:w="101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Obiectiv </w:t>
            </w:r>
          </w:p>
        </w:tc>
        <w:tc>
          <w:tcPr>
            <w:tcW w:w="102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 sfert</w:t>
            </w:r>
          </w:p>
        </w:tc>
        <w:tc>
          <w:tcPr>
            <w:tcW w:w="81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Anul</w:t>
            </w:r>
          </w:p>
        </w:tc>
        <w:tc>
          <w:tcPr>
            <w:tcW w:w="3705"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2161"/>
          <w:jc w:val="center"/>
        </w:trPr>
        <w:tc>
          <w:tcPr>
            <w:tcW w:w="1083"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260</w:t>
            </w:r>
          </w:p>
        </w:tc>
        <w:tc>
          <w:tcPr>
            <w:tcW w:w="155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w:t>
            </w:r>
            <w:r>
              <w:rPr>
                <w:noProof/>
                <w:color w:val="006100"/>
                <w:sz w:val="18"/>
                <w:szCs w:val="18"/>
              </w:rPr>
              <w:t>7 - 4.6. Modernizarea și îmbunătățirea rezilienței principalelor sectoare economice — 16630_Autostrada din Nordul insulei Creta (Β.Ο.Α.Κ.)</w:t>
            </w:r>
          </w:p>
        </w:tc>
        <w:tc>
          <w:tcPr>
            <w:tcW w:w="118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0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 pentru trei subproiecte ale BOAK</w:t>
            </w:r>
          </w:p>
        </w:tc>
        <w:tc>
          <w:tcPr>
            <w:tcW w:w="13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162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9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1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2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37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 pentru a) contractul de concesiune; b) parteneriatul public-privat; și c) Lucrări publice.</w:t>
            </w:r>
          </w:p>
        </w:tc>
      </w:tr>
      <w:tr w:rsidR="00780A28">
        <w:trPr>
          <w:trHeight w:val="313"/>
          <w:jc w:val="center"/>
        </w:trPr>
        <w:tc>
          <w:tcPr>
            <w:tcW w:w="1083"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261</w:t>
            </w:r>
          </w:p>
        </w:tc>
        <w:tc>
          <w:tcPr>
            <w:tcW w:w="155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principalelor sectoare economice — 16630_Autostrada din Nordul </w:t>
            </w:r>
            <w:r>
              <w:rPr>
                <w:noProof/>
                <w:color w:val="006100"/>
                <w:sz w:val="18"/>
                <w:szCs w:val="18"/>
              </w:rPr>
              <w:t>insulei Creta (Β.Ο.Α.Κ.)</w:t>
            </w:r>
          </w:p>
        </w:tc>
        <w:tc>
          <w:tcPr>
            <w:tcW w:w="118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10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Evoluția lucrărilor de construcție ale BOAK</w:t>
            </w:r>
          </w:p>
        </w:tc>
        <w:tc>
          <w:tcPr>
            <w:tcW w:w="130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62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Procentul din valoarea lucrărilor finalizate, aprobat prin raport de un inginer independent și aprobat de Ministerul Infrastructurii</w:t>
            </w:r>
          </w:p>
        </w:tc>
        <w:tc>
          <w:tcPr>
            <w:tcW w:w="11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101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60</w:t>
            </w:r>
          </w:p>
        </w:tc>
        <w:tc>
          <w:tcPr>
            <w:tcW w:w="102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60 % din valoarea lucrărilor de </w:t>
            </w:r>
            <w:r>
              <w:rPr>
                <w:noProof/>
                <w:color w:val="006100"/>
                <w:sz w:val="18"/>
                <w:szCs w:val="18"/>
              </w:rPr>
              <w:t>construcție a șoselei „Axa nordică a Cretei” finalizate și avizate de un inginer independent pentru subproiectul doi: (Hersonissos-Neapolis) și al treilea subproiect: (Neapolis-Agios Nikolaos).</w:t>
            </w:r>
          </w:p>
        </w:tc>
      </w:tr>
      <w:tr w:rsidR="00780A28">
        <w:trPr>
          <w:trHeight w:val="313"/>
          <w:jc w:val="center"/>
        </w:trPr>
        <w:tc>
          <w:tcPr>
            <w:tcW w:w="1083"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262</w:t>
            </w:r>
          </w:p>
        </w:tc>
        <w:tc>
          <w:tcPr>
            <w:tcW w:w="155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w:t>
            </w:r>
            <w:r>
              <w:rPr>
                <w:noProof/>
                <w:color w:val="006100"/>
                <w:sz w:val="18"/>
                <w:szCs w:val="18"/>
              </w:rPr>
              <w:t>principalelor sectoare economice — 16630_Autostrada din Nordul insulei Creta (Β.Ο.Α.Κ.)</w:t>
            </w:r>
          </w:p>
        </w:tc>
        <w:tc>
          <w:tcPr>
            <w:tcW w:w="118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10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BOAK</w:t>
            </w:r>
          </w:p>
        </w:tc>
        <w:tc>
          <w:tcPr>
            <w:tcW w:w="1308"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a 100 % din valoarea lucrărilor certificate de un inginer independent. Certificatul de absolvire se aprobă de Ministerul </w:t>
            </w:r>
            <w:r>
              <w:rPr>
                <w:noProof/>
                <w:color w:val="006100"/>
                <w:sz w:val="18"/>
                <w:szCs w:val="18"/>
              </w:rPr>
              <w:t>Infrastructurii.</w:t>
            </w:r>
          </w:p>
        </w:tc>
        <w:tc>
          <w:tcPr>
            <w:tcW w:w="1623"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1196"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1013"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102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1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70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Al doilea subproiect: (Hersonissos-Neapolis) și al treilea subproiect: (Neapolis-Agios Nikolaos) finalizat și în funcțiune. Pentru subproiectul unu (Chania-Heraklion), următoarele lucrări trebuie să fi fost finalizate, corespunz</w:t>
            </w:r>
            <w:r>
              <w:rPr>
                <w:noProof/>
                <w:color w:val="006100"/>
                <w:sz w:val="18"/>
                <w:szCs w:val="18"/>
              </w:rPr>
              <w:t>ând unui procent de 15 % din costul proiectului:</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before="120" w:after="0" w:line="240" w:lineRule="auto"/>
              <w:jc w:val="both"/>
              <w:rPr>
                <w:rFonts w:eastAsia="Times New Roman" w:cs="Calibri"/>
                <w:noProof/>
                <w:color w:val="006100"/>
                <w:sz w:val="18"/>
                <w:szCs w:val="18"/>
              </w:rPr>
            </w:pPr>
            <w:r>
              <w:rPr>
                <w:noProof/>
                <w:color w:val="006100"/>
                <w:sz w:val="18"/>
                <w:szCs w:val="18"/>
              </w:rPr>
              <w:t>1. Finalizarea lucrărilor inginerilor constructori pentru șoselele de centură existente din Chania, Heraklion și Rethymnon.</w:t>
            </w:r>
          </w:p>
          <w:p w:rsidR="00780A28" w:rsidRDefault="001867D7">
            <w:pPr>
              <w:spacing w:after="0" w:line="240" w:lineRule="auto"/>
              <w:rPr>
                <w:rFonts w:eastAsia="Times New Roman" w:cs="Calibri"/>
                <w:noProof/>
                <w:color w:val="006100"/>
                <w:sz w:val="18"/>
                <w:szCs w:val="18"/>
              </w:rPr>
            </w:pPr>
            <w:r>
              <w:rPr>
                <w:noProof/>
                <w:color w:val="006100"/>
                <w:sz w:val="18"/>
                <w:szCs w:val="18"/>
              </w:rPr>
              <w:t>2. Finalizarea lucrărilor de inginer civil pentru partea Vrises-Atsipopoulo, 21,9 </w:t>
            </w:r>
            <w:r>
              <w:rPr>
                <w:noProof/>
                <w:color w:val="006100"/>
                <w:sz w:val="18"/>
                <w:szCs w:val="18"/>
              </w:rPr>
              <w:t>km, care cuprinde 2 puncte de transfer.</w:t>
            </w:r>
          </w:p>
          <w:p w:rsidR="00780A28" w:rsidRDefault="001867D7">
            <w:pPr>
              <w:spacing w:after="0" w:line="240" w:lineRule="auto"/>
              <w:rPr>
                <w:rFonts w:eastAsia="Times New Roman" w:cs="Calibri"/>
                <w:noProof/>
                <w:color w:val="006100"/>
                <w:sz w:val="18"/>
                <w:szCs w:val="18"/>
              </w:rPr>
            </w:pPr>
            <w:r>
              <w:rPr>
                <w:noProof/>
                <w:color w:val="006100"/>
                <w:sz w:val="18"/>
                <w:szCs w:val="18"/>
              </w:rPr>
              <w:t>Lungimea totală a podurilor: 2036 m</w:t>
            </w:r>
          </w:p>
          <w:p w:rsidR="00780A28" w:rsidRDefault="001867D7">
            <w:pPr>
              <w:spacing w:after="0" w:line="240" w:lineRule="auto"/>
              <w:rPr>
                <w:rFonts w:eastAsia="Times New Roman" w:cs="Calibri"/>
                <w:noProof/>
                <w:color w:val="006100"/>
                <w:sz w:val="18"/>
                <w:szCs w:val="18"/>
              </w:rPr>
            </w:pPr>
            <w:r>
              <w:rPr>
                <w:noProof/>
                <w:color w:val="006100"/>
                <w:sz w:val="18"/>
                <w:szCs w:val="18"/>
              </w:rPr>
              <w:t>Lungimea totală a lucrărilor subterane (excavații, fundații, drenaje, podețe, terasamente și lucrări auxiliare): 10 215m</w:t>
            </w:r>
          </w:p>
          <w:p w:rsidR="00780A28" w:rsidRDefault="001867D7">
            <w:pPr>
              <w:spacing w:after="0" w:line="240" w:lineRule="auto"/>
              <w:rPr>
                <w:rFonts w:eastAsia="Times New Roman" w:cs="Calibri"/>
                <w:noProof/>
                <w:color w:val="006100"/>
                <w:sz w:val="18"/>
                <w:szCs w:val="18"/>
              </w:rPr>
            </w:pPr>
            <w:r>
              <w:rPr>
                <w:noProof/>
                <w:color w:val="006100"/>
                <w:sz w:val="18"/>
                <w:szCs w:val="18"/>
              </w:rPr>
              <w:t>3. Finalizarea lucrărilor de inginerie civilă pentru partea</w:t>
            </w:r>
            <w:r>
              <w:rPr>
                <w:noProof/>
                <w:color w:val="006100"/>
                <w:sz w:val="18"/>
                <w:szCs w:val="18"/>
              </w:rPr>
              <w:t xml:space="preserve"> Amari-Skaleta, 12,4 km, care cuprinde 1 punct de transfer</w:t>
            </w:r>
          </w:p>
          <w:p w:rsidR="00780A28" w:rsidRDefault="001867D7">
            <w:pPr>
              <w:spacing w:after="0" w:line="240" w:lineRule="auto"/>
              <w:rPr>
                <w:rFonts w:eastAsia="Times New Roman" w:cs="Calibri"/>
                <w:noProof/>
                <w:color w:val="006100"/>
                <w:sz w:val="18"/>
                <w:szCs w:val="18"/>
              </w:rPr>
            </w:pPr>
            <w:r>
              <w:rPr>
                <w:noProof/>
                <w:color w:val="006100"/>
                <w:sz w:val="18"/>
                <w:szCs w:val="18"/>
              </w:rPr>
              <w:t>Lungimea totală a podurilor: 710 m.</w:t>
            </w:r>
          </w:p>
          <w:p w:rsidR="00780A28" w:rsidRDefault="001867D7">
            <w:pPr>
              <w:spacing w:after="0" w:line="240" w:lineRule="auto"/>
              <w:rPr>
                <w:rFonts w:eastAsia="Times New Roman" w:cs="Calibri"/>
                <w:noProof/>
                <w:color w:val="006100"/>
                <w:sz w:val="18"/>
                <w:szCs w:val="18"/>
              </w:rPr>
            </w:pPr>
            <w:r>
              <w:rPr>
                <w:noProof/>
                <w:color w:val="006100"/>
                <w:sz w:val="18"/>
                <w:szCs w:val="18"/>
              </w:rPr>
              <w:t>Lungimea totală a lucrărilor subterane (excavații, fundații, drenaje, podețe, terasamente și lucrări auxiliare): 4230 m</w:t>
            </w:r>
          </w:p>
          <w:p w:rsidR="00780A28" w:rsidRDefault="001867D7">
            <w:pPr>
              <w:spacing w:after="0" w:line="240" w:lineRule="auto"/>
              <w:rPr>
                <w:rFonts w:eastAsia="Times New Roman" w:cs="Calibri"/>
                <w:noProof/>
                <w:color w:val="006100"/>
                <w:sz w:val="18"/>
                <w:szCs w:val="18"/>
              </w:rPr>
            </w:pPr>
            <w:r>
              <w:rPr>
                <w:noProof/>
                <w:color w:val="006100"/>
                <w:sz w:val="18"/>
                <w:szCs w:val="18"/>
              </w:rPr>
              <w:t>Finalizarea se certifică de către inginer</w:t>
            </w:r>
            <w:r>
              <w:rPr>
                <w:noProof/>
                <w:color w:val="006100"/>
                <w:sz w:val="18"/>
                <w:szCs w:val="18"/>
              </w:rPr>
              <w:t xml:space="preserve">ul independent și de către Ministerul Infrastructurii. </w:t>
            </w:r>
          </w:p>
        </w:tc>
      </w:tr>
    </w:tbl>
    <w:p w:rsidR="00780A28" w:rsidRDefault="00780A28">
      <w:pPr>
        <w:spacing w:before="120" w:after="0" w:line="240" w:lineRule="auto"/>
        <w:jc w:val="both"/>
        <w:rPr>
          <w:rFonts w:ascii="Times New Roman" w:hAnsi="Times New Roman" w:cs="Times New Roman"/>
          <w:noProof/>
          <w:sz w:val="24"/>
        </w:rPr>
        <w:sectPr w:rsidR="00780A28">
          <w:headerReference w:type="even" r:id="rId269"/>
          <w:headerReference w:type="default" r:id="rId270"/>
          <w:footerReference w:type="even" r:id="rId271"/>
          <w:footerReference w:type="default" r:id="rId272"/>
          <w:headerReference w:type="first" r:id="rId273"/>
          <w:footerReference w:type="first" r:id="rId274"/>
          <w:pgSz w:w="16839" w:h="11907" w:orient="landscape"/>
          <w:pgMar w:top="720" w:right="720" w:bottom="720" w:left="720" w:header="709" w:footer="709" w:gutter="0"/>
          <w:cols w:space="720"/>
          <w:docGrid w:linePitch="360"/>
        </w:sect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24: Infrastructura</w:t>
      </w:r>
    </w:p>
    <w:p w:rsidR="00780A28" w:rsidRDefault="00780A28">
      <w:pPr>
        <w:spacing w:before="120" w:after="0" w:line="240" w:lineRule="auto"/>
        <w:jc w:val="both"/>
        <w:rPr>
          <w:rFonts w:ascii="Times New Roman" w:hAnsi="Times New Roman" w:cs="Times New Roman"/>
          <w:noProof/>
          <w:sz w:val="24"/>
        </w:rPr>
      </w:pPr>
    </w:p>
    <w:p w:rsidR="00780A28" w:rsidRDefault="001867D7">
      <w:pPr>
        <w:spacing w:after="0" w:line="240" w:lineRule="auto"/>
        <w:rPr>
          <w:rFonts w:ascii="Times New Roman" w:hAnsi="Times New Roman" w:cs="Times New Roman"/>
          <w:b/>
          <w:noProof/>
          <w:sz w:val="28"/>
          <w:szCs w:val="28"/>
        </w:rPr>
      </w:pPr>
      <w:r>
        <w:rPr>
          <w:rFonts w:ascii="Times New Roman" w:hAnsi="Times New Roman"/>
          <w:b/>
          <w:noProof/>
        </w:rPr>
        <w:t>Subgrupul 1 (transformare digitală)</w:t>
      </w:r>
    </w:p>
    <w:p w:rsidR="00780A28" w:rsidRDefault="001867D7">
      <w:pPr>
        <w:numPr>
          <w:ilvl w:val="0"/>
          <w:numId w:val="31"/>
        </w:numPr>
        <w:spacing w:before="120" w:after="0" w:line="240" w:lineRule="auto"/>
        <w:jc w:val="both"/>
        <w:rPr>
          <w:rFonts w:ascii="Times New Roman" w:hAnsi="Times New Roman" w:cs="Times New Roman"/>
          <w:noProof/>
        </w:rPr>
      </w:pPr>
      <w:r>
        <w:rPr>
          <w:rFonts w:ascii="Times New Roman" w:hAnsi="Times New Roman"/>
          <w:noProof/>
        </w:rPr>
        <w:t>Infrastructură inteligentă cu accent pe mediu și cultură (ID: 16960)</w:t>
      </w:r>
    </w:p>
    <w:p w:rsidR="00780A28" w:rsidRDefault="001867D7">
      <w:pPr>
        <w:numPr>
          <w:ilvl w:val="0"/>
          <w:numId w:val="31"/>
        </w:numPr>
        <w:spacing w:before="120" w:after="0" w:line="240" w:lineRule="auto"/>
        <w:jc w:val="both"/>
        <w:rPr>
          <w:rFonts w:ascii="Times New Roman" w:hAnsi="Times New Roman" w:cs="Times New Roman"/>
          <w:noProof/>
        </w:rPr>
      </w:pPr>
      <w:r>
        <w:rPr>
          <w:rFonts w:ascii="Times New Roman" w:hAnsi="Times New Roman"/>
          <w:noProof/>
        </w:rPr>
        <w:t xml:space="preserve">Poduri </w:t>
      </w:r>
      <w:r>
        <w:rPr>
          <w:rFonts w:ascii="Times New Roman" w:hAnsi="Times New Roman"/>
          <w:noProof/>
        </w:rPr>
        <w:t>inteligente (ID: 16949)</w:t>
      </w:r>
    </w:p>
    <w:p w:rsidR="00780A28" w:rsidRDefault="001867D7">
      <w:pPr>
        <w:numPr>
          <w:ilvl w:val="0"/>
          <w:numId w:val="31"/>
        </w:numPr>
        <w:spacing w:before="120" w:after="0" w:line="240" w:lineRule="auto"/>
        <w:jc w:val="both"/>
        <w:rPr>
          <w:rFonts w:ascii="Times New Roman" w:hAnsi="Times New Roman" w:cs="Times New Roman"/>
          <w:noProof/>
        </w:rPr>
      </w:pPr>
      <w:r>
        <w:rPr>
          <w:rFonts w:ascii="Times New Roman" w:hAnsi="Times New Roman"/>
          <w:noProof/>
        </w:rPr>
        <w:t>Taxe electronice (ID: 16950)</w:t>
      </w:r>
    </w:p>
    <w:p w:rsidR="00780A28" w:rsidRDefault="001867D7">
      <w:pPr>
        <w:numPr>
          <w:ilvl w:val="0"/>
          <w:numId w:val="31"/>
        </w:numPr>
        <w:spacing w:before="120" w:after="0" w:line="240" w:lineRule="auto"/>
        <w:ind w:left="714" w:hanging="357"/>
        <w:jc w:val="both"/>
        <w:rPr>
          <w:rFonts w:ascii="Times New Roman" w:hAnsi="Times New Roman" w:cs="Times New Roman"/>
          <w:noProof/>
        </w:rPr>
      </w:pPr>
      <w:r>
        <w:rPr>
          <w:rFonts w:ascii="Times New Roman" w:hAnsi="Times New Roman"/>
          <w:noProof/>
        </w:rPr>
        <w:t>Simplificarea procedurilor Ministerului Infrastructurii &amp; Transport (ID: 16786)</w:t>
      </w:r>
    </w:p>
    <w:p w:rsidR="00780A28" w:rsidRDefault="001867D7">
      <w:pPr>
        <w:numPr>
          <w:ilvl w:val="0"/>
          <w:numId w:val="31"/>
        </w:numPr>
        <w:spacing w:before="120" w:after="120" w:line="240" w:lineRule="auto"/>
        <w:jc w:val="both"/>
        <w:rPr>
          <w:rFonts w:ascii="Times New Roman" w:hAnsi="Times New Roman" w:cs="Times New Roman"/>
          <w:noProof/>
        </w:rPr>
      </w:pPr>
      <w:r>
        <w:rPr>
          <w:rFonts w:ascii="Times New Roman" w:hAnsi="Times New Roman"/>
          <w:noProof/>
        </w:rPr>
        <w:t xml:space="preserve">Sistemul de gestionare digitală integrată a programelor pentru administrarea lucrărilor tehnice și a activelor structurale </w:t>
      </w:r>
      <w:r>
        <w:rPr>
          <w:rFonts w:ascii="Times New Roman" w:hAnsi="Times New Roman"/>
          <w:noProof/>
        </w:rPr>
        <w:t>ale Ministerului Infrastructurii și Transporturilor (ID: 16937)</w:t>
      </w:r>
    </w:p>
    <w:p w:rsidR="00780A28" w:rsidRDefault="001867D7">
      <w:pPr>
        <w:spacing w:after="0" w:line="240" w:lineRule="auto"/>
        <w:rPr>
          <w:rFonts w:ascii="Times New Roman" w:hAnsi="Times New Roman" w:cs="Times New Roman"/>
          <w:b/>
          <w:noProof/>
          <w:sz w:val="28"/>
          <w:szCs w:val="28"/>
        </w:rPr>
      </w:pPr>
      <w:r>
        <w:rPr>
          <w:rFonts w:ascii="Times New Roman" w:hAnsi="Times New Roman"/>
          <w:b/>
          <w:noProof/>
        </w:rPr>
        <w:t>Subgrupul 2 (căi ferate și aeroporturi)</w:t>
      </w:r>
    </w:p>
    <w:p w:rsidR="00780A28" w:rsidRDefault="001867D7">
      <w:pPr>
        <w:numPr>
          <w:ilvl w:val="0"/>
          <w:numId w:val="30"/>
        </w:numPr>
        <w:spacing w:before="120" w:after="0" w:line="240" w:lineRule="auto"/>
        <w:jc w:val="both"/>
        <w:rPr>
          <w:rFonts w:ascii="Times New Roman" w:hAnsi="Times New Roman" w:cs="Times New Roman"/>
          <w:noProof/>
        </w:rPr>
      </w:pPr>
      <w:r>
        <w:rPr>
          <w:rFonts w:ascii="Times New Roman" w:hAnsi="Times New Roman"/>
          <w:noProof/>
        </w:rPr>
        <w:t>Intervenții pentru modernizarea și reamenajarea sistemului și a infrastructurii rețelei feroviare elene (ID: 16954)</w:t>
      </w:r>
    </w:p>
    <w:p w:rsidR="00780A28" w:rsidRDefault="001867D7">
      <w:pPr>
        <w:numPr>
          <w:ilvl w:val="0"/>
          <w:numId w:val="30"/>
        </w:numPr>
        <w:spacing w:before="120" w:after="0" w:line="240" w:lineRule="auto"/>
        <w:jc w:val="both"/>
        <w:rPr>
          <w:rFonts w:ascii="Times New Roman" w:hAnsi="Times New Roman" w:cs="Times New Roman"/>
          <w:noProof/>
        </w:rPr>
      </w:pPr>
      <w:r>
        <w:rPr>
          <w:rFonts w:ascii="Times New Roman" w:hAnsi="Times New Roman"/>
          <w:noProof/>
        </w:rPr>
        <w:t xml:space="preserve">Reforma organizațională în sectorul </w:t>
      </w:r>
      <w:r>
        <w:rPr>
          <w:rFonts w:ascii="Times New Roman" w:hAnsi="Times New Roman"/>
          <w:noProof/>
        </w:rPr>
        <w:t>feroviar (ID: 16982)</w:t>
      </w:r>
    </w:p>
    <w:p w:rsidR="00780A28" w:rsidRDefault="001867D7">
      <w:pPr>
        <w:numPr>
          <w:ilvl w:val="0"/>
          <w:numId w:val="30"/>
        </w:numPr>
        <w:spacing w:before="120" w:after="0" w:line="240" w:lineRule="auto"/>
        <w:jc w:val="both"/>
        <w:rPr>
          <w:rFonts w:ascii="Times New Roman" w:hAnsi="Times New Roman" w:cs="Times New Roman"/>
          <w:noProof/>
        </w:rPr>
      </w:pPr>
      <w:r>
        <w:rPr>
          <w:rFonts w:ascii="Times New Roman" w:hAnsi="Times New Roman"/>
          <w:noProof/>
        </w:rPr>
        <w:t>Transformarea digitală a Organizației Căilor Ferate Elene (ID: 16959)</w:t>
      </w:r>
    </w:p>
    <w:p w:rsidR="00780A28" w:rsidRDefault="001867D7">
      <w:pPr>
        <w:numPr>
          <w:ilvl w:val="0"/>
          <w:numId w:val="32"/>
        </w:numPr>
        <w:spacing w:before="120" w:after="0" w:line="240" w:lineRule="auto"/>
        <w:jc w:val="both"/>
        <w:rPr>
          <w:rFonts w:ascii="Times New Roman" w:hAnsi="Times New Roman" w:cs="Times New Roman"/>
          <w:noProof/>
        </w:rPr>
      </w:pPr>
      <w:r>
        <w:rPr>
          <w:rFonts w:ascii="Times New Roman" w:hAnsi="Times New Roman"/>
          <w:noProof/>
        </w:rPr>
        <w:t>Modernizarea căii ferate suburbane din Attica de Vest (ID: 16892)</w:t>
      </w:r>
    </w:p>
    <w:p w:rsidR="00780A28" w:rsidRDefault="001867D7">
      <w:pPr>
        <w:numPr>
          <w:ilvl w:val="0"/>
          <w:numId w:val="32"/>
        </w:numPr>
        <w:spacing w:before="120" w:after="0" w:line="240" w:lineRule="auto"/>
        <w:jc w:val="both"/>
        <w:rPr>
          <w:rFonts w:ascii="Times New Roman" w:hAnsi="Times New Roman" w:cs="Times New Roman"/>
          <w:noProof/>
        </w:rPr>
      </w:pPr>
      <w:r>
        <w:rPr>
          <w:rFonts w:ascii="Times New Roman" w:hAnsi="Times New Roman"/>
          <w:noProof/>
        </w:rPr>
        <w:t>Programul EASA de conformitate (ID: 16833)</w:t>
      </w:r>
    </w:p>
    <w:p w:rsidR="00780A28" w:rsidRDefault="00780A28">
      <w:pPr>
        <w:spacing w:before="120" w:after="0" w:line="240" w:lineRule="auto"/>
        <w:jc w:val="both"/>
        <w:rPr>
          <w:rFonts w:ascii="Times New Roman" w:hAnsi="Times New Roman" w:cs="Times New Roman"/>
          <w:noProof/>
        </w:rPr>
      </w:pPr>
    </w:p>
    <w:tbl>
      <w:tblPr>
        <w:tblW w:w="15871" w:type="dxa"/>
        <w:jc w:val="center"/>
        <w:tblLook w:val="04A0" w:firstRow="1" w:lastRow="0" w:firstColumn="1" w:lastColumn="0" w:noHBand="0" w:noVBand="1"/>
      </w:tblPr>
      <w:tblGrid>
        <w:gridCol w:w="1027"/>
        <w:gridCol w:w="1942"/>
        <w:gridCol w:w="1107"/>
        <w:gridCol w:w="1397"/>
        <w:gridCol w:w="1232"/>
        <w:gridCol w:w="866"/>
        <w:gridCol w:w="973"/>
        <w:gridCol w:w="866"/>
        <w:gridCol w:w="992"/>
        <w:gridCol w:w="709"/>
        <w:gridCol w:w="4819"/>
      </w:tblGrid>
      <w:tr w:rsidR="00780A28">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Număr secvențial</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Măsură conexă (reformă sau investiție)</w:t>
            </w:r>
          </w:p>
        </w:tc>
        <w:tc>
          <w:tcPr>
            <w:tcW w:w="106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Jalon/Țintă</w:t>
            </w:r>
          </w:p>
        </w:tc>
        <w:tc>
          <w:tcPr>
            <w:tcW w:w="1397"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calitativi (pentru jaloane)</w:t>
            </w:r>
          </w:p>
        </w:tc>
        <w:tc>
          <w:tcPr>
            <w:tcW w:w="2690"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cantitativi (pentru ținte)</w:t>
            </w:r>
          </w:p>
        </w:tc>
        <w:tc>
          <w:tcPr>
            <w:tcW w:w="1701"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Calendar orientativ pentru atingerea jaloanelor/țintelor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Descrierea fiecărui jalon și a fiecărei ținte</w:t>
            </w:r>
          </w:p>
        </w:tc>
      </w:tr>
      <w:tr w:rsidR="00780A28">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6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97"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86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Unitate de măsură</w:t>
            </w:r>
          </w:p>
        </w:tc>
        <w:tc>
          <w:tcPr>
            <w:tcW w:w="97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Valoare de referință </w:t>
            </w:r>
          </w:p>
        </w:tc>
        <w:tc>
          <w:tcPr>
            <w:tcW w:w="85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Obiectiv </w:t>
            </w:r>
          </w:p>
        </w:tc>
        <w:tc>
          <w:tcPr>
            <w:tcW w:w="99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 sfert</w:t>
            </w:r>
          </w:p>
        </w:tc>
        <w:tc>
          <w:tcPr>
            <w:tcW w:w="709"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Anul</w:t>
            </w: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263</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16982_Reforma organizațională în sectorul feroviar</w:t>
            </w:r>
          </w:p>
        </w:tc>
        <w:tc>
          <w:tcPr>
            <w:tcW w:w="106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Foaie de parcurs pentru reforma sectorului feroviar</w:t>
            </w:r>
          </w:p>
        </w:tc>
        <w:tc>
          <w:tcPr>
            <w:tcW w:w="12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Foaia de parcurs</w:t>
            </w: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4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Subgrupa 2: Pregătirea </w:t>
            </w:r>
            <w:r>
              <w:rPr>
                <w:noProof/>
                <w:color w:val="006100"/>
                <w:sz w:val="18"/>
                <w:szCs w:val="18"/>
              </w:rPr>
              <w:t>unei foi de parcurs cu etapele pentru reorganizarea completă a societăților OSE și ERGOSE.</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264</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16982_Reforma organizațională în sectorul feroviar</w:t>
            </w:r>
          </w:p>
        </w:tc>
        <w:tc>
          <w:tcPr>
            <w:tcW w:w="106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Legea privind reforma</w:t>
            </w:r>
            <w:r>
              <w:rPr>
                <w:noProof/>
                <w:color w:val="006100"/>
                <w:sz w:val="18"/>
                <w:szCs w:val="18"/>
              </w:rPr>
              <w:t xml:space="preserve"> căilor ferate</w:t>
            </w:r>
          </w:p>
        </w:tc>
        <w:tc>
          <w:tcPr>
            <w:tcW w:w="12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primare și secundare </w:t>
            </w: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Subgrupa 2: Reforma organizațională în sectorul feroviar;</w:t>
            </w:r>
          </w:p>
          <w:p w:rsidR="00780A28" w:rsidRDefault="00780A28">
            <w:pPr>
              <w:spacing w:after="0" w:line="240" w:lineRule="auto"/>
              <w:rPr>
                <w:rFonts w:eastAsia="Times New Roman" w:cs="Calibri"/>
                <w:noProof/>
                <w:color w:val="006100"/>
                <w:sz w:val="18"/>
                <w:szCs w:val="18"/>
                <w:lang w:eastAsia="en-GB"/>
              </w:rPr>
            </w:pP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primare și secundare pentru reforma celor două societăți, care să le permită să </w:t>
            </w:r>
            <w:r>
              <w:rPr>
                <w:noProof/>
                <w:color w:val="006100"/>
                <w:sz w:val="18"/>
                <w:szCs w:val="18"/>
              </w:rPr>
              <w:t>dezvolte, să exploateze și să întrețină o rețea feroviară modernă.</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265</w:t>
            </w:r>
          </w:p>
        </w:tc>
        <w:tc>
          <w:tcPr>
            <w:tcW w:w="194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sectoarelor economice cheie —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16954 intervenții pentru modernizarea și reamenajarea sistemului și a infrastructurii rețelei feroviare elene </w:t>
            </w:r>
          </w:p>
        </w:tc>
        <w:tc>
          <w:tcPr>
            <w:tcW w:w="106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unui contract PPP pentru modernizarea și reamenajarea rețelei feroviare</w:t>
            </w:r>
          </w:p>
        </w:tc>
        <w:tc>
          <w:tcPr>
            <w:tcW w:w="12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8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70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Subgrupa </w:t>
            </w:r>
            <w:r>
              <w:rPr>
                <w:noProof/>
                <w:color w:val="006100"/>
                <w:sz w:val="18"/>
                <w:szCs w:val="18"/>
              </w:rPr>
              <w:t>2:</w:t>
            </w:r>
            <w:r>
              <w:rPr>
                <w:rFonts w:ascii="Times New Roman" w:hAnsi="Times New Roman"/>
                <w:noProof/>
                <w:sz w:val="24"/>
              </w:rPr>
              <w:t xml:space="preserve"> </w:t>
            </w:r>
            <w:r>
              <w:rPr>
                <w:noProof/>
                <w:color w:val="006100"/>
                <w:sz w:val="18"/>
                <w:szCs w:val="18"/>
              </w:rPr>
              <w:t>Atribuirea unui contract de parteneriat public-privat pentru intervenții pentru modernizarea și reamenajarea sistemului și a infrastructurii rețelei feroviare elene, pentru a) a restabili „viteza proiectată” în toate secțiunile infrastructurii, b) a îmb</w:t>
            </w:r>
            <w:r>
              <w:rPr>
                <w:noProof/>
                <w:color w:val="006100"/>
                <w:sz w:val="18"/>
                <w:szCs w:val="18"/>
              </w:rPr>
              <w:t xml:space="preserve">unătăți durata călătoriei și nivelurile de siguranță, c) a moderniza rețeaua feroviară existentă în întreaga țară și d) a îmbunătăți calitatea serviciilor feroviare.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Modernizarea vizează în mod specific modernizarea infrastructurii feroviare și a suprast</w:t>
            </w:r>
            <w:r>
              <w:rPr>
                <w:noProof/>
                <w:color w:val="006100"/>
                <w:sz w:val="18"/>
                <w:szCs w:val="18"/>
              </w:rPr>
              <w:t>ructurii existente, a sistemelor electromecanice, a semnalizării, telecomunicațiilor și electrificării și a altor instalații necesare pentru exploatarea rețelei, după cum urmează:</w:t>
            </w:r>
          </w:p>
          <w:p w:rsidR="00780A28" w:rsidRDefault="001867D7">
            <w:pPr>
              <w:spacing w:after="0" w:line="240" w:lineRule="auto"/>
              <w:rPr>
                <w:rFonts w:eastAsia="Times New Roman" w:cs="Calibri"/>
                <w:noProof/>
                <w:color w:val="006100"/>
                <w:sz w:val="18"/>
                <w:szCs w:val="18"/>
              </w:rPr>
            </w:pPr>
            <w:r>
              <w:rPr>
                <w:noProof/>
                <w:color w:val="006100"/>
                <w:sz w:val="18"/>
                <w:szCs w:val="18"/>
              </w:rPr>
              <w:t>1. Sucursala rețelei Piraeus — Atena — Salonic și frontierele nordice.</w:t>
            </w:r>
          </w:p>
          <w:p w:rsidR="00780A28" w:rsidRDefault="001867D7">
            <w:pPr>
              <w:spacing w:after="0" w:line="240" w:lineRule="auto"/>
              <w:rPr>
                <w:rFonts w:eastAsia="Times New Roman" w:cs="Calibri"/>
                <w:noProof/>
                <w:color w:val="006100"/>
                <w:sz w:val="18"/>
                <w:szCs w:val="18"/>
              </w:rPr>
            </w:pPr>
            <w:r>
              <w:rPr>
                <w:noProof/>
                <w:color w:val="006100"/>
                <w:sz w:val="18"/>
                <w:szCs w:val="18"/>
              </w:rPr>
              <w:t>2. Ra</w:t>
            </w:r>
            <w:r>
              <w:rPr>
                <w:noProof/>
                <w:color w:val="006100"/>
                <w:sz w:val="18"/>
                <w:szCs w:val="18"/>
              </w:rPr>
              <w:t xml:space="preserve">mura de rețea Macedonia — Tracia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3. Sucursala rețelei aeroportul din Atena — Kiato </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266</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sectoarelor economice cheie — 16950_Tolluri electronice </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contractelor pentru taxele de trecere </w:t>
            </w:r>
            <w:r>
              <w:rPr>
                <w:noProof/>
                <w:color w:val="006100"/>
                <w:sz w:val="18"/>
                <w:szCs w:val="18"/>
              </w:rPr>
              <w:t>electronică</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Subgrupa 1: Contract atribuit pentru taxe de trecere electronică pentru furnizarea unui serviciu uniform, eficient din punctul de vedere al costurilor, transparent și ușor de utilizat.</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267</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w:t>
            </w:r>
            <w:r>
              <w:rPr>
                <w:noProof/>
                <w:color w:val="006100"/>
                <w:sz w:val="18"/>
                <w:szCs w:val="18"/>
              </w:rPr>
              <w:t>4.6. Modernizarea și îmbunătățirea rezilienței principalelor sectoare economice — 16833_Implementarea lucrărilor de remediere a conformității efectuate de AESA</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 privind atribuirea unui t pentru lucrările Agenției Uniunii Europene pentru Sig</w:t>
            </w:r>
            <w:r>
              <w:rPr>
                <w:noProof/>
                <w:color w:val="006100"/>
                <w:sz w:val="18"/>
                <w:szCs w:val="18"/>
              </w:rPr>
              <w:t>uranța Aviației (AESA) în aeroporturile regionale</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Subgrupa 2: Programul de conformitate al Agenției Uniunii Europene pentru Siguranța Aviației (AESA): Toate contractele de lucrări de remediere a 13 aeroporturi</w:t>
            </w:r>
            <w:r>
              <w:rPr>
                <w:noProof/>
                <w:color w:val="006100"/>
                <w:sz w:val="18"/>
                <w:szCs w:val="18"/>
              </w:rPr>
              <w:t xml:space="preserve"> regionale semnate în conformitate cu noul Regulamentul (UE) 2018/1139.</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268</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sectoarelor economice cheie — </w:t>
            </w:r>
          </w:p>
          <w:p w:rsidR="00780A28" w:rsidRDefault="001867D7">
            <w:pPr>
              <w:spacing w:after="0" w:line="240" w:lineRule="auto"/>
              <w:rPr>
                <w:rFonts w:eastAsia="Times New Roman" w:cs="Calibri"/>
                <w:noProof/>
                <w:color w:val="006100"/>
                <w:sz w:val="18"/>
                <w:szCs w:val="18"/>
              </w:rPr>
            </w:pPr>
            <w:r>
              <w:rPr>
                <w:noProof/>
                <w:color w:val="006100"/>
                <w:sz w:val="18"/>
                <w:szCs w:val="18"/>
              </w:rPr>
              <w:t>16982_Reforma organizațională în sectorul feroviar</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Punerea în aplicare a reformei </w:t>
            </w:r>
            <w:r>
              <w:rPr>
                <w:noProof/>
                <w:color w:val="006100"/>
                <w:sz w:val="18"/>
                <w:szCs w:val="18"/>
              </w:rPr>
              <w:t>sectorului feroviar</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Noile entități ale OSE/ERGOSE vor fi pe deplin operaționale.</w:t>
            </w:r>
          </w:p>
          <w:p w:rsidR="00780A28" w:rsidRDefault="001867D7">
            <w:pPr>
              <w:spacing w:after="0" w:line="240" w:lineRule="auto"/>
              <w:rPr>
                <w:rFonts w:eastAsia="Times New Roman" w:cs="Calibri"/>
                <w:noProof/>
                <w:color w:val="006100"/>
                <w:sz w:val="18"/>
                <w:szCs w:val="18"/>
              </w:rPr>
            </w:pPr>
            <w:r>
              <w:rPr>
                <w:noProof/>
                <w:color w:val="006100"/>
                <w:sz w:val="18"/>
                <w:szCs w:val="18"/>
              </w:rPr>
              <w:t>Funcționarea ERTMS pe PATHE</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p w:rsidR="00780A28" w:rsidRDefault="00780A28">
            <w:pPr>
              <w:spacing w:after="0" w:line="240" w:lineRule="auto"/>
              <w:rPr>
                <w:rFonts w:eastAsia="Times New Roman" w:cs="Calibri"/>
                <w:noProof/>
                <w:color w:val="006100"/>
                <w:sz w:val="18"/>
                <w:szCs w:val="18"/>
                <w:lang w:eastAsia="en-GB"/>
              </w:rPr>
            </w:pP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Subgrupa 2: Punerea în aplicare a reformei organizaționale în sectorul feroviar. Noile entități OSE/ERGOSE sunt pe deplin operaționale.</w:t>
            </w:r>
            <w:r>
              <w:rPr>
                <w:noProof/>
                <w:color w:val="006100"/>
                <w:sz w:val="18"/>
                <w:szCs w:val="18"/>
              </w:rPr>
              <w:t xml:space="preserve"> Sistemul european de management al traficului feroviar (ERTMS) este implementat pe deplin în rețeaua centrală PATHE.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269</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sectoarelor economice cheie —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16833_Punerea în aplicare a lucrărilor de </w:t>
            </w:r>
            <w:r>
              <w:rPr>
                <w:noProof/>
                <w:color w:val="006100"/>
                <w:sz w:val="18"/>
                <w:szCs w:val="18"/>
              </w:rPr>
              <w:t>remediere a conformității efectuate de AESA</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lucrărilor AESA </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cyan"/>
              </w:rPr>
            </w:pPr>
            <w:r>
              <w:rPr>
                <w:noProof/>
                <w:color w:val="006100"/>
                <w:sz w:val="18"/>
                <w:szCs w:val="18"/>
              </w:rPr>
              <w:t>Certificarea de către AESA</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Subgrupa 2: Toate lucrările de remediere din cele 13 aeroporturi trebuie finalizate și certificate de AESA.</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270</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sectoarelor economice cheie —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16954 intervenții pentru modernizarea și reamenajarea sistemului și a infrastructurii rețelei feroviare elene </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modernizării rețelei feroviare</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cyan"/>
              </w:rPr>
            </w:pPr>
            <w:r>
              <w:rPr>
                <w:noProof/>
                <w:color w:val="006100"/>
                <w:sz w:val="18"/>
                <w:szCs w:val="18"/>
              </w:rPr>
              <w:t xml:space="preserve">Certificarea </w:t>
            </w:r>
            <w:r>
              <w:rPr>
                <w:noProof/>
                <w:color w:val="006100"/>
                <w:sz w:val="18"/>
                <w:szCs w:val="18"/>
              </w:rPr>
              <w:t>de către OSE a faptului că elementele au fost puse în aplicare și primite</w:t>
            </w:r>
          </w:p>
          <w:p w:rsidR="00780A28" w:rsidRDefault="00780A28">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Subgrupa 2: Finalizarea proiectelor de intervenții pentru modernizarea și reinstalarea sistemului elen al rețelei feroviare. </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271</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highlight w:val="yellow"/>
              </w:rPr>
            </w:pPr>
            <w:r>
              <w:rPr>
                <w:noProof/>
                <w:color w:val="006100"/>
                <w:sz w:val="18"/>
                <w:szCs w:val="18"/>
              </w:rPr>
              <w:t>17 - 4.6. Modernizarea și îmbunătățirea</w:t>
            </w:r>
            <w:r>
              <w:rPr>
                <w:noProof/>
                <w:color w:val="006100"/>
                <w:sz w:val="18"/>
                <w:szCs w:val="18"/>
              </w:rPr>
              <w:t xml:space="preserve"> rezilienței principalelor sectoare economice — 16892_Ameliorarea căilor ferate suburbane din Attica de Vest</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căii ferate din Attica de Vest</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de certificare din partea OSE, conform căruia proiectul este finalizat și primit de OSE</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Subgrupa 2: Finalizarea căii ferate suburbane Attica de Vest de la Ano Liossia la Megara. </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272</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17 - 4.6. Modernizarea și îmbunătățirea rezilienței sectoarelor economice cheie — 16949_Puncte inteligente</w:t>
            </w:r>
          </w:p>
          <w:p w:rsidR="00780A28" w:rsidRDefault="00780A28">
            <w:pPr>
              <w:spacing w:after="0" w:line="240" w:lineRule="auto"/>
              <w:rPr>
                <w:rFonts w:eastAsia="Times New Roman" w:cs="Calibri"/>
                <w:noProof/>
                <w:color w:val="006100"/>
                <w:sz w:val="18"/>
                <w:szCs w:val="18"/>
                <w:highlight w:val="yellow"/>
                <w:lang w:eastAsia="en-GB"/>
              </w:rPr>
            </w:pPr>
          </w:p>
          <w:p w:rsidR="00780A28" w:rsidRDefault="00780A28">
            <w:pPr>
              <w:spacing w:after="0" w:line="240" w:lineRule="auto"/>
              <w:rPr>
                <w:rFonts w:eastAsia="Times New Roman" w:cs="Calibri"/>
                <w:noProof/>
                <w:color w:val="006100"/>
                <w:sz w:val="18"/>
                <w:szCs w:val="18"/>
                <w:lang w:eastAsia="en-GB"/>
              </w:rPr>
            </w:pP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„Poduri </w:t>
            </w:r>
            <w:r>
              <w:rPr>
                <w:noProof/>
                <w:color w:val="006100"/>
                <w:sz w:val="18"/>
                <w:szCs w:val="18"/>
              </w:rPr>
              <w:t>inteligente”</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de finalizare întocmit de un inginer independent ratificat de Ministerul Infrastructurii</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Subcategoria 1: Finalizarea proiectului privind podurile inteligente care oferă servicii de întreținere preventivă inteligentă a poduril</w:t>
            </w:r>
            <w:r>
              <w:rPr>
                <w:noProof/>
                <w:color w:val="006100"/>
                <w:sz w:val="18"/>
                <w:szCs w:val="18"/>
              </w:rPr>
              <w:t>or în mai multe regiuni ale țării.</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273</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16950_Tolluri electronice</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privind taxele de trecere electronice</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 de finalizare întocmit de un </w:t>
            </w:r>
            <w:r>
              <w:rPr>
                <w:noProof/>
                <w:color w:val="006100"/>
                <w:sz w:val="18"/>
                <w:szCs w:val="18"/>
              </w:rPr>
              <w:t>inginer independent ratificat de Ministerul Infrastructurii</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și lansarea unui sistem interoperabil de taxare rutieră electronică care va permite colectarea automată electronică a taxelor rutiere pentru toate vehiculele care circulă pe</w:t>
            </w:r>
            <w:r>
              <w:rPr>
                <w:noProof/>
                <w:color w:val="006100"/>
                <w:sz w:val="18"/>
                <w:szCs w:val="18"/>
              </w:rPr>
              <w:t xml:space="preserve"> autostrăzile Greciei.</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274</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16959_Transformarea digitală a Organizației Căilor Ferate Elene</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transformării digitale a proiectului OSE</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 de completare </w:t>
            </w:r>
            <w:r>
              <w:rPr>
                <w:noProof/>
                <w:color w:val="006100"/>
                <w:sz w:val="18"/>
                <w:szCs w:val="18"/>
              </w:rPr>
              <w:t>elaborat de OSE.</w:t>
            </w:r>
          </w:p>
          <w:p w:rsidR="00780A28" w:rsidRDefault="00780A28">
            <w:pPr>
              <w:spacing w:after="0" w:line="240" w:lineRule="auto"/>
              <w:rPr>
                <w:rFonts w:eastAsia="Times New Roman" w:cs="Calibri"/>
                <w:noProof/>
                <w:color w:val="006100"/>
                <w:sz w:val="18"/>
                <w:szCs w:val="18"/>
                <w:lang w:eastAsia="en-GB"/>
              </w:rPr>
            </w:pPr>
          </w:p>
          <w:p w:rsidR="00780A28" w:rsidRDefault="00780A28">
            <w:pPr>
              <w:spacing w:after="0" w:line="240" w:lineRule="auto"/>
              <w:rPr>
                <w:rFonts w:eastAsia="Times New Roman" w:cs="Calibri"/>
                <w:noProof/>
                <w:color w:val="006100"/>
                <w:sz w:val="18"/>
                <w:szCs w:val="18"/>
                <w:lang w:eastAsia="en-GB"/>
              </w:rPr>
            </w:pP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proiectului de digitalizare a OSE: </w:t>
            </w:r>
          </w:p>
          <w:p w:rsidR="00780A28" w:rsidRDefault="001867D7">
            <w:pPr>
              <w:spacing w:after="0" w:line="240" w:lineRule="auto"/>
              <w:rPr>
                <w:rFonts w:eastAsia="Times New Roman" w:cs="Calibri"/>
                <w:noProof/>
                <w:color w:val="006100"/>
                <w:sz w:val="18"/>
                <w:szCs w:val="18"/>
              </w:rPr>
            </w:pPr>
            <w:r>
              <w:rPr>
                <w:noProof/>
                <w:color w:val="006100"/>
                <w:sz w:val="18"/>
                <w:szCs w:val="18"/>
              </w:rPr>
              <w:t>1. Gestionarea biletelor și sisteme telematice, cu cel puțin 60 % călători care utilizează bilete electronice;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2. Infrastructura stațiilor inteligente;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3. Servicii pentru experiența clienților;</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4. Implementarea și exploatarea rețelei de telecomunicații pentru internet de mare viteză pe trenuri și stații;</w:t>
            </w:r>
          </w:p>
          <w:p w:rsidR="00780A28" w:rsidRDefault="001867D7">
            <w:pPr>
              <w:spacing w:after="0" w:line="240" w:lineRule="auto"/>
              <w:rPr>
                <w:rFonts w:eastAsia="Times New Roman" w:cs="Calibri"/>
                <w:noProof/>
                <w:color w:val="006100"/>
                <w:sz w:val="18"/>
                <w:szCs w:val="18"/>
              </w:rPr>
            </w:pPr>
            <w:r>
              <w:rPr>
                <w:noProof/>
                <w:color w:val="006100"/>
                <w:sz w:val="18"/>
                <w:szCs w:val="18"/>
              </w:rPr>
              <w:t>5. OSE Sistemul telematic al vehiculelor</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Servicii de instalare;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6. Servicii de formare.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275</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16960_Infrastructură inteligentă cu accent pe mediu și cultură</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de infrastructură inteligentă</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Proiecte finalizate pe baza unui raport al unui</w:t>
            </w:r>
            <w:r>
              <w:rPr>
                <w:noProof/>
                <w:color w:val="006100"/>
                <w:sz w:val="18"/>
                <w:szCs w:val="18"/>
              </w:rPr>
              <w:t xml:space="preserve"> inginer independent ratificat de Ministerul Infrastructurii</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Toate subproiectele finalizate:</w:t>
            </w:r>
          </w:p>
          <w:p w:rsidR="00780A28" w:rsidRDefault="001867D7">
            <w:pPr>
              <w:spacing w:after="0" w:line="240" w:lineRule="auto"/>
              <w:rPr>
                <w:rFonts w:eastAsia="Times New Roman" w:cs="Calibri"/>
                <w:noProof/>
                <w:color w:val="006100"/>
                <w:sz w:val="18"/>
                <w:szCs w:val="18"/>
              </w:rPr>
            </w:pPr>
            <w:r>
              <w:rPr>
                <w:noProof/>
                <w:color w:val="006100"/>
                <w:sz w:val="18"/>
                <w:szCs w:val="18"/>
              </w:rPr>
              <w:t>1. Sistemul de informare pentru delimitarea cursurilor de apă pentru a contribui la protecția naturii și a biodiversității;</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2. tranzacții Digital Bank </w:t>
            </w:r>
            <w:r>
              <w:rPr>
                <w:noProof/>
                <w:color w:val="006100"/>
                <w:sz w:val="18"/>
                <w:szCs w:val="18"/>
              </w:rPr>
              <w:t>for Building Plot Ration;</w:t>
            </w:r>
          </w:p>
          <w:p w:rsidR="00780A28" w:rsidRDefault="001867D7">
            <w:pPr>
              <w:spacing w:after="0" w:line="240" w:lineRule="auto"/>
              <w:rPr>
                <w:rFonts w:eastAsia="Times New Roman" w:cs="Calibri"/>
                <w:noProof/>
                <w:color w:val="006100"/>
                <w:sz w:val="18"/>
                <w:szCs w:val="18"/>
              </w:rPr>
            </w:pPr>
            <w:r>
              <w:rPr>
                <w:noProof/>
                <w:color w:val="006100"/>
                <w:sz w:val="18"/>
                <w:szCs w:val="18"/>
              </w:rPr>
              <w:t>3. Harta digitală unică;</w:t>
            </w:r>
          </w:p>
          <w:p w:rsidR="00780A28" w:rsidRDefault="001867D7">
            <w:pPr>
              <w:spacing w:after="0" w:line="240" w:lineRule="auto"/>
              <w:rPr>
                <w:rFonts w:eastAsia="Times New Roman" w:cs="Calibri"/>
                <w:noProof/>
                <w:color w:val="006100"/>
                <w:sz w:val="18"/>
                <w:szCs w:val="18"/>
              </w:rPr>
            </w:pPr>
            <w:r>
              <w:rPr>
                <w:noProof/>
                <w:color w:val="006100"/>
                <w:sz w:val="18"/>
                <w:szCs w:val="18"/>
              </w:rPr>
              <w:t>4. Măsurarea și monitorizarea digitală a poluanților atmosferici și a poluării marine în vederea optimizării amprentei de mediu și a inspecțiilor digitale de mediu pentru a contribui la îmbunătățirea calit</w:t>
            </w:r>
            <w:r>
              <w:rPr>
                <w:noProof/>
                <w:color w:val="006100"/>
                <w:sz w:val="18"/>
                <w:szCs w:val="18"/>
              </w:rPr>
              <w:t>ății aerului;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5. Infrastructura inteligentă și dezvoltarea serviciilor digitale interactive și a producției de conținut digital pentru promovarea exponatelor culturale cu realitate augmentată și virtuală pentru muzee.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276</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w:t>
            </w:r>
            <w:r>
              <w:rPr>
                <w:noProof/>
                <w:color w:val="006100"/>
                <w:sz w:val="18"/>
                <w:szCs w:val="18"/>
              </w:rPr>
              <w:t>ș</w:t>
            </w:r>
            <w:r>
              <w:rPr>
                <w:noProof/>
                <w:color w:val="006100"/>
                <w:sz w:val="18"/>
                <w:szCs w:val="18"/>
              </w:rPr>
              <w:t>i îmbunătățirea rezilienței sectoarelor economice cheie — 16937_Sistemul digital integrat de gestionare a programelor pentru administrarea lucrărilor tehnice și a activelor structurale al Ministerului Infrastructurii și Transporturilor</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w:t>
            </w:r>
            <w:r>
              <w:rPr>
                <w:noProof/>
                <w:color w:val="006100"/>
                <w:sz w:val="18"/>
                <w:szCs w:val="18"/>
              </w:rPr>
              <w:t>MIS pentru Ministerul Infrastructurii</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de finalizare al Ministerului Infrastructurii</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Furnizarea unui sistem de informații PMIS (Portfolio Management Information System) de ultimă generație pentru Ministerul Infrastructurii.</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277</w:t>
            </w:r>
          </w:p>
        </w:tc>
        <w:tc>
          <w:tcPr>
            <w:tcW w:w="194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w:t>
            </w:r>
            <w:r>
              <w:rPr>
                <w:noProof/>
                <w:color w:val="006100"/>
                <w:sz w:val="18"/>
                <w:szCs w:val="18"/>
              </w:rPr>
              <w:t>Modernizarea și îmbunătățirea rezilienței sectoarelor economice cheie — 16786_Simplificarea procedurilor Ministerului Infrastructurii &amp; Transporturile</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Simplificarea procedurilor pentru Ministerul Transporturilor</w:t>
            </w:r>
          </w:p>
        </w:tc>
        <w:tc>
          <w:tcPr>
            <w:tcW w:w="12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de finalizare al Ministerului I</w:t>
            </w:r>
            <w:r>
              <w:rPr>
                <w:noProof/>
                <w:color w:val="006100"/>
                <w:sz w:val="18"/>
                <w:szCs w:val="18"/>
              </w:rPr>
              <w:t>nfrastructurii</w:t>
            </w:r>
          </w:p>
        </w:tc>
        <w:tc>
          <w:tcPr>
            <w:tcW w:w="8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70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81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unui nou model operațional de punere în aplicare a transformării digitale și a simplificării procedurilor.</w:t>
            </w:r>
          </w:p>
        </w:tc>
      </w:tr>
    </w:tbl>
    <w:p w:rsidR="00780A28" w:rsidRDefault="00780A28">
      <w:pPr>
        <w:spacing w:before="120" w:after="0" w:line="240" w:lineRule="auto"/>
        <w:jc w:val="both"/>
        <w:rPr>
          <w:rFonts w:ascii="Times New Roman" w:hAnsi="Times New Roman" w:cs="Times New Roman"/>
          <w:noProof/>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25: Cultura</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Reforma muncii în sectorul cultural (ID: 16715)</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Cultura ca motor al creșterii </w:t>
      </w:r>
      <w:r>
        <w:rPr>
          <w:rFonts w:ascii="Times New Roman" w:hAnsi="Times New Roman"/>
          <w:noProof/>
          <w:sz w:val="24"/>
        </w:rPr>
        <w:t>(ID: 16293)</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Muzeu de antichități subacvatice (ID: 16486)</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Utilizarea „artelor pe bază de rețetă”, promovarea coeziunii sociale și valorificarea economiei vârstei a treia (ID: 16735)</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Modernizarea infrastructurii, reînnoirea echipamentelor și îmbunătățirea ca</w:t>
      </w:r>
      <w:r>
        <w:rPr>
          <w:rFonts w:ascii="Times New Roman" w:hAnsi="Times New Roman"/>
          <w:noProof/>
          <w:sz w:val="24"/>
        </w:rPr>
        <w:t>lității serviciilor furnizate de HOCRED (ID: 16536)</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Autostrăzi pentru natură și cultură (ID: 16970)</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Protejarea monumentelor culturale și a siturilor arheologice împotriva schimbărilor climatice (Grupul 2) (ID: 16433)</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Modernizarea învățământului superior în</w:t>
      </w:r>
      <w:r>
        <w:rPr>
          <w:rFonts w:ascii="Times New Roman" w:hAnsi="Times New Roman"/>
          <w:noProof/>
          <w:sz w:val="24"/>
        </w:rPr>
        <w:t xml:space="preserve"> domeniul artelor (ID: 16725)</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Itinerarii culturale la situri și monumente arheologice emblematice (ID: 16485)</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Restaurare — Conservare — Consolidarea monumentelor de pe Acropole (ID: 16435)</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Consolidarea competențelor pentru profesioniștii din domeniul creat</w:t>
      </w:r>
      <w:r>
        <w:rPr>
          <w:rFonts w:ascii="Times New Roman" w:hAnsi="Times New Roman"/>
          <w:noProof/>
          <w:sz w:val="24"/>
        </w:rPr>
        <w:t>iv și cultural (ID: 16723)</w:t>
      </w:r>
    </w:p>
    <w:p w:rsidR="00780A28" w:rsidRDefault="00780A28">
      <w:pPr>
        <w:spacing w:before="120" w:after="0" w:line="240" w:lineRule="auto"/>
        <w:jc w:val="both"/>
        <w:rPr>
          <w:rFonts w:ascii="Times New Roman" w:hAnsi="Times New Roman" w:cs="Times New Roman"/>
          <w:noProof/>
          <w:sz w:val="24"/>
        </w:rPr>
      </w:pPr>
    </w:p>
    <w:tbl>
      <w:tblPr>
        <w:tblW w:w="15871" w:type="dxa"/>
        <w:jc w:val="center"/>
        <w:tblLook w:val="04A0" w:firstRow="1" w:lastRow="0" w:firstColumn="1" w:lastColumn="0" w:noHBand="0" w:noVBand="1"/>
      </w:tblPr>
      <w:tblGrid>
        <w:gridCol w:w="1027"/>
        <w:gridCol w:w="1715"/>
        <w:gridCol w:w="1107"/>
        <w:gridCol w:w="1323"/>
        <w:gridCol w:w="1548"/>
        <w:gridCol w:w="1397"/>
        <w:gridCol w:w="1058"/>
        <w:gridCol w:w="992"/>
        <w:gridCol w:w="1134"/>
        <w:gridCol w:w="851"/>
        <w:gridCol w:w="3950"/>
      </w:tblGrid>
      <w:tr w:rsidR="00780A28">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Număr secvențial</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Măsură conexă (reformă sau investiție)</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Jalon/Țintă</w:t>
            </w:r>
          </w:p>
        </w:tc>
        <w:tc>
          <w:tcPr>
            <w:tcW w:w="1291"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calitativi (pentru jaloane)</w:t>
            </w:r>
          </w:p>
        </w:tc>
        <w:tc>
          <w:tcPr>
            <w:tcW w:w="3447"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cantitativi (pentru ținte)</w:t>
            </w:r>
          </w:p>
        </w:tc>
        <w:tc>
          <w:tcPr>
            <w:tcW w:w="1985"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Calendar orientativ pentru atingerea jaloanelor/țintelor </w:t>
            </w:r>
          </w:p>
        </w:tc>
        <w:tc>
          <w:tcPr>
            <w:tcW w:w="395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Descrierea fiecărui </w:t>
            </w:r>
            <w:r>
              <w:rPr>
                <w:rFonts w:ascii="Times New Roman" w:hAnsi="Times New Roman"/>
                <w:b/>
                <w:bCs/>
                <w:noProof/>
                <w:sz w:val="18"/>
                <w:szCs w:val="18"/>
              </w:rPr>
              <w:t>jalon și a fiecărei ținte</w:t>
            </w:r>
          </w:p>
        </w:tc>
      </w:tr>
      <w:tr w:rsidR="00780A28">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91"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9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Unitate de măsură</w:t>
            </w:r>
          </w:p>
        </w:tc>
        <w:tc>
          <w:tcPr>
            <w:tcW w:w="1058"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Valoare de referință </w:t>
            </w:r>
          </w:p>
        </w:tc>
        <w:tc>
          <w:tcPr>
            <w:tcW w:w="99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Obiectiv </w:t>
            </w:r>
          </w:p>
        </w:tc>
        <w:tc>
          <w:tcPr>
            <w:tcW w:w="1134"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 sfert</w:t>
            </w:r>
          </w:p>
        </w:tc>
        <w:tc>
          <w:tcPr>
            <w:tcW w:w="85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Anul</w:t>
            </w:r>
          </w:p>
        </w:tc>
        <w:tc>
          <w:tcPr>
            <w:tcW w:w="3950"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278</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reforma 16715_Labor în sectorul cultural</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Legislația privind reforma muncii în sectorul cultural</w:t>
            </w:r>
          </w:p>
        </w:tc>
        <w:tc>
          <w:tcPr>
            <w:tcW w:w="15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legislației și a legisl</w:t>
            </w:r>
            <w:r>
              <w:rPr>
                <w:noProof/>
                <w:color w:val="006100"/>
                <w:sz w:val="18"/>
                <w:szCs w:val="18"/>
              </w:rPr>
              <w:t>ației secundare și instituirea unui sistem de evaluare credibilă a statutului „profesionistului creativ sau cultural”</w:t>
            </w:r>
          </w:p>
        </w:tc>
        <w:tc>
          <w:tcPr>
            <w:tcW w:w="139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9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privind reforma muncii în sectorul cultural, inclusiv definirea statutului de „profesioniști </w:t>
            </w:r>
            <w:r>
              <w:rPr>
                <w:noProof/>
                <w:color w:val="006100"/>
                <w:sz w:val="18"/>
                <w:szCs w:val="18"/>
              </w:rPr>
              <w:t>creativi sau culturali” și stimulente fiscale și de securitate socială proporționale.</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279</w:t>
            </w:r>
          </w:p>
        </w:tc>
        <w:tc>
          <w:tcPr>
            <w:tcW w:w="16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16486_Muzeul de antichități subacvatice</w:t>
            </w:r>
          </w:p>
        </w:tc>
        <w:tc>
          <w:tcPr>
            <w:tcW w:w="10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Atribuirea contractului pentru Muzeul</w:t>
            </w:r>
            <w:r>
              <w:rPr>
                <w:noProof/>
                <w:color w:val="006100"/>
                <w:sz w:val="18"/>
                <w:szCs w:val="18"/>
              </w:rPr>
              <w:t xml:space="preserve"> de antichități subacvatice</w:t>
            </w:r>
          </w:p>
        </w:tc>
        <w:tc>
          <w:tcPr>
            <w:tcW w:w="154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acordării premiului pentru Muzeul de antichități subacvatice și calendarul detaliat al lucrărilor la Muzeul de antichități subacvatice</w:t>
            </w:r>
          </w:p>
        </w:tc>
        <w:tc>
          <w:tcPr>
            <w:tcW w:w="139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39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Atribuirea contractului pentru Muzeul de antichități subacvatice. </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280</w:t>
            </w:r>
          </w:p>
        </w:tc>
        <w:tc>
          <w:tcPr>
            <w:tcW w:w="16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16293_Cultura ca motor al creșterii economice</w:t>
            </w:r>
          </w:p>
        </w:tc>
        <w:tc>
          <w:tcPr>
            <w:tcW w:w="10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Marca și platforma culturală greacă contemporană</w:t>
            </w:r>
          </w:p>
        </w:tc>
        <w:tc>
          <w:tcPr>
            <w:tcW w:w="154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sz w:val="18"/>
                <w:szCs w:val="18"/>
              </w:rPr>
            </w:pPr>
            <w:r>
              <w:rPr>
                <w:noProof/>
                <w:color w:val="006100"/>
                <w:sz w:val="18"/>
                <w:szCs w:val="18"/>
              </w:rPr>
              <w:t xml:space="preserve">Raport privind marca culturală greacă contemporană, platforma de </w:t>
            </w:r>
            <w:r>
              <w:rPr>
                <w:noProof/>
                <w:color w:val="006100"/>
                <w:sz w:val="18"/>
                <w:szCs w:val="18"/>
              </w:rPr>
              <w:t>design verde, baza de date muzicală grecească și revitalizarea programului grec de traducere a literaturii.</w:t>
            </w:r>
          </w:p>
        </w:tc>
        <w:tc>
          <w:tcPr>
            <w:tcW w:w="139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39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Cultura ca motor al creșterii: Crearea unei mărci culturale elene contemporane, crearea unei platforme grecești de design, a unei baze de</w:t>
            </w:r>
            <w:r>
              <w:rPr>
                <w:noProof/>
                <w:color w:val="006100"/>
                <w:sz w:val="18"/>
                <w:szCs w:val="18"/>
              </w:rPr>
              <w:t xml:space="preserve"> date muzicale elene și a unui program de traducere a literaturii grecești actualizat </w:t>
            </w: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281</w:t>
            </w:r>
          </w:p>
        </w:tc>
        <w:tc>
          <w:tcPr>
            <w:tcW w:w="16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principalelor sectoare economice — 16723_Consolidarea competențelor pentru profesioniștii din domeniul creativ </w:t>
            </w:r>
            <w:r>
              <w:rPr>
                <w:noProof/>
                <w:color w:val="006100"/>
                <w:sz w:val="18"/>
                <w:szCs w:val="18"/>
              </w:rPr>
              <w:t>ș</w:t>
            </w:r>
            <w:r>
              <w:rPr>
                <w:noProof/>
                <w:color w:val="006100"/>
                <w:sz w:val="18"/>
                <w:szCs w:val="18"/>
              </w:rPr>
              <w:t>i cultural</w:t>
            </w:r>
          </w:p>
        </w:tc>
        <w:tc>
          <w:tcPr>
            <w:tcW w:w="100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9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Consolidarea competențelor pentru profesioniștii din domeniul creativ și cultural (pe termen mediu)</w:t>
            </w:r>
          </w:p>
        </w:tc>
        <w:tc>
          <w:tcPr>
            <w:tcW w:w="154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39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profesioniști din domeniul cultural și creativ înregistrați care au absolvit primul ciclu de formare</w:t>
            </w:r>
          </w:p>
        </w:tc>
        <w:tc>
          <w:tcPr>
            <w:tcW w:w="1058"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9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1 800</w:t>
            </w:r>
          </w:p>
        </w:tc>
        <w:tc>
          <w:tcPr>
            <w:tcW w:w="113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395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Consolidarea competențelor pentru profesioniștii din domeniul creativ și cultural: Finalizarea primului ciclu de formare pentru profesioniștii din domeniul cultural și creativ, formarea a cel puțin 1 800 de profesioniști înregistrați în Grecia</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282</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w:t>
            </w:r>
            <w:r>
              <w:rPr>
                <w:noProof/>
                <w:color w:val="006100"/>
                <w:sz w:val="18"/>
                <w:szCs w:val="18"/>
              </w:rPr>
              <w:t>4.6. Modernizarea și îmbunătățirea rezilienței principalelor sectoare economice — 16970_autostrăzi pentru natură și cultură</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Autostrăzi pentru natură și cultură</w:t>
            </w:r>
          </w:p>
        </w:tc>
        <w:tc>
          <w:tcPr>
            <w:tcW w:w="15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de finalizare, inclusiv dovezile de plată și rezultatele auditurilor </w:t>
            </w:r>
            <w:r>
              <w:rPr>
                <w:noProof/>
                <w:color w:val="006100"/>
                <w:sz w:val="18"/>
                <w:szCs w:val="18"/>
              </w:rPr>
              <w:t>investițiilor, certificarea din partea beneficiarilor la finalizarea investiției</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autostrăzilor pentru natură și cultură: investiții în infrastructura fizică a cel puțin 28 de monumente și instalarea infrastructurii 5G de-a lungul rut</w:t>
            </w:r>
            <w:r>
              <w:rPr>
                <w:noProof/>
                <w:color w:val="006100"/>
                <w:sz w:val="18"/>
                <w:szCs w:val="18"/>
              </w:rPr>
              <w:t>elor de interes natural și cultural special pentru turiști, completate de dezvoltarea serviciilor digitale, a serviciilor de comerț electronic și de certificarea furnizorilor de bunuri și servicii locale.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283</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w:t>
            </w:r>
            <w:r>
              <w:rPr>
                <w:noProof/>
                <w:color w:val="006100"/>
                <w:sz w:val="18"/>
                <w:szCs w:val="18"/>
              </w:rPr>
              <w:t>rezilienței sectoarelor economice cheie — 16293_Cultura ca motor al creșterii economice</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Cultura ca motor al creșterii</w:t>
            </w:r>
          </w:p>
        </w:tc>
        <w:tc>
          <w:tcPr>
            <w:tcW w:w="15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Rapoartele de finalizare a tuturor subproiectelor, inclusiv dovezile de plată și rezultatele auditurilor investițiilor, certificarea</w:t>
            </w:r>
            <w:r>
              <w:rPr>
                <w:noProof/>
                <w:color w:val="006100"/>
                <w:sz w:val="18"/>
                <w:szCs w:val="18"/>
              </w:rPr>
              <w:t xml:space="preserve"> din partea beneficiarilor la finalizarea investiției</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culturii ca motor al Finalizării creșterii a subproiectelor acoperite în T2 2023 și finalizarea contractelor rămase privind transformarea digitală a producției și distribuției </w:t>
            </w:r>
            <w:r>
              <w:rPr>
                <w:noProof/>
                <w:color w:val="006100"/>
                <w:sz w:val="18"/>
                <w:szCs w:val="18"/>
              </w:rPr>
              <w:t>culturale: sprijinirea strategiilor regionale ale industriilor culturale și creative (ICC);</w:t>
            </w:r>
          </w:p>
          <w:p w:rsidR="00780A28" w:rsidRDefault="001867D7">
            <w:pPr>
              <w:spacing w:after="0" w:line="240" w:lineRule="auto"/>
              <w:rPr>
                <w:rFonts w:eastAsia="Times New Roman" w:cs="Calibri"/>
                <w:noProof/>
                <w:color w:val="006100"/>
                <w:sz w:val="18"/>
                <w:szCs w:val="18"/>
              </w:rPr>
            </w:pPr>
            <w:r>
              <w:rPr>
                <w:noProof/>
                <w:color w:val="006100"/>
                <w:sz w:val="18"/>
                <w:szCs w:val="18"/>
              </w:rPr>
              <w:t>sprijinirea ecosistemelor artizanale locale;</w:t>
            </w:r>
          </w:p>
          <w:p w:rsidR="00780A28" w:rsidRDefault="001867D7">
            <w:pPr>
              <w:spacing w:after="0" w:line="240" w:lineRule="auto"/>
              <w:rPr>
                <w:rFonts w:eastAsia="Times New Roman" w:cs="Calibri"/>
                <w:noProof/>
                <w:color w:val="006100"/>
                <w:sz w:val="18"/>
                <w:szCs w:val="18"/>
              </w:rPr>
            </w:pPr>
            <w:r>
              <w:rPr>
                <w:noProof/>
                <w:color w:val="006100"/>
                <w:sz w:val="18"/>
                <w:szCs w:val="18"/>
              </w:rPr>
              <w:t>extinderea utilizării siturilor arheologice și a monumentelor ca locuri de desfășurare și evenimente; promovarea indust</w:t>
            </w:r>
            <w:r>
              <w:rPr>
                <w:noProof/>
                <w:color w:val="006100"/>
                <w:sz w:val="18"/>
                <w:szCs w:val="18"/>
              </w:rPr>
              <w:t>riei cinematografice. Finalizarea renovărilor eficiente din punct de vedere energetic și a măsurilor de eficiență energetică în ceea ce privește infrastructura publică, proiectele demonstrative și măsurile de sprijin prin modernizarea clădirilor publice ex</w:t>
            </w:r>
            <w:r>
              <w:rPr>
                <w:noProof/>
                <w:color w:val="006100"/>
                <w:sz w:val="18"/>
                <w:szCs w:val="18"/>
              </w:rPr>
              <w:t>istente.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284</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principalelor sectoare economice — 16536_Actualizarea infrastructurii, reînnoirea echipamentelor și îmbunătățirea calității serviciilor furnizate de magazinele HOCRED — foste Stores ARF (la </w:t>
            </w:r>
            <w:r>
              <w:rPr>
                <w:noProof/>
                <w:color w:val="006100"/>
                <w:sz w:val="18"/>
                <w:szCs w:val="18"/>
              </w:rPr>
              <w:t>fața locului și în format electronic)</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Modernizarea Organizației elene pentru dezvoltarea resurselor culturale (HOCRED) </w:t>
            </w:r>
          </w:p>
        </w:tc>
        <w:tc>
          <w:tcPr>
            <w:tcW w:w="15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Rapoartele de finalizare, inclusiv dovezile de plată și rezultatele auditurilor investițiilor, certificarea din partea beneficiari</w:t>
            </w:r>
            <w:r>
              <w:rPr>
                <w:noProof/>
                <w:color w:val="006100"/>
                <w:sz w:val="18"/>
                <w:szCs w:val="18"/>
              </w:rPr>
              <w:t>lor cu privire la finalizarea investiției.</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Îmbunătățirea operațiunilor Organizației Elene de Dezvoltare a Resurselor Culturale (HOCRED), inclusiv renovarea eficienței energetice, construirea și modernizarea infrastructurii și furnizarea de </w:t>
            </w:r>
            <w:r>
              <w:rPr>
                <w:noProof/>
                <w:color w:val="006100"/>
                <w:sz w:val="18"/>
                <w:szCs w:val="18"/>
              </w:rPr>
              <w:t>echipamente pentru magazinele fizice și online și modernizarea calității serviciilor.</w:t>
            </w:r>
            <w:r>
              <w:rPr>
                <w:rFonts w:ascii="Times New Roman" w:hAnsi="Times New Roman"/>
                <w:noProof/>
                <w:sz w:val="24"/>
              </w:rPr>
              <w:t xml:space="preserve"> </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285</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16725_Ameliorarea învățământului superior în domeniul artelor</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Modernizarea </w:t>
            </w:r>
            <w:r>
              <w:rPr>
                <w:noProof/>
                <w:color w:val="006100"/>
                <w:sz w:val="18"/>
                <w:szCs w:val="18"/>
              </w:rPr>
              <w:t>învățământului superior în domeniul artelor</w:t>
            </w:r>
          </w:p>
        </w:tc>
        <w:tc>
          <w:tcPr>
            <w:tcW w:w="15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 de finalizare, inclusiv </w:t>
            </w:r>
          </w:p>
          <w:p w:rsidR="00780A28" w:rsidRDefault="001867D7">
            <w:pPr>
              <w:spacing w:after="0" w:line="240" w:lineRule="auto"/>
              <w:rPr>
                <w:rFonts w:eastAsia="Times New Roman" w:cs="Calibri"/>
                <w:noProof/>
                <w:color w:val="006100"/>
                <w:sz w:val="18"/>
                <w:szCs w:val="18"/>
              </w:rPr>
            </w:pPr>
            <w:r>
              <w:rPr>
                <w:noProof/>
                <w:color w:val="006100"/>
                <w:sz w:val="18"/>
                <w:szCs w:val="18"/>
              </w:rPr>
              <w:t>(a) dovezile de plată și rezultatele auditurilor investițiilor, certificarea de către beneficiari a finalizării investițiilor;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(b) revizuiri documentate ale cadrului </w:t>
            </w:r>
            <w:r>
              <w:rPr>
                <w:noProof/>
                <w:color w:val="006100"/>
                <w:sz w:val="18"/>
                <w:szCs w:val="18"/>
              </w:rPr>
              <w:t>juridic cu trimiteri la Jurnalul Oficial.</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privind învățământul superior, inclusiv înființarea unei noi școli audiovizuale și finalizarea mutării Școlii Naționale de Dance și a Conservatorului de Stat din Salonic; și reviz</w:t>
            </w:r>
            <w:r>
              <w:rPr>
                <w:noProof/>
                <w:color w:val="006100"/>
                <w:sz w:val="18"/>
                <w:szCs w:val="18"/>
              </w:rPr>
              <w:t>uirea cadrului juridic pentru actualizarea programei școlare și asigurarea calității educației artistice.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286</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principalelor sectoare economice — 16723_Consolidarea competențelor pentru profesioniștii din</w:t>
            </w:r>
            <w:r>
              <w:rPr>
                <w:noProof/>
                <w:color w:val="006100"/>
                <w:sz w:val="18"/>
                <w:szCs w:val="18"/>
              </w:rPr>
              <w:t xml:space="preserve"> domeniul creativ și cultural</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9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Dezvoltarea competențelor pentru profesioniștii din domeniul creativ și cultural (finalizare)</w:t>
            </w:r>
          </w:p>
        </w:tc>
        <w:tc>
          <w:tcPr>
            <w:tcW w:w="154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profesioniști creativi și culturali înregistrați care au absolvit formarea</w:t>
            </w:r>
          </w:p>
        </w:tc>
        <w:tc>
          <w:tcPr>
            <w:tcW w:w="105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jc w:val="right"/>
              <w:rPr>
                <w:rFonts w:eastAsia="Times New Roman" w:cs="Calibri"/>
                <w:noProof/>
                <w:color w:val="006100"/>
                <w:sz w:val="18"/>
                <w:szCs w:val="18"/>
              </w:rPr>
            </w:pPr>
            <w:r>
              <w:rPr>
                <w:noProof/>
                <w:color w:val="006100"/>
                <w:sz w:val="18"/>
                <w:szCs w:val="18"/>
              </w:rPr>
              <w:t>1 800</w:t>
            </w: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jc w:val="right"/>
              <w:rPr>
                <w:rFonts w:eastAsia="Times New Roman" w:cs="Calibri"/>
                <w:noProof/>
                <w:color w:val="006100"/>
                <w:sz w:val="18"/>
                <w:szCs w:val="18"/>
              </w:rPr>
            </w:pPr>
            <w:r>
              <w:rPr>
                <w:noProof/>
                <w:color w:val="006100"/>
                <w:sz w:val="18"/>
                <w:szCs w:val="18"/>
              </w:rPr>
              <w:t>3 600</w:t>
            </w: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w:t>
            </w:r>
            <w:r>
              <w:rPr>
                <w:noProof/>
                <w:color w:val="006100"/>
                <w:sz w:val="18"/>
                <w:szCs w:val="18"/>
              </w:rPr>
              <w:t>proiectului „Skill building” pentru profesioniștii din domeniul creativ și cultural: Finalizarea primului ciclu de formare pentru profesioniștii din domeniul cultural și creativ, formarea a cel puțin 3600 de profesioniști ICC înregistrați în Grecia.</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287</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16486_Muzeul de antichități subacvatice</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Muzeu de antichități subacvatice</w:t>
            </w:r>
          </w:p>
        </w:tc>
        <w:tc>
          <w:tcPr>
            <w:tcW w:w="15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 de finalizare, inclusiv </w:t>
            </w:r>
          </w:p>
          <w:p w:rsidR="00780A28" w:rsidRDefault="001867D7">
            <w:pPr>
              <w:spacing w:after="0" w:line="240" w:lineRule="auto"/>
              <w:rPr>
                <w:rFonts w:eastAsia="Times New Roman" w:cs="Calibri"/>
                <w:noProof/>
                <w:color w:val="006100"/>
                <w:sz w:val="18"/>
                <w:szCs w:val="18"/>
              </w:rPr>
            </w:pPr>
            <w:r>
              <w:rPr>
                <w:noProof/>
                <w:color w:val="006100"/>
                <w:sz w:val="18"/>
                <w:szCs w:val="18"/>
              </w:rPr>
              <w:t>(1a) certificarea privind finalizarea investițiilor; precum și</w:t>
            </w:r>
          </w:p>
          <w:p w:rsidR="00780A28" w:rsidRDefault="001867D7">
            <w:pPr>
              <w:spacing w:after="0" w:line="240" w:lineRule="auto"/>
              <w:rPr>
                <w:rFonts w:eastAsia="Times New Roman" w:cs="Calibri"/>
                <w:noProof/>
                <w:color w:val="006100"/>
                <w:sz w:val="18"/>
                <w:szCs w:val="18"/>
              </w:rPr>
            </w:pPr>
            <w:r>
              <w:rPr>
                <w:noProof/>
                <w:color w:val="006100"/>
                <w:sz w:val="18"/>
                <w:szCs w:val="18"/>
              </w:rPr>
              <w:t>(1b) certificarea lucrărilor pentru spațiile de expoziție permanentă, a lucrărilor de conservare și a documentației și a publicațiilor care sprijină expoziția.</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Muzeului de antichități subacvatice: (1a) finalizarea lucrărilor de efici</w:t>
            </w:r>
            <w:r>
              <w:rPr>
                <w:noProof/>
                <w:color w:val="006100"/>
                <w:sz w:val="18"/>
                <w:szCs w:val="18"/>
              </w:rPr>
              <w:t xml:space="preserve">ență energetică și </w:t>
            </w:r>
          </w:p>
          <w:p w:rsidR="00780A28" w:rsidRDefault="001867D7">
            <w:pPr>
              <w:spacing w:after="0" w:line="240" w:lineRule="auto"/>
              <w:rPr>
                <w:rFonts w:eastAsia="Times New Roman" w:cs="Calibri"/>
                <w:noProof/>
                <w:color w:val="006100"/>
                <w:sz w:val="18"/>
                <w:szCs w:val="18"/>
              </w:rPr>
            </w:pPr>
            <w:r>
              <w:rPr>
                <w:noProof/>
                <w:color w:val="006100"/>
                <w:sz w:val="18"/>
                <w:szCs w:val="18"/>
              </w:rPr>
              <w:t>(1b) organizarea unei expoziții permanente care să creeze o valoare adăugată substanțială pentru turism și cultură pentru Pireu și zona extinsă Atena.</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288</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sectoarelor economice cheie </w:t>
            </w:r>
            <w:r>
              <w:rPr>
                <w:noProof/>
                <w:color w:val="006100"/>
                <w:sz w:val="18"/>
                <w:szCs w:val="18"/>
              </w:rPr>
              <w:t>— 16485_Itinerariile culturale în situri arheologice și monumente emblematice</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Itinerarii culturale la siturile arheologice emblematice</w:t>
            </w:r>
          </w:p>
        </w:tc>
        <w:tc>
          <w:tcPr>
            <w:tcW w:w="15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de finalizare, inclusiv certificare din partea beneficiarilor cu privire la finalizarea investiției.</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itinerariilor culturale: furnizarea a cinci rute culturale răspândite geografic cu discursuri tematice din istoria Greciei, inclusiv conservarea și restaurarea unor monumente selectate, modernizarea serviciilor și a infrastructurii, dezvol</w:t>
            </w:r>
            <w:r>
              <w:rPr>
                <w:noProof/>
                <w:color w:val="006100"/>
                <w:sz w:val="18"/>
                <w:szCs w:val="18"/>
              </w:rPr>
              <w:t>tarea de aplicații digitale interactive și includerea artelor și a evenimentelor culturale.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289</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sectoarelor economice cheie — 16735_Utilizarea „artelor pe bază de rețetă”, promovarea coeziunii sociale </w:t>
            </w:r>
            <w:r>
              <w:rPr>
                <w:noProof/>
                <w:color w:val="006100"/>
                <w:sz w:val="18"/>
                <w:szCs w:val="18"/>
              </w:rPr>
              <w:t>ș</w:t>
            </w:r>
            <w:r>
              <w:rPr>
                <w:noProof/>
                <w:color w:val="006100"/>
                <w:sz w:val="18"/>
                <w:szCs w:val="18"/>
              </w:rPr>
              <w:t>i valorificarea economiei vârstei a treia</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9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Utilizarea „artelor pe bază de rețetă”;</w:t>
            </w:r>
          </w:p>
        </w:tc>
        <w:tc>
          <w:tcPr>
            <w:tcW w:w="15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de finalizare, inclusiv certificare din partea beneficiarilor cu privire la finalizarea investiției.</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artelor privind prescripția, </w:t>
            </w:r>
            <w:r>
              <w:rPr>
                <w:noProof/>
                <w:color w:val="006100"/>
                <w:sz w:val="18"/>
                <w:szCs w:val="18"/>
              </w:rPr>
              <w:t>îmbunătățirea accesului fizic și furnizarea de sisteme de vizite ghidate cu ajutorul auzului și al viziunii în locuri culturale precum muzee, teatre, festivaluri, situri arheologice; și promovarea intervențiilor care utilizează arta și cultura pentru a spr</w:t>
            </w:r>
            <w:r>
              <w:rPr>
                <w:noProof/>
                <w:color w:val="006100"/>
                <w:sz w:val="18"/>
                <w:szCs w:val="18"/>
              </w:rPr>
              <w:t>ijini redresarea în urma problemelor de sănătate mintală</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290</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16433_Protecția monumentelor culturale și a siturilor arheologice împotriva schimbărilor climatice</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Jalon </w:t>
            </w:r>
          </w:p>
        </w:tc>
        <w:tc>
          <w:tcPr>
            <w:tcW w:w="129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Protejarea monumentelor culturale împotriva schimbărilor climatice</w:t>
            </w:r>
          </w:p>
        </w:tc>
        <w:tc>
          <w:tcPr>
            <w:tcW w:w="15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de finalizare, inclusiv copii ale planurilor de adaptare la schimbările climatice, dovezi de plată și rezultatele auditurilor privind certificarea investițiilor pentru finalizarea in</w:t>
            </w:r>
            <w:r>
              <w:rPr>
                <w:noProof/>
                <w:color w:val="006100"/>
                <w:sz w:val="18"/>
                <w:szCs w:val="18"/>
              </w:rPr>
              <w:t xml:space="preserve">vestițiilor </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protecției monumentelor culturale împotriva schimbărilor climatice, inclusiv elaborarea de planuri de adaptare la schimbările climatice pentru siturile de patrimoniu cultural, susținând astfel contribuția siturilor de </w:t>
            </w:r>
            <w:r>
              <w:rPr>
                <w:noProof/>
                <w:color w:val="006100"/>
                <w:sz w:val="18"/>
                <w:szCs w:val="18"/>
              </w:rPr>
              <w:t>patrimoniu cultural la activitatea economică, inclusiv evaluări spațiale și temporale ale riscurilor climatice și identificarea vulnerabilităților cu care se confruntă siturile de patrimoniu cultural.</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291</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w:t>
            </w:r>
            <w:r>
              <w:rPr>
                <w:noProof/>
                <w:color w:val="006100"/>
                <w:sz w:val="18"/>
                <w:szCs w:val="18"/>
              </w:rPr>
              <w:t>rezilienței principalelor sectoare economice — 16435_Restaurare — Conservare — Consolidarea monumentelor de pe Acropole</w:t>
            </w:r>
          </w:p>
        </w:tc>
        <w:tc>
          <w:tcPr>
            <w:tcW w:w="10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p w:rsidR="00780A28" w:rsidRDefault="00780A28">
            <w:pPr>
              <w:spacing w:after="0" w:line="240" w:lineRule="auto"/>
              <w:rPr>
                <w:rFonts w:eastAsia="Times New Roman" w:cs="Calibri"/>
                <w:noProof/>
                <w:color w:val="006100"/>
                <w:sz w:val="18"/>
                <w:szCs w:val="18"/>
                <w:lang w:eastAsia="en-GB"/>
              </w:rPr>
            </w:pPr>
          </w:p>
        </w:tc>
        <w:tc>
          <w:tcPr>
            <w:tcW w:w="129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Restaurare — Conservare — Consolidarea Acropolei</w:t>
            </w:r>
          </w:p>
        </w:tc>
        <w:tc>
          <w:tcPr>
            <w:tcW w:w="154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Raportul de finalizare, inclusiv dovezile de plată și rezultatele auditurilor </w:t>
            </w:r>
            <w:r>
              <w:rPr>
                <w:noProof/>
                <w:color w:val="006100"/>
                <w:sz w:val="18"/>
                <w:szCs w:val="18"/>
              </w:rPr>
              <w:t>investițiilor, certificarea finalizării investițiilor.</w:t>
            </w:r>
          </w:p>
        </w:tc>
        <w:tc>
          <w:tcPr>
            <w:tcW w:w="139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9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13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95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Restaurării monumentelor Acropolei în vederea conservării monumentului împotriva schimbărilor climatice, inclusiv lucrări de restaurare pentru Partenon și Walls, conservarea anum</w:t>
            </w:r>
            <w:r>
              <w:rPr>
                <w:noProof/>
                <w:color w:val="006100"/>
                <w:sz w:val="18"/>
                <w:szCs w:val="18"/>
              </w:rPr>
              <w:t xml:space="preserve">itor părți ale sitului, consolidarea și stabilizarea maselor de rocă și îmbunătățirea accesului vizitatorilor. </w:t>
            </w:r>
          </w:p>
        </w:tc>
      </w:tr>
    </w:tbl>
    <w:p w:rsidR="00780A28" w:rsidRDefault="00780A28">
      <w:pPr>
        <w:spacing w:before="120" w:after="0" w:line="240" w:lineRule="auto"/>
        <w:jc w:val="both"/>
        <w:rPr>
          <w:rFonts w:ascii="Times New Roman" w:hAnsi="Times New Roman" w:cs="Times New Roman"/>
          <w:noProof/>
          <w:sz w:val="24"/>
        </w:rPr>
        <w:sectPr w:rsidR="00780A28">
          <w:headerReference w:type="even" r:id="rId275"/>
          <w:headerReference w:type="default" r:id="rId276"/>
          <w:footerReference w:type="even" r:id="rId277"/>
          <w:footerReference w:type="default" r:id="rId278"/>
          <w:headerReference w:type="first" r:id="rId279"/>
          <w:footerReference w:type="first" r:id="rId280"/>
          <w:pgSz w:w="16839" w:h="11907" w:orient="landscape"/>
          <w:pgMar w:top="720" w:right="720" w:bottom="720" w:left="720" w:header="709" w:footer="709" w:gutter="0"/>
          <w:cols w:space="720"/>
          <w:docGrid w:linePitch="360"/>
        </w:sectPr>
      </w:pPr>
    </w:p>
    <w:p w:rsidR="00780A28" w:rsidRDefault="00780A28">
      <w:pPr>
        <w:spacing w:before="120" w:after="0" w:line="240" w:lineRule="auto"/>
        <w:jc w:val="both"/>
        <w:rPr>
          <w:rFonts w:ascii="Times New Roman" w:hAnsi="Times New Roman" w:cs="Times New Roman"/>
          <w:noProof/>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26: Turism și transport maritim</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Dezvoltarea turismului (include subproiecte </w:t>
      </w:r>
      <w:r>
        <w:rPr>
          <w:rFonts w:ascii="Times New Roman" w:hAnsi="Times New Roman"/>
          <w:noProof/>
          <w:sz w:val="24"/>
        </w:rPr>
        <w:t>Acțiuni de modernizare a porturilor turistice) (ID: 16931)</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Recalificarea și perfecționarea în turism (ID: 16921)</w:t>
      </w:r>
    </w:p>
    <w:p w:rsidR="00780A28" w:rsidRDefault="001867D7">
      <w:pPr>
        <w:numPr>
          <w:ilvl w:val="0"/>
          <w:numId w:val="29"/>
        </w:numPr>
        <w:spacing w:before="120" w:after="0" w:line="240" w:lineRule="auto"/>
        <w:jc w:val="both"/>
        <w:rPr>
          <w:rFonts w:ascii="Times New Roman" w:hAnsi="Times New Roman" w:cs="Times New Roman"/>
          <w:noProof/>
          <w:sz w:val="24"/>
        </w:rPr>
      </w:pPr>
      <w:r>
        <w:rPr>
          <w:rFonts w:ascii="Times New Roman" w:hAnsi="Times New Roman"/>
          <w:noProof/>
          <w:sz w:val="24"/>
        </w:rPr>
        <w:t>Intervenții de modernizare a porturilor regionale (ID: 16975)</w:t>
      </w:r>
    </w:p>
    <w:p w:rsidR="00780A28" w:rsidRDefault="001867D7">
      <w:pPr>
        <w:numPr>
          <w:ilvl w:val="0"/>
          <w:numId w:val="29"/>
        </w:numPr>
        <w:spacing w:before="120" w:after="120" w:line="240" w:lineRule="auto"/>
        <w:jc w:val="both"/>
        <w:rPr>
          <w:rFonts w:ascii="Times New Roman" w:hAnsi="Times New Roman" w:cs="Times New Roman"/>
          <w:noProof/>
          <w:sz w:val="24"/>
        </w:rPr>
      </w:pPr>
      <w:r>
        <w:rPr>
          <w:rFonts w:ascii="Times New Roman" w:hAnsi="Times New Roman"/>
          <w:noProof/>
          <w:sz w:val="24"/>
        </w:rPr>
        <w:t>Planul general pentru reînnoirea flotei elene de transport maritim de pasageri (I</w:t>
      </w:r>
      <w:r>
        <w:rPr>
          <w:rFonts w:ascii="Times New Roman" w:hAnsi="Times New Roman"/>
          <w:noProof/>
          <w:sz w:val="24"/>
        </w:rPr>
        <w:t>D: 16944)</w:t>
      </w:r>
    </w:p>
    <w:p w:rsidR="00780A28" w:rsidRDefault="00780A28">
      <w:pPr>
        <w:spacing w:before="120" w:after="0" w:line="240" w:lineRule="auto"/>
        <w:jc w:val="both"/>
        <w:rPr>
          <w:rFonts w:ascii="Times New Roman" w:hAnsi="Times New Roman" w:cs="Times New Roman"/>
          <w:noProof/>
          <w:sz w:val="24"/>
        </w:rPr>
      </w:pPr>
    </w:p>
    <w:tbl>
      <w:tblPr>
        <w:tblW w:w="16176" w:type="dxa"/>
        <w:jc w:val="center"/>
        <w:tblLook w:val="04A0" w:firstRow="1" w:lastRow="0" w:firstColumn="1" w:lastColumn="0" w:noHBand="0" w:noVBand="1"/>
      </w:tblPr>
      <w:tblGrid>
        <w:gridCol w:w="1027"/>
        <w:gridCol w:w="1662"/>
        <w:gridCol w:w="1381"/>
        <w:gridCol w:w="1309"/>
        <w:gridCol w:w="1741"/>
        <w:gridCol w:w="1741"/>
        <w:gridCol w:w="896"/>
        <w:gridCol w:w="866"/>
        <w:gridCol w:w="986"/>
        <w:gridCol w:w="662"/>
        <w:gridCol w:w="4305"/>
      </w:tblGrid>
      <w:tr w:rsidR="00780A28">
        <w:trPr>
          <w:trHeight w:val="939"/>
          <w:tblHeader/>
          <w:jc w:val="center"/>
        </w:trPr>
        <w:tc>
          <w:tcPr>
            <w:tcW w:w="1027"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Număr secvențial</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Măsură conexă (reformă sau investiție)</w:t>
            </w:r>
          </w:p>
        </w:tc>
        <w:tc>
          <w:tcPr>
            <w:tcW w:w="138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Jalon/Țintă</w:t>
            </w:r>
          </w:p>
        </w:tc>
        <w:tc>
          <w:tcPr>
            <w:tcW w:w="1274"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calitativi (pentru jaloane)</w:t>
            </w:r>
          </w:p>
        </w:tc>
        <w:tc>
          <w:tcPr>
            <w:tcW w:w="3311"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cantitativi (pentru ținte)</w:t>
            </w:r>
          </w:p>
        </w:tc>
        <w:tc>
          <w:tcPr>
            <w:tcW w:w="1648"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Calendar orientativ pentru atingerea jaloanelor/țintelor </w:t>
            </w:r>
          </w:p>
        </w:tc>
        <w:tc>
          <w:tcPr>
            <w:tcW w:w="43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Descrierea fiecărui jalon și a </w:t>
            </w:r>
            <w:r>
              <w:rPr>
                <w:rFonts w:ascii="Times New Roman" w:hAnsi="Times New Roman"/>
                <w:b/>
                <w:bCs/>
                <w:noProof/>
                <w:sz w:val="18"/>
                <w:szCs w:val="18"/>
              </w:rPr>
              <w:t>fiecărei ținte</w:t>
            </w:r>
          </w:p>
        </w:tc>
      </w:tr>
      <w:tr w:rsidR="00780A28">
        <w:trPr>
          <w:trHeight w:val="1027"/>
          <w:tblHeader/>
          <w:jc w:val="center"/>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74"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741"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Unitate de măsură</w:t>
            </w:r>
          </w:p>
        </w:tc>
        <w:tc>
          <w:tcPr>
            <w:tcW w:w="85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Valoare de referință </w:t>
            </w:r>
          </w:p>
        </w:tc>
        <w:tc>
          <w:tcPr>
            <w:tcW w:w="71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Obiectiv </w:t>
            </w:r>
          </w:p>
        </w:tc>
        <w:tc>
          <w:tcPr>
            <w:tcW w:w="986"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 sfert</w:t>
            </w:r>
          </w:p>
        </w:tc>
        <w:tc>
          <w:tcPr>
            <w:tcW w:w="662"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Anul</w:t>
            </w:r>
          </w:p>
        </w:tc>
        <w:tc>
          <w:tcPr>
            <w:tcW w:w="4305"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jc w:val="center"/>
        </w:trPr>
        <w:tc>
          <w:tcPr>
            <w:tcW w:w="1027"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292</w:t>
            </w:r>
          </w:p>
        </w:tc>
        <w:tc>
          <w:tcPr>
            <w:tcW w:w="14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principalelor sectoare economice — 16931_Dezvoltarea turismului</w:t>
            </w:r>
          </w:p>
        </w:tc>
        <w:tc>
          <w:tcPr>
            <w:tcW w:w="138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p w:rsidR="00780A28" w:rsidRDefault="00780A28">
            <w:pPr>
              <w:spacing w:after="0" w:line="240" w:lineRule="auto"/>
              <w:rPr>
                <w:rFonts w:eastAsia="Times New Roman" w:cs="Calibri"/>
                <w:noProof/>
                <w:color w:val="006100"/>
                <w:sz w:val="18"/>
                <w:szCs w:val="18"/>
                <w:lang w:eastAsia="en-GB"/>
              </w:rPr>
            </w:pPr>
          </w:p>
        </w:tc>
        <w:tc>
          <w:tcPr>
            <w:tcW w:w="127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Dezvoltarea turismului: reforme pentru porturile turistice</w:t>
            </w:r>
          </w:p>
        </w:tc>
        <w:tc>
          <w:tcPr>
            <w:tcW w:w="1741"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 Intrarea în vigoare a modificărilor aduse Legii nr.</w:t>
            </w:r>
            <w:r>
              <w:rPr>
                <w:noProof/>
                <w:color w:val="006100"/>
                <w:sz w:val="18"/>
                <w:szCs w:val="18"/>
              </w:rPr>
              <w:t xml:space="preserve"> 2160/1993 privind porturile turistice.</w:t>
            </w:r>
          </w:p>
          <w:p w:rsidR="00780A28" w:rsidRDefault="001867D7">
            <w:pPr>
              <w:spacing w:after="0" w:line="240" w:lineRule="auto"/>
              <w:rPr>
                <w:rFonts w:eastAsia="Times New Roman" w:cs="Calibri"/>
                <w:noProof/>
                <w:color w:val="006100"/>
                <w:sz w:val="18"/>
                <w:szCs w:val="18"/>
              </w:rPr>
            </w:pPr>
            <w:r>
              <w:rPr>
                <w:noProof/>
                <w:color w:val="006100"/>
                <w:sz w:val="18"/>
                <w:szCs w:val="18"/>
              </w:rPr>
              <w:t>2. Intrarea în vigoare a modificărilor aduse legilor 4179/2013 și 4276/2014 privind stațiunile de schi.</w:t>
            </w:r>
          </w:p>
          <w:p w:rsidR="00780A28" w:rsidRDefault="001867D7">
            <w:pPr>
              <w:spacing w:after="0" w:line="240" w:lineRule="auto"/>
              <w:rPr>
                <w:rFonts w:eastAsia="Times New Roman" w:cs="Calibri"/>
                <w:noProof/>
                <w:color w:val="006100"/>
                <w:sz w:val="18"/>
                <w:szCs w:val="18"/>
              </w:rPr>
            </w:pPr>
            <w:r>
              <w:rPr>
                <w:noProof/>
                <w:color w:val="006100"/>
                <w:sz w:val="18"/>
                <w:szCs w:val="18"/>
              </w:rPr>
              <w:t>Raportul din 3 care atestă înființarea Biroului de management de proiect.</w:t>
            </w:r>
          </w:p>
        </w:tc>
        <w:tc>
          <w:tcPr>
            <w:tcW w:w="174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8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66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43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cs="Calibri"/>
                <w:noProof/>
                <w:color w:val="006100"/>
                <w:sz w:val="18"/>
                <w:szCs w:val="18"/>
              </w:rPr>
            </w:pPr>
            <w:r>
              <w:rPr>
                <w:noProof/>
                <w:color w:val="006100"/>
                <w:sz w:val="18"/>
                <w:szCs w:val="18"/>
              </w:rPr>
              <w:t>(1) Dezvoltarea turismului:</w:t>
            </w:r>
            <w:r>
              <w:rPr>
                <w:noProof/>
                <w:color w:val="006100"/>
                <w:sz w:val="18"/>
                <w:szCs w:val="18"/>
              </w:rPr>
              <w:t xml:space="preserve"> Intrarea în vigoare a legislației de reformare a cadrului juridic pentru legea porturilor turistice pentru a încuraja noi investiții, inclusiv modificarea dispozițiilor referitoare la acordarea licențelor de instalare și funcționare în conformitate cu Leg</w:t>
            </w:r>
            <w:r>
              <w:rPr>
                <w:noProof/>
                <w:color w:val="006100"/>
                <w:sz w:val="18"/>
                <w:szCs w:val="18"/>
              </w:rPr>
              <w:t>ea nr. 4442/2016 privind licențele de investiții.</w:t>
            </w:r>
          </w:p>
          <w:p w:rsidR="00780A28" w:rsidRDefault="001867D7">
            <w:pPr>
              <w:spacing w:after="0" w:line="240" w:lineRule="auto"/>
              <w:rPr>
                <w:rFonts w:cs="Calibri"/>
                <w:noProof/>
                <w:color w:val="006100"/>
                <w:sz w:val="18"/>
                <w:szCs w:val="18"/>
              </w:rPr>
            </w:pPr>
            <w:r>
              <w:rPr>
                <w:noProof/>
                <w:color w:val="006100"/>
                <w:sz w:val="18"/>
                <w:szCs w:val="18"/>
              </w:rPr>
              <w:t xml:space="preserve">(2) Dezvoltarea turismului: Intrarea în vigoare a legislației de reformare a cadrului juridic pentru stațiunile de schi pentru a încuraja noi investiții, inclusiv modificarea dispozițiilor referitoare la </w:t>
            </w:r>
            <w:r>
              <w:rPr>
                <w:noProof/>
                <w:color w:val="006100"/>
                <w:sz w:val="18"/>
                <w:szCs w:val="18"/>
              </w:rPr>
              <w:t>acordarea licențelor de instalare și funcționare în conformitate cu Legea nr. 4442/2016 privind acordarea licențelor de investiții.</w:t>
            </w:r>
            <w:r>
              <w:rPr>
                <w:rFonts w:ascii="Times New Roman" w:hAnsi="Times New Roman"/>
                <w:noProof/>
                <w:sz w:val="24"/>
                <w:szCs w:val="24"/>
              </w:rPr>
              <w:t xml:space="preserve"> </w:t>
            </w:r>
          </w:p>
          <w:p w:rsidR="00780A28" w:rsidRDefault="001867D7">
            <w:pPr>
              <w:spacing w:after="0" w:line="240" w:lineRule="auto"/>
              <w:rPr>
                <w:rFonts w:eastAsia="Times New Roman" w:cs="Calibri"/>
                <w:noProof/>
                <w:color w:val="006100"/>
                <w:sz w:val="18"/>
                <w:szCs w:val="18"/>
              </w:rPr>
            </w:pPr>
            <w:r>
              <w:rPr>
                <w:noProof/>
                <w:color w:val="006100"/>
                <w:sz w:val="18"/>
                <w:szCs w:val="18"/>
              </w:rPr>
              <w:t>(3) Dezvoltarea turismului: Înființarea Biroului de gestionare a proiectelor pentru supravegherea investițiilor în moderniz</w:t>
            </w:r>
            <w:r>
              <w:rPr>
                <w:noProof/>
                <w:color w:val="006100"/>
                <w:sz w:val="18"/>
                <w:szCs w:val="18"/>
              </w:rPr>
              <w:t>area porturilor turistice.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293</w:t>
            </w:r>
          </w:p>
        </w:tc>
        <w:tc>
          <w:tcPr>
            <w:tcW w:w="14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principalelor sectoare economice — 16975_Actualizarea intervențiilor pentru porturile regionale</w:t>
            </w:r>
          </w:p>
        </w:tc>
        <w:tc>
          <w:tcPr>
            <w:tcW w:w="13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7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Contractarea lucrărilor de modernizare portuară regională</w:t>
            </w: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w:t>
            </w:r>
            <w:r>
              <w:rPr>
                <w:noProof/>
                <w:color w:val="006100"/>
                <w:sz w:val="18"/>
                <w:szCs w:val="18"/>
              </w:rPr>
              <w:t xml:space="preserve"> atribuirii contractelor pentru proiecte individuale</w:t>
            </w: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w:t>
            </w:r>
          </w:p>
        </w:tc>
        <w:tc>
          <w:tcPr>
            <w:tcW w:w="98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66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3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Notificarea atribuirii contractelor pentru modernizarea porturilor regionale în vederea îmbunătățirii eficienței energetice trebuie finalizată.</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294</w:t>
            </w:r>
          </w:p>
        </w:tc>
        <w:tc>
          <w:tcPr>
            <w:tcW w:w="14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w:t>
            </w:r>
            <w:r>
              <w:rPr>
                <w:noProof/>
                <w:color w:val="006100"/>
                <w:sz w:val="18"/>
                <w:szCs w:val="18"/>
              </w:rPr>
              <w:t>rezilienței principalelor sectoare economice — 16944_Planul general pentru reînnoirea flotei elene de transport maritim de pasageri</w:t>
            </w:r>
          </w:p>
        </w:tc>
        <w:tc>
          <w:tcPr>
            <w:tcW w:w="13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7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Planul general pentru transportul maritim de pasageri în Grecia</w:t>
            </w: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Raport finalizat și rezumat al exercițiului de consult</w:t>
            </w:r>
            <w:r>
              <w:rPr>
                <w:noProof/>
                <w:color w:val="006100"/>
                <w:sz w:val="18"/>
                <w:szCs w:val="18"/>
              </w:rPr>
              <w:t>are.</w:t>
            </w: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8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66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Planul general pentru reînnoirea flotei elene de transport maritim de pasageri: Finalizarea proiectului</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295</w:t>
            </w:r>
          </w:p>
        </w:tc>
        <w:tc>
          <w:tcPr>
            <w:tcW w:w="14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principalelor sectoare economice — 16931_Dezvoltarea turismului</w:t>
            </w:r>
          </w:p>
        </w:tc>
        <w:tc>
          <w:tcPr>
            <w:tcW w:w="13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7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Dezvoltarea turismului: contractarea de porturi turistice</w:t>
            </w: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Notificarea atribuirii contractelor </w:t>
            </w: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8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6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3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Procesul de atribuire a contractelor pentru modernizarea porturilor turistice în vederea îmbunătățirii eficienței energetice trebuie finalizat.</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296</w:t>
            </w:r>
          </w:p>
        </w:tc>
        <w:tc>
          <w:tcPr>
            <w:tcW w:w="14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principalelor sectoare economice — 16921_Reconversie și actualizare a competențelor în turism</w:t>
            </w:r>
          </w:p>
        </w:tc>
        <w:tc>
          <w:tcPr>
            <w:tcW w:w="13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7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Recalificarea și actualizarea competențelor în turism (finalizare)</w:t>
            </w: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Numărul de participanți care termină</w:t>
            </w:r>
            <w:r>
              <w:rPr>
                <w:noProof/>
                <w:color w:val="006100"/>
                <w:sz w:val="18"/>
                <w:szCs w:val="18"/>
              </w:rPr>
              <w:t xml:space="preserve"> cu succes formarea</w:t>
            </w: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18 000</w:t>
            </w:r>
          </w:p>
        </w:tc>
        <w:tc>
          <w:tcPr>
            <w:tcW w:w="98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66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Perfecționarea și recalificarea în turism: Finalizarea sesiunilor de formare atestată printr-un raport de absolvire cu o anexă statistică detaliată a cursurilor finalizate și a absolvirilor cu succes în funcție de furni</w:t>
            </w:r>
            <w:r>
              <w:rPr>
                <w:noProof/>
                <w:color w:val="006100"/>
                <w:sz w:val="18"/>
                <w:szCs w:val="18"/>
              </w:rPr>
              <w:t>zor și calificare.</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297</w:t>
            </w:r>
          </w:p>
        </w:tc>
        <w:tc>
          <w:tcPr>
            <w:tcW w:w="14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principalelor sectoare economice — 16931_Dezvoltarea turismului</w:t>
            </w:r>
          </w:p>
        </w:tc>
        <w:tc>
          <w:tcPr>
            <w:tcW w:w="13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27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de dezvoltare turistică</w:t>
            </w: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1a. Raport de finalizare întocmit de un inginer independent </w:t>
            </w:r>
            <w:r>
              <w:rPr>
                <w:noProof/>
                <w:color w:val="006100"/>
                <w:sz w:val="18"/>
                <w:szCs w:val="18"/>
              </w:rPr>
              <w:t>privind lucrările ratificate de Ministerul Turismului.</w:t>
            </w:r>
          </w:p>
          <w:p w:rsidR="00780A28" w:rsidRDefault="001867D7">
            <w:pPr>
              <w:spacing w:after="0" w:line="240" w:lineRule="auto"/>
              <w:rPr>
                <w:rFonts w:eastAsia="Times New Roman" w:cs="Calibri"/>
                <w:noProof/>
                <w:color w:val="006100"/>
                <w:sz w:val="18"/>
                <w:szCs w:val="18"/>
              </w:rPr>
            </w:pPr>
            <w:r>
              <w:rPr>
                <w:noProof/>
                <w:color w:val="006100"/>
                <w:sz w:val="18"/>
                <w:szCs w:val="18"/>
              </w:rPr>
              <w:t>1b. Raport de finalizare, inclusiv certificarea din partea beneficiarilor la finalizarea investiției</w:t>
            </w: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8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6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Dezvoltarea turismului: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(1a) finalizarea lucrărilor specificate de modernizare a </w:t>
            </w:r>
            <w:r>
              <w:rPr>
                <w:noProof/>
                <w:color w:val="006100"/>
                <w:sz w:val="18"/>
                <w:szCs w:val="18"/>
              </w:rPr>
              <w:t>porturilor turistice pentru a încuraja turismul și investițiile private.</w:t>
            </w:r>
          </w:p>
          <w:p w:rsidR="00780A28" w:rsidRDefault="001867D7">
            <w:pPr>
              <w:spacing w:after="0" w:line="240" w:lineRule="auto"/>
              <w:rPr>
                <w:rFonts w:eastAsia="Times New Roman" w:cs="Calibri"/>
                <w:noProof/>
                <w:color w:val="006100"/>
                <w:sz w:val="18"/>
                <w:szCs w:val="18"/>
              </w:rPr>
            </w:pPr>
            <w:r>
              <w:rPr>
                <w:noProof/>
                <w:color w:val="006100"/>
                <w:sz w:val="18"/>
                <w:szCs w:val="18"/>
              </w:rPr>
              <w:t>(1b) finalizarea altor intervenții turistice pentru a promova forme alternative de turism și extinderea sezonului, inclusiv:</w:t>
            </w:r>
          </w:p>
          <w:p w:rsidR="00780A28" w:rsidRDefault="001867D7">
            <w:pPr>
              <w:spacing w:before="120" w:after="0" w:line="240" w:lineRule="auto"/>
              <w:jc w:val="both"/>
              <w:rPr>
                <w:rFonts w:eastAsia="Times New Roman" w:cs="Calibri"/>
                <w:noProof/>
                <w:color w:val="006100"/>
                <w:sz w:val="18"/>
                <w:szCs w:val="18"/>
              </w:rPr>
            </w:pPr>
            <w:r>
              <w:rPr>
                <w:noProof/>
                <w:color w:val="006100"/>
                <w:sz w:val="18"/>
                <w:szCs w:val="18"/>
              </w:rPr>
              <w:t>— Dezvoltare ecologică: îmbunătățirea gestionării destinaț</w:t>
            </w:r>
            <w:r>
              <w:rPr>
                <w:noProof/>
                <w:color w:val="006100"/>
                <w:sz w:val="18"/>
                <w:szCs w:val="18"/>
              </w:rPr>
              <w:t>iilor prin crearea unui birou local de gestionare a destinației și a unor observatoare ale turismului durabil asociate; dezvoltarea turismului montan care include renovări eficiente din punct de vedere energetic ale infrastructurii publice și instalarea de</w:t>
            </w:r>
            <w:r>
              <w:rPr>
                <w:noProof/>
                <w:color w:val="006100"/>
                <w:sz w:val="18"/>
                <w:szCs w:val="18"/>
              </w:rPr>
              <w:t xml:space="preserve"> noi surse regenerabile de energie (eoliană); turismul pentru sănătate și bunăstare prin utilizarea primăverilor termale; promovarea agroturismului și a gastronomiei.</w:t>
            </w:r>
          </w:p>
          <w:p w:rsidR="00780A28" w:rsidRDefault="001867D7">
            <w:pPr>
              <w:spacing w:after="0" w:line="240" w:lineRule="auto"/>
              <w:rPr>
                <w:rFonts w:eastAsia="Times New Roman" w:cs="Calibri"/>
                <w:noProof/>
                <w:color w:val="006100"/>
                <w:sz w:val="18"/>
                <w:szCs w:val="18"/>
              </w:rPr>
            </w:pPr>
            <w:r>
              <w:rPr>
                <w:noProof/>
                <w:color w:val="006100"/>
                <w:sz w:val="18"/>
                <w:szCs w:val="18"/>
              </w:rPr>
              <w:t>— Dezvoltarea albastră: îmbunătățirea intervențiilor pentru a îmbunătăți guvernanța, infr</w:t>
            </w:r>
            <w:r>
              <w:rPr>
                <w:noProof/>
                <w:color w:val="006100"/>
                <w:sz w:val="18"/>
                <w:szCs w:val="18"/>
              </w:rPr>
              <w:t>astructura și serviciile oferite în porturi, accesibilitatea plajelor pentru persoanele în vârstă și pentru persoanele cu handicap, precum și pentru a promova dezvoltarea scufundării &amp; turismul subacvatic.</w:t>
            </w:r>
          </w:p>
        </w:tc>
      </w:tr>
      <w:tr w:rsidR="00780A28">
        <w:trPr>
          <w:trHeight w:val="313"/>
          <w:jc w:val="center"/>
        </w:trPr>
        <w:tc>
          <w:tcPr>
            <w:tcW w:w="1027"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298</w:t>
            </w:r>
          </w:p>
        </w:tc>
        <w:tc>
          <w:tcPr>
            <w:tcW w:w="14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w:t>
            </w:r>
            <w:r>
              <w:rPr>
                <w:noProof/>
                <w:color w:val="006100"/>
                <w:sz w:val="18"/>
                <w:szCs w:val="18"/>
              </w:rPr>
              <w:t>rezilienței principalelor sectoare economice — 16975_Actualizarea intervențiilor pentru porturile regionale</w:t>
            </w:r>
          </w:p>
        </w:tc>
        <w:tc>
          <w:tcPr>
            <w:tcW w:w="138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127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Intervenții pentru modernizarea porturilor regionale</w:t>
            </w: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74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Numărul de îmbunătățiri specifice ale porturilor regionale finalizate în insule și în </w:t>
            </w:r>
            <w:r>
              <w:rPr>
                <w:noProof/>
                <w:color w:val="006100"/>
                <w:sz w:val="18"/>
                <w:szCs w:val="18"/>
              </w:rPr>
              <w:t>zonele cu activități turistice dezvoltate</w:t>
            </w:r>
          </w:p>
        </w:tc>
        <w:tc>
          <w:tcPr>
            <w:tcW w:w="85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71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28</w:t>
            </w:r>
          </w:p>
        </w:tc>
        <w:tc>
          <w:tcPr>
            <w:tcW w:w="98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6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îmbunătățirilor portuare regionale în insule și în zonele cu activități turistice dezvoltate, atestată printr-un raport de finalizare întocmit de un inginer independent cu privire la lucrăr</w:t>
            </w:r>
            <w:r>
              <w:rPr>
                <w:noProof/>
                <w:color w:val="006100"/>
                <w:sz w:val="18"/>
                <w:szCs w:val="18"/>
              </w:rPr>
              <w:t>i, ratificat de Ministerul Transportului Maritim, care include dovezi de plată și rezultatele auditurilor investițiilor, precum și o certificare din partea beneficiarilor cu privire la finalizarea investiției.</w:t>
            </w:r>
          </w:p>
        </w:tc>
      </w:tr>
    </w:tbl>
    <w:p w:rsidR="00780A28" w:rsidRDefault="00780A28">
      <w:pPr>
        <w:spacing w:before="120" w:after="0" w:line="240" w:lineRule="auto"/>
        <w:jc w:val="both"/>
        <w:rPr>
          <w:rFonts w:ascii="Times New Roman" w:hAnsi="Times New Roman" w:cs="Times New Roman"/>
          <w:noProof/>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27: Industrie &amp; Investiții</w:t>
      </w:r>
    </w:p>
    <w:p w:rsidR="00780A28" w:rsidRDefault="001867D7">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Modificarea</w:t>
      </w:r>
      <w:r>
        <w:rPr>
          <w:rFonts w:ascii="Times New Roman" w:hAnsi="Times New Roman"/>
          <w:noProof/>
          <w:sz w:val="24"/>
        </w:rPr>
        <w:t xml:space="preserve"> cadrului juridic pentru atragerea investițiilor strategice (ID: 16593)</w:t>
      </w:r>
    </w:p>
    <w:p w:rsidR="00780A28" w:rsidRDefault="001867D7">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Digitalizarea rețelei diplomației economice (ID: 16599)</w:t>
      </w:r>
    </w:p>
    <w:p w:rsidR="00780A28" w:rsidRDefault="001867D7">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Facilitarea comerțului (ID: 16592)</w:t>
      </w:r>
    </w:p>
    <w:p w:rsidR="00780A28" w:rsidRDefault="001867D7">
      <w:pPr>
        <w:numPr>
          <w:ilvl w:val="0"/>
          <w:numId w:val="28"/>
        </w:numPr>
        <w:spacing w:before="120" w:after="0" w:line="240" w:lineRule="auto"/>
        <w:jc w:val="both"/>
        <w:rPr>
          <w:rFonts w:ascii="Times New Roman" w:hAnsi="Times New Roman" w:cs="Times New Roman"/>
          <w:noProof/>
          <w:sz w:val="24"/>
        </w:rPr>
      </w:pPr>
      <w:r>
        <w:rPr>
          <w:rFonts w:ascii="Times New Roman" w:hAnsi="Times New Roman"/>
          <w:noProof/>
          <w:sz w:val="24"/>
        </w:rPr>
        <w:t>Noile parcuri industriale (ID: 16634)</w:t>
      </w:r>
    </w:p>
    <w:p w:rsidR="00780A28" w:rsidRDefault="001867D7">
      <w:pPr>
        <w:numPr>
          <w:ilvl w:val="0"/>
          <w:numId w:val="28"/>
        </w:numPr>
        <w:spacing w:before="120" w:after="120" w:line="240" w:lineRule="auto"/>
        <w:jc w:val="both"/>
        <w:rPr>
          <w:rFonts w:ascii="Times New Roman" w:hAnsi="Times New Roman" w:cs="Times New Roman"/>
          <w:noProof/>
          <w:sz w:val="24"/>
        </w:rPr>
      </w:pPr>
      <w:r>
        <w:rPr>
          <w:rFonts w:ascii="Times New Roman" w:hAnsi="Times New Roman"/>
          <w:noProof/>
          <w:sz w:val="24"/>
        </w:rPr>
        <w:t>Accelerarea fabricării inteligente (ID: 16721)</w:t>
      </w:r>
    </w:p>
    <w:tbl>
      <w:tblPr>
        <w:tblW w:w="15502" w:type="dxa"/>
        <w:jc w:val="center"/>
        <w:tblLayout w:type="fixed"/>
        <w:tblLook w:val="04A0" w:firstRow="1" w:lastRow="0" w:firstColumn="1" w:lastColumn="0" w:noHBand="0" w:noVBand="1"/>
      </w:tblPr>
      <w:tblGrid>
        <w:gridCol w:w="1186"/>
        <w:gridCol w:w="1517"/>
        <w:gridCol w:w="1189"/>
        <w:gridCol w:w="1505"/>
        <w:gridCol w:w="1615"/>
        <w:gridCol w:w="1074"/>
        <w:gridCol w:w="966"/>
        <w:gridCol w:w="960"/>
        <w:gridCol w:w="600"/>
        <w:gridCol w:w="1200"/>
        <w:gridCol w:w="3690"/>
      </w:tblGrid>
      <w:tr w:rsidR="00780A28">
        <w:trPr>
          <w:trHeight w:val="939"/>
          <w:tblHeader/>
          <w:jc w:val="center"/>
        </w:trPr>
        <w:tc>
          <w:tcPr>
            <w:tcW w:w="1186"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Număr se</w:t>
            </w:r>
            <w:r>
              <w:rPr>
                <w:rFonts w:ascii="Times New Roman" w:hAnsi="Times New Roman"/>
                <w:b/>
                <w:bCs/>
                <w:noProof/>
                <w:sz w:val="18"/>
                <w:szCs w:val="18"/>
              </w:rPr>
              <w:t>cvențial</w:t>
            </w:r>
          </w:p>
        </w:tc>
        <w:tc>
          <w:tcPr>
            <w:tcW w:w="1517"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Măsură conexă (reformă sau investiție)</w:t>
            </w:r>
          </w:p>
        </w:tc>
        <w:tc>
          <w:tcPr>
            <w:tcW w:w="1189"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Jalon/Țintă</w:t>
            </w:r>
          </w:p>
        </w:tc>
        <w:tc>
          <w:tcPr>
            <w:tcW w:w="1505" w:type="dxa"/>
            <w:vMerge w:val="restart"/>
            <w:tcBorders>
              <w:top w:val="single" w:sz="4" w:space="0" w:color="auto"/>
              <w:left w:val="nil"/>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w:t>
            </w:r>
          </w:p>
        </w:tc>
        <w:tc>
          <w:tcPr>
            <w:tcW w:w="1615"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calitativi (pentru jaloane)</w:t>
            </w:r>
          </w:p>
        </w:tc>
        <w:tc>
          <w:tcPr>
            <w:tcW w:w="3000"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cantitativi (pentru ținte)</w:t>
            </w:r>
          </w:p>
        </w:tc>
        <w:tc>
          <w:tcPr>
            <w:tcW w:w="1800"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Calendar orientativ pentru atingerea jaloanelor/țintelor </w:t>
            </w:r>
          </w:p>
        </w:tc>
        <w:tc>
          <w:tcPr>
            <w:tcW w:w="3690"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Descrierea fiecărui jalon și a fiecărei ținte</w:t>
            </w:r>
          </w:p>
        </w:tc>
      </w:tr>
      <w:tr w:rsidR="00780A28">
        <w:trPr>
          <w:trHeight w:val="1027"/>
          <w:tblHeader/>
          <w:jc w:val="center"/>
        </w:trPr>
        <w:tc>
          <w:tcPr>
            <w:tcW w:w="1186"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17"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89"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05" w:type="dxa"/>
            <w:vMerge/>
            <w:tcBorders>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615"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074"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Unitate de măsură</w:t>
            </w:r>
          </w:p>
        </w:tc>
        <w:tc>
          <w:tcPr>
            <w:tcW w:w="966"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Valoare de referință </w:t>
            </w:r>
          </w:p>
        </w:tc>
        <w:tc>
          <w:tcPr>
            <w:tcW w:w="960"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Obiectiv </w:t>
            </w:r>
          </w:p>
        </w:tc>
        <w:tc>
          <w:tcPr>
            <w:tcW w:w="600"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 sfert</w:t>
            </w:r>
          </w:p>
        </w:tc>
        <w:tc>
          <w:tcPr>
            <w:tcW w:w="1200"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Anul</w:t>
            </w:r>
          </w:p>
        </w:tc>
        <w:tc>
          <w:tcPr>
            <w:tcW w:w="3690"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299</w:t>
            </w:r>
          </w:p>
        </w:tc>
        <w:tc>
          <w:tcPr>
            <w:tcW w:w="15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16593_Modificarea cadrului juridic pentru atragerea investițiilor strategice</w:t>
            </w:r>
          </w:p>
        </w:tc>
        <w:tc>
          <w:tcPr>
            <w:tcW w:w="11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Investiții strategice</w:t>
            </w:r>
            <w:r>
              <w:rPr>
                <w:noProof/>
                <w:color w:val="006100"/>
                <w:sz w:val="18"/>
                <w:szCs w:val="18"/>
              </w:rPr>
              <w:t xml:space="preserve"> — reformă legislativă</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modificărilor legislative</w:t>
            </w:r>
          </w:p>
        </w:tc>
        <w:tc>
          <w:tcPr>
            <w:tcW w:w="107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2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369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Intrarea în vigoare a modificărilor legislative în vederea reformării cadrului legislativ pentru atragerea investițiilor strategice (Legea nr. 3894/2010 și Legea nr. 4608/201</w:t>
            </w:r>
            <w:r>
              <w:rPr>
                <w:noProof/>
                <w:color w:val="006100"/>
                <w:sz w:val="18"/>
                <w:szCs w:val="18"/>
              </w:rPr>
              <w:t xml:space="preserve">9), inclusiv prin codificare legislativă în vederea creării unui cadru uniform și coerent, precum și a modificărilor juridice în vederea introducerii unei noi categorii de investiții strategice „investiții emblematice de mare importanță”.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Reforma cadrulu</w:t>
            </w:r>
            <w:r>
              <w:rPr>
                <w:noProof/>
                <w:color w:val="006100"/>
                <w:sz w:val="18"/>
                <w:szCs w:val="18"/>
              </w:rPr>
              <w:t>i de investiții strategice introduce, de asemenea, dispoziții care să contribuie la accelerarea procedurii administrative legate de aprobarea și acordarea de licențe pentru investiții strategice (și anume, pentru a îmbunătăți procedura accelerată). Noi cat</w:t>
            </w:r>
            <w:r>
              <w:rPr>
                <w:noProof/>
                <w:color w:val="006100"/>
                <w:sz w:val="18"/>
                <w:szCs w:val="18"/>
              </w:rPr>
              <w:t>egorii de investiții strategice sunt introduse în legislație pe baza unor criterii favorabile inovării sau difuzării tehnologiei, utilizării surselor regenerabile de energie și tranziției către o economie cu emisii scăzute de dioxid de carbon și/sau pentru</w:t>
            </w:r>
            <w:r>
              <w:rPr>
                <w:noProof/>
                <w:color w:val="006100"/>
                <w:sz w:val="18"/>
                <w:szCs w:val="18"/>
              </w:rPr>
              <w:t xml:space="preserve"> a promova în mod semnificativ competitivitatea economiei Greciei la nivel internațional.</w:t>
            </w:r>
          </w:p>
          <w:p w:rsidR="00780A28" w:rsidRDefault="00780A28">
            <w:pPr>
              <w:spacing w:after="0" w:line="240" w:lineRule="auto"/>
              <w:rPr>
                <w:rFonts w:eastAsia="Times New Roman" w:cs="Calibri"/>
                <w:noProof/>
                <w:color w:val="006100"/>
                <w:sz w:val="18"/>
                <w:szCs w:val="18"/>
                <w:highlight w:val="yellow"/>
                <w:lang w:eastAsia="en-GB"/>
              </w:rPr>
            </w:pPr>
          </w:p>
        </w:tc>
      </w:tr>
      <w:tr w:rsidR="00780A28">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300</w:t>
            </w:r>
          </w:p>
        </w:tc>
        <w:tc>
          <w:tcPr>
            <w:tcW w:w="15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16721_Accelerarea producției inteligente</w:t>
            </w:r>
          </w:p>
        </w:tc>
        <w:tc>
          <w:tcPr>
            <w:tcW w:w="11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8000"/>
                <w:sz w:val="18"/>
                <w:szCs w:val="18"/>
              </w:rPr>
              <w:t>Lansarea cererilor de propuneri</w:t>
            </w:r>
            <w:r>
              <w:rPr>
                <w:noProof/>
                <w:color w:val="008000"/>
                <w:sz w:val="18"/>
                <w:szCs w:val="18"/>
              </w:rPr>
              <w:t xml:space="preserve"> pentru industria prelucrătoare</w:t>
            </w:r>
          </w:p>
        </w:tc>
        <w:tc>
          <w:tcPr>
            <w:tcW w:w="16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Lansarea cererilor de propuneri pentru întreprinderile producătoare </w:t>
            </w:r>
          </w:p>
        </w:tc>
        <w:tc>
          <w:tcPr>
            <w:tcW w:w="107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120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69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Lansarea tuturor cererilor competitive de propuneri pentru sectorul de producție în ceea ce privește investițiile privind digitalizarea liniilor</w:t>
            </w:r>
            <w:r>
              <w:rPr>
                <w:noProof/>
                <w:color w:val="006100"/>
                <w:sz w:val="18"/>
                <w:szCs w:val="18"/>
              </w:rPr>
              <w:t xml:space="preserve"> de producție, automatizarea și interconectarea lanțurilor de aprovizionare, proiectarea și fabricarea de produse și servicii inteligente, punerea în aplicare a tehnologiilor de fabricație inteligente în rețelele de foarte mare viteză/5G mecanice, echipame</w:t>
            </w:r>
            <w:r>
              <w:rPr>
                <w:noProof/>
                <w:color w:val="006100"/>
                <w:sz w:val="18"/>
                <w:szCs w:val="18"/>
              </w:rPr>
              <w:t>nte de laborator și de producție, echipamente de control al calității, echipamente TIC și software, licențe software, licențe cloud, servicii de punere în aplicare pentru noua infrastructură IT și S/W, servicii de securitate informatică, proiectarea produs</w:t>
            </w:r>
            <w:r>
              <w:rPr>
                <w:noProof/>
                <w:color w:val="006100"/>
                <w:sz w:val="18"/>
                <w:szCs w:val="18"/>
              </w:rPr>
              <w:t>elor, proprietate intelectuală, brevete și costuri de certificare, cu termeni de referință care includ criterii de eligibilitate care să asigure conformitatea proiectelor selectate cu Orientările tehnice bazate pe principiul de „a nu aduce prejudicii semni</w:t>
            </w:r>
            <w:r>
              <w:rPr>
                <w:noProof/>
                <w:color w:val="006100"/>
                <w:sz w:val="18"/>
                <w:szCs w:val="18"/>
              </w:rPr>
              <w:t>ficative” (2021/C58/01) prin utilizarea unei liste de excludere și a cerinței de conformitate cu legislația UE și națională relevantă în materie de mediu.</w:t>
            </w:r>
          </w:p>
        </w:tc>
      </w:tr>
      <w:tr w:rsidR="00780A28">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301</w:t>
            </w:r>
          </w:p>
        </w:tc>
        <w:tc>
          <w:tcPr>
            <w:tcW w:w="15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sectoarelor economice cheie — 16634_noi </w:t>
            </w:r>
            <w:r>
              <w:rPr>
                <w:noProof/>
                <w:color w:val="006100"/>
                <w:sz w:val="18"/>
                <w:szCs w:val="18"/>
              </w:rPr>
              <w:t>parcuri industriale</w:t>
            </w:r>
          </w:p>
          <w:p w:rsidR="00780A28" w:rsidRDefault="00780A28">
            <w:pPr>
              <w:spacing w:after="0" w:line="240" w:lineRule="auto"/>
              <w:rPr>
                <w:rFonts w:eastAsia="Times New Roman" w:cs="Calibri"/>
                <w:noProof/>
                <w:color w:val="006100"/>
                <w:sz w:val="18"/>
                <w:szCs w:val="18"/>
                <w:lang w:eastAsia="en-GB"/>
              </w:rPr>
            </w:pPr>
          </w:p>
        </w:tc>
        <w:tc>
          <w:tcPr>
            <w:tcW w:w="11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Lansarea cererilor de propuneri pentru parcurile industriale</w:t>
            </w:r>
          </w:p>
        </w:tc>
        <w:tc>
          <w:tcPr>
            <w:tcW w:w="16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Lansarea cererilor de propuneri pentru parcurile industriale </w:t>
            </w:r>
          </w:p>
        </w:tc>
        <w:tc>
          <w:tcPr>
            <w:tcW w:w="107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120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69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Lansarea tuturor cererilor competitive de propuneri pentru dezvoltarea parcurilor industriale </w:t>
            </w:r>
            <w:r>
              <w:rPr>
                <w:noProof/>
                <w:color w:val="006100"/>
                <w:sz w:val="18"/>
                <w:szCs w:val="18"/>
              </w:rPr>
              <w:t>pentru investiții în a) infrastructuri pentru crearea de parcuri de nouă generație (inclusiv achiziționarea terenului), cu criterii specifice de eficiență energetică pentru construirea de clădiri noi și eficiență energetică și proiecte demonstrative în înt</w:t>
            </w:r>
            <w:r>
              <w:rPr>
                <w:noProof/>
                <w:color w:val="006100"/>
                <w:sz w:val="18"/>
                <w:szCs w:val="18"/>
              </w:rPr>
              <w:t>reprinderi mari și măsuri de sprijin; b) infrastructura pentru transformarea digitală și crearea de zone industriale inteligente, c) energia solară din surse regenerabile, d) gestionarea apei și conservarea resurselor de apă [investițiile trebuie să aibă u</w:t>
            </w:r>
            <w:r>
              <w:rPr>
                <w:noProof/>
                <w:color w:val="006100"/>
                <w:sz w:val="18"/>
                <w:szCs w:val="18"/>
              </w:rPr>
              <w:t>n indice mediu al pierderilor de infrastructură (ILI) de &lt; = 1,5), e) sisteme de colectare și tratare a apelor uzate care respectă criteriile de eficiență energetică; f) electromobilitatea (dezvoltarea de rețele de realimentare pentru vehicule electrice sa</w:t>
            </w:r>
            <w:r>
              <w:rPr>
                <w:noProof/>
                <w:color w:val="006100"/>
                <w:sz w:val="18"/>
                <w:szCs w:val="18"/>
              </w:rPr>
              <w:t>u pe bază de hidrogen sau puncte de realimentare cu biometan pentru transport), g) proiecte pentru reabilitarea siturilor industriale și a terenurilor contaminate. Termenii de referință, inclusiv criteriile de eligibilitate, asigură faptul că proiectele se</w:t>
            </w:r>
            <w:r>
              <w:rPr>
                <w:noProof/>
                <w:color w:val="006100"/>
                <w:sz w:val="18"/>
                <w:szCs w:val="18"/>
              </w:rPr>
              <w:t>lectate respectă Orientările tehnice bazate pe principiul de „a nu aduce prejudicii semnificative” (2021/C58/01) prin utilizarea unei liste de excludere și a cerinței de conformitate cu legislația UE și națională relevantă în materie de mediu.</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Construcția</w:t>
            </w:r>
            <w:r>
              <w:rPr>
                <w:noProof/>
                <w:color w:val="006100"/>
                <w:sz w:val="18"/>
                <w:szCs w:val="18"/>
              </w:rPr>
              <w:t xml:space="preserve"> de clădiri noi trebuie să respecte o cerere de energie primară (PED) care este cu cel puțin 20 % mai mică decât cerința privind clădirile al căror consum de energie este aproape egal cu zero (clădiri al căror consum de energie este aproape egal cu zero, d</w:t>
            </w:r>
            <w:r>
              <w:rPr>
                <w:noProof/>
                <w:color w:val="006100"/>
                <w:sz w:val="18"/>
                <w:szCs w:val="18"/>
              </w:rPr>
              <w:t>irectivele naționale). În cazul construirii de sisteme de tratare a apelor reziduale de la un capăt la altul, măsura trebuie să aibă un consum net de energie egal cu zero, iar în cazul reînnoirii sistemelor de tratare a apelor reziduale de la un capăt la a</w:t>
            </w:r>
            <w:r>
              <w:rPr>
                <w:noProof/>
                <w:color w:val="006100"/>
                <w:sz w:val="18"/>
                <w:szCs w:val="18"/>
              </w:rPr>
              <w:t>ltul, această măsură trebuie să conducă la o scădere a consumului mediu de energie cu cel puțin 10 % (exclusiv prin măsuri de eficiență energetică și nu prin modificări semnificative sau modificări ale sarcinii). Investițiile în electromobilitate sunt în c</w:t>
            </w:r>
            <w:r>
              <w:rPr>
                <w:noProof/>
                <w:color w:val="006100"/>
                <w:sz w:val="18"/>
                <w:szCs w:val="18"/>
              </w:rPr>
              <w:t>onformitate cu Directiva (UE) 2018/2001 și se referă la combustibilii alternativi pentru transport.</w:t>
            </w:r>
          </w:p>
        </w:tc>
      </w:tr>
      <w:tr w:rsidR="00780A28">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302</w:t>
            </w:r>
          </w:p>
        </w:tc>
        <w:tc>
          <w:tcPr>
            <w:tcW w:w="151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16634_noi parcuri industriale</w:t>
            </w:r>
          </w:p>
        </w:tc>
        <w:tc>
          <w:tcPr>
            <w:tcW w:w="11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0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Parcurile industriale — reforma </w:t>
            </w:r>
            <w:r>
              <w:rPr>
                <w:noProof/>
                <w:color w:val="006100"/>
                <w:sz w:val="18"/>
                <w:szCs w:val="18"/>
              </w:rPr>
              <w:t>legislativă (dreptul primar)</w:t>
            </w:r>
          </w:p>
        </w:tc>
        <w:tc>
          <w:tcPr>
            <w:tcW w:w="16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Publicarea legislației în Jurnalul Oficial</w:t>
            </w:r>
          </w:p>
        </w:tc>
        <w:tc>
          <w:tcPr>
            <w:tcW w:w="107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6"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120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369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Adoptarea legislației primare pentru a îmbunătăți cadrul de reglementare pentru parcurile industriale de afaceri, inclusiv abordarea incertitudinilor juridice, soluționarea </w:t>
            </w:r>
            <w:r>
              <w:rPr>
                <w:noProof/>
                <w:color w:val="006100"/>
                <w:sz w:val="18"/>
                <w:szCs w:val="18"/>
              </w:rPr>
              <w:t>problemelor de guvernanță și furnizarea de stimulente eficace pentru soluționarea concentrărilor industriale informale</w:t>
            </w:r>
          </w:p>
        </w:tc>
      </w:tr>
      <w:tr w:rsidR="00780A28">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303</w:t>
            </w:r>
          </w:p>
        </w:tc>
        <w:tc>
          <w:tcPr>
            <w:tcW w:w="151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sectoarelor economice cheie — 16593_Modificarea cadrului juridic pentru </w:t>
            </w:r>
            <w:r>
              <w:rPr>
                <w:noProof/>
                <w:color w:val="006100"/>
                <w:sz w:val="18"/>
                <w:szCs w:val="18"/>
              </w:rPr>
              <w:t>atragerea investițiilor strategice</w:t>
            </w:r>
          </w:p>
        </w:tc>
        <w:tc>
          <w:tcPr>
            <w:tcW w:w="118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0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Investiții strategice — selectarea proiectelor eligibile</w:t>
            </w:r>
          </w:p>
        </w:tc>
        <w:tc>
          <w:tcPr>
            <w:tcW w:w="161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Selectarea „investițiilor Emblematice de mare importanță” eligibile pentru finanțare </w:t>
            </w:r>
          </w:p>
        </w:tc>
        <w:tc>
          <w:tcPr>
            <w:tcW w:w="107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96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96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60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20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369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Selectarea investițiilor emblematice se face prin așa-numita procedură „primul servit” pe parcursul întregii perioade 2022-2025. În conformitate cu procedura de selecție, investitorul potențial trebuie să depună o cerere la Enterprise Greece pentru a fi in</w:t>
            </w:r>
            <w:r>
              <w:rPr>
                <w:noProof/>
                <w:color w:val="006100"/>
                <w:sz w:val="18"/>
                <w:szCs w:val="18"/>
              </w:rPr>
              <w:t>clusă în investițiile emblematice. O cerere poate fi depusă la Enterprise Greece în 2023, iar investiția se încheie până în al patrulea trimestru al anului 4 2025. Evaluarea de către „Enterprise Greece” și aprobarea finală a propunerilor de investiții se f</w:t>
            </w:r>
            <w:r>
              <w:rPr>
                <w:noProof/>
                <w:color w:val="006100"/>
                <w:sz w:val="18"/>
                <w:szCs w:val="18"/>
              </w:rPr>
              <w:t xml:space="preserve">inalizează de către Comitetul interministerial pentru investiții strategice (caracterizarea propunerilor de investiții drept „investiții emblematice de mare importanță”; Selectarea beneficiarilor eligibili din rândul noilor „investiții emblematice de mare </w:t>
            </w:r>
            <w:r>
              <w:rPr>
                <w:noProof/>
                <w:color w:val="006100"/>
                <w:sz w:val="18"/>
                <w:szCs w:val="18"/>
              </w:rPr>
              <w:t>importanță”, prin decizia de aprobare a Comitetului interministerial pentru investiții strategice (atestată prin publicarea deciziei) pentru proiectele de investiții care promovează inovarea sau difuzarea tehnologiei, economia ecologică, utilizarea surselo</w:t>
            </w:r>
            <w:r>
              <w:rPr>
                <w:noProof/>
                <w:color w:val="006100"/>
                <w:sz w:val="18"/>
                <w:szCs w:val="18"/>
              </w:rPr>
              <w:t>r regenerabile de energie și tranziția către o economie cu emisii scăzute de dioxid de carbon și/sau promovarea competitivității economiei Greciei la nivel internațional. În ceea ce privește investițiile în energie, investițiile eligibile includ investiții</w:t>
            </w:r>
            <w:r>
              <w:rPr>
                <w:noProof/>
                <w:color w:val="006100"/>
                <w:sz w:val="18"/>
                <w:szCs w:val="18"/>
              </w:rPr>
              <w:t>le în a) infrastructură cu criterii energetice specifice pentru construirea de clădiri noi, b) proiecte de generare de energie electrică hibridă din surse regenerabile de energie în insulele neconectate, c) investiții pentru producția de hidrogen ecologic,</w:t>
            </w:r>
            <w:r>
              <w:rPr>
                <w:noProof/>
                <w:color w:val="006100"/>
                <w:sz w:val="18"/>
                <w:szCs w:val="18"/>
              </w:rPr>
              <w:t xml:space="preserve"> d) sisteme de stocare a energiei electrice produse din surse regenerabile de energie și e) instalații de parcuri eoliene offshore și parcuri fotovoltaice offshore în conformitate cu Orientările tehnice „nu cauzează prejudicii semnificative” (2021/C58/01),</w:t>
            </w:r>
            <w:r>
              <w:rPr>
                <w:noProof/>
                <w:color w:val="006100"/>
                <w:sz w:val="18"/>
                <w:szCs w:val="18"/>
              </w:rPr>
              <w:t xml:space="preserve"> prin utilizarea unei liste de excludere și a cerinței de conformitate cu legislația UE și cu legislația de mediu relevante. </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Construcția de clădiri noi trebuie să respecte o cerere de energie primară (PED) care este cu cel puțin 20 % mai mică decât cerin</w:t>
            </w:r>
            <w:r>
              <w:rPr>
                <w:noProof/>
                <w:color w:val="006100"/>
                <w:sz w:val="18"/>
                <w:szCs w:val="18"/>
              </w:rPr>
              <w:t>ț</w:t>
            </w:r>
            <w:r>
              <w:rPr>
                <w:noProof/>
                <w:color w:val="006100"/>
                <w:sz w:val="18"/>
                <w:szCs w:val="18"/>
              </w:rPr>
              <w:t>a privind clădirile al căror consum de energie este aproape egal cu zero (clădiri al căror consum de energie este aproape egal cu zero, directivele naționale).</w:t>
            </w:r>
          </w:p>
        </w:tc>
      </w:tr>
      <w:tr w:rsidR="00780A28">
        <w:trPr>
          <w:trHeight w:val="313"/>
          <w:jc w:val="center"/>
        </w:trPr>
        <w:tc>
          <w:tcPr>
            <w:tcW w:w="1186"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304</w:t>
            </w:r>
          </w:p>
        </w:tc>
        <w:tc>
          <w:tcPr>
            <w:tcW w:w="151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sectoarelor economice cheie — </w:t>
            </w:r>
            <w:r>
              <w:rPr>
                <w:noProof/>
                <w:color w:val="006100"/>
                <w:sz w:val="18"/>
                <w:szCs w:val="18"/>
              </w:rPr>
              <w:t>16634_noi parcuri industriale</w:t>
            </w:r>
          </w:p>
        </w:tc>
        <w:tc>
          <w:tcPr>
            <w:tcW w:w="118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0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Parcurile industriale — reformă legislativă (legislație secundară)</w:t>
            </w:r>
          </w:p>
        </w:tc>
        <w:tc>
          <w:tcPr>
            <w:tcW w:w="161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întregii legislații necesare </w:t>
            </w:r>
          </w:p>
        </w:tc>
        <w:tc>
          <w:tcPr>
            <w:tcW w:w="107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96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96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w:t>
            </w:r>
          </w:p>
        </w:tc>
        <w:tc>
          <w:tcPr>
            <w:tcW w:w="60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120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369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întregii legislații secundare necesare pentru operaționalizarea </w:t>
            </w:r>
            <w:r>
              <w:rPr>
                <w:noProof/>
                <w:color w:val="006100"/>
                <w:sz w:val="18"/>
                <w:szCs w:val="18"/>
              </w:rPr>
              <w:t>noului cadru de îmbunătățire a cadrului de reglementare pentru parcurile industriale de afaceri, inclusiv abordarea incertitudinilor juridice, soluționarea problemelor de guvernanță și furnizarea de stimulente eficace pentru soluționarea concentrărilor ind</w:t>
            </w:r>
            <w:r>
              <w:rPr>
                <w:noProof/>
                <w:color w:val="006100"/>
                <w:sz w:val="18"/>
                <w:szCs w:val="18"/>
              </w:rPr>
              <w:t>ustriale informale.</w:t>
            </w:r>
          </w:p>
        </w:tc>
      </w:tr>
      <w:tr w:rsidR="00780A28">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305</w:t>
            </w:r>
          </w:p>
        </w:tc>
        <w:tc>
          <w:tcPr>
            <w:tcW w:w="15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principalelor sectoare economice — 16592_Facilitarea comerțului</w:t>
            </w:r>
          </w:p>
        </w:tc>
        <w:tc>
          <w:tcPr>
            <w:tcW w:w="11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Punerea în aplicare a acțiunilor de facilitare a comerțului</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Raport privind finalizarea măsurilor de </w:t>
            </w:r>
            <w:r>
              <w:rPr>
                <w:noProof/>
                <w:color w:val="006100"/>
                <w:sz w:val="18"/>
                <w:szCs w:val="18"/>
              </w:rPr>
              <w:t>simplificare și introducerea sistemelor, astfel cum se prevede în foaia de parcurs privind facilitarea comerțului.</w:t>
            </w:r>
          </w:p>
        </w:tc>
        <w:tc>
          <w:tcPr>
            <w:tcW w:w="107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2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369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punerii în aplicare a măsurilor prezentate în Foaia de parcurs privind facilitarea comerțului [intrarea în vigoare a a</w:t>
            </w:r>
            <w:r>
              <w:rPr>
                <w:noProof/>
                <w:color w:val="006100"/>
                <w:sz w:val="18"/>
                <w:szCs w:val="18"/>
              </w:rPr>
              <w:t>ctului legislativ secundar], în special prin acțiuni care vizează:</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—revizuirea și eliminarea etapelor procedurale nejustificat de împovărătoare și a certificatelor necesare pentru comerțul cu mărfuri, în special pentru exporturi, atât la nivel vamal, cât </w:t>
            </w:r>
            <w:r>
              <w:rPr>
                <w:noProof/>
                <w:color w:val="006100"/>
                <w:sz w:val="18"/>
                <w:szCs w:val="18"/>
              </w:rPr>
              <w:t>ș</w:t>
            </w:r>
            <w:r>
              <w:rPr>
                <w:noProof/>
                <w:color w:val="006100"/>
                <w:sz w:val="18"/>
                <w:szCs w:val="18"/>
              </w:rPr>
              <w:t>i la nivel pre-vamal;</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 introducerea unei abordări de evaluare a riscurilor pentru ca controalele ex ante să fie mai bine orientate și pentru îmbunătățirea coordonării între serviciile implicate în efectuarea controalelor comune ale exporturilor;</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 intr</w:t>
            </w:r>
            <w:r>
              <w:rPr>
                <w:noProof/>
                <w:color w:val="006100"/>
                <w:sz w:val="18"/>
                <w:szCs w:val="18"/>
              </w:rPr>
              <w:t>oducerea de noi proceduri în sistemul de „ghișeu unic”, în conformitate cu cele mai bune practici internaționale;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 instituirea unui sistem de monitorizare pentru a asigura punerea în aplicare adecvată și eficientă a controalelor legate de comerțul transf</w:t>
            </w:r>
            <w:r>
              <w:rPr>
                <w:noProof/>
                <w:color w:val="006100"/>
                <w:sz w:val="18"/>
                <w:szCs w:val="18"/>
              </w:rPr>
              <w:t>rontalier (furnizarea de circulare emise cu privire la noile proceduri și modalități de control)</w:t>
            </w:r>
          </w:p>
        </w:tc>
      </w:tr>
      <w:tr w:rsidR="00780A28">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306</w:t>
            </w:r>
          </w:p>
        </w:tc>
        <w:tc>
          <w:tcPr>
            <w:tcW w:w="15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16599_Digitilizarea rețelei de diplomație economică &amp; Program de formare</w:t>
            </w:r>
            <w:r>
              <w:rPr>
                <w:noProof/>
                <w:color w:val="006100"/>
                <w:sz w:val="18"/>
                <w:szCs w:val="18"/>
              </w:rPr>
              <w:t xml:space="preserve"> a exportatorilor</w:t>
            </w:r>
          </w:p>
        </w:tc>
        <w:tc>
          <w:tcPr>
            <w:tcW w:w="11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Digitalizarea rețelei diplomației economice — punerea în aplicare a tuturor acțiunilor</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Să raporteze punerea în aplicare a acțiunilor de digitalizare a rețelei de diplomație economică (și anume, punerea în aplicare a ghișeului unic ș</w:t>
            </w:r>
            <w:r>
              <w:rPr>
                <w:noProof/>
                <w:color w:val="006100"/>
                <w:sz w:val="18"/>
                <w:szCs w:val="18"/>
              </w:rPr>
              <w:t>i a serviciului de asistență pentru exportatori, publicarea bazelor de date și a canalelor de comunicare digitală cu investitorii și exportatorii, digitalizarea proceselor interne în cadrul întreprinderilor din Grecia și lansarea unui serviciu al Ombudsman</w:t>
            </w:r>
            <w:r>
              <w:rPr>
                <w:noProof/>
                <w:color w:val="006100"/>
                <w:sz w:val="18"/>
                <w:szCs w:val="18"/>
              </w:rPr>
              <w:t>ului) necesare pentru finalizarea digitalizării rețelei de diplomație economică.</w:t>
            </w:r>
          </w:p>
        </w:tc>
        <w:tc>
          <w:tcPr>
            <w:tcW w:w="107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12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369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digitalizării rețelei de diplomație economică, inclusiv prin:</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 operaționalizarea exporturilor din cadrul „ghișeului unic” Gate</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 Servicii de helpdesk pentru utilizatori</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 publicarea bazelor de date privind piața internațională și procedurile de export</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 lansarea unui serviciu al Ombudsmanului pentru a ajuta exportatorii să depășească obstacolele în cursul procesului de export</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w:t>
            </w:r>
            <w:r>
              <w:rPr>
                <w:noProof/>
                <w:color w:val="006100"/>
                <w:sz w:val="18"/>
                <w:szCs w:val="18"/>
              </w:rPr>
              <w:t>— digitalizarea proceselor interne ale întreprinderilor din Grecia și crearea unui seif digital pentru portofoliul de investiții al întreprinderilor din Grecia și al investitorilor strategici</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 crearea de noi canale digitale de comunicare cu exportatorii </w:t>
            </w:r>
            <w:r>
              <w:rPr>
                <w:noProof/>
                <w:color w:val="006100"/>
                <w:sz w:val="18"/>
                <w:szCs w:val="18"/>
              </w:rPr>
              <w:t>ș</w:t>
            </w:r>
            <w:r>
              <w:rPr>
                <w:noProof/>
                <w:color w:val="006100"/>
                <w:sz w:val="18"/>
                <w:szCs w:val="18"/>
              </w:rPr>
              <w:t>i potențialii investitori</w:t>
            </w:r>
          </w:p>
        </w:tc>
      </w:tr>
      <w:tr w:rsidR="00780A28">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307</w:t>
            </w:r>
          </w:p>
        </w:tc>
        <w:tc>
          <w:tcPr>
            <w:tcW w:w="15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16634_noi parcuri industriale</w:t>
            </w:r>
          </w:p>
        </w:tc>
        <w:tc>
          <w:tcPr>
            <w:tcW w:w="11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Parități industriale — punerea în aplicare a investițiilor</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Să furnizeze rezultatele auditurilor lucrărilor de construcții, ale certificării beneficiarilor cu privire la finalizarea investițiilor și ale dovezii plății pentru a atesta punerea în aplicare a proiectelor de investiții selectate în parcuri industriale. </w:t>
            </w:r>
          </w:p>
          <w:p w:rsidR="00780A28" w:rsidRDefault="00780A28">
            <w:pPr>
              <w:spacing w:after="0" w:line="240" w:lineRule="auto"/>
              <w:ind w:left="198" w:hanging="198"/>
              <w:rPr>
                <w:rFonts w:eastAsia="Times New Roman" w:cs="Calibri"/>
                <w:noProof/>
                <w:color w:val="006100"/>
                <w:sz w:val="18"/>
                <w:szCs w:val="18"/>
                <w:lang w:eastAsia="en-GB"/>
              </w:rPr>
            </w:pPr>
          </w:p>
        </w:tc>
        <w:tc>
          <w:tcPr>
            <w:tcW w:w="107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2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69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construcției tuturor proiectelor de investiții selectate în cadrul cererilor competitive de propuneri. </w:t>
            </w:r>
          </w:p>
        </w:tc>
      </w:tr>
      <w:tr w:rsidR="00780A28">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308</w:t>
            </w:r>
          </w:p>
        </w:tc>
        <w:tc>
          <w:tcPr>
            <w:tcW w:w="15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17 - 4.6. Modernizarea și îmbunătățirea rezilienței sectoarelor economice cheie — 16593_Modificarea cadrului juridic </w:t>
            </w:r>
            <w:r>
              <w:rPr>
                <w:noProof/>
                <w:color w:val="006100"/>
                <w:sz w:val="18"/>
                <w:szCs w:val="18"/>
              </w:rPr>
              <w:t>pentru atragerea investițiilor strategice</w:t>
            </w:r>
          </w:p>
        </w:tc>
        <w:tc>
          <w:tcPr>
            <w:tcW w:w="11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Investiții strategice — punerea în aplicare a investițiilor</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Furnizarea de rezultate ale auditurilor privind lucrările de construcții, certificarea din partea beneficiarilor cu privire la finalizarea investiți</w:t>
            </w:r>
            <w:r>
              <w:rPr>
                <w:noProof/>
                <w:color w:val="006100"/>
                <w:sz w:val="18"/>
                <w:szCs w:val="18"/>
              </w:rPr>
              <w:t>ilor și dovada plății pentru a atesta punerea în aplicare a proiectelor de investiții selectate în „Investiții Emblematice de mare importanță”.</w:t>
            </w:r>
          </w:p>
        </w:tc>
        <w:tc>
          <w:tcPr>
            <w:tcW w:w="107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2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69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construcției tuturor proiectelor de investiții selectate în conformitate cu decizia de </w:t>
            </w:r>
            <w:r>
              <w:rPr>
                <w:noProof/>
                <w:color w:val="006100"/>
                <w:sz w:val="18"/>
                <w:szCs w:val="18"/>
              </w:rPr>
              <w:t>aprobare a Comitetului interministerial pentru investiții strategice.</w:t>
            </w:r>
          </w:p>
        </w:tc>
      </w:tr>
      <w:tr w:rsidR="00780A28">
        <w:trPr>
          <w:trHeight w:val="313"/>
          <w:jc w:val="center"/>
        </w:trPr>
        <w:tc>
          <w:tcPr>
            <w:tcW w:w="1186"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309</w:t>
            </w:r>
          </w:p>
        </w:tc>
        <w:tc>
          <w:tcPr>
            <w:tcW w:w="151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17 - 4.6. Modernizarea și îmbunătățirea rezilienței sectoarelor economice cheie — 16721_Accelerarea producției inteligente</w:t>
            </w:r>
          </w:p>
        </w:tc>
        <w:tc>
          <w:tcPr>
            <w:tcW w:w="11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5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Industria prelucrătoare, sectorul — punerea în </w:t>
            </w:r>
            <w:r>
              <w:rPr>
                <w:noProof/>
                <w:color w:val="006100"/>
                <w:sz w:val="18"/>
                <w:szCs w:val="18"/>
              </w:rPr>
              <w:t>aplicare a investițiilor</w:t>
            </w:r>
          </w:p>
        </w:tc>
        <w:tc>
          <w:tcPr>
            <w:tcW w:w="16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Să furnizeze rezultatele auditurilor lucrărilor de intervenție, ale certificării beneficiarilor cu privire la finalizarea investiției și ale dovezii plății pentru a atesta punerea în aplicare a proiectelor de investiții selectate î</w:t>
            </w:r>
            <w:r>
              <w:rPr>
                <w:noProof/>
                <w:color w:val="006100"/>
                <w:sz w:val="18"/>
                <w:szCs w:val="18"/>
              </w:rPr>
              <w:t xml:space="preserve">n </w:t>
            </w:r>
          </w:p>
          <w:p w:rsidR="00780A28" w:rsidRDefault="001867D7">
            <w:pPr>
              <w:spacing w:after="0" w:line="240" w:lineRule="auto"/>
              <w:rPr>
                <w:rFonts w:eastAsia="Times New Roman" w:cs="Calibri"/>
                <w:noProof/>
                <w:color w:val="006100"/>
                <w:sz w:val="18"/>
                <w:szCs w:val="18"/>
              </w:rPr>
            </w:pPr>
            <w:r>
              <w:rPr>
                <w:noProof/>
                <w:color w:val="006100"/>
                <w:sz w:val="18"/>
                <w:szCs w:val="18"/>
              </w:rPr>
              <w:t>industria prelucrătoare.</w:t>
            </w:r>
          </w:p>
        </w:tc>
        <w:tc>
          <w:tcPr>
            <w:tcW w:w="107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6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20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369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construcției tuturor proiectelor de investiții selectate în cadrul cererilor competitive de propuneri.</w:t>
            </w:r>
          </w:p>
        </w:tc>
      </w:tr>
    </w:tbl>
    <w:p w:rsidR="00780A28" w:rsidRDefault="00780A28">
      <w:pPr>
        <w:spacing w:before="120" w:after="0" w:line="240" w:lineRule="auto"/>
        <w:jc w:val="both"/>
        <w:rPr>
          <w:rFonts w:ascii="Times New Roman" w:hAnsi="Times New Roman" w:cs="Times New Roman"/>
          <w:noProof/>
          <w:sz w:val="24"/>
        </w:rPr>
      </w:pPr>
    </w:p>
    <w:p w:rsidR="00780A28" w:rsidRDefault="00780A28">
      <w:pPr>
        <w:spacing w:before="120" w:after="0" w:line="240" w:lineRule="auto"/>
        <w:jc w:val="both"/>
        <w:rPr>
          <w:rFonts w:ascii="Times New Roman" w:hAnsi="Times New Roman" w:cs="Times New Roman"/>
          <w:noProof/>
          <w:sz w:val="24"/>
        </w:rPr>
        <w:sectPr w:rsidR="00780A28">
          <w:headerReference w:type="even" r:id="rId281"/>
          <w:headerReference w:type="default" r:id="rId282"/>
          <w:footerReference w:type="even" r:id="rId283"/>
          <w:footerReference w:type="default" r:id="rId284"/>
          <w:headerReference w:type="first" r:id="rId285"/>
          <w:footerReference w:type="first" r:id="rId286"/>
          <w:pgSz w:w="16839" w:h="11907" w:orient="landscape"/>
          <w:pgMar w:top="720" w:right="720" w:bottom="720" w:left="720" w:header="709" w:footer="709" w:gutter="0"/>
          <w:cols w:space="720"/>
          <w:docGrid w:linePitch="360"/>
        </w:sectPr>
      </w:pPr>
    </w:p>
    <w:p w:rsidR="00780A28" w:rsidRDefault="00780A28">
      <w:pPr>
        <w:spacing w:before="120" w:after="0" w:line="240" w:lineRule="auto"/>
        <w:jc w:val="both"/>
        <w:rPr>
          <w:rFonts w:ascii="Times New Roman" w:hAnsi="Times New Roman" w:cs="Times New Roman"/>
          <w:noProof/>
          <w:sz w:val="24"/>
        </w:r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Grupa 28: Agricultură</w:t>
      </w:r>
    </w:p>
    <w:p w:rsidR="00780A28" w:rsidRDefault="001867D7">
      <w:pPr>
        <w:numPr>
          <w:ilvl w:val="0"/>
          <w:numId w:val="25"/>
        </w:numPr>
        <w:spacing w:before="120" w:after="0" w:line="240" w:lineRule="auto"/>
        <w:jc w:val="both"/>
        <w:rPr>
          <w:rFonts w:ascii="Times New Roman" w:hAnsi="Times New Roman" w:cs="Times New Roman"/>
          <w:noProof/>
          <w:sz w:val="24"/>
        </w:rPr>
      </w:pPr>
      <w:r>
        <w:rPr>
          <w:rFonts w:ascii="Times New Roman" w:hAnsi="Times New Roman"/>
          <w:noProof/>
          <w:sz w:val="24"/>
        </w:rPr>
        <w:t xml:space="preserve">Transformarea </w:t>
      </w:r>
      <w:r>
        <w:rPr>
          <w:rFonts w:ascii="Times New Roman" w:hAnsi="Times New Roman"/>
          <w:noProof/>
          <w:sz w:val="24"/>
        </w:rPr>
        <w:t>economică în sectorul agricol (ID: 16626)</w:t>
      </w:r>
    </w:p>
    <w:p w:rsidR="00780A28" w:rsidRDefault="001867D7">
      <w:pPr>
        <w:numPr>
          <w:ilvl w:val="0"/>
          <w:numId w:val="25"/>
        </w:numPr>
        <w:spacing w:before="120" w:after="0" w:line="240" w:lineRule="auto"/>
        <w:jc w:val="both"/>
        <w:rPr>
          <w:rFonts w:ascii="Times New Roman" w:hAnsi="Times New Roman" w:cs="Times New Roman"/>
          <w:noProof/>
          <w:sz w:val="24"/>
        </w:rPr>
      </w:pPr>
      <w:r>
        <w:rPr>
          <w:rFonts w:ascii="Times New Roman" w:hAnsi="Times New Roman"/>
          <w:noProof/>
          <w:sz w:val="24"/>
        </w:rPr>
        <w:t>Transformarea digitală a sectorului agroalimentar (ID: 16653)</w:t>
      </w:r>
    </w:p>
    <w:p w:rsidR="00780A28" w:rsidRDefault="001867D7">
      <w:pPr>
        <w:numPr>
          <w:ilvl w:val="0"/>
          <w:numId w:val="25"/>
        </w:numPr>
        <w:spacing w:before="120" w:after="0" w:line="240" w:lineRule="auto"/>
        <w:jc w:val="both"/>
        <w:rPr>
          <w:rFonts w:ascii="Times New Roman" w:hAnsi="Times New Roman" w:cs="Times New Roman"/>
          <w:noProof/>
          <w:sz w:val="24"/>
        </w:rPr>
      </w:pPr>
      <w:r>
        <w:rPr>
          <w:rFonts w:ascii="Times New Roman" w:hAnsi="Times New Roman"/>
          <w:noProof/>
          <w:sz w:val="24"/>
        </w:rPr>
        <w:t>Propuneri de acțiuni în sectorul acvaculturii (ID: 16584)</w:t>
      </w:r>
    </w:p>
    <w:p w:rsidR="00780A28" w:rsidRDefault="001867D7">
      <w:pPr>
        <w:numPr>
          <w:ilvl w:val="0"/>
          <w:numId w:val="25"/>
        </w:numPr>
        <w:spacing w:before="120" w:after="120" w:line="240" w:lineRule="auto"/>
        <w:jc w:val="both"/>
        <w:rPr>
          <w:rFonts w:ascii="Times New Roman" w:hAnsi="Times New Roman" w:cs="Times New Roman"/>
          <w:noProof/>
          <w:sz w:val="24"/>
        </w:rPr>
      </w:pPr>
      <w:r>
        <w:rPr>
          <w:rFonts w:ascii="Times New Roman" w:hAnsi="Times New Roman"/>
          <w:noProof/>
          <w:sz w:val="24"/>
        </w:rPr>
        <w:t>Investiții în rețeaua națională de irigații prin intermediul sistemelor PPP (ID: 16285)</w:t>
      </w:r>
    </w:p>
    <w:tbl>
      <w:tblPr>
        <w:tblW w:w="15897" w:type="dxa"/>
        <w:jc w:val="center"/>
        <w:tblLook w:val="04A0" w:firstRow="1" w:lastRow="0" w:firstColumn="1" w:lastColumn="0" w:noHBand="0" w:noVBand="1"/>
      </w:tblPr>
      <w:tblGrid>
        <w:gridCol w:w="1252"/>
        <w:gridCol w:w="1845"/>
        <w:gridCol w:w="1589"/>
        <w:gridCol w:w="1366"/>
        <w:gridCol w:w="1704"/>
        <w:gridCol w:w="899"/>
        <w:gridCol w:w="896"/>
        <w:gridCol w:w="866"/>
        <w:gridCol w:w="880"/>
        <w:gridCol w:w="736"/>
        <w:gridCol w:w="4332"/>
      </w:tblGrid>
      <w:tr w:rsidR="00780A28">
        <w:trPr>
          <w:trHeight w:val="927"/>
          <w:tblHeader/>
          <w:jc w:val="center"/>
        </w:trPr>
        <w:tc>
          <w:tcPr>
            <w:tcW w:w="125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 xml:space="preserve">Număr </w:t>
            </w:r>
            <w:r>
              <w:rPr>
                <w:rFonts w:ascii="Times New Roman" w:hAnsi="Times New Roman"/>
                <w:b/>
                <w:noProof/>
                <w:sz w:val="18"/>
                <w:szCs w:val="18"/>
              </w:rPr>
              <w:t>secvențial</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Măsură conexă (reformă sau investiție)</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Jalon/Țintă</w:t>
            </w:r>
          </w:p>
        </w:tc>
        <w:tc>
          <w:tcPr>
            <w:tcW w:w="1366"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Nume</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Indicatori calitativi (pentru jaloane)</w:t>
            </w:r>
          </w:p>
        </w:tc>
        <w:tc>
          <w:tcPr>
            <w:tcW w:w="2317"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Indicatori cantitativi (pentru ținte)</w:t>
            </w:r>
          </w:p>
        </w:tc>
        <w:tc>
          <w:tcPr>
            <w:tcW w:w="1533"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 xml:space="preserve">Calendar orientativ pentru atingerea jaloanelor/țintelor </w:t>
            </w:r>
          </w:p>
        </w:tc>
        <w:tc>
          <w:tcPr>
            <w:tcW w:w="43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Descrierea fiecărui jalon și a fiecărei ținte</w:t>
            </w:r>
          </w:p>
        </w:tc>
      </w:tr>
      <w:tr w:rsidR="00780A28">
        <w:trPr>
          <w:trHeight w:val="1013"/>
          <w:tblHeader/>
          <w:jc w:val="center"/>
        </w:trPr>
        <w:tc>
          <w:tcPr>
            <w:tcW w:w="125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83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58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366" w:type="dxa"/>
            <w:vMerge/>
            <w:tcBorders>
              <w:top w:val="single" w:sz="4" w:space="0" w:color="auto"/>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17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c>
          <w:tcPr>
            <w:tcW w:w="899"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Unitate de măsură</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 xml:space="preserve">Valoare de referință </w:t>
            </w:r>
          </w:p>
        </w:tc>
        <w:tc>
          <w:tcPr>
            <w:tcW w:w="561"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 xml:space="preserve">Obiectiv </w:t>
            </w:r>
          </w:p>
        </w:tc>
        <w:tc>
          <w:tcPr>
            <w:tcW w:w="824"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Un sfert</w:t>
            </w:r>
          </w:p>
        </w:tc>
        <w:tc>
          <w:tcPr>
            <w:tcW w:w="687"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noProof/>
                <w:sz w:val="18"/>
                <w:szCs w:val="18"/>
              </w:rPr>
              <w:t>Anul</w:t>
            </w:r>
          </w:p>
        </w:tc>
        <w:tc>
          <w:tcPr>
            <w:tcW w:w="4332"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noProof/>
                <w:sz w:val="18"/>
                <w:szCs w:val="18"/>
                <w:lang w:eastAsia="en-GB"/>
              </w:rPr>
            </w:pPr>
          </w:p>
        </w:tc>
      </w:tr>
      <w:tr w:rsidR="00780A28">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310</w:t>
            </w:r>
          </w:p>
        </w:tc>
        <w:tc>
          <w:tcPr>
            <w:tcW w:w="18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17 - 4.6. Modernizarea și îmbunătățirea rezilienței sectoarelor economice cheie — 16626_Transformarea economică a sectorului agricol</w:t>
            </w:r>
          </w:p>
        </w:tc>
        <w:tc>
          <w:tcPr>
            <w:tcW w:w="15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Transformarea economică a agriculturii: </w:t>
            </w:r>
            <w:r>
              <w:rPr>
                <w:noProof/>
                <w:color w:val="006100"/>
                <w:sz w:val="18"/>
                <w:szCs w:val="18"/>
              </w:rPr>
              <w:t>Lansarea programului</w:t>
            </w:r>
          </w:p>
        </w:tc>
        <w:tc>
          <w:tcPr>
            <w:tcW w:w="170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Semnarea contractului cu partenerul de implementare</w:t>
            </w:r>
          </w:p>
          <w:p w:rsidR="00780A28" w:rsidRDefault="00780A28">
            <w:pPr>
              <w:spacing w:after="0" w:line="240" w:lineRule="auto"/>
              <w:rPr>
                <w:rFonts w:cs="Calibri"/>
                <w:noProof/>
                <w:color w:val="006100"/>
                <w:sz w:val="18"/>
                <w:szCs w:val="18"/>
              </w:rPr>
            </w:pPr>
          </w:p>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Q1</w:t>
            </w:r>
          </w:p>
        </w:tc>
        <w:tc>
          <w:tcPr>
            <w:tcW w:w="68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2022</w:t>
            </w:r>
          </w:p>
        </w:tc>
        <w:tc>
          <w:tcPr>
            <w:tcW w:w="43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Lansarea cererilor de transformare economică a sectorului agricol.</w:t>
            </w:r>
          </w:p>
          <w:p w:rsidR="00780A28" w:rsidRDefault="001867D7">
            <w:pPr>
              <w:spacing w:after="0" w:line="240" w:lineRule="auto"/>
              <w:rPr>
                <w:noProof/>
                <w:color w:val="006100"/>
                <w:sz w:val="18"/>
                <w:szCs w:val="18"/>
              </w:rPr>
            </w:pPr>
            <w:r>
              <w:rPr>
                <w:noProof/>
                <w:color w:val="006100"/>
                <w:sz w:val="18"/>
                <w:szCs w:val="18"/>
              </w:rPr>
              <w:t xml:space="preserve">Cereri competitive de propuneri cu termeni de referință care includ criterii de eligibilitate care să </w:t>
            </w:r>
            <w:r>
              <w:rPr>
                <w:noProof/>
                <w:color w:val="006100"/>
                <w:sz w:val="18"/>
                <w:szCs w:val="18"/>
              </w:rPr>
              <w:t>asigure conformitatea proiectelor selectate cu Orientările tehnice „A nu cauza prejudicii semnificative” (2021/C58/01) prin utilizarea unei liste de excludere și prin cerința de conformitate cu legislația UE și națională relevantă în materie de mediu.</w:t>
            </w:r>
          </w:p>
          <w:p w:rsidR="00780A28" w:rsidRDefault="00780A28">
            <w:pPr>
              <w:spacing w:after="0" w:line="240" w:lineRule="auto"/>
              <w:rPr>
                <w:noProof/>
                <w:color w:val="006100"/>
                <w:sz w:val="18"/>
                <w:szCs w:val="18"/>
              </w:rPr>
            </w:pPr>
          </w:p>
          <w:p w:rsidR="00780A28" w:rsidRDefault="001867D7">
            <w:pPr>
              <w:spacing w:after="0" w:line="240" w:lineRule="auto"/>
              <w:rPr>
                <w:rFonts w:eastAsia="Times New Roman"/>
                <w:noProof/>
                <w:color w:val="006100"/>
                <w:sz w:val="18"/>
                <w:szCs w:val="18"/>
              </w:rPr>
            </w:pPr>
            <w:r>
              <w:rPr>
                <w:noProof/>
                <w:color w:val="006100"/>
                <w:sz w:val="18"/>
                <w:szCs w:val="18"/>
              </w:rPr>
              <w:t>Cer</w:t>
            </w:r>
            <w:r>
              <w:rPr>
                <w:noProof/>
                <w:color w:val="006100"/>
                <w:sz w:val="18"/>
                <w:szCs w:val="18"/>
              </w:rPr>
              <w:t>erile competitive includ următoarele acțiuni: acțiuni legate de modernizarea energetică a unităților de producție, a clădirilor și a echipamentelor mecanice cu consum redus de energie, modernizarea energetică a facilităților turistice (clădiri), mijloacele</w:t>
            </w:r>
            <w:r>
              <w:rPr>
                <w:noProof/>
                <w:color w:val="006100"/>
                <w:sz w:val="18"/>
                <w:szCs w:val="18"/>
              </w:rPr>
              <w:t xml:space="preserve"> de transport ecologice (automobile electrice, biciclete etc.), sprijinirea proceselor de producție ecologice și utilizarea eficientă a resurselor în IMM-uri, energia din surse regenerabile (solară), adaptarea la schimbările climatice și măsurile de preven</w:t>
            </w:r>
            <w:r>
              <w:rPr>
                <w:noProof/>
                <w:color w:val="006100"/>
                <w:sz w:val="18"/>
                <w:szCs w:val="18"/>
              </w:rPr>
              <w:t>ire și de gestionare a riscurilor legate de climă, protecția biodiversității și patrimoniul natural și resursele naturale.</w:t>
            </w:r>
          </w:p>
        </w:tc>
      </w:tr>
      <w:tr w:rsidR="00780A28">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311</w:t>
            </w:r>
          </w:p>
        </w:tc>
        <w:tc>
          <w:tcPr>
            <w:tcW w:w="183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xml:space="preserve"> 17 - 4.6. Modernizarea și îmbunătățirea rezilienței sectoarelor economice cheie — 16653_Transformarea digitală a sectorului agroalimentar </w:t>
            </w:r>
          </w:p>
        </w:tc>
        <w:tc>
          <w:tcPr>
            <w:tcW w:w="158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Jalon</w:t>
            </w:r>
          </w:p>
        </w:tc>
        <w:tc>
          <w:tcPr>
            <w:tcW w:w="136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xml:space="preserve">Lansarea apelului pentru transformarea digitală a sectorului agroalimentar </w:t>
            </w:r>
          </w:p>
        </w:tc>
        <w:tc>
          <w:tcPr>
            <w:tcW w:w="170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xml:space="preserve">Lansarea cererii de propuneri </w:t>
            </w:r>
          </w:p>
        </w:tc>
        <w:tc>
          <w:tcPr>
            <w:tcW w:w="89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Q3</w:t>
            </w:r>
          </w:p>
        </w:tc>
        <w:tc>
          <w:tcPr>
            <w:tcW w:w="68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2022 </w:t>
            </w:r>
          </w:p>
        </w:tc>
        <w:tc>
          <w:tcPr>
            <w:tcW w:w="433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Lansarea cererii de propuneri pentru proiectul de transformare digitală pentru dezvoltarea unei infrastructuri agricole digitale deschise la scară largă și a unui mediu agricol cognitiv pentru procesul de producție și gestionarea resurselor natu</w:t>
            </w:r>
            <w:r>
              <w:rPr>
                <w:noProof/>
                <w:color w:val="006100"/>
                <w:sz w:val="18"/>
                <w:szCs w:val="18"/>
              </w:rPr>
              <w:t>rale.</w:t>
            </w:r>
          </w:p>
        </w:tc>
      </w:tr>
      <w:tr w:rsidR="00780A28">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312</w:t>
            </w:r>
          </w:p>
        </w:tc>
        <w:tc>
          <w:tcPr>
            <w:tcW w:w="18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4 - 1.4. Utilizarea durabilă a resurselor, reziliența la schimbările climatice și protecția mediului — 16285_Investiții în rețeaua națională de irigații prin intermediul programelor PPP</w:t>
            </w:r>
          </w:p>
        </w:tc>
        <w:tc>
          <w:tcPr>
            <w:tcW w:w="15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6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Contracte atribuite pentru proiecte de irigare</w:t>
            </w:r>
          </w:p>
        </w:tc>
        <w:tc>
          <w:tcPr>
            <w:tcW w:w="170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Atribuirea contractelor</w:t>
            </w:r>
          </w:p>
          <w:p w:rsidR="00780A28" w:rsidRDefault="00780A28">
            <w:pPr>
              <w:spacing w:after="0" w:line="240" w:lineRule="auto"/>
              <w:rPr>
                <w:rFonts w:eastAsia="Times New Roman" w:cs="Calibri"/>
                <w:noProof/>
                <w:color w:val="006100"/>
                <w:sz w:val="18"/>
                <w:szCs w:val="18"/>
                <w:lang w:eastAsia="en-GB"/>
              </w:rPr>
            </w:pPr>
          </w:p>
        </w:tc>
        <w:tc>
          <w:tcPr>
            <w:tcW w:w="899"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8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2023</w:t>
            </w:r>
          </w:p>
        </w:tc>
        <w:tc>
          <w:tcPr>
            <w:tcW w:w="4332"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Atribuirea de contracte PPP pentru construirea și exploatarea celor 18 proiecte de irigații enumerate. Pentru fiecare subinvestiție, se asigură respectarea deplină a cerințelor legislației UE, inclusiv a Directivei-cadru</w:t>
            </w:r>
            <w:r>
              <w:rPr>
                <w:noProof/>
                <w:color w:val="006100"/>
                <w:sz w:val="18"/>
                <w:szCs w:val="18"/>
              </w:rPr>
              <w:t xml:space="preserve"> privind apa, înainte, în timpul și după începerea lucrărilor de construcție. În special, atunci când se publică proiectul de evaluare a impactului asupra mediului în vederea consultării publice, acesta ar trebui să fie însoțit de o justificare a scopului </w:t>
            </w:r>
            <w:r>
              <w:rPr>
                <w:noProof/>
                <w:color w:val="006100"/>
                <w:sz w:val="18"/>
                <w:szCs w:val="18"/>
              </w:rPr>
              <w:t xml:space="preserve">investiției în comparație cu alternativele, atât în ceea ce privește obiectivul (amploarea terenurilor irigate vs regenerarea rurală durabilă), cât și mijloacele (reducerea cererii de apă și soluțiile bazate pe natură). </w:t>
            </w:r>
          </w:p>
          <w:p w:rsidR="00780A28" w:rsidRDefault="00780A28">
            <w:pPr>
              <w:spacing w:after="0" w:line="240" w:lineRule="auto"/>
              <w:rPr>
                <w:rFonts w:cs="Calibri"/>
                <w:noProof/>
                <w:color w:val="006100"/>
                <w:sz w:val="18"/>
                <w:szCs w:val="18"/>
              </w:rPr>
            </w:pPr>
          </w:p>
          <w:p w:rsidR="00780A28" w:rsidRDefault="001867D7">
            <w:pPr>
              <w:spacing w:after="0" w:line="240" w:lineRule="auto"/>
              <w:rPr>
                <w:noProof/>
                <w:color w:val="006100"/>
                <w:sz w:val="18"/>
                <w:szCs w:val="18"/>
              </w:rPr>
            </w:pPr>
            <w:r>
              <w:rPr>
                <w:noProof/>
                <w:color w:val="006100"/>
                <w:sz w:val="18"/>
                <w:szCs w:val="18"/>
              </w:rPr>
              <w:t>Orice investiție în baraje trebuie</w:t>
            </w:r>
            <w:r>
              <w:rPr>
                <w:noProof/>
                <w:color w:val="006100"/>
                <w:sz w:val="18"/>
                <w:szCs w:val="18"/>
              </w:rPr>
              <w:t xml:space="preserve"> să respecte următoarele criterii:</w:t>
            </w:r>
          </w:p>
          <w:p w:rsidR="00780A28" w:rsidRDefault="00780A28">
            <w:pPr>
              <w:spacing w:after="0" w:line="240" w:lineRule="auto"/>
              <w:rPr>
                <w:rFonts w:cs="Calibri"/>
                <w:noProof/>
                <w:color w:val="006100"/>
                <w:sz w:val="18"/>
                <w:szCs w:val="18"/>
              </w:rPr>
            </w:pPr>
          </w:p>
          <w:p w:rsidR="00780A28" w:rsidRDefault="001867D7">
            <w:pPr>
              <w:numPr>
                <w:ilvl w:val="0"/>
                <w:numId w:val="46"/>
              </w:numPr>
              <w:spacing w:before="120" w:after="0" w:line="240" w:lineRule="auto"/>
              <w:ind w:left="349" w:hanging="423"/>
              <w:jc w:val="both"/>
              <w:rPr>
                <w:rFonts w:eastAsia="Times New Roman"/>
                <w:noProof/>
                <w:color w:val="006100"/>
                <w:sz w:val="18"/>
                <w:szCs w:val="18"/>
              </w:rPr>
            </w:pPr>
            <w:r>
              <w:rPr>
                <w:noProof/>
                <w:color w:val="006100"/>
                <w:sz w:val="18"/>
                <w:szCs w:val="18"/>
              </w:rPr>
              <w:t>emisiile de GES pe durata ciclului de viață generate de energia electrică produsă din energie hidroelectrică sunt mai mici de 100g CO2e/kWh. sau densitatea de putere a instalației de producere a energiei electrice este m</w:t>
            </w:r>
            <w:r>
              <w:rPr>
                <w:noProof/>
                <w:color w:val="006100"/>
                <w:sz w:val="18"/>
                <w:szCs w:val="18"/>
              </w:rPr>
              <w:t xml:space="preserve">ai mare de 5 W/m2 și; </w:t>
            </w:r>
          </w:p>
          <w:p w:rsidR="00780A28" w:rsidRDefault="001867D7">
            <w:pPr>
              <w:numPr>
                <w:ilvl w:val="0"/>
                <w:numId w:val="46"/>
              </w:numPr>
              <w:spacing w:before="120" w:after="0" w:line="240" w:lineRule="auto"/>
              <w:ind w:left="349" w:hanging="423"/>
              <w:jc w:val="both"/>
              <w:rPr>
                <w:rFonts w:eastAsia="Times New Roman"/>
                <w:noProof/>
                <w:color w:val="006100"/>
                <w:sz w:val="18"/>
                <w:szCs w:val="18"/>
              </w:rPr>
            </w:pPr>
            <w:r>
              <w:rPr>
                <w:noProof/>
                <w:color w:val="006100"/>
                <w:sz w:val="18"/>
                <w:szCs w:val="18"/>
              </w:rPr>
              <w:t xml:space="preserve">toate măsurile de atenuare fezabile din punct de vedere tehnic și relevante din punct de vedere ecologic au fost sau vor fi puse în aplicare pentru a reduce efectele negative asupra apei și asupra habitatelor și speciilor relevante, </w:t>
            </w:r>
            <w:r>
              <w:rPr>
                <w:noProof/>
                <w:color w:val="006100"/>
                <w:sz w:val="18"/>
                <w:szCs w:val="18"/>
              </w:rPr>
              <w:t>ț</w:t>
            </w:r>
            <w:r>
              <w:rPr>
                <w:noProof/>
                <w:color w:val="006100"/>
                <w:sz w:val="18"/>
                <w:szCs w:val="18"/>
              </w:rPr>
              <w:t xml:space="preserve">inând seama, de asemenea, de impacturile viitoare preconizate ale schimbărilor climatice și de punerea în aplicare a măsurilor de adaptare; și </w:t>
            </w:r>
          </w:p>
          <w:p w:rsidR="00780A28" w:rsidRDefault="001867D7">
            <w:pPr>
              <w:numPr>
                <w:ilvl w:val="0"/>
                <w:numId w:val="46"/>
              </w:numPr>
              <w:spacing w:before="120" w:after="0" w:line="240" w:lineRule="auto"/>
              <w:ind w:left="349" w:hanging="423"/>
              <w:jc w:val="both"/>
              <w:rPr>
                <w:rFonts w:eastAsia="Times New Roman"/>
                <w:noProof/>
                <w:color w:val="006100"/>
                <w:sz w:val="18"/>
                <w:szCs w:val="18"/>
              </w:rPr>
            </w:pPr>
            <w:r>
              <w:rPr>
                <w:noProof/>
                <w:color w:val="006100"/>
                <w:sz w:val="18"/>
                <w:szCs w:val="18"/>
              </w:rPr>
              <w:t xml:space="preserve">pentru un baraj nou construit, să se asigure că acesta nu duce la deteriorarea și nici nu compromite atingerea </w:t>
            </w:r>
            <w:r>
              <w:rPr>
                <w:noProof/>
                <w:color w:val="006100"/>
                <w:sz w:val="18"/>
                <w:szCs w:val="18"/>
              </w:rPr>
              <w:t xml:space="preserve">unei stări bune a corpurilor de apă relevante și conectate; precum și </w:t>
            </w:r>
          </w:p>
          <w:p w:rsidR="00780A28" w:rsidRDefault="001867D7">
            <w:pPr>
              <w:numPr>
                <w:ilvl w:val="0"/>
                <w:numId w:val="46"/>
              </w:numPr>
              <w:spacing w:before="120" w:after="0" w:line="240" w:lineRule="auto"/>
              <w:ind w:left="349" w:hanging="423"/>
              <w:jc w:val="both"/>
              <w:rPr>
                <w:noProof/>
              </w:rPr>
            </w:pPr>
            <w:r>
              <w:rPr>
                <w:noProof/>
                <w:color w:val="006100"/>
                <w:sz w:val="18"/>
                <w:szCs w:val="18"/>
              </w:rPr>
              <w:t xml:space="preserve">au fost explorate și alte alternative posibile la construirea unui baraj, iar autoritățile prezintă motivele pentru care, dacă este cazul, astfel de alternative nu au fost fezabile. </w:t>
            </w:r>
          </w:p>
        </w:tc>
      </w:tr>
      <w:tr w:rsidR="00780A28">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313</w:t>
            </w:r>
          </w:p>
        </w:tc>
        <w:tc>
          <w:tcPr>
            <w:tcW w:w="183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17 - 4.6. Modernizarea și îmbunătățirea rezilienței sectoarelor economice cheie — 16653_Transformarea digitală a sectorului agroalimentar</w:t>
            </w:r>
          </w:p>
        </w:tc>
        <w:tc>
          <w:tcPr>
            <w:tcW w:w="158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6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Finalizarea proiectului de transformare digitală a agriculturii</w:t>
            </w:r>
          </w:p>
        </w:tc>
        <w:tc>
          <w:tcPr>
            <w:tcW w:w="170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Raport de completare. Servicii digitale în</w:t>
            </w:r>
            <w:r>
              <w:rPr>
                <w:noProof/>
                <w:color w:val="006100"/>
                <w:sz w:val="18"/>
                <w:szCs w:val="18"/>
              </w:rPr>
              <w:t xml:space="preserve"> domeniul agriculturii orientate spre exterior, încorporate în platforma Easy Agro Expo.</w:t>
            </w:r>
          </w:p>
        </w:tc>
        <w:tc>
          <w:tcPr>
            <w:tcW w:w="899"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Q2</w:t>
            </w:r>
          </w:p>
        </w:tc>
        <w:tc>
          <w:tcPr>
            <w:tcW w:w="68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2025 </w:t>
            </w:r>
          </w:p>
        </w:tc>
        <w:tc>
          <w:tcPr>
            <w:tcW w:w="433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noProof/>
                <w:color w:val="006100"/>
                <w:sz w:val="18"/>
                <w:szCs w:val="18"/>
              </w:rPr>
            </w:pPr>
            <w:r>
              <w:rPr>
                <w:noProof/>
                <w:color w:val="006100"/>
                <w:sz w:val="18"/>
                <w:szCs w:val="18"/>
              </w:rPr>
              <w:t>Finalizarea celor două componente:</w:t>
            </w:r>
          </w:p>
          <w:p w:rsidR="00780A28" w:rsidRDefault="001867D7">
            <w:pPr>
              <w:numPr>
                <w:ilvl w:val="0"/>
                <w:numId w:val="57"/>
              </w:numPr>
              <w:spacing w:before="120" w:after="0" w:line="259" w:lineRule="auto"/>
              <w:ind w:left="476"/>
              <w:contextualSpacing/>
              <w:jc w:val="both"/>
              <w:rPr>
                <w:noProof/>
                <w:color w:val="006100"/>
                <w:sz w:val="18"/>
                <w:szCs w:val="18"/>
              </w:rPr>
            </w:pPr>
            <w:r>
              <w:rPr>
                <w:noProof/>
                <w:color w:val="006100"/>
                <w:sz w:val="18"/>
                <w:szCs w:val="18"/>
              </w:rPr>
              <w:t xml:space="preserve">Transformarea digitală a sectorului agricol, care include dezvoltarea unei infrastructuri agricole digitale deschise la </w:t>
            </w:r>
            <w:r>
              <w:rPr>
                <w:noProof/>
                <w:color w:val="006100"/>
                <w:sz w:val="18"/>
                <w:szCs w:val="18"/>
              </w:rPr>
              <w:t xml:space="preserve">scară largă, cu infrastructură de </w:t>
            </w:r>
            <w:r>
              <w:rPr>
                <w:i/>
                <w:noProof/>
                <w:color w:val="006100"/>
                <w:sz w:val="18"/>
                <w:szCs w:val="18"/>
              </w:rPr>
              <w:t>cloud computing</w:t>
            </w:r>
            <w:r>
              <w:rPr>
                <w:noProof/>
                <w:color w:val="006100"/>
                <w:sz w:val="18"/>
                <w:szCs w:val="18"/>
              </w:rPr>
              <w:t xml:space="preserve"> (</w:t>
            </w:r>
            <w:r>
              <w:rPr>
                <w:i/>
                <w:noProof/>
                <w:color w:val="006100"/>
                <w:sz w:val="18"/>
                <w:szCs w:val="18"/>
              </w:rPr>
              <w:t>edge computing</w:t>
            </w:r>
            <w:r>
              <w:rPr>
                <w:noProof/>
                <w:color w:val="006100"/>
                <w:sz w:val="18"/>
                <w:szCs w:val="18"/>
              </w:rPr>
              <w:t xml:space="preserve">) și capacități de prelucrare la scară largă a datelor de observare a Pământului (satelit și aeriene/drone) și a tehnologiilor multidisciplinare; </w:t>
            </w:r>
          </w:p>
          <w:p w:rsidR="00780A28" w:rsidRDefault="001867D7">
            <w:pPr>
              <w:numPr>
                <w:ilvl w:val="0"/>
                <w:numId w:val="57"/>
              </w:numPr>
              <w:spacing w:before="120" w:after="0" w:line="259" w:lineRule="auto"/>
              <w:ind w:left="476"/>
              <w:contextualSpacing/>
              <w:jc w:val="both"/>
              <w:rPr>
                <w:rFonts w:eastAsia="Times New Roman"/>
                <w:noProof/>
                <w:color w:val="006100"/>
                <w:sz w:val="18"/>
                <w:szCs w:val="18"/>
              </w:rPr>
            </w:pPr>
            <w:r>
              <w:rPr>
                <w:noProof/>
                <w:color w:val="006100"/>
                <w:sz w:val="18"/>
                <w:szCs w:val="18"/>
              </w:rPr>
              <w:t xml:space="preserve">Agricultură orientată spre exterior, care </w:t>
            </w:r>
            <w:r>
              <w:rPr>
                <w:noProof/>
                <w:color w:val="006100"/>
                <w:sz w:val="18"/>
                <w:szCs w:val="18"/>
              </w:rPr>
              <w:t>include îmbunătățirea platformei Easy Agro Expo pentru eliberarea certificatelor de export, dezvoltarea unui sistem de gestionare a datelor privind importurile și comerțul intracomunitar, dezvoltarea unui sistem de informații comerciale pentru importuri și</w:t>
            </w:r>
            <w:r>
              <w:rPr>
                <w:noProof/>
                <w:color w:val="006100"/>
                <w:sz w:val="18"/>
                <w:szCs w:val="18"/>
              </w:rPr>
              <w:t xml:space="preserve"> exporturi și modernizarea portalului de promovare a produselor agricole din Grecia.</w:t>
            </w:r>
          </w:p>
        </w:tc>
      </w:tr>
      <w:tr w:rsidR="00780A28">
        <w:trPr>
          <w:trHeight w:val="309"/>
          <w:jc w:val="center"/>
        </w:trPr>
        <w:tc>
          <w:tcPr>
            <w:tcW w:w="1252"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314</w:t>
            </w:r>
          </w:p>
        </w:tc>
        <w:tc>
          <w:tcPr>
            <w:tcW w:w="1832"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17 - 4.6. Modernizarea și îmbunătățirea rezilienței sectoarelor economice cheie — 16626_Transformarea economică a sectorului agricol</w:t>
            </w:r>
          </w:p>
        </w:tc>
        <w:tc>
          <w:tcPr>
            <w:tcW w:w="158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 Jalon</w:t>
            </w:r>
          </w:p>
        </w:tc>
        <w:tc>
          <w:tcPr>
            <w:tcW w:w="136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Finalizarea transformării</w:t>
            </w:r>
            <w:r>
              <w:rPr>
                <w:noProof/>
                <w:color w:val="006100"/>
                <w:sz w:val="18"/>
                <w:szCs w:val="18"/>
              </w:rPr>
              <w:t xml:space="preserve"> economice a agriculturii</w:t>
            </w:r>
          </w:p>
        </w:tc>
        <w:tc>
          <w:tcPr>
            <w:tcW w:w="170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Închiderea proiectului cu emiterea de certificate de audit furnizate de beneficiari, aprobate de Ministerul Dezvoltării Rurale.</w:t>
            </w:r>
          </w:p>
        </w:tc>
        <w:tc>
          <w:tcPr>
            <w:tcW w:w="899"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noProof/>
                <w:color w:val="006100"/>
                <w:sz w:val="18"/>
                <w:szCs w:val="18"/>
                <w:lang w:eastAsia="en-GB"/>
              </w:rPr>
            </w:pPr>
          </w:p>
        </w:tc>
        <w:tc>
          <w:tcPr>
            <w:tcW w:w="851"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noProof/>
                <w:color w:val="006100"/>
                <w:sz w:val="18"/>
                <w:szCs w:val="18"/>
                <w:lang w:eastAsia="en-GB"/>
              </w:rPr>
            </w:pPr>
          </w:p>
        </w:tc>
        <w:tc>
          <w:tcPr>
            <w:tcW w:w="561"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noProof/>
                <w:color w:val="006100"/>
                <w:sz w:val="18"/>
                <w:szCs w:val="18"/>
                <w:lang w:eastAsia="en-GB"/>
              </w:rPr>
            </w:pPr>
          </w:p>
        </w:tc>
        <w:tc>
          <w:tcPr>
            <w:tcW w:w="824"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8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noProof/>
                <w:color w:val="006100"/>
                <w:sz w:val="18"/>
                <w:szCs w:val="18"/>
              </w:rPr>
            </w:pPr>
            <w:r>
              <w:rPr>
                <w:noProof/>
                <w:color w:val="006100"/>
                <w:sz w:val="18"/>
                <w:szCs w:val="18"/>
              </w:rPr>
              <w:t>2025</w:t>
            </w:r>
          </w:p>
        </w:tc>
        <w:tc>
          <w:tcPr>
            <w:tcW w:w="4332" w:type="dxa"/>
            <w:tcBorders>
              <w:top w:val="nil"/>
              <w:left w:val="nil"/>
              <w:bottom w:val="single" w:sz="4" w:space="0" w:color="auto"/>
              <w:right w:val="single" w:sz="4" w:space="0" w:color="auto"/>
            </w:tcBorders>
            <w:shd w:val="clear" w:color="auto" w:fill="C6EFCE"/>
            <w:noWrap/>
            <w:hideMark/>
          </w:tcPr>
          <w:p w:rsidR="00780A28" w:rsidRDefault="001867D7">
            <w:pPr>
              <w:spacing w:before="120" w:after="0" w:line="240" w:lineRule="auto"/>
              <w:jc w:val="both"/>
              <w:rPr>
                <w:noProof/>
                <w:color w:val="006100"/>
                <w:sz w:val="18"/>
                <w:szCs w:val="18"/>
              </w:rPr>
            </w:pPr>
            <w:r>
              <w:rPr>
                <w:noProof/>
                <w:color w:val="006100"/>
                <w:sz w:val="18"/>
                <w:szCs w:val="18"/>
              </w:rPr>
              <w:t>Transformarea economică a sectorului agricol: Închiderea financiară a tuturor componentelor</w:t>
            </w:r>
            <w:r>
              <w:rPr>
                <w:noProof/>
                <w:color w:val="006100"/>
                <w:sz w:val="18"/>
                <w:szCs w:val="18"/>
              </w:rPr>
              <w:t xml:space="preserve">: </w:t>
            </w:r>
          </w:p>
          <w:p w:rsidR="00780A28" w:rsidRDefault="001867D7">
            <w:pPr>
              <w:spacing w:after="0" w:line="259" w:lineRule="auto"/>
              <w:ind w:left="334"/>
              <w:contextualSpacing/>
              <w:rPr>
                <w:noProof/>
                <w:color w:val="006100"/>
                <w:sz w:val="18"/>
                <w:szCs w:val="18"/>
              </w:rPr>
            </w:pPr>
            <w:r>
              <w:rPr>
                <w:noProof/>
                <w:color w:val="006100"/>
                <w:sz w:val="18"/>
                <w:szCs w:val="18"/>
              </w:rPr>
              <w:t>1. Inovarea și tranziția ecologică în ceea ce privește prelucrarea produselor agricole</w:t>
            </w:r>
          </w:p>
          <w:p w:rsidR="00780A28" w:rsidRDefault="001867D7">
            <w:pPr>
              <w:spacing w:after="0" w:line="259" w:lineRule="auto"/>
              <w:ind w:left="334"/>
              <w:contextualSpacing/>
              <w:rPr>
                <w:noProof/>
                <w:color w:val="006100"/>
                <w:sz w:val="18"/>
                <w:szCs w:val="18"/>
              </w:rPr>
            </w:pPr>
            <w:r>
              <w:rPr>
                <w:noProof/>
                <w:color w:val="006100"/>
                <w:sz w:val="18"/>
                <w:szCs w:val="18"/>
              </w:rPr>
              <w:t>2. Modernizarea sectorului primar</w:t>
            </w:r>
          </w:p>
          <w:p w:rsidR="00780A28" w:rsidRDefault="001867D7">
            <w:pPr>
              <w:spacing w:after="0" w:line="259" w:lineRule="auto"/>
              <w:ind w:left="334"/>
              <w:contextualSpacing/>
              <w:rPr>
                <w:noProof/>
                <w:color w:val="006100"/>
                <w:sz w:val="18"/>
                <w:szCs w:val="18"/>
              </w:rPr>
            </w:pPr>
            <w:r>
              <w:rPr>
                <w:noProof/>
                <w:color w:val="006100"/>
                <w:sz w:val="18"/>
                <w:szCs w:val="18"/>
              </w:rPr>
              <w:t>3. Turismul rural ecologic</w:t>
            </w:r>
          </w:p>
          <w:p w:rsidR="00780A28" w:rsidRDefault="001867D7">
            <w:pPr>
              <w:spacing w:after="0" w:line="259" w:lineRule="auto"/>
              <w:ind w:left="334"/>
              <w:contextualSpacing/>
              <w:rPr>
                <w:noProof/>
                <w:color w:val="006100"/>
                <w:sz w:val="18"/>
                <w:szCs w:val="18"/>
              </w:rPr>
            </w:pPr>
            <w:r>
              <w:rPr>
                <w:noProof/>
                <w:color w:val="006100"/>
                <w:sz w:val="18"/>
                <w:szCs w:val="18"/>
              </w:rPr>
              <w:t>4. Restructurarea culturilor</w:t>
            </w:r>
          </w:p>
          <w:p w:rsidR="00780A28" w:rsidRDefault="001867D7">
            <w:pPr>
              <w:spacing w:after="0" w:line="259" w:lineRule="auto"/>
              <w:ind w:left="334"/>
              <w:contextualSpacing/>
              <w:rPr>
                <w:noProof/>
                <w:sz w:val="18"/>
                <w:szCs w:val="18"/>
              </w:rPr>
            </w:pPr>
            <w:r>
              <w:rPr>
                <w:noProof/>
                <w:color w:val="006100"/>
                <w:sz w:val="18"/>
                <w:szCs w:val="18"/>
              </w:rPr>
              <w:t>5. Ameliorarea genetică a animalelor</w:t>
            </w:r>
          </w:p>
        </w:tc>
      </w:tr>
      <w:tr w:rsidR="00780A28">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315</w:t>
            </w:r>
          </w:p>
        </w:tc>
        <w:tc>
          <w:tcPr>
            <w:tcW w:w="18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17 - 4.6. Modernizarea și </w:t>
            </w:r>
            <w:r>
              <w:rPr>
                <w:noProof/>
                <w:color w:val="006100"/>
                <w:sz w:val="18"/>
                <w:szCs w:val="18"/>
              </w:rPr>
              <w:t>îmbunătățirea rezilienței sectoarelor economice cheie — 16584_Propuneri de acțiuni în sectorul acvaculturii</w:t>
            </w:r>
          </w:p>
        </w:tc>
        <w:tc>
          <w:tcPr>
            <w:tcW w:w="15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3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Cultură acvatică finalizată</w:t>
            </w:r>
          </w:p>
        </w:tc>
        <w:tc>
          <w:tcPr>
            <w:tcW w:w="170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Raport de completare.</w:t>
            </w:r>
          </w:p>
        </w:tc>
        <w:tc>
          <w:tcPr>
            <w:tcW w:w="899" w:type="dxa"/>
            <w:tcBorders>
              <w:top w:val="single" w:sz="4" w:space="0" w:color="auto"/>
              <w:left w:val="nil"/>
              <w:bottom w:val="single" w:sz="4" w:space="0" w:color="auto"/>
              <w:right w:val="single" w:sz="4" w:space="0" w:color="auto"/>
            </w:tcBorders>
            <w:shd w:val="clear" w:color="auto" w:fill="C6EFCE"/>
            <w:noWrap/>
          </w:tcPr>
          <w:p w:rsidR="00780A28" w:rsidRDefault="00780A28">
            <w:pPr>
              <w:spacing w:before="120"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56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8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8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2025</w:t>
            </w:r>
          </w:p>
        </w:tc>
        <w:tc>
          <w:tcPr>
            <w:tcW w:w="43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 xml:space="preserve">Acvacultură: Toate acțiunile finalizate, care includ modernizarea unităților de </w:t>
            </w:r>
            <w:r>
              <w:rPr>
                <w:noProof/>
                <w:color w:val="006100"/>
                <w:sz w:val="18"/>
                <w:szCs w:val="18"/>
              </w:rPr>
              <w:t>producție, a echipamentelor, a echipamentelor de gestionare a deșeurilor, a noilor tehnologii și TIC, promovarea de noi produse, transferul de know-how, banca de material genetic, consultanță de specialitate.</w:t>
            </w:r>
          </w:p>
        </w:tc>
      </w:tr>
      <w:tr w:rsidR="00780A28">
        <w:trPr>
          <w:trHeight w:val="309"/>
          <w:jc w:val="center"/>
        </w:trPr>
        <w:tc>
          <w:tcPr>
            <w:tcW w:w="1252"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316</w:t>
            </w:r>
          </w:p>
        </w:tc>
        <w:tc>
          <w:tcPr>
            <w:tcW w:w="18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4 - 1.4. Utilizarea durabilă a resurselor,</w:t>
            </w:r>
            <w:r>
              <w:rPr>
                <w:noProof/>
                <w:color w:val="006100"/>
                <w:sz w:val="18"/>
                <w:szCs w:val="18"/>
              </w:rPr>
              <w:t xml:space="preserve"> reziliența la schimbările climatice și protecția mediului — 16285_Investiții în rețeaua națională de irigații prin intermediul programelor PPP</w:t>
            </w:r>
          </w:p>
        </w:tc>
        <w:tc>
          <w:tcPr>
            <w:tcW w:w="15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36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Finalizarea irigării</w:t>
            </w:r>
          </w:p>
        </w:tc>
        <w:tc>
          <w:tcPr>
            <w:tcW w:w="170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Finalizarea proiectului conform certificatului de inginer independent aprobat de Mini</w:t>
            </w:r>
            <w:r>
              <w:rPr>
                <w:noProof/>
                <w:color w:val="006100"/>
                <w:sz w:val="18"/>
                <w:szCs w:val="18"/>
              </w:rPr>
              <w:t>sterul Dezvoltării Rurale.</w:t>
            </w:r>
          </w:p>
        </w:tc>
        <w:tc>
          <w:tcPr>
            <w:tcW w:w="899"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5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561"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noProof/>
                <w:color w:val="006100"/>
                <w:sz w:val="18"/>
                <w:szCs w:val="18"/>
                <w:lang w:eastAsia="en-GB"/>
              </w:rPr>
            </w:pPr>
          </w:p>
        </w:tc>
        <w:tc>
          <w:tcPr>
            <w:tcW w:w="82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Q4</w:t>
            </w:r>
          </w:p>
        </w:tc>
        <w:tc>
          <w:tcPr>
            <w:tcW w:w="68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2025</w:t>
            </w:r>
          </w:p>
        </w:tc>
        <w:tc>
          <w:tcPr>
            <w:tcW w:w="43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noProof/>
                <w:color w:val="006100"/>
                <w:sz w:val="18"/>
                <w:szCs w:val="18"/>
              </w:rPr>
            </w:pPr>
            <w:r>
              <w:rPr>
                <w:noProof/>
                <w:color w:val="006100"/>
                <w:sz w:val="18"/>
                <w:szCs w:val="18"/>
              </w:rPr>
              <w:t>Irigarea: Toate cele 18 proiecte finalizate și operaționale.</w:t>
            </w:r>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87"/>
          <w:headerReference w:type="default" r:id="rId288"/>
          <w:footerReference w:type="even" r:id="rId289"/>
          <w:footerReference w:type="default" r:id="rId290"/>
          <w:headerReference w:type="first" r:id="rId291"/>
          <w:footerReference w:type="first" r:id="rId292"/>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 xml:space="preserve">R. COMPONENTA 4.7: ÎMBUNĂTĂȚIREA COMPETITIVITĂȚII ȘI PROMOVAREA INVESTIȚIILOR PRIVATE ȘI A </w:t>
      </w:r>
      <w:r>
        <w:rPr>
          <w:rFonts w:ascii="Times New Roman" w:hAnsi="Times New Roman"/>
          <w:b/>
          <w:bCs/>
          <w:noProof/>
          <w:sz w:val="24"/>
        </w:rPr>
        <w:t>EXPORTURILOR</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Această componentă a planului de redresare și reziliență al Greciei urmărește să stimuleze investițiile private și să sporească expansiunea economică prin abordarea problemelor structurale pe termen lung și prin crearea unui mediu de afaceri f</w:t>
      </w:r>
      <w:r>
        <w:rPr>
          <w:rFonts w:ascii="Times New Roman" w:hAnsi="Times New Roman"/>
          <w:noProof/>
          <w:sz w:val="24"/>
        </w:rPr>
        <w:t>avorabil dezvoltării activității economice. Acesta constă în măsuri menite să încurajeze creșterea dimensiunii întreprinderilor pentru a realiza economii de scară și pentru a le ajuta să pătrundă pe piețele străine, să elimine sarcinile administrative exce</w:t>
      </w:r>
      <w:r>
        <w:rPr>
          <w:rFonts w:ascii="Times New Roman" w:hAnsi="Times New Roman"/>
          <w:noProof/>
          <w:sz w:val="24"/>
        </w:rPr>
        <w:t>sive pentru întreprinderi, să promoveze conformitatea și condiții de concurență echitabile printr-o supraveghere eficace a pieței și să creeze un cadru de reglementare mai simplu și mai previzibil. Aceste măsuri sunt completate de propunerea de a utiliza s</w:t>
      </w:r>
      <w:r>
        <w:rPr>
          <w:rFonts w:ascii="Times New Roman" w:hAnsi="Times New Roman"/>
          <w:noProof/>
          <w:sz w:val="24"/>
        </w:rPr>
        <w:t>prijinul sub formă de împrumuturi în cadrul Mecanismului de redresare și reziliență pentru a facilita furnizarea de stimulente financiare pentru sectorul privat, cu scopul de a promova investițiile private. Se preconizează că acest sprijin sub formă de împ</w:t>
      </w:r>
      <w:r>
        <w:rPr>
          <w:rFonts w:ascii="Times New Roman" w:hAnsi="Times New Roman"/>
          <w:noProof/>
          <w:sz w:val="24"/>
        </w:rPr>
        <w:t>rumut va fi canalizat către economie prin trei canale diferite, și anume instituțiile financiare (prin achiziții de obligațiuni corporative sau împrumuturi sindicalizate), o platformă de capitaluri proprii și utilizarea unei părți a compartimentului națion</w:t>
      </w:r>
      <w:r>
        <w:rPr>
          <w:rFonts w:ascii="Times New Roman" w:hAnsi="Times New Roman"/>
          <w:noProof/>
          <w:sz w:val="24"/>
        </w:rPr>
        <w:t>al InvestEU al Greciei. Componenta sprijină abordarea recomandării specifice fiecărei țări privind investițiile publice și private (recomandarea specifică fiecărei țări 3 2020 și recomandarea specifică fiecărei țări 2 2019). Este de așteptat ca nicio măsur</w:t>
      </w:r>
      <w:r>
        <w:rPr>
          <w:rFonts w:ascii="Times New Roman" w:hAnsi="Times New Roman"/>
          <w:noProof/>
          <w:sz w:val="24"/>
        </w:rPr>
        <w:t xml:space="preserve">ă din cadrul acestei componente să nu afecteze în mod semnificativ obiectivele de mediu în sensul articolului 17 din Regulamentul (UE) 2020/852, ținând seama de descrierea măsurilor și a măsurilor de atenuare stabilite în planul de redresare și reziliență </w:t>
      </w:r>
      <w:r>
        <w:rPr>
          <w:rFonts w:ascii="Times New Roman" w:hAnsi="Times New Roman"/>
          <w:noProof/>
          <w:sz w:val="24"/>
        </w:rPr>
        <w:t>în conformitate cu Orientările tehnice bazate pe principiul de „a nu aduce prejudicii semnificative” (2021/C58/01).</w:t>
      </w:r>
    </w:p>
    <w:p w:rsidR="00780A28" w:rsidRDefault="001867D7">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R.1.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Acțiuni de simp</w:t>
      </w:r>
      <w:r>
        <w:rPr>
          <w:rFonts w:ascii="Times New Roman" w:hAnsi="Times New Roman"/>
          <w:noProof/>
          <w:sz w:val="24"/>
        </w:rPr>
        <w:t>lificare a mediului de afaceri și de îmbunătățire a calității și siguranței acestuia (numărul de identificare al măsurii:16543)</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vizează crearea unui mediu de afaceri atractiv, favorabil investițiilor, facilitarea intrării pe piață a întreprinderilo</w:t>
      </w:r>
      <w:r>
        <w:rPr>
          <w:rFonts w:ascii="Times New Roman" w:hAnsi="Times New Roman"/>
          <w:noProof/>
          <w:sz w:val="24"/>
        </w:rPr>
        <w:t>r și crearea de locuri de muncă, precum și asigurarea unei supravegheri eficiente a pieței. Reforma cuprinde un set de acțiuni menite să simplifice procedurile și cerințele legate de activitatea economică, îmbunătățind în același timp securitatea și calita</w:t>
      </w:r>
      <w:r>
        <w:rPr>
          <w:rFonts w:ascii="Times New Roman" w:hAnsi="Times New Roman"/>
          <w:noProof/>
          <w:sz w:val="24"/>
        </w:rPr>
        <w:t>tea în materie de reglementare, și anume prin extinderea simplificării procedurilor de acordare a licențelor pentru investiții la activități economice suplimentare, prin revizuirea cadrului legislativ pentru desfășurarea activității de producție în regiune</w:t>
      </w:r>
      <w:r>
        <w:rPr>
          <w:rFonts w:ascii="Times New Roman" w:hAnsi="Times New Roman"/>
          <w:noProof/>
          <w:sz w:val="24"/>
        </w:rPr>
        <w:t>a Attica și prin codificarea legislației fragmentate în materie de acordare a licențelor. Reforma cuprinde, de asemenea, acțiuni de îmbunătățire a cadrului de supraveghere a pieței, și anume prin revizuirea politicii de calitate privind standardizarea, acr</w:t>
      </w:r>
      <w:r>
        <w:rPr>
          <w:rFonts w:ascii="Times New Roman" w:hAnsi="Times New Roman"/>
          <w:noProof/>
          <w:sz w:val="24"/>
        </w:rPr>
        <w:t>editarea și conformitatea, prin consolidarea structurilor de supraveghere a pieței și a autorităților responsabile și prin extinderea cadrului de supraveghere la noi domenii de inspecție. Implementarea reformei trebuie finalizată până la 31 decembrie 2025.</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Reforma:</w:t>
      </w:r>
      <w:r>
        <w:rPr>
          <w:rFonts w:ascii="Times New Roman" w:hAnsi="Times New Roman"/>
          <w:noProof/>
          <w:sz w:val="24"/>
        </w:rPr>
        <w:t xml:space="preserve"> Ușurința de a desfășura o activitate comercială (numărul de identificare al măsurii:16591)</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vizează îmbunătățirea mediului de afaceri și reducerea sarcinii administrative și de reglementare pentru întreprinderi. Reforma vizează, de asemene</w:t>
      </w:r>
      <w:r>
        <w:rPr>
          <w:rFonts w:ascii="Times New Roman" w:hAnsi="Times New Roman"/>
          <w:noProof/>
          <w:sz w:val="24"/>
        </w:rPr>
        <w:t>a, îmbunătățirea poziției Greciei în clasamentul indicatorilor internaționali, în special al Băncii Mondiale Doing Business, și anume obținerea de credite, obținerea de energie electrică, înregistrarea proprietăților și obținerea unei autorizații de constr</w:t>
      </w:r>
      <w:r>
        <w:rPr>
          <w:rFonts w:ascii="Times New Roman" w:hAnsi="Times New Roman"/>
          <w:noProof/>
          <w:sz w:val="24"/>
        </w:rPr>
        <w:t>ucție, prin reducerea procedurilor, a timpului și a costurilor și prin asigurarea unui cadru legislativ stabil și previzibil. Mai precis, acesta cuprinde o serie de intervenții menite să reducă complexitatea proceselor, costurile și timpul implicate în fie</w:t>
      </w:r>
      <w:r>
        <w:rPr>
          <w:rFonts w:ascii="Times New Roman" w:hAnsi="Times New Roman"/>
          <w:noProof/>
          <w:sz w:val="24"/>
        </w:rPr>
        <w:t>care dintre domeniile menționate mai sus, precum și formarea personalului din sectorul public implicat în astfel de procese și activități de informare a principalelor părți interesate. Implementarea reformei trebuie finalizată până la 30 iunie 2024.</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noProof/>
          <w:sz w:val="24"/>
        </w:rPr>
        <w:t>Reform</w:t>
      </w:r>
      <w:r>
        <w:rPr>
          <w:rFonts w:ascii="Times New Roman" w:hAnsi="Times New Roman"/>
          <w:b/>
          <w:noProof/>
          <w:sz w:val="24"/>
        </w:rPr>
        <w:t>a:</w:t>
      </w:r>
      <w:r>
        <w:rPr>
          <w:rFonts w:ascii="Times New Roman" w:hAnsi="Times New Roman"/>
          <w:noProof/>
          <w:sz w:val="24"/>
        </w:rPr>
        <w:t xml:space="preserve"> Regimul de stimulare a productivității și a extinderii întreprinderilor (creșterea dimensiunii întreprinderilor) (numărul de identificare al măsurii:16598)</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Reforma vizează abordarea deficiențelor asociate cu dimensiunea predominant redusă a întreprinder</w:t>
      </w:r>
      <w:r>
        <w:rPr>
          <w:rFonts w:ascii="Times New Roman" w:hAnsi="Times New Roman"/>
          <w:noProof/>
          <w:sz w:val="24"/>
        </w:rPr>
        <w:t>ilor elene. Aceasta creează o gamă largă de stimulente fiscale și de altă natură pentru a încuraja persoanele care desfășoară o activitate independentă și microîntreprinderile și întreprinderile mici și mijlocii să crească economiile de scară prin fuziuni,</w:t>
      </w:r>
      <w:r>
        <w:rPr>
          <w:rFonts w:ascii="Times New Roman" w:hAnsi="Times New Roman"/>
          <w:noProof/>
          <w:sz w:val="24"/>
        </w:rPr>
        <w:t xml:space="preserve"> transformări, achiziții și sisteme și platforme de cooperare, cum ar fi întreprinderile comune, clusterele, care promovează, de asemenea, o productivitate mai mare și creșterea exporturilor. Implementarea reformei trebuie finalizată până la 31 martie 2022</w:t>
      </w:r>
      <w:r>
        <w:rPr>
          <w:rFonts w:ascii="Times New Roman" w:hAnsi="Times New Roman"/>
          <w:noProof/>
          <w:sz w:val="24"/>
        </w:rPr>
        <w:t>.</w:t>
      </w:r>
    </w:p>
    <w:p w:rsidR="00780A28" w:rsidRDefault="001867D7">
      <w:pPr>
        <w:spacing w:before="120" w:after="120" w:line="240" w:lineRule="auto"/>
        <w:ind w:left="709"/>
        <w:jc w:val="both"/>
        <w:rPr>
          <w:rFonts w:ascii="Times New Roman" w:hAnsi="Times New Roman" w:cs="Times New Roman"/>
          <w:noProof/>
          <w:sz w:val="24"/>
        </w:rPr>
      </w:pPr>
      <w:r>
        <w:rPr>
          <w:rFonts w:ascii="Times New Roman" w:hAnsi="Times New Roman"/>
          <w:i/>
          <w:iCs/>
          <w:noProof/>
          <w:color w:val="4F81BD"/>
          <w:sz w:val="24"/>
        </w:rPr>
        <w:t>.</w:t>
      </w: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93"/>
          <w:headerReference w:type="default" r:id="rId294"/>
          <w:footerReference w:type="even" r:id="rId295"/>
          <w:footerReference w:type="default" r:id="rId296"/>
          <w:headerReference w:type="first" r:id="rId297"/>
          <w:footerReference w:type="first" r:id="rId298"/>
          <w:pgSz w:w="11907" w:h="16839"/>
          <w:pgMar w:top="1134" w:right="1417" w:bottom="1134" w:left="1417" w:header="709" w:footer="709" w:gutter="0"/>
          <w:cols w:space="720"/>
          <w:docGrid w:linePitch="360"/>
        </w:sectPr>
      </w:pPr>
    </w:p>
    <w:p w:rsidR="00780A28" w:rsidRDefault="001867D7">
      <w:pPr>
        <w:spacing w:before="120" w:after="120" w:line="240" w:lineRule="auto"/>
        <w:ind w:left="709"/>
        <w:jc w:val="both"/>
        <w:rPr>
          <w:rFonts w:ascii="Times New Roman" w:hAnsi="Times New Roman" w:cs="Times New Roman"/>
          <w:b/>
          <w:noProof/>
          <w:sz w:val="24"/>
          <w:u w:val="single"/>
        </w:rPr>
      </w:pPr>
      <w:r>
        <w:rPr>
          <w:rFonts w:ascii="Times New Roman" w:hAnsi="Times New Roman"/>
          <w:b/>
          <w:bCs/>
          <w:noProof/>
          <w:sz w:val="24"/>
          <w:u w:val="single"/>
        </w:rPr>
        <w:t xml:space="preserve">R.2.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p>
    <w:p w:rsidR="00780A28" w:rsidRDefault="00780A28">
      <w:pPr>
        <w:keepNext/>
        <w:keepLines/>
        <w:spacing w:before="40" w:after="0" w:line="240" w:lineRule="auto"/>
        <w:jc w:val="both"/>
        <w:outlineLvl w:val="4"/>
        <w:rPr>
          <w:rFonts w:ascii="Cambria" w:eastAsia="Times New Roman" w:hAnsi="Cambria"/>
          <w:noProof/>
          <w:color w:val="365F91"/>
          <w:sz w:val="24"/>
        </w:rPr>
      </w:pPr>
    </w:p>
    <w:p w:rsidR="00780A28" w:rsidRDefault="001867D7">
      <w:pPr>
        <w:keepNext/>
        <w:keepLines/>
        <w:spacing w:before="40" w:after="0" w:line="240" w:lineRule="auto"/>
        <w:jc w:val="both"/>
        <w:outlineLvl w:val="4"/>
        <w:rPr>
          <w:rFonts w:ascii="Cambria" w:eastAsia="Times New Roman" w:hAnsi="Cambria"/>
          <w:noProof/>
          <w:color w:val="365F91"/>
          <w:sz w:val="24"/>
          <w:szCs w:val="24"/>
        </w:rPr>
      </w:pPr>
      <w:r>
        <w:rPr>
          <w:rFonts w:ascii="Cambria" w:hAnsi="Cambria"/>
          <w:noProof/>
          <w:color w:val="365F91"/>
          <w:sz w:val="24"/>
        </w:rPr>
        <w:t xml:space="preserve">Reforma esențială 10: Acțiuni de simplificare a mediului de afaceri </w:t>
      </w:r>
      <w:r>
        <w:rPr>
          <w:rFonts w:ascii="Cambria" w:hAnsi="Cambria"/>
          <w:noProof/>
          <w:color w:val="365F91"/>
          <w:sz w:val="24"/>
        </w:rPr>
        <w:t>ș</w:t>
      </w:r>
      <w:r>
        <w:rPr>
          <w:rFonts w:ascii="Cambria" w:hAnsi="Cambria"/>
          <w:noProof/>
          <w:color w:val="365F91"/>
          <w:sz w:val="24"/>
        </w:rPr>
        <w:t>i de îmbunătățire a calității și siguranței acestuia — Etapa de a desfășura activități comerciale</w:t>
      </w:r>
    </w:p>
    <w:tbl>
      <w:tblPr>
        <w:tblW w:w="15502" w:type="dxa"/>
        <w:tblInd w:w="113" w:type="dxa"/>
        <w:tblLook w:val="04A0" w:firstRow="1" w:lastRow="0" w:firstColumn="1" w:lastColumn="0" w:noHBand="0" w:noVBand="1"/>
      </w:tblPr>
      <w:tblGrid>
        <w:gridCol w:w="1111"/>
        <w:gridCol w:w="1330"/>
        <w:gridCol w:w="1167"/>
        <w:gridCol w:w="1483"/>
        <w:gridCol w:w="1662"/>
        <w:gridCol w:w="802"/>
        <w:gridCol w:w="1058"/>
        <w:gridCol w:w="866"/>
        <w:gridCol w:w="970"/>
        <w:gridCol w:w="696"/>
        <w:gridCol w:w="4357"/>
      </w:tblGrid>
      <w:tr w:rsidR="00780A28">
        <w:trPr>
          <w:trHeight w:val="927"/>
          <w:tblHeader/>
        </w:trPr>
        <w:tc>
          <w:tcPr>
            <w:tcW w:w="111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Număr secvențial</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Măsură conexă (reformă sau investiție)</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Jalon/Țintă</w:t>
            </w:r>
          </w:p>
        </w:tc>
        <w:tc>
          <w:tcPr>
            <w:tcW w:w="1484"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Nume</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calitativi (pentru jaloane)</w:t>
            </w:r>
          </w:p>
        </w:tc>
        <w:tc>
          <w:tcPr>
            <w:tcW w:w="2724"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Indicatori cantitativi (pentru ținte)</w:t>
            </w:r>
          </w:p>
        </w:tc>
        <w:tc>
          <w:tcPr>
            <w:tcW w:w="1666"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Calenda</w:t>
            </w:r>
            <w:r>
              <w:rPr>
                <w:rFonts w:ascii="Times New Roman" w:hAnsi="Times New Roman"/>
                <w:b/>
                <w:bCs/>
                <w:noProof/>
                <w:sz w:val="18"/>
                <w:szCs w:val="18"/>
              </w:rPr>
              <w:t xml:space="preserve">r orientativ pentru atingerea jaloanelor/țintelor </w:t>
            </w:r>
          </w:p>
        </w:tc>
        <w:tc>
          <w:tcPr>
            <w:tcW w:w="4359" w:type="dxa"/>
            <w:vMerge w:val="restart"/>
            <w:tcBorders>
              <w:top w:val="single" w:sz="4" w:space="0" w:color="auto"/>
              <w:left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Descrierea fiecărui jalon și a fiecărei ținte</w:t>
            </w:r>
          </w:p>
        </w:tc>
      </w:tr>
      <w:tr w:rsidR="00780A28">
        <w:trPr>
          <w:trHeight w:val="1013"/>
          <w:tblHeader/>
        </w:trPr>
        <w:tc>
          <w:tcPr>
            <w:tcW w:w="1112"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84"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80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Unitate de măsură</w:t>
            </w:r>
          </w:p>
        </w:tc>
        <w:tc>
          <w:tcPr>
            <w:tcW w:w="1058"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Valoare de referință </w:t>
            </w:r>
          </w:p>
        </w:tc>
        <w:tc>
          <w:tcPr>
            <w:tcW w:w="864"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 xml:space="preserve">Obiectiv </w:t>
            </w:r>
          </w:p>
        </w:tc>
        <w:tc>
          <w:tcPr>
            <w:tcW w:w="970"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Un sfert</w:t>
            </w:r>
          </w:p>
        </w:tc>
        <w:tc>
          <w:tcPr>
            <w:tcW w:w="696"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bCs/>
                <w:noProof/>
                <w:sz w:val="18"/>
                <w:szCs w:val="18"/>
              </w:rPr>
            </w:pPr>
            <w:r>
              <w:rPr>
                <w:rFonts w:ascii="Times New Roman" w:hAnsi="Times New Roman"/>
                <w:b/>
                <w:bCs/>
                <w:noProof/>
                <w:sz w:val="18"/>
                <w:szCs w:val="18"/>
              </w:rPr>
              <w:t>Anul</w:t>
            </w:r>
          </w:p>
        </w:tc>
        <w:tc>
          <w:tcPr>
            <w:tcW w:w="4359"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trPr>
        <w:tc>
          <w:tcPr>
            <w:tcW w:w="1112"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317</w:t>
            </w:r>
          </w:p>
        </w:tc>
        <w:tc>
          <w:tcPr>
            <w:tcW w:w="132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18 - 4.7. Îmbunătățirea competitivității și promovarea investițiilor private și a </w:t>
            </w:r>
            <w:r>
              <w:rPr>
                <w:noProof/>
                <w:color w:val="006100"/>
                <w:sz w:val="18"/>
                <w:szCs w:val="18"/>
              </w:rPr>
              <w:t>exporturilor — 16543_Acțiuni pentru simplificarea mediului de afaceri și îmbunătățirea calității și siguranței acestuia</w:t>
            </w:r>
          </w:p>
        </w:tc>
        <w:tc>
          <w:tcPr>
            <w:tcW w:w="116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484"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Instituirea unei politici în domeniul calității și a unui nou cadru de reglementare pentru infrastructurile de calitate </w:t>
            </w:r>
          </w:p>
        </w:tc>
        <w:tc>
          <w:tcPr>
            <w:tcW w:w="16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Adoptarea</w:t>
            </w:r>
            <w:r>
              <w:rPr>
                <w:noProof/>
                <w:color w:val="006100"/>
                <w:sz w:val="18"/>
                <w:szCs w:val="18"/>
              </w:rPr>
              <w:t xml:space="preserve"> unei strategii naționale privind infrastructura de calitate în Grecia) și adoptarea reglementărilor necesare care să permită standardizarea, metrologia, acreditarea și evaluarea conformității prin intermediul actelor legislative necesare (a se furniza tri</w:t>
            </w:r>
            <w:r>
              <w:rPr>
                <w:noProof/>
                <w:color w:val="006100"/>
                <w:sz w:val="18"/>
                <w:szCs w:val="18"/>
              </w:rPr>
              <w:t>miterea la Jurnalul Oficial); și să adopte modificări legislative la Legea nr. 3325/2005 (Partea B privind stabilirea, extinderea și modernizarea activităților de producție în regiunea Attica)</w:t>
            </w:r>
          </w:p>
        </w:tc>
        <w:tc>
          <w:tcPr>
            <w:tcW w:w="80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4"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69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435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 elaborarea unui cadru modern de reglementare, org</w:t>
            </w:r>
            <w:r>
              <w:rPr>
                <w:noProof/>
                <w:color w:val="006100"/>
                <w:sz w:val="18"/>
                <w:szCs w:val="18"/>
              </w:rPr>
              <w:t>anizațional și operațional pentru infrastructurile de calitate în Grecia, în conformitate cu Regulamentul 765/2008 privind acreditarea organismelor de evaluare a conformității; și (b) intrarea în vigoare a legislației de reformare a cadrului de reglementar</w:t>
            </w:r>
            <w:r>
              <w:rPr>
                <w:noProof/>
                <w:color w:val="006100"/>
                <w:sz w:val="18"/>
                <w:szCs w:val="18"/>
              </w:rPr>
              <w:t>e privind instalarea activităților de producție în Attica în vederea eliminării restricțiilor excesiv de ridicate care nu sunt proporționale cu obiectivele de politică.</w:t>
            </w:r>
          </w:p>
          <w:p w:rsidR="00780A28" w:rsidRDefault="00780A28">
            <w:pPr>
              <w:spacing w:after="0" w:line="240" w:lineRule="auto"/>
              <w:rPr>
                <w:rFonts w:eastAsia="Times New Roman" w:cs="Calibri"/>
                <w:noProof/>
                <w:color w:val="006100"/>
                <w:sz w:val="18"/>
                <w:szCs w:val="18"/>
                <w:lang w:eastAsia="en-GB"/>
              </w:rPr>
            </w:pP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Domeniul de aplicare al literei (b) include înființarea de noi unități industriale și </w:t>
            </w:r>
            <w:r>
              <w:rPr>
                <w:noProof/>
                <w:color w:val="006100"/>
                <w:sz w:val="18"/>
                <w:szCs w:val="18"/>
              </w:rPr>
              <w:t>modernizarea celor existente care funcționează în Attica, precum și relocarea și extinderea instalațiilor existente în Attica.</w:t>
            </w:r>
          </w:p>
        </w:tc>
      </w:tr>
      <w:tr w:rsidR="00780A28">
        <w:trPr>
          <w:trHeight w:val="309"/>
        </w:trPr>
        <w:tc>
          <w:tcPr>
            <w:tcW w:w="1112"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318</w:t>
            </w:r>
          </w:p>
        </w:tc>
        <w:tc>
          <w:tcPr>
            <w:tcW w:w="13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18 - 4.7. Îmbunătățirea competitivității și promovarea investițiilor private și a exporturilor — 16591_Ele de afaceri</w:t>
            </w:r>
          </w:p>
        </w:tc>
        <w:tc>
          <w:tcPr>
            <w:tcW w:w="116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48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Îmbunătățirea mediului de afaceri — facilitarea desfășurării de activități economice</w:t>
            </w:r>
          </w:p>
        </w:tc>
        <w:tc>
          <w:tcPr>
            <w:tcW w:w="1663" w:type="dxa"/>
            <w:tcBorders>
              <w:top w:val="nil"/>
              <w:left w:val="nil"/>
              <w:bottom w:val="single" w:sz="4" w:space="0" w:color="auto"/>
              <w:right w:val="single" w:sz="4" w:space="0" w:color="auto"/>
            </w:tcBorders>
            <w:shd w:val="clear" w:color="auto" w:fill="C6EFCE"/>
            <w:noWrap/>
          </w:tcPr>
          <w:p w:rsidR="00780A28" w:rsidRDefault="001867D7">
            <w:pPr>
              <w:spacing w:after="0" w:line="259" w:lineRule="auto"/>
              <w:rPr>
                <w:rFonts w:ascii="Times New Roman" w:hAnsi="Times New Roman" w:cs="Times New Roman"/>
                <w:noProof/>
                <w:color w:val="006100"/>
                <w:sz w:val="18"/>
                <w:szCs w:val="18"/>
              </w:rPr>
            </w:pPr>
            <w:r>
              <w:rPr>
                <w:noProof/>
                <w:color w:val="006100"/>
                <w:sz w:val="18"/>
                <w:szCs w:val="18"/>
              </w:rPr>
              <w:t>— Pentru acțiunile care necesită legislație: Publicarea legislației în Jurnalul Oficial (referința Jurnalului Oficial)</w:t>
            </w:r>
          </w:p>
          <w:p w:rsidR="00780A28" w:rsidRDefault="001867D7">
            <w:pPr>
              <w:spacing w:after="0" w:line="259" w:lineRule="auto"/>
              <w:rPr>
                <w:rFonts w:ascii="Times New Roman" w:hAnsi="Times New Roman" w:cs="Times New Roman"/>
                <w:noProof/>
                <w:color w:val="006100"/>
                <w:sz w:val="18"/>
                <w:szCs w:val="18"/>
              </w:rPr>
            </w:pPr>
            <w:r>
              <w:rPr>
                <w:noProof/>
                <w:color w:val="006100"/>
                <w:sz w:val="18"/>
                <w:szCs w:val="18"/>
              </w:rPr>
              <w:t xml:space="preserve">— Pentru funcțiile, platformele și registrele de interoperabilitate: Operaționalizarea sistemelor (atestată printr-un raport) </w:t>
            </w:r>
          </w:p>
          <w:p w:rsidR="00780A28" w:rsidRDefault="001867D7">
            <w:pPr>
              <w:spacing w:after="0" w:line="259" w:lineRule="auto"/>
              <w:rPr>
                <w:rFonts w:ascii="Times New Roman" w:hAnsi="Times New Roman" w:cs="Times New Roman"/>
                <w:noProof/>
                <w:color w:val="006100"/>
                <w:sz w:val="18"/>
                <w:szCs w:val="18"/>
              </w:rPr>
            </w:pPr>
            <w:r>
              <w:rPr>
                <w:noProof/>
                <w:color w:val="006100"/>
                <w:sz w:val="18"/>
                <w:szCs w:val="18"/>
              </w:rPr>
              <w:t>— Livrarea de echipamente pentru echipamente (atestate prin raport și dovada achiziționării)</w:t>
            </w:r>
          </w:p>
          <w:p w:rsidR="00780A28" w:rsidRDefault="001867D7">
            <w:pPr>
              <w:spacing w:after="0" w:line="240" w:lineRule="auto"/>
              <w:rPr>
                <w:rFonts w:eastAsia="Times New Roman" w:cs="Calibri"/>
                <w:noProof/>
                <w:color w:val="006100"/>
                <w:sz w:val="18"/>
                <w:szCs w:val="18"/>
              </w:rPr>
            </w:pPr>
            <w:r>
              <w:rPr>
                <w:noProof/>
                <w:color w:val="006100"/>
                <w:sz w:val="18"/>
                <w:szCs w:val="18"/>
              </w:rPr>
              <w:t>—Finalizarea campaniilor și emiterea</w:t>
            </w:r>
            <w:r>
              <w:rPr>
                <w:noProof/>
                <w:color w:val="006100"/>
                <w:sz w:val="18"/>
                <w:szCs w:val="18"/>
              </w:rPr>
              <w:t xml:space="preserve"> de orientări (atestate prin orientări/circulare emise)</w:t>
            </w:r>
            <w:r>
              <w:rPr>
                <w:rFonts w:ascii="Times New Roman" w:hAnsi="Times New Roman"/>
                <w:noProof/>
                <w:sz w:val="24"/>
              </w:rPr>
              <w:t xml:space="preserve"> </w:t>
            </w:r>
          </w:p>
        </w:tc>
        <w:tc>
          <w:tcPr>
            <w:tcW w:w="8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6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435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Finalizarea reformei pentru a reduce complexitatea procedurilor, timpul și costurile în patru subdomenii: obținerea de credite, obținerea unei conexiuni electrice, înregistrarea </w:t>
            </w:r>
            <w:r>
              <w:rPr>
                <w:noProof/>
                <w:color w:val="006100"/>
                <w:sz w:val="18"/>
                <w:szCs w:val="18"/>
              </w:rPr>
              <w:t>proprietății și obținerea unei autorizații de construcție</w:t>
            </w:r>
          </w:p>
          <w:p w:rsidR="00780A28" w:rsidRDefault="001867D7">
            <w:pPr>
              <w:spacing w:after="0" w:line="240" w:lineRule="auto"/>
              <w:rPr>
                <w:rFonts w:eastAsia="Times New Roman" w:cs="Calibri"/>
                <w:noProof/>
                <w:color w:val="006100"/>
                <w:sz w:val="18"/>
                <w:szCs w:val="18"/>
              </w:rPr>
            </w:pPr>
            <w:r>
              <w:rPr>
                <w:noProof/>
                <w:color w:val="006100"/>
                <w:sz w:val="18"/>
                <w:szCs w:val="18"/>
              </w:rPr>
              <w:t>Mai precis, reforma va include următoarele subproiecte și acțiuni:</w:t>
            </w:r>
          </w:p>
          <w:p w:rsidR="00780A28" w:rsidRDefault="001867D7">
            <w:pPr>
              <w:spacing w:after="0" w:line="240" w:lineRule="auto"/>
              <w:rPr>
                <w:rFonts w:eastAsia="Times New Roman" w:cs="Calibri"/>
                <w:noProof/>
                <w:color w:val="006100"/>
                <w:sz w:val="18"/>
                <w:szCs w:val="18"/>
              </w:rPr>
            </w:pPr>
            <w:r>
              <w:rPr>
                <w:noProof/>
                <w:color w:val="006100"/>
                <w:sz w:val="18"/>
                <w:szCs w:val="18"/>
              </w:rPr>
              <w:t>1. Obținerea de credite</w:t>
            </w:r>
          </w:p>
          <w:p w:rsidR="00780A28" w:rsidRDefault="001867D7">
            <w:pPr>
              <w:spacing w:after="0" w:line="240" w:lineRule="auto"/>
              <w:rPr>
                <w:rFonts w:eastAsia="Times New Roman" w:cs="Calibri"/>
                <w:noProof/>
                <w:color w:val="006100"/>
                <w:sz w:val="18"/>
                <w:szCs w:val="18"/>
              </w:rPr>
            </w:pPr>
            <w:r>
              <w:rPr>
                <w:noProof/>
                <w:color w:val="006100"/>
                <w:sz w:val="18"/>
                <w:szCs w:val="18"/>
              </w:rPr>
              <w:t>— Stabilirea unui cadru de reglementare modern și fiabil privind valorile mobiliare în active mobile</w:t>
            </w:r>
          </w:p>
          <w:p w:rsidR="00780A28" w:rsidRDefault="001867D7">
            <w:pPr>
              <w:spacing w:after="0" w:line="240" w:lineRule="auto"/>
              <w:rPr>
                <w:rFonts w:eastAsia="Times New Roman" w:cs="Calibri"/>
                <w:noProof/>
                <w:color w:val="006100"/>
                <w:sz w:val="18"/>
                <w:szCs w:val="18"/>
              </w:rPr>
            </w:pPr>
            <w:r>
              <w:rPr>
                <w:noProof/>
                <w:color w:val="006100"/>
                <w:sz w:val="18"/>
                <w:szCs w:val="18"/>
              </w:rPr>
              <w:t>— Crea</w:t>
            </w:r>
            <w:r>
              <w:rPr>
                <w:noProof/>
                <w:color w:val="006100"/>
                <w:sz w:val="18"/>
                <w:szCs w:val="18"/>
              </w:rPr>
              <w:t>rea unui registru al tranzacțiilor securizate</w:t>
            </w:r>
          </w:p>
          <w:p w:rsidR="00780A28" w:rsidRDefault="001867D7">
            <w:pPr>
              <w:spacing w:after="0" w:line="240" w:lineRule="auto"/>
              <w:rPr>
                <w:rFonts w:eastAsia="Times New Roman" w:cs="Calibri"/>
                <w:noProof/>
                <w:color w:val="006100"/>
                <w:sz w:val="18"/>
                <w:szCs w:val="18"/>
              </w:rPr>
            </w:pPr>
            <w:r>
              <w:rPr>
                <w:noProof/>
                <w:color w:val="006100"/>
                <w:sz w:val="18"/>
                <w:szCs w:val="18"/>
              </w:rPr>
              <w:t>2. Obținerea autorizației de construcție</w:t>
            </w:r>
          </w:p>
          <w:p w:rsidR="00780A28" w:rsidRDefault="001867D7">
            <w:pPr>
              <w:spacing w:after="0" w:line="240" w:lineRule="auto"/>
              <w:rPr>
                <w:rFonts w:eastAsia="Times New Roman" w:cs="Calibri"/>
                <w:noProof/>
                <w:color w:val="006100"/>
                <w:sz w:val="18"/>
                <w:szCs w:val="18"/>
              </w:rPr>
            </w:pPr>
            <w:r>
              <w:rPr>
                <w:noProof/>
                <w:color w:val="006100"/>
                <w:sz w:val="18"/>
                <w:szCs w:val="18"/>
              </w:rPr>
              <w:t>Realizarea interoperabilității operaționale între sistemul e-adeies pentru autorizațiile de construcție și alte sisteme publice</w:t>
            </w:r>
          </w:p>
          <w:p w:rsidR="00780A28" w:rsidRDefault="001867D7">
            <w:pPr>
              <w:spacing w:after="0" w:line="240" w:lineRule="auto"/>
              <w:rPr>
                <w:rFonts w:eastAsia="Times New Roman" w:cs="Calibri"/>
                <w:noProof/>
                <w:color w:val="006100"/>
                <w:sz w:val="18"/>
                <w:szCs w:val="18"/>
              </w:rPr>
            </w:pPr>
            <w:r>
              <w:rPr>
                <w:noProof/>
                <w:color w:val="006100"/>
                <w:sz w:val="18"/>
                <w:szCs w:val="18"/>
              </w:rPr>
              <w:t>— Să pună în aplicare campanii de informa</w:t>
            </w:r>
            <w:r>
              <w:rPr>
                <w:noProof/>
                <w:color w:val="006100"/>
                <w:sz w:val="18"/>
                <w:szCs w:val="18"/>
              </w:rPr>
              <w:t>re cu părțile interesate din sectorul privat;</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—Echiparea și formarea personalului </w:t>
            </w:r>
          </w:p>
          <w:p w:rsidR="00780A28" w:rsidRDefault="001867D7">
            <w:pPr>
              <w:spacing w:after="0" w:line="240" w:lineRule="auto"/>
              <w:rPr>
                <w:rFonts w:eastAsia="Times New Roman" w:cs="Calibri"/>
                <w:noProof/>
                <w:color w:val="006100"/>
                <w:sz w:val="18"/>
                <w:szCs w:val="18"/>
              </w:rPr>
            </w:pPr>
            <w:r>
              <w:rPr>
                <w:noProof/>
                <w:color w:val="006100"/>
                <w:sz w:val="18"/>
                <w:szCs w:val="18"/>
              </w:rPr>
              <w:t>— Orientări puse la dispoziție online</w:t>
            </w:r>
          </w:p>
          <w:p w:rsidR="00780A28" w:rsidRDefault="001867D7">
            <w:pPr>
              <w:spacing w:after="0" w:line="240" w:lineRule="auto"/>
              <w:rPr>
                <w:rFonts w:eastAsia="Times New Roman" w:cs="Calibri"/>
                <w:noProof/>
                <w:color w:val="006100"/>
                <w:sz w:val="18"/>
                <w:szCs w:val="18"/>
              </w:rPr>
            </w:pPr>
            <w:r>
              <w:rPr>
                <w:noProof/>
                <w:color w:val="006100"/>
                <w:sz w:val="18"/>
                <w:szCs w:val="18"/>
              </w:rPr>
              <w:t>— Baremul de comisioane disponibil online</w:t>
            </w:r>
          </w:p>
          <w:p w:rsidR="00780A28" w:rsidRDefault="001867D7">
            <w:pPr>
              <w:spacing w:after="0" w:line="240" w:lineRule="auto"/>
              <w:rPr>
                <w:rFonts w:eastAsia="Times New Roman" w:cs="Calibri"/>
                <w:noProof/>
                <w:color w:val="006100"/>
                <w:sz w:val="18"/>
                <w:szCs w:val="18"/>
              </w:rPr>
            </w:pPr>
            <w:r>
              <w:rPr>
                <w:noProof/>
                <w:color w:val="006100"/>
                <w:sz w:val="18"/>
                <w:szCs w:val="18"/>
              </w:rPr>
              <w:t>— Funcții de inspecție digitală instatică pentru Departamentul de pompieri</w:t>
            </w:r>
          </w:p>
          <w:p w:rsidR="00780A28" w:rsidRDefault="001867D7">
            <w:pPr>
              <w:spacing w:after="0" w:line="240" w:lineRule="auto"/>
              <w:rPr>
                <w:rFonts w:eastAsia="Times New Roman" w:cs="Calibri"/>
                <w:noProof/>
                <w:color w:val="006100"/>
                <w:sz w:val="18"/>
                <w:szCs w:val="18"/>
              </w:rPr>
            </w:pPr>
            <w:r>
              <w:rPr>
                <w:noProof/>
                <w:color w:val="006100"/>
                <w:sz w:val="18"/>
                <w:szCs w:val="18"/>
              </w:rPr>
              <w:t>3. Obținerea energ</w:t>
            </w:r>
            <w:r>
              <w:rPr>
                <w:noProof/>
                <w:color w:val="006100"/>
                <w:sz w:val="18"/>
                <w:szCs w:val="18"/>
              </w:rPr>
              <w:t>iei electrice</w:t>
            </w:r>
          </w:p>
          <w:p w:rsidR="00780A28" w:rsidRDefault="001867D7">
            <w:pPr>
              <w:spacing w:after="0" w:line="240" w:lineRule="auto"/>
              <w:rPr>
                <w:rFonts w:eastAsia="Times New Roman" w:cs="Calibri"/>
                <w:noProof/>
                <w:color w:val="006100"/>
                <w:sz w:val="18"/>
                <w:szCs w:val="18"/>
              </w:rPr>
            </w:pPr>
            <w:r>
              <w:rPr>
                <w:noProof/>
                <w:color w:val="006100"/>
                <w:sz w:val="18"/>
                <w:szCs w:val="18"/>
              </w:rPr>
              <w:t>— Simplificarea/reducerea cerințelor de aplicare pentru HEDNO și unificarea sistemului de declarare a metri pătrați la nivelul municipalităților;</w:t>
            </w:r>
          </w:p>
          <w:p w:rsidR="00780A28" w:rsidRDefault="001867D7">
            <w:pPr>
              <w:spacing w:after="0" w:line="240" w:lineRule="auto"/>
              <w:rPr>
                <w:rFonts w:eastAsia="Times New Roman" w:cs="Calibri"/>
                <w:noProof/>
                <w:color w:val="006100"/>
                <w:sz w:val="18"/>
                <w:szCs w:val="18"/>
              </w:rPr>
            </w:pPr>
            <w:r>
              <w:rPr>
                <w:noProof/>
                <w:color w:val="006100"/>
                <w:sz w:val="18"/>
                <w:szCs w:val="18"/>
              </w:rPr>
              <w:t>4. Înregistrarea întreprinderii</w:t>
            </w:r>
          </w:p>
          <w:p w:rsidR="00780A28" w:rsidRDefault="001867D7">
            <w:pPr>
              <w:spacing w:after="0" w:line="240" w:lineRule="auto"/>
              <w:rPr>
                <w:rFonts w:eastAsia="Times New Roman" w:cs="Calibri"/>
                <w:noProof/>
                <w:color w:val="006100"/>
                <w:sz w:val="18"/>
                <w:szCs w:val="18"/>
              </w:rPr>
            </w:pPr>
            <w:r>
              <w:rPr>
                <w:noProof/>
                <w:color w:val="006100"/>
                <w:sz w:val="18"/>
                <w:szCs w:val="18"/>
              </w:rPr>
              <w:t>— Crearea unei platforme electronice care să le permită cumpărăt</w:t>
            </w:r>
            <w:r>
              <w:rPr>
                <w:noProof/>
                <w:color w:val="006100"/>
                <w:sz w:val="18"/>
                <w:szCs w:val="18"/>
              </w:rPr>
              <w:t>orilor să îndeplinească toate cerințele pentru transferul de proprietate online</w:t>
            </w:r>
          </w:p>
        </w:tc>
      </w:tr>
      <w:tr w:rsidR="00780A28">
        <w:trPr>
          <w:trHeight w:val="309"/>
        </w:trPr>
        <w:tc>
          <w:tcPr>
            <w:tcW w:w="1112"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319</w:t>
            </w:r>
          </w:p>
        </w:tc>
        <w:tc>
          <w:tcPr>
            <w:tcW w:w="132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18 - 4.7. Îmbunătățirea competitivității și promovarea investițiilor private și a exporturilor — 16543_Acțiuni pentru simplificarea mediului de afaceri și îmbunătățirea </w:t>
            </w:r>
            <w:r>
              <w:rPr>
                <w:noProof/>
                <w:color w:val="006100"/>
                <w:sz w:val="18"/>
                <w:szCs w:val="18"/>
              </w:rPr>
              <w:t>calității și siguranței acestuia</w:t>
            </w:r>
          </w:p>
        </w:tc>
        <w:tc>
          <w:tcPr>
            <w:tcW w:w="116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1484"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Îmbunătățirea mediului de afaceri — simplificarea licențelor și supravegherea pieței</w:t>
            </w:r>
          </w:p>
        </w:tc>
        <w:tc>
          <w:tcPr>
            <w:tcW w:w="166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Publicarea legislației în Jurnalul Oficial (referința Jurnalului Oficial)</w:t>
            </w:r>
          </w:p>
          <w:p w:rsidR="00780A28" w:rsidRDefault="00780A28">
            <w:pPr>
              <w:spacing w:after="0" w:line="240" w:lineRule="auto"/>
              <w:rPr>
                <w:rFonts w:eastAsia="Times New Roman" w:cs="Calibri"/>
                <w:noProof/>
                <w:color w:val="006100"/>
                <w:sz w:val="18"/>
                <w:szCs w:val="18"/>
                <w:lang w:eastAsia="en-GB"/>
              </w:rPr>
            </w:pPr>
          </w:p>
        </w:tc>
        <w:tc>
          <w:tcPr>
            <w:tcW w:w="802"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58"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64"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7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69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435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Intrarea în vigoare a legislației în vederea </w:t>
            </w:r>
            <w:r>
              <w:rPr>
                <w:noProof/>
                <w:color w:val="006100"/>
                <w:sz w:val="18"/>
                <w:szCs w:val="18"/>
              </w:rPr>
              <w:t>reformării și luării măsurilor necesare pentru îmbunătățirea în continuare a cadrului de reglementare pentru acordarea de licențe și supravegherea eficace a întreprinderilor:</w:t>
            </w:r>
          </w:p>
          <w:p w:rsidR="00780A28" w:rsidRDefault="001867D7">
            <w:pPr>
              <w:spacing w:before="120" w:after="0" w:line="240" w:lineRule="auto"/>
              <w:jc w:val="both"/>
              <w:rPr>
                <w:rFonts w:eastAsia="Times New Roman" w:cs="Calibri"/>
                <w:noProof/>
                <w:color w:val="006100"/>
                <w:sz w:val="18"/>
                <w:szCs w:val="18"/>
              </w:rPr>
            </w:pPr>
            <w:r>
              <w:rPr>
                <w:noProof/>
                <w:color w:val="006100"/>
                <w:sz w:val="18"/>
                <w:szCs w:val="18"/>
              </w:rPr>
              <w:t xml:space="preserve">— să efectueze o evaluare ex-post a impactului reformei în materie de acordare a </w:t>
            </w:r>
            <w:r>
              <w:rPr>
                <w:noProof/>
                <w:color w:val="006100"/>
                <w:sz w:val="18"/>
                <w:szCs w:val="18"/>
              </w:rPr>
              <w:t>licențelor care a avut loc până în al treilea trimestru al anului 1 2024 și să pună în aplicare recomandările de politică;</w:t>
            </w:r>
          </w:p>
          <w:p w:rsidR="00780A28" w:rsidRDefault="001867D7">
            <w:pPr>
              <w:spacing w:after="0" w:line="259" w:lineRule="auto"/>
              <w:ind w:left="12"/>
              <w:contextualSpacing/>
              <w:rPr>
                <w:rFonts w:eastAsia="Times New Roman" w:cs="Calibri"/>
                <w:noProof/>
                <w:color w:val="006100"/>
                <w:sz w:val="18"/>
                <w:szCs w:val="18"/>
              </w:rPr>
            </w:pPr>
            <w:r>
              <w:rPr>
                <w:noProof/>
                <w:color w:val="006100"/>
                <w:sz w:val="18"/>
                <w:szCs w:val="18"/>
              </w:rPr>
              <w:t>— revizuirea și simplificarea procedurilor de acordare a licențelor pentru noile activități economice care vor fi definite în temeiul</w:t>
            </w:r>
            <w:r>
              <w:rPr>
                <w:noProof/>
                <w:color w:val="006100"/>
                <w:sz w:val="18"/>
                <w:szCs w:val="18"/>
              </w:rPr>
              <w:t xml:space="preserve"> Legii nr. 4442/16, prin reducerea cerințelor și a certificatelor, eliminarea etapelor fără valoare adăugată ale procesului, reducerea timpului de prelucrare a cererilor și limitarea controlului ex ante doar la activitățile cu risc ridicat, în conformitate</w:t>
            </w:r>
            <w:r>
              <w:rPr>
                <w:noProof/>
                <w:color w:val="006100"/>
                <w:sz w:val="18"/>
                <w:szCs w:val="18"/>
              </w:rPr>
              <w:t xml:space="preserve"> cu principiile Legilor 4442/2016 și 4512/2018;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codificarea actelor cu putere de lege nr. 3325/2005, 3982/2011, 4302/2014 și 4442/2016, </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 elaborarea unei strategii de supraveghere a pieței în conformitate cu Regulamentul (CE) nr. 1020/2019 și </w:t>
            </w:r>
          </w:p>
          <w:p w:rsidR="00780A28" w:rsidRDefault="001867D7">
            <w:pPr>
              <w:spacing w:after="0" w:line="240" w:lineRule="auto"/>
              <w:rPr>
                <w:rFonts w:eastAsia="Times New Roman" w:cs="Calibri"/>
                <w:noProof/>
                <w:color w:val="006100"/>
                <w:sz w:val="18"/>
                <w:szCs w:val="18"/>
              </w:rPr>
            </w:pPr>
            <w:r>
              <w:rPr>
                <w:noProof/>
                <w:color w:val="006100"/>
                <w:sz w:val="18"/>
                <w:szCs w:val="18"/>
              </w:rPr>
              <w:t>—punerea</w:t>
            </w:r>
            <w:r>
              <w:rPr>
                <w:noProof/>
                <w:color w:val="006100"/>
                <w:sz w:val="18"/>
                <w:szCs w:val="18"/>
              </w:rPr>
              <w:t xml:space="preserve"> în aplicare efectivă a noului sistem de supraveghere a activităților economice în temeiul legislației 4512/18, prin adoptarea unui act legislativ relevant și prin instituirea unui sistem de evaluare a autorităților de inspecție;</w:t>
            </w:r>
          </w:p>
          <w:p w:rsidR="00780A28" w:rsidRDefault="001867D7">
            <w:pPr>
              <w:spacing w:after="0" w:line="240" w:lineRule="auto"/>
              <w:rPr>
                <w:rFonts w:eastAsia="Times New Roman" w:cs="Calibri"/>
                <w:noProof/>
                <w:color w:val="006100"/>
                <w:sz w:val="18"/>
                <w:szCs w:val="18"/>
              </w:rPr>
            </w:pPr>
            <w:r>
              <w:rPr>
                <w:noProof/>
                <w:color w:val="006100"/>
                <w:sz w:val="18"/>
                <w:szCs w:val="18"/>
              </w:rPr>
              <w:t>—implementarea și implemen</w:t>
            </w:r>
            <w:r>
              <w:rPr>
                <w:noProof/>
                <w:color w:val="006100"/>
                <w:sz w:val="18"/>
                <w:szCs w:val="18"/>
              </w:rPr>
              <w:t>tarea de instrumente informatice pentru a facilita procesele funcțiilor de supraveghere a pieței</w:t>
            </w:r>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299"/>
          <w:headerReference w:type="default" r:id="rId300"/>
          <w:footerReference w:type="even" r:id="rId301"/>
          <w:footerReference w:type="default" r:id="rId302"/>
          <w:headerReference w:type="first" r:id="rId303"/>
          <w:footerReference w:type="first" r:id="rId304"/>
          <w:pgSz w:w="16839" w:h="11907" w:orient="landscape"/>
          <w:pgMar w:top="720" w:right="720" w:bottom="720" w:left="720" w:header="709" w:footer="709" w:gutter="0"/>
          <w:cols w:space="720"/>
          <w:docGrid w:linePitch="360"/>
        </w:sectPr>
      </w:pPr>
    </w:p>
    <w:p w:rsidR="00780A28" w:rsidRDefault="001867D7">
      <w:pPr>
        <w:spacing w:before="120" w:after="120" w:line="240" w:lineRule="auto"/>
        <w:jc w:val="both"/>
        <w:rPr>
          <w:rFonts w:ascii="Times New Roman" w:hAnsi="Times New Roman" w:cs="Times New Roman"/>
          <w:b/>
          <w:bCs/>
          <w:i/>
          <w:iCs/>
          <w:noProof/>
          <w:color w:val="4F81BD"/>
          <w:sz w:val="24"/>
        </w:rPr>
      </w:pPr>
      <w:r>
        <w:rPr>
          <w:rFonts w:ascii="Times New Roman" w:hAnsi="Times New Roman"/>
          <w:b/>
          <w:bCs/>
          <w:noProof/>
          <w:sz w:val="24"/>
          <w:u w:val="single"/>
        </w:rPr>
        <w:t xml:space="preserve">R.3. </w:t>
      </w:r>
      <w:r>
        <w:rPr>
          <w:rFonts w:ascii="Times New Roman" w:hAnsi="Times New Roman"/>
          <w:b/>
          <w:noProof/>
          <w:sz w:val="24"/>
          <w:u w:val="single"/>
        </w:rPr>
        <w:tab/>
      </w:r>
      <w:r>
        <w:rPr>
          <w:rFonts w:ascii="Times New Roman" w:hAnsi="Times New Roman"/>
          <w:b/>
          <w:bCs/>
          <w:noProof/>
          <w:sz w:val="24"/>
          <w:u w:val="single"/>
        </w:rPr>
        <w:t xml:space="preserve">Descrierea reformelor și a investițiilor pentru împrumut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 xml:space="preserve">Facilitatea de </w:t>
      </w:r>
      <w:r>
        <w:rPr>
          <w:rFonts w:ascii="Times New Roman" w:hAnsi="Times New Roman"/>
          <w:noProof/>
          <w:sz w:val="24"/>
        </w:rPr>
        <w:t>împrumut (numărul de identificare al măsurii:16980)</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Investițiile vizează utilizarea sprijinului sub formă de împrumuturi în cadrul Mecanismului de redresare și reziliență pentru a facilita furnizarea de stimulente financiare pentru sectorul privat și pentr</w:t>
      </w:r>
      <w:r>
        <w:rPr>
          <w:rFonts w:ascii="Times New Roman" w:hAnsi="Times New Roman"/>
          <w:noProof/>
          <w:sz w:val="24"/>
        </w:rPr>
        <w:t xml:space="preserve">u a promova investițiile private. Facilitatea de împrumut utilizează diferite canale de distribuție, și anume instituții financiare (prin achiziții de obligațiuni corporative sau împrumuturi sindicalizate, 11728 de milioane EUR), o platformă de capitaluri </w:t>
      </w:r>
      <w:r>
        <w:rPr>
          <w:rFonts w:ascii="Times New Roman" w:hAnsi="Times New Roman"/>
          <w:noProof/>
          <w:sz w:val="24"/>
        </w:rPr>
        <w:t>proprii (500 de milioane EUR) și compartimentul pentru statele membre al Programului InvestEU (500 de milioane EUR). Pentru a se asigura că măsura este conformă cu Orientările tehnice bazate pe principiul de „a nu aduce prejudicii semnificative”(2021/C58/0</w:t>
      </w:r>
      <w:r>
        <w:rPr>
          <w:rFonts w:ascii="Times New Roman" w:hAnsi="Times New Roman"/>
          <w:noProof/>
          <w:sz w:val="24"/>
        </w:rPr>
        <w:t>1), acordurile din cadrul facilității de împrumut:</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 </w:t>
      </w:r>
      <w:r>
        <w:rPr>
          <w:rFonts w:ascii="Times New Roman" w:hAnsi="Times New Roman"/>
          <w:noProof/>
          <w:sz w:val="24"/>
        </w:rPr>
        <w:tab/>
        <w:t>să solicite aplicarea orientărilor tehnice ale Comisiei privind evaluarea sustenabilității pentru Fondul InvestEU;</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ii. </w:t>
      </w:r>
      <w:r>
        <w:rPr>
          <w:rFonts w:ascii="Times New Roman" w:hAnsi="Times New Roman"/>
          <w:noProof/>
          <w:sz w:val="24"/>
        </w:rPr>
        <w:tab/>
        <w:t>exclude de la eligibilitate următoarea listă de activități și active: (i) activit</w:t>
      </w:r>
      <w:r>
        <w:rPr>
          <w:rFonts w:ascii="Times New Roman" w:hAnsi="Times New Roman"/>
          <w:noProof/>
          <w:sz w:val="24"/>
        </w:rPr>
        <w:t>ățile și activele legate de combustibilii fosili, inclusiv utilizarea în aval</w:t>
      </w:r>
      <w:r>
        <w:rPr>
          <w:rFonts w:ascii="Times New Roman" w:hAnsi="Times New Roman" w:cs="Times New Roman"/>
          <w:noProof/>
          <w:sz w:val="24"/>
          <w:vertAlign w:val="superscript"/>
        </w:rPr>
        <w:footnoteReference w:id="42"/>
      </w:r>
      <w:r>
        <w:rPr>
          <w:rFonts w:ascii="Times New Roman" w:hAnsi="Times New Roman"/>
          <w:noProof/>
          <w:sz w:val="24"/>
        </w:rPr>
        <w:t>; (ii) activitățile și activele din cadrul schemei UE de comercializare a certificatelor de emisii (ETS) care ating previziuni privind emisiile de gaze cu efect de seră care nu s</w:t>
      </w:r>
      <w:r>
        <w:rPr>
          <w:rFonts w:ascii="Times New Roman" w:hAnsi="Times New Roman"/>
          <w:noProof/>
          <w:sz w:val="24"/>
        </w:rPr>
        <w:t>unt mai mici decât valorile de referință relevante</w:t>
      </w:r>
      <w:r>
        <w:rPr>
          <w:rFonts w:ascii="Times New Roman" w:hAnsi="Times New Roman" w:cs="Times New Roman"/>
          <w:noProof/>
          <w:sz w:val="24"/>
          <w:vertAlign w:val="superscript"/>
        </w:rPr>
        <w:footnoteReference w:id="43"/>
      </w:r>
      <w:r>
        <w:rPr>
          <w:rFonts w:ascii="Times New Roman" w:hAnsi="Times New Roman"/>
          <w:noProof/>
          <w:sz w:val="24"/>
        </w:rPr>
        <w:t>; (iii) activitățile și activele legate de depozitele de deșeuri, incineratoare</w:t>
      </w:r>
      <w:r>
        <w:rPr>
          <w:rFonts w:ascii="Times New Roman" w:hAnsi="Times New Roman" w:cs="Times New Roman"/>
          <w:noProof/>
          <w:sz w:val="24"/>
          <w:vertAlign w:val="superscript"/>
        </w:rPr>
        <w:footnoteReference w:id="44"/>
      </w:r>
      <w:r>
        <w:rPr>
          <w:rFonts w:ascii="Times New Roman" w:hAnsi="Times New Roman"/>
          <w:noProof/>
          <w:sz w:val="24"/>
        </w:rPr>
        <w:t xml:space="preserve"> și instalații de tratare mecano-biologică</w:t>
      </w:r>
      <w:r>
        <w:rPr>
          <w:rFonts w:ascii="Times New Roman" w:hAnsi="Times New Roman" w:cs="Times New Roman"/>
          <w:noProof/>
          <w:sz w:val="24"/>
          <w:vertAlign w:val="superscript"/>
        </w:rPr>
        <w:footnoteReference w:id="45"/>
      </w:r>
      <w:r>
        <w:rPr>
          <w:rFonts w:ascii="Times New Roman" w:hAnsi="Times New Roman"/>
          <w:noProof/>
          <w:sz w:val="24"/>
        </w:rPr>
        <w:t>; și (iv) activități și active în cazul cărora eliminarea pe termen lung a deșeuri</w:t>
      </w:r>
      <w:r>
        <w:rPr>
          <w:rFonts w:ascii="Times New Roman" w:hAnsi="Times New Roman"/>
          <w:noProof/>
          <w:sz w:val="24"/>
        </w:rPr>
        <w:t>lor poate dăuna mediului; precum și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iii. </w:t>
      </w:r>
      <w:r>
        <w:rPr>
          <w:rFonts w:ascii="Times New Roman" w:hAnsi="Times New Roman"/>
          <w:noProof/>
          <w:sz w:val="24"/>
        </w:rPr>
        <w:tab/>
        <w:t>să solicite verificarea conformității juridice a proiectelor cu legislația UE și națională relevantă în materie de mediu pentru toate tranzacțiile, inclusiv pentru cele exceptate de la verificarea durabilității.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În</w:t>
      </w:r>
      <w:r>
        <w:rPr>
          <w:rFonts w:ascii="Times New Roman" w:hAnsi="Times New Roman"/>
          <w:noProof/>
          <w:sz w:val="24"/>
        </w:rPr>
        <w:t xml:space="preserve"> plus, mecanismul de împrumut prevede angajamentul instituțiilor financiare și al InvestEU de a investi cel puțin 38,5 % din fonduri pentru a sprijini tranziția climatică și 20,8 % din fonduri pentru a sprijini tranziția digitală, utilizând metodologia din</w:t>
      </w:r>
      <w:r>
        <w:rPr>
          <w:rFonts w:ascii="Times New Roman" w:hAnsi="Times New Roman"/>
          <w:noProof/>
          <w:sz w:val="24"/>
        </w:rPr>
        <w:t xml:space="preserve"> anexele VI și VII la Regulamentul privind Mecanismul de redresare și reziliență.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Înainte de fiecare cerere de plată, auditorii independenți verifică respectarea DNSH și a obiectivului climatic de 38,5 % și a obiectivului digital de 20,8 %.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Implementarea </w:t>
      </w:r>
      <w:r>
        <w:rPr>
          <w:rFonts w:ascii="Times New Roman" w:hAnsi="Times New Roman"/>
          <w:noProof/>
          <w:sz w:val="24"/>
        </w:rPr>
        <w:t>investiției trebuie finalizată până la 30 iunie 2026.</w:t>
      </w:r>
    </w:p>
    <w:p w:rsidR="00780A28" w:rsidRDefault="00780A28">
      <w:pPr>
        <w:spacing w:before="120" w:after="120" w:line="240" w:lineRule="auto"/>
        <w:jc w:val="both"/>
        <w:rPr>
          <w:rFonts w:ascii="Times New Roman" w:hAnsi="Times New Roman" w:cs="Times New Roman"/>
          <w:i/>
          <w:noProof/>
          <w:sz w:val="24"/>
          <w:u w:val="single"/>
        </w:rPr>
      </w:pPr>
    </w:p>
    <w:p w:rsidR="00780A28" w:rsidRDefault="00780A28">
      <w:pPr>
        <w:spacing w:before="120" w:after="120" w:line="240" w:lineRule="auto"/>
        <w:jc w:val="both"/>
        <w:rPr>
          <w:rFonts w:ascii="Times New Roman" w:hAnsi="Times New Roman" w:cs="Times New Roman"/>
          <w:i/>
          <w:noProof/>
          <w:sz w:val="24"/>
          <w:u w:val="single"/>
        </w:rPr>
      </w:pPr>
    </w:p>
    <w:p w:rsidR="00780A28" w:rsidRDefault="00780A28">
      <w:pPr>
        <w:spacing w:after="160" w:line="259" w:lineRule="auto"/>
        <w:ind w:left="709"/>
        <w:contextualSpacing/>
        <w:jc w:val="both"/>
        <w:rPr>
          <w:noProof/>
        </w:rPr>
        <w:sectPr w:rsidR="00780A28">
          <w:headerReference w:type="even" r:id="rId305"/>
          <w:headerReference w:type="default" r:id="rId306"/>
          <w:footerReference w:type="even" r:id="rId307"/>
          <w:footerReference w:type="default" r:id="rId308"/>
          <w:headerReference w:type="first" r:id="rId309"/>
          <w:footerReference w:type="first" r:id="rId310"/>
          <w:pgSz w:w="11907" w:h="16839"/>
          <w:pgMar w:top="1134" w:right="1417" w:bottom="1134" w:left="1417" w:header="709" w:footer="709" w:gutter="0"/>
          <w:cols w:space="720"/>
          <w:docGrid w:linePitch="360"/>
        </w:sectPr>
      </w:pPr>
    </w:p>
    <w:p w:rsidR="00780A28" w:rsidRDefault="001867D7">
      <w:pPr>
        <w:spacing w:before="120" w:after="120" w:line="240" w:lineRule="auto"/>
        <w:ind w:left="709"/>
        <w:jc w:val="both"/>
        <w:rPr>
          <w:rFonts w:ascii="Times New Roman" w:hAnsi="Times New Roman" w:cs="Times New Roman"/>
          <w:b/>
          <w:bCs/>
          <w:noProof/>
          <w:sz w:val="24"/>
          <w:u w:val="single"/>
        </w:rPr>
      </w:pPr>
      <w:r>
        <w:rPr>
          <w:rFonts w:ascii="Times New Roman" w:hAnsi="Times New Roman"/>
          <w:b/>
          <w:bCs/>
          <w:noProof/>
          <w:sz w:val="24"/>
          <w:u w:val="single"/>
        </w:rPr>
        <w:t xml:space="preserve">R.4. </w:t>
      </w:r>
      <w:r>
        <w:rPr>
          <w:rFonts w:ascii="Times New Roman" w:hAnsi="Times New Roman"/>
          <w:b/>
          <w:noProof/>
          <w:sz w:val="24"/>
          <w:u w:val="single"/>
        </w:rPr>
        <w:tab/>
      </w:r>
      <w:r>
        <w:rPr>
          <w:rFonts w:ascii="Times New Roman" w:hAnsi="Times New Roman"/>
          <w:b/>
          <w:bCs/>
          <w:noProof/>
          <w:sz w:val="24"/>
          <w:u w:val="single"/>
        </w:rPr>
        <w:t xml:space="preserve">Jaloane, ținte, indicatori și calendarul de monitorizare și implementare aplicabile împrumutului </w:t>
      </w:r>
    </w:p>
    <w:p w:rsidR="00780A28" w:rsidRDefault="001867D7">
      <w:pPr>
        <w:keepNext/>
        <w:keepLines/>
        <w:spacing w:before="40" w:after="240" w:line="240" w:lineRule="auto"/>
        <w:jc w:val="both"/>
        <w:outlineLvl w:val="4"/>
        <w:rPr>
          <w:rFonts w:ascii="Cambria" w:eastAsia="Times New Roman" w:hAnsi="Cambria"/>
          <w:noProof/>
          <w:color w:val="365F91"/>
          <w:sz w:val="24"/>
        </w:rPr>
      </w:pPr>
      <w:r>
        <w:rPr>
          <w:rFonts w:ascii="Cambria" w:hAnsi="Cambria"/>
          <w:noProof/>
          <w:color w:val="365F91"/>
          <w:sz w:val="24"/>
        </w:rPr>
        <w:t>Facilitatea de împrumut (16890)</w:t>
      </w:r>
    </w:p>
    <w:tbl>
      <w:tblPr>
        <w:tblW w:w="15871" w:type="dxa"/>
        <w:jc w:val="center"/>
        <w:tblLayout w:type="fixed"/>
        <w:tblLook w:val="04A0" w:firstRow="1" w:lastRow="0" w:firstColumn="1" w:lastColumn="0" w:noHBand="0" w:noVBand="1"/>
      </w:tblPr>
      <w:tblGrid>
        <w:gridCol w:w="1413"/>
        <w:gridCol w:w="1276"/>
        <w:gridCol w:w="1095"/>
        <w:gridCol w:w="889"/>
        <w:gridCol w:w="1210"/>
        <w:gridCol w:w="953"/>
        <w:gridCol w:w="960"/>
        <w:gridCol w:w="960"/>
        <w:gridCol w:w="737"/>
        <w:gridCol w:w="1063"/>
        <w:gridCol w:w="5315"/>
      </w:tblGrid>
      <w:tr w:rsidR="00780A28">
        <w:trPr>
          <w:trHeight w:val="939"/>
          <w:tblHeader/>
          <w:jc w:val="center"/>
        </w:trPr>
        <w:tc>
          <w:tcPr>
            <w:tcW w:w="1413" w:type="dxa"/>
            <w:vMerge w:val="restart"/>
            <w:tcBorders>
              <w:top w:val="single" w:sz="4" w:space="0" w:color="auto"/>
              <w:left w:val="single" w:sz="4" w:space="0" w:color="auto"/>
              <w:right w:val="single" w:sz="4" w:space="0" w:color="auto"/>
            </w:tcBorders>
            <w:shd w:val="clear" w:color="auto" w:fill="BDD7EE"/>
            <w:hideMark/>
          </w:tcPr>
          <w:p w:rsidR="00780A28" w:rsidRDefault="001867D7">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 xml:space="preserve">Număr </w:t>
            </w:r>
            <w:r>
              <w:rPr>
                <w:rFonts w:ascii="Times New Roman" w:hAnsi="Times New Roman"/>
                <w:b/>
                <w:noProof/>
                <w:sz w:val="20"/>
                <w:szCs w:val="20"/>
              </w:rPr>
              <w:t>secvențial</w:t>
            </w:r>
          </w:p>
        </w:tc>
        <w:tc>
          <w:tcPr>
            <w:tcW w:w="1276" w:type="dxa"/>
            <w:vMerge w:val="restart"/>
            <w:tcBorders>
              <w:top w:val="single" w:sz="4" w:space="0" w:color="auto"/>
              <w:left w:val="single" w:sz="4" w:space="0" w:color="auto"/>
              <w:right w:val="single" w:sz="4" w:space="0" w:color="auto"/>
            </w:tcBorders>
            <w:shd w:val="clear" w:color="auto" w:fill="BDD7EE"/>
            <w:hideMark/>
          </w:tcPr>
          <w:p w:rsidR="00780A28" w:rsidRDefault="001867D7">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Măsură conexă (reformă sau investiție)</w:t>
            </w:r>
          </w:p>
        </w:tc>
        <w:tc>
          <w:tcPr>
            <w:tcW w:w="1095" w:type="dxa"/>
            <w:vMerge w:val="restart"/>
            <w:tcBorders>
              <w:top w:val="single" w:sz="4" w:space="0" w:color="auto"/>
              <w:left w:val="single" w:sz="4" w:space="0" w:color="auto"/>
              <w:right w:val="single" w:sz="4" w:space="0" w:color="auto"/>
            </w:tcBorders>
            <w:shd w:val="clear" w:color="auto" w:fill="BDD7EE"/>
            <w:hideMark/>
          </w:tcPr>
          <w:p w:rsidR="00780A28" w:rsidRDefault="001867D7">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Jalon/</w:t>
            </w:r>
            <w:r>
              <w:rPr>
                <w:rFonts w:ascii="Times New Roman" w:hAnsi="Times New Roman"/>
                <w:b/>
                <w:noProof/>
                <w:sz w:val="20"/>
                <w:szCs w:val="20"/>
              </w:rPr>
              <w:br/>
              <w:t>Țintă</w:t>
            </w:r>
          </w:p>
        </w:tc>
        <w:tc>
          <w:tcPr>
            <w:tcW w:w="889" w:type="dxa"/>
            <w:vMerge w:val="restart"/>
            <w:tcBorders>
              <w:top w:val="single" w:sz="4" w:space="0" w:color="auto"/>
              <w:left w:val="nil"/>
              <w:right w:val="single" w:sz="4" w:space="0" w:color="auto"/>
            </w:tcBorders>
            <w:shd w:val="clear" w:color="auto" w:fill="BDD7EE"/>
            <w:hideMark/>
          </w:tcPr>
          <w:p w:rsidR="00780A28" w:rsidRDefault="001867D7">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Nume</w:t>
            </w:r>
          </w:p>
        </w:tc>
        <w:tc>
          <w:tcPr>
            <w:tcW w:w="1210" w:type="dxa"/>
            <w:vMerge w:val="restart"/>
            <w:tcBorders>
              <w:top w:val="single" w:sz="4" w:space="0" w:color="auto"/>
              <w:left w:val="single" w:sz="4" w:space="0" w:color="auto"/>
              <w:right w:val="single" w:sz="4" w:space="0" w:color="auto"/>
            </w:tcBorders>
            <w:shd w:val="clear" w:color="auto" w:fill="BDD7EE"/>
            <w:hideMark/>
          </w:tcPr>
          <w:p w:rsidR="00780A28" w:rsidRDefault="001867D7">
            <w:pPr>
              <w:spacing w:after="0" w:line="240" w:lineRule="auto"/>
              <w:rPr>
                <w:rFonts w:ascii="Times New Roman" w:eastAsia="Times New Roman" w:hAnsi="Times New Roman" w:cs="Times New Roman"/>
                <w:b/>
                <w:noProof/>
                <w:sz w:val="20"/>
                <w:szCs w:val="20"/>
              </w:rPr>
            </w:pPr>
            <w:r>
              <w:rPr>
                <w:rFonts w:ascii="Times New Roman" w:hAnsi="Times New Roman"/>
                <w:b/>
                <w:noProof/>
                <w:sz w:val="20"/>
              </w:rPr>
              <w:t>Indicatori calitativi (pentru jaloane)</w:t>
            </w:r>
          </w:p>
        </w:tc>
        <w:tc>
          <w:tcPr>
            <w:tcW w:w="2873" w:type="dxa"/>
            <w:gridSpan w:val="3"/>
            <w:tcBorders>
              <w:top w:val="single" w:sz="4" w:space="0" w:color="auto"/>
              <w:left w:val="nil"/>
              <w:bottom w:val="single" w:sz="4" w:space="0" w:color="auto"/>
              <w:right w:val="single" w:sz="4" w:space="0" w:color="auto"/>
            </w:tcBorders>
            <w:shd w:val="clear" w:color="auto" w:fill="BDD7EE"/>
            <w:hideMark/>
          </w:tcPr>
          <w:p w:rsidR="00780A28" w:rsidRDefault="001867D7">
            <w:pPr>
              <w:spacing w:after="0" w:line="240" w:lineRule="auto"/>
              <w:rPr>
                <w:rFonts w:ascii="Times New Roman" w:eastAsia="Times New Roman" w:hAnsi="Times New Roman" w:cs="Times New Roman"/>
                <w:b/>
                <w:noProof/>
                <w:sz w:val="20"/>
                <w:szCs w:val="20"/>
              </w:rPr>
            </w:pPr>
            <w:r>
              <w:rPr>
                <w:rFonts w:ascii="Times New Roman" w:hAnsi="Times New Roman"/>
                <w:b/>
                <w:noProof/>
                <w:sz w:val="20"/>
              </w:rPr>
              <w:t>Indicatori cantitativi (pentru ținte)</w:t>
            </w:r>
          </w:p>
        </w:tc>
        <w:tc>
          <w:tcPr>
            <w:tcW w:w="1800" w:type="dxa"/>
            <w:gridSpan w:val="2"/>
            <w:tcBorders>
              <w:top w:val="single" w:sz="4" w:space="0" w:color="auto"/>
              <w:left w:val="nil"/>
              <w:bottom w:val="single" w:sz="4" w:space="0" w:color="auto"/>
              <w:right w:val="single" w:sz="4" w:space="0" w:color="auto"/>
            </w:tcBorders>
            <w:shd w:val="clear" w:color="auto" w:fill="BDD7EE"/>
            <w:hideMark/>
          </w:tcPr>
          <w:p w:rsidR="00780A28" w:rsidRDefault="001867D7">
            <w:pPr>
              <w:spacing w:after="0" w:line="240" w:lineRule="auto"/>
              <w:rPr>
                <w:rFonts w:ascii="Times New Roman" w:eastAsia="Times New Roman" w:hAnsi="Times New Roman" w:cs="Times New Roman"/>
                <w:b/>
                <w:noProof/>
                <w:sz w:val="20"/>
                <w:szCs w:val="20"/>
              </w:rPr>
            </w:pPr>
            <w:r>
              <w:rPr>
                <w:rFonts w:ascii="Times New Roman" w:hAnsi="Times New Roman"/>
                <w:b/>
                <w:noProof/>
                <w:sz w:val="20"/>
                <w:szCs w:val="20"/>
              </w:rPr>
              <w:t xml:space="preserve">Calendar orientativ pentru atingerea jaloanelor/țintelor </w:t>
            </w:r>
          </w:p>
        </w:tc>
        <w:tc>
          <w:tcPr>
            <w:tcW w:w="5315" w:type="dxa"/>
            <w:vMerge w:val="restart"/>
            <w:tcBorders>
              <w:top w:val="single" w:sz="4" w:space="0" w:color="auto"/>
              <w:left w:val="single" w:sz="4" w:space="0" w:color="auto"/>
              <w:right w:val="single" w:sz="4" w:space="0" w:color="auto"/>
            </w:tcBorders>
            <w:shd w:val="clear" w:color="auto" w:fill="BDD7EE"/>
            <w:hideMark/>
          </w:tcPr>
          <w:p w:rsidR="00780A28" w:rsidRDefault="001867D7">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szCs w:val="20"/>
              </w:rPr>
              <w:t>Descrierea fiecărui jalon și a fiecărei ținte</w:t>
            </w:r>
          </w:p>
        </w:tc>
      </w:tr>
      <w:tr w:rsidR="00780A28">
        <w:trPr>
          <w:trHeight w:val="1027"/>
          <w:tblHeader/>
          <w:jc w:val="center"/>
        </w:trPr>
        <w:tc>
          <w:tcPr>
            <w:tcW w:w="1413" w:type="dxa"/>
            <w:vMerge/>
            <w:tcBorders>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24"/>
                <w:szCs w:val="24"/>
                <w:lang w:eastAsia="en-GB"/>
              </w:rPr>
            </w:pPr>
          </w:p>
        </w:tc>
        <w:tc>
          <w:tcPr>
            <w:tcW w:w="1276" w:type="dxa"/>
            <w:vMerge/>
            <w:tcBorders>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24"/>
                <w:szCs w:val="24"/>
                <w:lang w:eastAsia="en-GB"/>
              </w:rPr>
            </w:pPr>
          </w:p>
        </w:tc>
        <w:tc>
          <w:tcPr>
            <w:tcW w:w="1095" w:type="dxa"/>
            <w:vMerge/>
            <w:tcBorders>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24"/>
                <w:szCs w:val="24"/>
                <w:lang w:eastAsia="en-GB"/>
              </w:rPr>
            </w:pPr>
          </w:p>
        </w:tc>
        <w:tc>
          <w:tcPr>
            <w:tcW w:w="889" w:type="dxa"/>
            <w:vMerge/>
            <w:tcBorders>
              <w:left w:val="nil"/>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24"/>
                <w:szCs w:val="24"/>
                <w:lang w:eastAsia="en-GB"/>
              </w:rPr>
            </w:pPr>
          </w:p>
        </w:tc>
        <w:tc>
          <w:tcPr>
            <w:tcW w:w="1210" w:type="dxa"/>
            <w:vMerge/>
            <w:tcBorders>
              <w:left w:val="single" w:sz="4" w:space="0" w:color="auto"/>
              <w:bottom w:val="single" w:sz="4" w:space="0" w:color="000000"/>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24"/>
                <w:szCs w:val="24"/>
                <w:lang w:eastAsia="en-GB"/>
              </w:rPr>
            </w:pPr>
          </w:p>
        </w:tc>
        <w:tc>
          <w:tcPr>
            <w:tcW w:w="95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Unitate de măsură</w:t>
            </w:r>
          </w:p>
        </w:tc>
        <w:tc>
          <w:tcPr>
            <w:tcW w:w="96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 xml:space="preserve">Valoare de referință </w:t>
            </w:r>
          </w:p>
        </w:tc>
        <w:tc>
          <w:tcPr>
            <w:tcW w:w="960"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 xml:space="preserve">Obiectiv </w:t>
            </w:r>
          </w:p>
        </w:tc>
        <w:tc>
          <w:tcPr>
            <w:tcW w:w="737"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Un sfert</w:t>
            </w:r>
          </w:p>
        </w:tc>
        <w:tc>
          <w:tcPr>
            <w:tcW w:w="1063" w:type="dxa"/>
            <w:tcBorders>
              <w:top w:val="nil"/>
              <w:left w:val="nil"/>
              <w:bottom w:val="single" w:sz="4" w:space="0" w:color="auto"/>
              <w:right w:val="single" w:sz="4" w:space="0" w:color="auto"/>
            </w:tcBorders>
            <w:shd w:val="clear" w:color="auto" w:fill="BDD7EE"/>
            <w:vAlign w:val="center"/>
            <w:hideMark/>
          </w:tcPr>
          <w:p w:rsidR="00780A28" w:rsidRDefault="001867D7">
            <w:pPr>
              <w:spacing w:after="0" w:line="240" w:lineRule="auto"/>
              <w:rPr>
                <w:rFonts w:ascii="Times New Roman" w:eastAsia="Times New Roman" w:hAnsi="Times New Roman" w:cs="Times New Roman"/>
                <w:b/>
                <w:noProof/>
                <w:sz w:val="18"/>
                <w:szCs w:val="18"/>
              </w:rPr>
            </w:pPr>
            <w:r>
              <w:rPr>
                <w:rFonts w:ascii="Times New Roman" w:hAnsi="Times New Roman"/>
                <w:b/>
                <w:noProof/>
                <w:sz w:val="18"/>
                <w:szCs w:val="18"/>
              </w:rPr>
              <w:t>Anul</w:t>
            </w:r>
          </w:p>
        </w:tc>
        <w:tc>
          <w:tcPr>
            <w:tcW w:w="5315" w:type="dxa"/>
            <w:vMerge/>
            <w:tcBorders>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24"/>
                <w:szCs w:val="24"/>
                <w:lang w:eastAsia="en-GB"/>
              </w:rPr>
            </w:pPr>
          </w:p>
        </w:tc>
      </w:tr>
      <w:tr w:rsidR="00780A28">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rPr>
              <w:t>320</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4.7. Îmbunătățirea competitivității și promovarea investițiilor private și a exporturilor — facilitatea de împrumut 16980_RRP</w:t>
            </w:r>
          </w:p>
        </w:tc>
        <w:tc>
          <w:tcPr>
            <w:tcW w:w="109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8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Acorduri operaționale cu IFI</w:t>
            </w:r>
          </w:p>
        </w:tc>
        <w:tc>
          <w:tcPr>
            <w:tcW w:w="12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Semnarea acordului </w:t>
            </w:r>
            <w:r>
              <w:rPr>
                <w:noProof/>
                <w:color w:val="006100"/>
                <w:sz w:val="18"/>
                <w:szCs w:val="18"/>
              </w:rPr>
              <w:t>operațional cu o Instituție Financiară Internațională</w:t>
            </w:r>
          </w:p>
        </w:tc>
        <w:tc>
          <w:tcPr>
            <w:tcW w:w="95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106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53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Semnarea acordurilor operaționale dintre Ministerul Finanțelor și cel puțin o Instituție Financiară Internațională, inclusiv:</w:t>
            </w:r>
          </w:p>
          <w:p w:rsidR="00780A28" w:rsidRDefault="001867D7">
            <w:pPr>
              <w:spacing w:after="0" w:line="240" w:lineRule="auto"/>
              <w:rPr>
                <w:rFonts w:eastAsia="Times New Roman" w:cs="Calibri"/>
                <w:noProof/>
                <w:color w:val="006100"/>
                <w:sz w:val="18"/>
                <w:szCs w:val="18"/>
              </w:rPr>
            </w:pPr>
            <w:r>
              <w:rPr>
                <w:noProof/>
                <w:color w:val="006100"/>
                <w:sz w:val="18"/>
                <w:szCs w:val="18"/>
              </w:rPr>
              <w:t>(a) Criterii de selecție pentru conformitatea activităților sprij</w:t>
            </w:r>
            <w:r>
              <w:rPr>
                <w:noProof/>
                <w:color w:val="006100"/>
                <w:sz w:val="18"/>
                <w:szCs w:val="18"/>
              </w:rPr>
              <w:t>inite cu Orientările tehnice bazate pe principiul de „a nu aduce prejudicii semnificative”(2021/C58/01), care impun utilizarea unei evaluări a durabilității, a unei liste de excludere și a unor verificări obligatorii ale conformității juridice cu legislați</w:t>
            </w:r>
            <w:r>
              <w:rPr>
                <w:noProof/>
                <w:color w:val="006100"/>
                <w:sz w:val="18"/>
                <w:szCs w:val="18"/>
              </w:rPr>
              <w:t>a UE și națională relevantă în materie de mediu de către un auditor independent.</w:t>
            </w:r>
          </w:p>
          <w:p w:rsidR="00780A28" w:rsidRDefault="001867D7">
            <w:pPr>
              <w:spacing w:after="0" w:line="240" w:lineRule="auto"/>
              <w:rPr>
                <w:rFonts w:eastAsia="Times New Roman" w:cs="Calibri"/>
                <w:noProof/>
                <w:color w:val="006100"/>
                <w:sz w:val="18"/>
                <w:szCs w:val="18"/>
              </w:rPr>
            </w:pPr>
            <w:r>
              <w:rPr>
                <w:noProof/>
                <w:color w:val="006100"/>
                <w:sz w:val="18"/>
                <w:szCs w:val="18"/>
              </w:rPr>
              <w:t>b) angajamentul de a investi cel puțin 38,5 % din fonduri pentru a sprijini tranziția climatică și 20,8 % din fonduri pentru sprijinirea tranziției digitale, utilizând metodol</w:t>
            </w:r>
            <w:r>
              <w:rPr>
                <w:noProof/>
                <w:color w:val="006100"/>
                <w:sz w:val="18"/>
                <w:szCs w:val="18"/>
              </w:rPr>
              <w:t>ogia din anexele VI și VII la Regulamentul privind Mecanismul de redresare și reziliență.</w:t>
            </w:r>
          </w:p>
        </w:tc>
      </w:tr>
      <w:tr w:rsidR="00780A28">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rPr>
              <w:t>321</w:t>
            </w:r>
          </w:p>
        </w:tc>
        <w:tc>
          <w:tcPr>
            <w:tcW w:w="1276"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4.7. Îmbunătățirea competitivității și promovarea investițiilor private și a exporturilor — facilitatea de împrumut 16980_RRP</w:t>
            </w:r>
          </w:p>
        </w:tc>
        <w:tc>
          <w:tcPr>
            <w:tcW w:w="109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889"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Lansarea cererii de propuneri</w:t>
            </w:r>
            <w:r>
              <w:rPr>
                <w:noProof/>
                <w:color w:val="006100"/>
                <w:sz w:val="18"/>
                <w:szCs w:val="18"/>
              </w:rPr>
              <w:t xml:space="preserve"> a băncilor comerciale</w:t>
            </w:r>
          </w:p>
        </w:tc>
        <w:tc>
          <w:tcPr>
            <w:tcW w:w="1210"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Lansarea cererii de propuneri</w:t>
            </w:r>
          </w:p>
        </w:tc>
        <w:tc>
          <w:tcPr>
            <w:tcW w:w="953"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737"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Q3</w:t>
            </w:r>
          </w:p>
        </w:tc>
        <w:tc>
          <w:tcPr>
            <w:tcW w:w="1063"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2021</w:t>
            </w:r>
          </w:p>
        </w:tc>
        <w:tc>
          <w:tcPr>
            <w:tcW w:w="5315" w:type="dxa"/>
            <w:tcBorders>
              <w:top w:val="nil"/>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Lansarea unei cereri de propuneri pentru selectarea băncilor comerciale, inclusiv:</w:t>
            </w:r>
          </w:p>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 Criterii de selecție pentru conformitatea activităților sprijinite cu Orientările tehnice bazate pe </w:t>
            </w:r>
            <w:r>
              <w:rPr>
                <w:noProof/>
                <w:color w:val="006100"/>
                <w:sz w:val="18"/>
                <w:szCs w:val="18"/>
              </w:rPr>
              <w:t xml:space="preserve">principiul de „a nu aduce prejudicii semnificative”(2021/C58/01), care impun utilizarea unei evaluări a durabilității, a unei liste de excludere și a unor verificări obligatorii ale conformității juridice cu legislația UE și națională relevantă în materie </w:t>
            </w:r>
            <w:r>
              <w:rPr>
                <w:noProof/>
                <w:color w:val="006100"/>
                <w:sz w:val="18"/>
                <w:szCs w:val="18"/>
              </w:rPr>
              <w:t>de mediu de către un auditor independent.</w:t>
            </w:r>
          </w:p>
          <w:p w:rsidR="00780A28" w:rsidRDefault="001867D7">
            <w:pPr>
              <w:spacing w:after="0" w:line="240" w:lineRule="auto"/>
              <w:rPr>
                <w:rFonts w:eastAsia="Times New Roman" w:cs="Calibri"/>
                <w:noProof/>
                <w:color w:val="006100"/>
                <w:sz w:val="18"/>
                <w:szCs w:val="18"/>
              </w:rPr>
            </w:pPr>
            <w:r>
              <w:rPr>
                <w:noProof/>
                <w:color w:val="006100"/>
                <w:sz w:val="18"/>
                <w:szCs w:val="18"/>
              </w:rPr>
              <w:t>b) angajamentul de a investi cel puțin 38,5 % din fonduri pentru a sprijini tranziția climatică și 20,8 % din fonduri pentru sprijinirea tranziției digitale, utilizând metodologia din anexele VI și VII la Regulamen</w:t>
            </w:r>
            <w:r>
              <w:rPr>
                <w:noProof/>
                <w:color w:val="006100"/>
                <w:sz w:val="18"/>
                <w:szCs w:val="18"/>
              </w:rPr>
              <w:t>tul privind Mecanismul de redresare și reziliență.</w:t>
            </w:r>
          </w:p>
        </w:tc>
      </w:tr>
      <w:tr w:rsidR="00780A28">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rPr>
            </w:pPr>
            <w:r>
              <w:rPr>
                <w:noProof/>
                <w:color w:val="006100"/>
              </w:rPr>
              <w:t> 322</w:t>
            </w:r>
          </w:p>
        </w:tc>
        <w:tc>
          <w:tcPr>
            <w:tcW w:w="127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4.7. Îmbunătățirea competitivității și promovarea investițiilor private și a exporturilor — facilitatea de împrumut 16980_RRP</w:t>
            </w:r>
          </w:p>
        </w:tc>
        <w:tc>
          <w:tcPr>
            <w:tcW w:w="109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88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Acord pentru platforma de capitaluri proprii</w:t>
            </w:r>
          </w:p>
        </w:tc>
        <w:tc>
          <w:tcPr>
            <w:tcW w:w="121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Acord de mandat </w:t>
            </w:r>
            <w:r>
              <w:rPr>
                <w:noProof/>
                <w:color w:val="006100"/>
                <w:sz w:val="18"/>
                <w:szCs w:val="18"/>
              </w:rPr>
              <w:t>semnat</w:t>
            </w:r>
          </w:p>
        </w:tc>
        <w:tc>
          <w:tcPr>
            <w:tcW w:w="953"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73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106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31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Semnarea acordului de mandat dintre Ministerul de Finanțe și Banca Elenă de Dezvoltare pentru Investiții, care gestionează fondul de fonduri de tip Mezzanine și Innovate Now Equifund. Acordul de mandat include criteriile de selecție </w:t>
            </w:r>
            <w:r>
              <w:rPr>
                <w:noProof/>
                <w:color w:val="006100"/>
                <w:sz w:val="18"/>
                <w:szCs w:val="18"/>
              </w:rPr>
              <w:t>pentru conformitatea cu Orientările tehnice bazate pe principiul de „a nu aduce prejudicii semnificative” (2021/C58/01), solicitând utilizarea unei evaluări a durabilității, o listă de excludere și verificări obligatorii ale conformității juridice cu legis</w:t>
            </w:r>
            <w:r>
              <w:rPr>
                <w:noProof/>
                <w:color w:val="006100"/>
                <w:sz w:val="18"/>
                <w:szCs w:val="18"/>
              </w:rPr>
              <w:t>lația UE și națională relevantă în materie de mediu de către un auditor independent.</w:t>
            </w:r>
          </w:p>
        </w:tc>
      </w:tr>
      <w:tr w:rsidR="00780A28">
        <w:trPr>
          <w:trHeight w:val="313"/>
          <w:jc w:val="center"/>
        </w:trPr>
        <w:tc>
          <w:tcPr>
            <w:tcW w:w="1413" w:type="dxa"/>
            <w:tcBorders>
              <w:top w:val="nil"/>
              <w:left w:val="single" w:sz="4" w:space="0" w:color="auto"/>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rPr>
            </w:pPr>
            <w:r>
              <w:rPr>
                <w:noProof/>
                <w:color w:val="006100"/>
              </w:rPr>
              <w:t> 323</w:t>
            </w:r>
          </w:p>
        </w:tc>
        <w:tc>
          <w:tcPr>
            <w:tcW w:w="1276"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 4.7. Îmbunătățirea competitivității și promovarea investițiilor private și a exporturilor — facilitatea de împrumut 16980_RRP</w:t>
            </w:r>
          </w:p>
        </w:tc>
        <w:tc>
          <w:tcPr>
            <w:tcW w:w="109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Jalon</w:t>
            </w:r>
          </w:p>
        </w:tc>
        <w:tc>
          <w:tcPr>
            <w:tcW w:w="889"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Acordul de contribuție InvestEU</w:t>
            </w:r>
          </w:p>
        </w:tc>
        <w:tc>
          <w:tcPr>
            <w:tcW w:w="1210"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Acord de contribuție semnat</w:t>
            </w:r>
          </w:p>
        </w:tc>
        <w:tc>
          <w:tcPr>
            <w:tcW w:w="953"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960" w:type="dxa"/>
            <w:tcBorders>
              <w:top w:val="nil"/>
              <w:left w:val="nil"/>
              <w:bottom w:val="single" w:sz="4" w:space="0" w:color="auto"/>
              <w:right w:val="single" w:sz="4" w:space="0" w:color="auto"/>
            </w:tcBorders>
            <w:shd w:val="clear" w:color="auto" w:fill="C6EFCE"/>
            <w:noWrap/>
            <w:hideMark/>
          </w:tcPr>
          <w:p w:rsidR="00780A28" w:rsidRDefault="00780A28">
            <w:pPr>
              <w:spacing w:after="0" w:line="240" w:lineRule="auto"/>
              <w:rPr>
                <w:rFonts w:eastAsia="Times New Roman" w:cs="Calibri"/>
                <w:noProof/>
                <w:color w:val="006100"/>
                <w:sz w:val="18"/>
                <w:szCs w:val="18"/>
                <w:lang w:eastAsia="en-GB"/>
              </w:rPr>
            </w:pPr>
          </w:p>
        </w:tc>
        <w:tc>
          <w:tcPr>
            <w:tcW w:w="737"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Q1</w:t>
            </w:r>
          </w:p>
        </w:tc>
        <w:tc>
          <w:tcPr>
            <w:tcW w:w="1063"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315" w:type="dxa"/>
            <w:tcBorders>
              <w:top w:val="nil"/>
              <w:left w:val="nil"/>
              <w:bottom w:val="single" w:sz="4" w:space="0" w:color="auto"/>
              <w:right w:val="single" w:sz="4" w:space="0" w:color="auto"/>
            </w:tcBorders>
            <w:shd w:val="clear" w:color="auto" w:fill="C6EFCE"/>
            <w:noWrap/>
            <w:hideMark/>
          </w:tcPr>
          <w:p w:rsidR="00780A28" w:rsidRDefault="001867D7">
            <w:pPr>
              <w:spacing w:after="0" w:line="240" w:lineRule="auto"/>
              <w:rPr>
                <w:rFonts w:eastAsia="Times New Roman" w:cs="Calibri"/>
                <w:noProof/>
                <w:color w:val="006100"/>
                <w:sz w:val="18"/>
                <w:szCs w:val="18"/>
              </w:rPr>
            </w:pPr>
            <w:r>
              <w:rPr>
                <w:noProof/>
                <w:color w:val="006100"/>
                <w:sz w:val="18"/>
                <w:szCs w:val="18"/>
              </w:rPr>
              <w:t>Semnarea Acordului privind contribuția InvestEU între Ministerul de Finanțe și Comisia Europeană, inclusiv:</w:t>
            </w:r>
          </w:p>
          <w:p w:rsidR="00780A28" w:rsidRDefault="001867D7">
            <w:pPr>
              <w:spacing w:after="0" w:line="240" w:lineRule="auto"/>
              <w:rPr>
                <w:rFonts w:eastAsia="Times New Roman" w:cs="Calibri"/>
                <w:noProof/>
                <w:color w:val="006100"/>
                <w:sz w:val="18"/>
                <w:szCs w:val="18"/>
              </w:rPr>
            </w:pPr>
            <w:r>
              <w:rPr>
                <w:noProof/>
                <w:color w:val="006100"/>
                <w:sz w:val="18"/>
                <w:szCs w:val="18"/>
              </w:rPr>
              <w:t>a) criteriile de selecție pentru conformitatea cu Orientările tehnice bazate pe principiul de „a nu aduce pre</w:t>
            </w:r>
            <w:r>
              <w:rPr>
                <w:noProof/>
                <w:color w:val="006100"/>
                <w:sz w:val="18"/>
                <w:szCs w:val="18"/>
              </w:rPr>
              <w:t>judicii semnificative”(2021/C58/01) ale întreprinderilor care beneficiază de sprijin, care impun utilizarea unei evaluări a durabilității, a unei liste de excludere și a unor verificări obligatorii ale conformității juridice cu legislația UE și națională r</w:t>
            </w:r>
            <w:r>
              <w:rPr>
                <w:noProof/>
                <w:color w:val="006100"/>
                <w:sz w:val="18"/>
                <w:szCs w:val="18"/>
              </w:rPr>
              <w:t>elevantă în materie de mediu de către un auditor independent.</w:t>
            </w:r>
          </w:p>
          <w:p w:rsidR="00780A28" w:rsidRDefault="001867D7">
            <w:pPr>
              <w:spacing w:after="0" w:line="240" w:lineRule="auto"/>
              <w:rPr>
                <w:rFonts w:eastAsia="Times New Roman" w:cs="Calibri"/>
                <w:noProof/>
                <w:color w:val="006100"/>
                <w:sz w:val="18"/>
                <w:szCs w:val="18"/>
              </w:rPr>
            </w:pPr>
            <w:r>
              <w:rPr>
                <w:noProof/>
                <w:color w:val="006100"/>
                <w:sz w:val="18"/>
                <w:szCs w:val="18"/>
              </w:rPr>
              <w:t>b) angajamentul de a investi cel puțin 38,5 % din fonduri pentru a sprijini tranziția climatică și 20,8 % din fonduri pentru sprijinirea tranziției digitale, utilizând metodologia din anexele VI</w:t>
            </w:r>
            <w:r>
              <w:rPr>
                <w:noProof/>
                <w:color w:val="006100"/>
                <w:sz w:val="18"/>
                <w:szCs w:val="18"/>
              </w:rPr>
              <w:t xml:space="preserve"> și VII la Regulamentul privind Mecanismul de redresare și reziliență.</w:t>
            </w:r>
          </w:p>
        </w:tc>
      </w:tr>
      <w:tr w:rsidR="00780A28">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rPr>
              <w:t>324</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sz w:val="18"/>
                <w:szCs w:val="18"/>
              </w:rPr>
              <w:t>4.7. Îmbunătățirea competitivității și promovarea investițiilor private și a exporturilor — facilitatea de împrumut 16980_RRP</w:t>
            </w:r>
          </w:p>
        </w:tc>
        <w:tc>
          <w:tcPr>
            <w:tcW w:w="109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8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586,4 milioane EUR de fonduri ale instituțiilor </w:t>
            </w:r>
            <w:r>
              <w:rPr>
                <w:noProof/>
                <w:color w:val="006100"/>
                <w:sz w:val="18"/>
                <w:szCs w:val="18"/>
              </w:rPr>
              <w:t>financiare semnate cu beneficiarii finali</w:t>
            </w:r>
          </w:p>
        </w:tc>
        <w:tc>
          <w:tcPr>
            <w:tcW w:w="121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Procentajul fondurilor semnate</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w:t>
            </w:r>
          </w:p>
        </w:tc>
        <w:tc>
          <w:tcPr>
            <w:tcW w:w="73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2022</w:t>
            </w:r>
          </w:p>
        </w:tc>
        <w:tc>
          <w:tcPr>
            <w:tcW w:w="53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Au fost semnate cu beneficiarii finali 586,4 milioane EUR (inclusiv comisioanele de administrare) din fondurile facilității de împrumut din cadrul Mecanismului de </w:t>
            </w:r>
            <w:r>
              <w:rPr>
                <w:noProof/>
                <w:color w:val="006100"/>
                <w:sz w:val="18"/>
                <w:szCs w:val="18"/>
              </w:rPr>
              <w:t>redresare și reziliență pentru instituțiile financiare internaționale și băncile comerciale, în conformitate cu mandatul definit în etapa de referință și în urma verificării ex ante de către auditori independenți a respectării Orientărilor tehnice bazate p</w:t>
            </w:r>
            <w:r>
              <w:rPr>
                <w:noProof/>
                <w:color w:val="006100"/>
                <w:sz w:val="18"/>
                <w:szCs w:val="18"/>
              </w:rPr>
              <w:t>e principiul de „a nu aduce prejudicii semnificative” (2021/C58/01) și a obiectivului privind clima de 38,5 % și a obiectivului digital de 20,8 %.</w:t>
            </w:r>
          </w:p>
        </w:tc>
      </w:tr>
      <w:tr w:rsidR="00780A28">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rPr>
              <w:t>325</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sz w:val="18"/>
                <w:szCs w:val="18"/>
              </w:rPr>
              <w:t xml:space="preserve">4.7. Îmbunătățirea competitivității și promovarea investițiilor private și a exporturilor — facilitatea </w:t>
            </w:r>
            <w:r>
              <w:rPr>
                <w:noProof/>
                <w:color w:val="006100"/>
                <w:sz w:val="18"/>
                <w:szCs w:val="18"/>
              </w:rPr>
              <w:t>de împrumut 16980_RRP</w:t>
            </w:r>
          </w:p>
        </w:tc>
        <w:tc>
          <w:tcPr>
            <w:tcW w:w="109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8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3518,4 milioane EUR de fonduri ale instituțiilor financiare semnate cu beneficiarii finali</w:t>
            </w:r>
          </w:p>
        </w:tc>
        <w:tc>
          <w:tcPr>
            <w:tcW w:w="121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Procentajul fondurilor semnate</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w:t>
            </w:r>
          </w:p>
        </w:tc>
        <w:tc>
          <w:tcPr>
            <w:tcW w:w="73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2023</w:t>
            </w:r>
          </w:p>
        </w:tc>
        <w:tc>
          <w:tcPr>
            <w:tcW w:w="53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Au fost semnate cu beneficiarii finali 3518,4 milioane EUR (inclusiv comisioanele de </w:t>
            </w:r>
            <w:r>
              <w:rPr>
                <w:noProof/>
                <w:color w:val="006100"/>
                <w:sz w:val="18"/>
                <w:szCs w:val="18"/>
              </w:rPr>
              <w:t xml:space="preserve">administrare) din fondurile facilității de împrumut din cadrul Mecanismului de redresare și reziliență pentru instituțiile financiare internaționale și băncile comerciale, în conformitate cu mandatul definit în etapa de referință și în urma verificării ex </w:t>
            </w:r>
            <w:r>
              <w:rPr>
                <w:noProof/>
                <w:color w:val="006100"/>
                <w:sz w:val="18"/>
                <w:szCs w:val="18"/>
              </w:rPr>
              <w:t>ante de către auditori independenți a respectării Orientărilor tehnice bazate pe principiul de „a nu aduce prejudicii semnificative” (2021/C58/01) și a obiectivului privind clima de 38,5 % și a obiectivului digital de 20,8 %.</w:t>
            </w:r>
          </w:p>
        </w:tc>
      </w:tr>
      <w:tr w:rsidR="00780A28">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rPr>
              <w:t>326</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sz w:val="18"/>
                <w:szCs w:val="18"/>
              </w:rPr>
              <w:t xml:space="preserve">4.7. Îmbunătățirea </w:t>
            </w:r>
            <w:r>
              <w:rPr>
                <w:noProof/>
                <w:color w:val="006100"/>
                <w:sz w:val="18"/>
                <w:szCs w:val="18"/>
              </w:rPr>
              <w:t>competitivității și promovarea investițiilor private și a exporturilor — facilitatea de împrumut 16980_RRP</w:t>
            </w:r>
          </w:p>
        </w:tc>
        <w:tc>
          <w:tcPr>
            <w:tcW w:w="109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8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5864 milioane EUR de fonduri ale instituțiilor financiare semnate cu beneficiarii finali</w:t>
            </w:r>
          </w:p>
        </w:tc>
        <w:tc>
          <w:tcPr>
            <w:tcW w:w="1210"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Procentajul fondurilor semnate</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30</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50</w:t>
            </w:r>
          </w:p>
        </w:tc>
        <w:tc>
          <w:tcPr>
            <w:tcW w:w="73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2024</w:t>
            </w:r>
          </w:p>
        </w:tc>
        <w:tc>
          <w:tcPr>
            <w:tcW w:w="53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Au fost </w:t>
            </w:r>
            <w:r>
              <w:rPr>
                <w:noProof/>
                <w:color w:val="006100"/>
                <w:sz w:val="18"/>
                <w:szCs w:val="18"/>
              </w:rPr>
              <w:t>semnate cu beneficiarii finali 5864 milioane EUR (inclusiv comisioanele de administrare) din fondurile facilității de împrumut din cadrul Mecanismului de redresare și reziliență pentru instituțiile financiare internaționale și băncile comerciale, în confor</w:t>
            </w:r>
            <w:r>
              <w:rPr>
                <w:noProof/>
                <w:color w:val="006100"/>
                <w:sz w:val="18"/>
                <w:szCs w:val="18"/>
              </w:rPr>
              <w:t>mitate cu mandatul definit în etapa de referință și în urma verificării ex ante de către auditori independenți a respectării Orientărilor tehnice bazate pe principiul de „a nu aduce prejudicii semnificative” (2021/C58/01) și a obiectivului privind clima de</w:t>
            </w:r>
            <w:r>
              <w:rPr>
                <w:noProof/>
                <w:color w:val="006100"/>
                <w:sz w:val="18"/>
                <w:szCs w:val="18"/>
              </w:rPr>
              <w:t xml:space="preserve"> 38,5 % și a obiectivului digital de 20,8 %.</w:t>
            </w:r>
          </w:p>
        </w:tc>
      </w:tr>
      <w:tr w:rsidR="00780A28">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rPr>
              <w:t>327</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4.7. Îmbunătățirea competitivității și promovarea investițiilor private și a exporturilor — facilitatea de împrumut 16980_RRP</w:t>
            </w:r>
          </w:p>
        </w:tc>
        <w:tc>
          <w:tcPr>
            <w:tcW w:w="109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8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9382,4 milioane EUR de fonduri ale instituțiilor financiare semnate cu </w:t>
            </w:r>
            <w:r>
              <w:rPr>
                <w:noProof/>
                <w:color w:val="006100"/>
                <w:sz w:val="18"/>
                <w:szCs w:val="18"/>
              </w:rPr>
              <w:t>beneficiarii finali</w:t>
            </w:r>
          </w:p>
        </w:tc>
        <w:tc>
          <w:tcPr>
            <w:tcW w:w="1210" w:type="dxa"/>
            <w:tcBorders>
              <w:top w:val="single" w:sz="4" w:space="0" w:color="auto"/>
              <w:left w:val="nil"/>
              <w:bottom w:val="single" w:sz="4" w:space="0" w:color="auto"/>
              <w:right w:val="single" w:sz="4" w:space="0" w:color="auto"/>
            </w:tcBorders>
            <w:shd w:val="clear" w:color="auto" w:fill="C6EFCE"/>
          </w:tcPr>
          <w:p w:rsidR="00780A28" w:rsidRDefault="00780A28">
            <w:pPr>
              <w:spacing w:after="0" w:line="240" w:lineRule="auto"/>
              <w:rPr>
                <w:rFonts w:eastAsia="Times New Roman" w:cs="Calibri"/>
                <w:noProof/>
                <w:color w:val="006100"/>
                <w:sz w:val="18"/>
                <w:szCs w:val="18"/>
                <w:lang w:eastAsia="en-GB"/>
              </w:rPr>
            </w:pPr>
          </w:p>
        </w:tc>
        <w:tc>
          <w:tcPr>
            <w:tcW w:w="9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Procentajul fondurilor semnate</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50</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80</w:t>
            </w:r>
          </w:p>
        </w:tc>
        <w:tc>
          <w:tcPr>
            <w:tcW w:w="73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Q4</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2025</w:t>
            </w:r>
          </w:p>
        </w:tc>
        <w:tc>
          <w:tcPr>
            <w:tcW w:w="53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Au fost semnate cu beneficiarii finali 9382,4 milioane EUR (inclusiv comisioanele de administrare) din fondurile facilității de împrumut din cadrul Mecanismului de redresare și reziliență </w:t>
            </w:r>
            <w:r>
              <w:rPr>
                <w:noProof/>
                <w:color w:val="006100"/>
                <w:sz w:val="18"/>
                <w:szCs w:val="18"/>
              </w:rPr>
              <w:t>pentru instituțiile financiare internaționale și băncile comerciale, în conformitate cu mandatul definit în etapa de referință și în urma verificării ex ante de către auditori independenți a respectării Orientărilor tehnice bazate pe principiul de „a nu ad</w:t>
            </w:r>
            <w:r>
              <w:rPr>
                <w:noProof/>
                <w:color w:val="006100"/>
                <w:sz w:val="18"/>
                <w:szCs w:val="18"/>
              </w:rPr>
              <w:t>uce prejudicii semnificative” (2021/C58/01) și a obiectivului privind clima de 38,5 % și a obiectivului digital de 20,8 %.</w:t>
            </w:r>
          </w:p>
        </w:tc>
      </w:tr>
      <w:tr w:rsidR="00780A28">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rPr>
              <w:t>328</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4.7. Îmbunătățirea competitivității și promovarea investițiilor private și a exporturilor — facilitatea de împrumut 16980_RRP</w:t>
            </w:r>
          </w:p>
        </w:tc>
        <w:tc>
          <w:tcPr>
            <w:tcW w:w="109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8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11728 milioane EUR de fonduri ale instituțiilor financiare semnate cu beneficiarii finali</w:t>
            </w:r>
          </w:p>
        </w:tc>
        <w:tc>
          <w:tcPr>
            <w:tcW w:w="1210" w:type="dxa"/>
            <w:tcBorders>
              <w:top w:val="single" w:sz="4" w:space="0" w:color="auto"/>
              <w:left w:val="nil"/>
              <w:bottom w:val="single" w:sz="4" w:space="0" w:color="auto"/>
              <w:right w:val="single" w:sz="4" w:space="0" w:color="auto"/>
            </w:tcBorders>
            <w:shd w:val="clear" w:color="auto" w:fill="C6EFCE"/>
          </w:tcPr>
          <w:p w:rsidR="00780A28" w:rsidRDefault="00780A28">
            <w:pPr>
              <w:spacing w:after="0" w:line="240" w:lineRule="auto"/>
              <w:rPr>
                <w:rFonts w:eastAsia="Times New Roman" w:cs="Calibri"/>
                <w:noProof/>
                <w:color w:val="006100"/>
                <w:sz w:val="18"/>
                <w:szCs w:val="18"/>
                <w:lang w:eastAsia="en-GB"/>
              </w:rPr>
            </w:pPr>
          </w:p>
        </w:tc>
        <w:tc>
          <w:tcPr>
            <w:tcW w:w="9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Procentajul fondurilor semnate</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80</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100</w:t>
            </w:r>
          </w:p>
        </w:tc>
        <w:tc>
          <w:tcPr>
            <w:tcW w:w="73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2026</w:t>
            </w:r>
          </w:p>
        </w:tc>
        <w:tc>
          <w:tcPr>
            <w:tcW w:w="53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Au fost semnate cu beneficiarii finali 11728 milioane EUR (inclusiv comisioanele de administrare) din fondurile f</w:t>
            </w:r>
            <w:r>
              <w:rPr>
                <w:noProof/>
                <w:color w:val="006100"/>
                <w:sz w:val="18"/>
                <w:szCs w:val="18"/>
              </w:rPr>
              <w:t>acilității de împrumut din cadrul Mecanismului de redresare și reziliență pentru instituțiile financiare internaționale și băncile comerciale, în conformitate cu mandatul definit în etapa de referință și în urma verificării ex ante de către auditori indepe</w:t>
            </w:r>
            <w:r>
              <w:rPr>
                <w:noProof/>
                <w:color w:val="006100"/>
                <w:sz w:val="18"/>
                <w:szCs w:val="18"/>
              </w:rPr>
              <w:t>ndenți a respectării Orientărilor tehnice bazate pe principiul de „a nu aduce prejudicii semnificative” (2021/C58/01) și a obiectivului privind clima de 38,5 % și a obiectivului digital de 20,8 %.</w:t>
            </w:r>
          </w:p>
        </w:tc>
      </w:tr>
      <w:tr w:rsidR="00780A28">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rPr>
              <w:t>329</w:t>
            </w:r>
          </w:p>
          <w:p w:rsidR="00780A28" w:rsidRDefault="00780A28">
            <w:pPr>
              <w:spacing w:after="0" w:line="240" w:lineRule="auto"/>
              <w:rPr>
                <w:rFonts w:eastAsia="Times New Roman" w:cs="Calibri"/>
                <w:noProof/>
                <w:color w:val="006100"/>
                <w:lang w:eastAsia="en-GB"/>
              </w:rPr>
            </w:pPr>
          </w:p>
          <w:p w:rsidR="00780A28" w:rsidRDefault="00780A28">
            <w:pPr>
              <w:jc w:val="center"/>
              <w:rPr>
                <w:rFonts w:eastAsia="Times New Roman" w:cs="Calibri"/>
                <w:noProof/>
                <w:lang w:eastAsia="en-GB"/>
              </w:rPr>
            </w:pP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4.7. Îmbunătățirea competitivității și promovarea </w:t>
            </w:r>
            <w:r>
              <w:rPr>
                <w:noProof/>
                <w:color w:val="006100"/>
                <w:sz w:val="18"/>
                <w:szCs w:val="18"/>
              </w:rPr>
              <w:t>investițiilor private și a exporturilor — facilitatea de împrumut 16980_RRP</w:t>
            </w:r>
          </w:p>
        </w:tc>
        <w:tc>
          <w:tcPr>
            <w:tcW w:w="109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8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 xml:space="preserve">Investiții de 100 % din sprijinul sub formă de capital propriu </w:t>
            </w:r>
          </w:p>
        </w:tc>
        <w:tc>
          <w:tcPr>
            <w:tcW w:w="1210" w:type="dxa"/>
            <w:tcBorders>
              <w:top w:val="single" w:sz="4" w:space="0" w:color="auto"/>
              <w:left w:val="nil"/>
              <w:bottom w:val="single" w:sz="4" w:space="0" w:color="auto"/>
              <w:right w:val="single" w:sz="4" w:space="0" w:color="auto"/>
            </w:tcBorders>
            <w:shd w:val="clear" w:color="auto" w:fill="C6EFCE"/>
          </w:tcPr>
          <w:p w:rsidR="00780A28" w:rsidRDefault="00780A28">
            <w:pPr>
              <w:spacing w:after="0" w:line="240" w:lineRule="auto"/>
              <w:rPr>
                <w:rFonts w:eastAsia="Times New Roman" w:cs="Calibri"/>
                <w:noProof/>
                <w:color w:val="006100"/>
                <w:sz w:val="18"/>
                <w:szCs w:val="18"/>
                <w:lang w:eastAsia="en-GB"/>
              </w:rPr>
            </w:pPr>
          </w:p>
        </w:tc>
        <w:tc>
          <w:tcPr>
            <w:tcW w:w="9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Procentul de sprijin sub formă de participații investit</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100</w:t>
            </w:r>
          </w:p>
        </w:tc>
        <w:tc>
          <w:tcPr>
            <w:tcW w:w="73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2026</w:t>
            </w:r>
          </w:p>
        </w:tc>
        <w:tc>
          <w:tcPr>
            <w:tcW w:w="53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highlight w:val="yellow"/>
              </w:rPr>
            </w:pPr>
            <w:r>
              <w:rPr>
                <w:noProof/>
                <w:color w:val="006100"/>
                <w:sz w:val="18"/>
                <w:szCs w:val="18"/>
              </w:rPr>
              <w:t xml:space="preserve">Investiții de 100 % din sprijinul sub </w:t>
            </w:r>
            <w:r>
              <w:rPr>
                <w:noProof/>
                <w:color w:val="006100"/>
                <w:sz w:val="18"/>
                <w:szCs w:val="18"/>
              </w:rPr>
              <w:t>formă de capital propriu, în conformitate cu acordul de mandat definit în jalon, care include criteriile de selecție pentru conformitatea cuOrientările tehnice bazate pe principiul de „a nu aduce prejudicii semnificative” (2021/C58/01) ale întreprinderilor</w:t>
            </w:r>
            <w:r>
              <w:rPr>
                <w:noProof/>
                <w:color w:val="006100"/>
                <w:sz w:val="18"/>
                <w:szCs w:val="18"/>
              </w:rPr>
              <w:t xml:space="preserve"> care beneficiază de sprijin, care impun utilizarea unei evaluări a durabilității, a unei liste de excludere și a unor verificări obligatorii ale conformității juridice cu legislația UE și națională relevantă în materie de mediu de către un auditor indepen</w:t>
            </w:r>
            <w:r>
              <w:rPr>
                <w:noProof/>
                <w:color w:val="006100"/>
                <w:sz w:val="18"/>
                <w:szCs w:val="18"/>
              </w:rPr>
              <w:t>dent.</w:t>
            </w:r>
          </w:p>
        </w:tc>
      </w:tr>
      <w:tr w:rsidR="00780A28">
        <w:trPr>
          <w:trHeight w:val="313"/>
          <w:jc w:val="center"/>
        </w:trPr>
        <w:tc>
          <w:tcPr>
            <w:tcW w:w="1413"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rPr>
            </w:pPr>
            <w:r>
              <w:rPr>
                <w:noProof/>
                <w:color w:val="006100"/>
              </w:rPr>
              <w:t>330</w:t>
            </w:r>
          </w:p>
        </w:tc>
        <w:tc>
          <w:tcPr>
            <w:tcW w:w="127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4.7. Îmbunătățirea competitivității și promovarea investițiilor private și a exporturilor — facilitatea de împrumut 16980_RRP</w:t>
            </w:r>
          </w:p>
        </w:tc>
        <w:tc>
          <w:tcPr>
            <w:tcW w:w="109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Ț</w:t>
            </w:r>
            <w:r>
              <w:rPr>
                <w:noProof/>
                <w:color w:val="006100"/>
                <w:sz w:val="18"/>
                <w:szCs w:val="18"/>
              </w:rPr>
              <w:t>intă</w:t>
            </w:r>
          </w:p>
        </w:tc>
        <w:tc>
          <w:tcPr>
            <w:tcW w:w="889"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Aprobarea operațiunilor de către InvestEU</w:t>
            </w:r>
          </w:p>
        </w:tc>
        <w:tc>
          <w:tcPr>
            <w:tcW w:w="1210" w:type="dxa"/>
            <w:tcBorders>
              <w:top w:val="single" w:sz="4" w:space="0" w:color="auto"/>
              <w:left w:val="nil"/>
              <w:bottom w:val="single" w:sz="4" w:space="0" w:color="auto"/>
              <w:right w:val="single" w:sz="4" w:space="0" w:color="auto"/>
            </w:tcBorders>
            <w:shd w:val="clear" w:color="auto" w:fill="C6EFCE"/>
          </w:tcPr>
          <w:p w:rsidR="00780A28" w:rsidRDefault="00780A28">
            <w:pPr>
              <w:spacing w:after="0" w:line="240" w:lineRule="auto"/>
              <w:rPr>
                <w:rFonts w:eastAsia="Times New Roman" w:cs="Calibri"/>
                <w:noProof/>
                <w:color w:val="006100"/>
                <w:sz w:val="18"/>
                <w:szCs w:val="18"/>
                <w:lang w:eastAsia="en-GB"/>
              </w:rPr>
            </w:pPr>
          </w:p>
        </w:tc>
        <w:tc>
          <w:tcPr>
            <w:tcW w:w="95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Procentul operațiunilor de investiții aprobate</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0</w:t>
            </w:r>
          </w:p>
        </w:tc>
        <w:tc>
          <w:tcPr>
            <w:tcW w:w="960"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100</w:t>
            </w:r>
          </w:p>
        </w:tc>
        <w:tc>
          <w:tcPr>
            <w:tcW w:w="73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Q2</w:t>
            </w:r>
          </w:p>
        </w:tc>
        <w:tc>
          <w:tcPr>
            <w:tcW w:w="10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2026</w:t>
            </w:r>
          </w:p>
        </w:tc>
        <w:tc>
          <w:tcPr>
            <w:tcW w:w="531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Comitetul</w:t>
            </w:r>
            <w:r>
              <w:rPr>
                <w:noProof/>
                <w:color w:val="006100"/>
                <w:sz w:val="18"/>
                <w:szCs w:val="18"/>
              </w:rPr>
              <w:t xml:space="preserve"> pentru investiții al InvestEU aprobă operațiuni de investiții care se ridică la 100 % din cuantumul total al finanțării vizate (sau al investițiilor mobilizate) în conformitate cu obiectivul privind clima de 38,5 % și cu obiectivul digital de 20,8 %.</w:t>
            </w:r>
          </w:p>
        </w:tc>
      </w:tr>
    </w:tbl>
    <w:p w:rsidR="00780A28" w:rsidRDefault="00780A28">
      <w:pPr>
        <w:spacing w:before="120" w:after="120" w:line="240" w:lineRule="auto"/>
        <w:jc w:val="both"/>
        <w:rPr>
          <w:rFonts w:ascii="Times New Roman" w:hAnsi="Times New Roman" w:cs="Times New Roman"/>
          <w:noProof/>
          <w:sz w:val="24"/>
        </w:rPr>
        <w:sectPr w:rsidR="00780A28">
          <w:headerReference w:type="even" r:id="rId311"/>
          <w:headerReference w:type="default" r:id="rId312"/>
          <w:footerReference w:type="even" r:id="rId313"/>
          <w:footerReference w:type="default" r:id="rId314"/>
          <w:headerReference w:type="first" r:id="rId315"/>
          <w:footerReference w:type="first" r:id="rId316"/>
          <w:pgSz w:w="16839" w:h="11907" w:orient="landscape"/>
          <w:pgMar w:top="720" w:right="720" w:bottom="720" w:left="720" w:header="709" w:footer="709" w:gutter="0"/>
          <w:cols w:space="720"/>
          <w:docGrid w:linePitch="360"/>
        </w:sectPr>
      </w:pPr>
    </w:p>
    <w:p w:rsidR="00780A28" w:rsidRDefault="001867D7">
      <w:pPr>
        <w:spacing w:before="120" w:after="120" w:line="240" w:lineRule="auto"/>
        <w:ind w:firstLine="6"/>
        <w:jc w:val="both"/>
        <w:outlineLvl w:val="3"/>
        <w:rPr>
          <w:rFonts w:ascii="Times New Roman" w:hAnsi="Times New Roman" w:cs="Times New Roman"/>
          <w:b/>
          <w:bCs/>
          <w:noProof/>
          <w:sz w:val="24"/>
        </w:rPr>
      </w:pPr>
      <w:r>
        <w:rPr>
          <w:rFonts w:ascii="Times New Roman" w:hAnsi="Times New Roman"/>
          <w:b/>
          <w:bCs/>
          <w:noProof/>
          <w:sz w:val="24"/>
        </w:rPr>
        <w:t>S. ASISTENȚA TEHNICĂ</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Această componentă a planului de redresare și reziliență al Greciei constă în măsuri de consolidare a capacității administrative a Agenției Mecanismului de redresare și </w:t>
      </w:r>
      <w:r>
        <w:rPr>
          <w:rFonts w:ascii="Times New Roman" w:hAnsi="Times New Roman"/>
          <w:noProof/>
          <w:sz w:val="24"/>
        </w:rPr>
        <w:t>reziliență, care este structura nou-înființată dedicată exclusiv coordonării și punerii în aplicare a planului de redresare și reziliență al Greciei. Măsura vizează furnizarea asistenței necesare administrației elene pentru a ghida cu succes punerea în apl</w:t>
      </w:r>
      <w:r>
        <w:rPr>
          <w:rFonts w:ascii="Times New Roman" w:hAnsi="Times New Roman"/>
          <w:noProof/>
          <w:sz w:val="24"/>
        </w:rPr>
        <w:t>icare a PRR. Prin urmare, se preconizează că aceasta va contribui în mod indirect la obiectivele RRP, astfel cum sunt susținute de măsurile incluse în cadrul celor patru piloni, și va sprijini abordarea recomandărilor specifice fiecărei țări relevante pent</w:t>
      </w:r>
      <w:r>
        <w:rPr>
          <w:rFonts w:ascii="Times New Roman" w:hAnsi="Times New Roman"/>
          <w:noProof/>
          <w:sz w:val="24"/>
        </w:rPr>
        <w:t>ru Grecia, și anume investițiile publice și private (recomandarea specifică de țară 2 2019 și recomandarea specifică 3 2020), finanțele publice și asistența medicală (recomandarea specifică de țară 1 2020), precum și piața forței de muncă și politica socia</w:t>
      </w:r>
      <w:r>
        <w:rPr>
          <w:rFonts w:ascii="Times New Roman" w:hAnsi="Times New Roman"/>
          <w:noProof/>
          <w:sz w:val="24"/>
        </w:rPr>
        <w:t>lă (recomandarea specifică de țară 2 2020).</w:t>
      </w:r>
    </w:p>
    <w:p w:rsidR="00780A28" w:rsidRDefault="001867D7">
      <w:pPr>
        <w:spacing w:before="120" w:after="120" w:line="240" w:lineRule="auto"/>
        <w:jc w:val="both"/>
        <w:rPr>
          <w:rFonts w:ascii="Times New Roman" w:hAnsi="Times New Roman" w:cs="Times New Roman"/>
          <w:b/>
          <w:i/>
          <w:noProof/>
          <w:color w:val="4F81BD"/>
          <w:sz w:val="24"/>
        </w:rPr>
      </w:pPr>
      <w:r>
        <w:rPr>
          <w:rFonts w:ascii="Times New Roman" w:hAnsi="Times New Roman"/>
          <w:b/>
          <w:bCs/>
          <w:noProof/>
          <w:sz w:val="24"/>
          <w:u w:val="single"/>
        </w:rPr>
        <w:t xml:space="preserve">S.1. </w:t>
      </w:r>
      <w:r>
        <w:rPr>
          <w:rFonts w:ascii="Times New Roman" w:hAnsi="Times New Roman"/>
          <w:b/>
          <w:noProof/>
          <w:sz w:val="24"/>
          <w:u w:val="single"/>
        </w:rPr>
        <w:tab/>
      </w:r>
      <w:r>
        <w:rPr>
          <w:rFonts w:ascii="Times New Roman" w:hAnsi="Times New Roman"/>
          <w:b/>
          <w:bCs/>
          <w:noProof/>
          <w:sz w:val="24"/>
          <w:u w:val="single"/>
        </w:rPr>
        <w:t>Descrierea reformelor și a investițiilor pentru care se prevede acordarea sprijinului financiar nerambursabil</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b/>
          <w:bCs/>
          <w:noProof/>
          <w:sz w:val="24"/>
        </w:rPr>
        <w:t xml:space="preserve">Investiția: </w:t>
      </w:r>
      <w:r>
        <w:rPr>
          <w:rFonts w:ascii="Times New Roman" w:hAnsi="Times New Roman"/>
          <w:noProof/>
          <w:sz w:val="24"/>
        </w:rPr>
        <w:t>Asistență tehnică (numărul de identificare al măsurii:16968)</w:t>
      </w:r>
    </w:p>
    <w:p w:rsidR="00780A28" w:rsidRDefault="001867D7">
      <w:pPr>
        <w:spacing w:before="120" w:after="120" w:line="240" w:lineRule="auto"/>
        <w:jc w:val="both"/>
        <w:rPr>
          <w:rFonts w:ascii="Times New Roman" w:hAnsi="Times New Roman" w:cs="Times New Roman"/>
          <w:i/>
          <w:noProof/>
          <w:color w:val="4F81BD"/>
          <w:sz w:val="24"/>
        </w:rPr>
      </w:pPr>
      <w:r>
        <w:rPr>
          <w:rFonts w:ascii="Times New Roman" w:hAnsi="Times New Roman"/>
          <w:noProof/>
          <w:sz w:val="24"/>
        </w:rPr>
        <w:t>Investiția constă în șa</w:t>
      </w:r>
      <w:r>
        <w:rPr>
          <w:rFonts w:ascii="Times New Roman" w:hAnsi="Times New Roman"/>
          <w:noProof/>
          <w:sz w:val="24"/>
        </w:rPr>
        <w:t>se subproiecte, și anume: 1) dezvoltarea de sisteme și instrumente pentru organizarea activității, 2) achiziționarea de servicii de la auditori externi pentru a efectua audituri, inspecții și certificări în cazuri de expertiză specifică necesară și elabora</w:t>
      </w:r>
      <w:r>
        <w:rPr>
          <w:rFonts w:ascii="Times New Roman" w:hAnsi="Times New Roman"/>
          <w:noProof/>
          <w:sz w:val="24"/>
        </w:rPr>
        <w:t>rea unui cadru metodologic general pentru audituri, inspecții și certificări pentru a sprijini funcția de supraveghere a Agenției Mecanismul de redresare și reziliență în ceea ce privește punerea în aplicare a măsurilor din cadrul planului, 3) acțiuni de i</w:t>
      </w:r>
      <w:r>
        <w:rPr>
          <w:rFonts w:ascii="Times New Roman" w:hAnsi="Times New Roman"/>
          <w:noProof/>
          <w:sz w:val="24"/>
        </w:rPr>
        <w:t>nformare și publicitate cu privire la investițiile și reformele esențiale din cadrul planului, 4) efectuarea de studii și achiziționarea de expertiză externă și asistență tehnică în proiecte specializate, 5) finanțarea cheltuielilor pentru funcționarea zil</w:t>
      </w:r>
      <w:r>
        <w:rPr>
          <w:rFonts w:ascii="Times New Roman" w:hAnsi="Times New Roman"/>
          <w:noProof/>
          <w:sz w:val="24"/>
        </w:rPr>
        <w:t>nică a agenției (chiria pentru birouri, achiziționarea de echipamente de birou, acoperirea facturilor la utilități) și 6) achiziționarea de servicii de control al calității pentru proiectele de construcții publice pentru a evalua respectarea termenilor con</w:t>
      </w:r>
      <w:r>
        <w:rPr>
          <w:rFonts w:ascii="Times New Roman" w:hAnsi="Times New Roman"/>
          <w:noProof/>
          <w:sz w:val="24"/>
        </w:rPr>
        <w:t>tractelor de construcție, a reglementărilor, precum și a standardelor tehnice. Punerea în aplicare a subproiectului 3 are loc în contextul stabilirii unor practici de bună guvernanță. Acțiunile relevante devin o caracteristică integrantă și permanentă a pr</w:t>
      </w:r>
      <w:r>
        <w:rPr>
          <w:rFonts w:ascii="Times New Roman" w:hAnsi="Times New Roman"/>
          <w:noProof/>
          <w:sz w:val="24"/>
        </w:rPr>
        <w:t>ocedurii de consultare publică și sunt utilizate ca instrument de facilitare a participării părților interesate și de asigurare a punerii în aplicare durabile a unor reforme și investiții specifice în cadrul planului. Finanțarea subproiectului 5 are un car</w:t>
      </w:r>
      <w:r>
        <w:rPr>
          <w:rFonts w:ascii="Times New Roman" w:hAnsi="Times New Roman"/>
          <w:noProof/>
          <w:sz w:val="24"/>
        </w:rPr>
        <w:t>acter temporar, și anume, în măsura în care devine necesar pentru a sprijini Agenția Mecanismului de redresare și reziliență să își îndeplinească mandatul în mod eficace. Măsura vizează, de asemenea, instituirea sistemelor de gestiune, de audit și de contr</w:t>
      </w:r>
      <w:r>
        <w:rPr>
          <w:rFonts w:ascii="Times New Roman" w:hAnsi="Times New Roman"/>
          <w:noProof/>
          <w:sz w:val="24"/>
        </w:rPr>
        <w:t xml:space="preserve">ol. Implementarea investiției trebuie finalizată până la 30 iunie 2026. </w:t>
      </w:r>
    </w:p>
    <w:p w:rsidR="00780A28" w:rsidRDefault="001867D7">
      <w:pPr>
        <w:spacing w:before="120" w:after="120" w:line="240" w:lineRule="auto"/>
        <w:jc w:val="both"/>
        <w:rPr>
          <w:rFonts w:ascii="Times New Roman" w:hAnsi="Times New Roman" w:cs="Times New Roman"/>
          <w:b/>
          <w:bCs/>
          <w:noProof/>
          <w:sz w:val="24"/>
          <w:u w:val="single"/>
        </w:rPr>
      </w:pPr>
      <w:r>
        <w:rPr>
          <w:rFonts w:ascii="Times New Roman" w:hAnsi="Times New Roman"/>
          <w:b/>
          <w:bCs/>
          <w:noProof/>
          <w:sz w:val="24"/>
          <w:u w:val="single"/>
        </w:rPr>
        <w:t xml:space="preserve">S.2. </w:t>
      </w:r>
      <w:r>
        <w:rPr>
          <w:rFonts w:ascii="Times New Roman" w:hAnsi="Times New Roman"/>
          <w:b/>
          <w:noProof/>
          <w:sz w:val="24"/>
          <w:u w:val="single"/>
        </w:rPr>
        <w:tab/>
      </w:r>
      <w:r>
        <w:rPr>
          <w:rFonts w:ascii="Times New Roman" w:hAnsi="Times New Roman"/>
          <w:b/>
          <w:bCs/>
          <w:noProof/>
          <w:sz w:val="24"/>
          <w:u w:val="single"/>
        </w:rPr>
        <w:t>Jaloane, ținte, indicatori și calendarul de monitorizare și implementare aplicabile sprijinului financiar nerambursabil</w:t>
      </w:r>
    </w:p>
    <w:p w:rsidR="00780A28" w:rsidRDefault="00780A28">
      <w:pPr>
        <w:spacing w:before="120" w:after="120" w:line="240" w:lineRule="auto"/>
        <w:ind w:left="709"/>
        <w:jc w:val="both"/>
        <w:rPr>
          <w:rFonts w:ascii="Times New Roman" w:hAnsi="Times New Roman" w:cs="Times New Roman"/>
          <w:noProof/>
          <w:sz w:val="24"/>
        </w:rPr>
      </w:pPr>
    </w:p>
    <w:p w:rsidR="00780A28" w:rsidRDefault="00780A28">
      <w:pPr>
        <w:spacing w:before="120" w:after="120" w:line="240" w:lineRule="auto"/>
        <w:ind w:left="709"/>
        <w:jc w:val="both"/>
        <w:rPr>
          <w:rFonts w:ascii="Times New Roman" w:hAnsi="Times New Roman" w:cs="Times New Roman"/>
          <w:noProof/>
          <w:sz w:val="24"/>
        </w:rPr>
        <w:sectPr w:rsidR="00780A28">
          <w:headerReference w:type="even" r:id="rId317"/>
          <w:headerReference w:type="default" r:id="rId318"/>
          <w:footerReference w:type="even" r:id="rId319"/>
          <w:footerReference w:type="default" r:id="rId320"/>
          <w:headerReference w:type="first" r:id="rId321"/>
          <w:footerReference w:type="first" r:id="rId322"/>
          <w:pgSz w:w="11907" w:h="16839"/>
          <w:pgMar w:top="1134" w:right="1417" w:bottom="1134" w:left="1417" w:header="709" w:footer="709" w:gutter="0"/>
          <w:cols w:space="720"/>
          <w:docGrid w:linePitch="360"/>
        </w:sectPr>
      </w:pPr>
    </w:p>
    <w:p w:rsidR="00780A28" w:rsidRDefault="001867D7">
      <w:pPr>
        <w:keepNext/>
        <w:keepLines/>
        <w:spacing w:before="40" w:after="0" w:line="240" w:lineRule="auto"/>
        <w:jc w:val="both"/>
        <w:outlineLvl w:val="4"/>
        <w:rPr>
          <w:rFonts w:ascii="Cambria" w:eastAsia="Times New Roman" w:hAnsi="Cambria"/>
          <w:noProof/>
          <w:color w:val="365F91"/>
          <w:sz w:val="24"/>
        </w:rPr>
      </w:pPr>
      <w:r>
        <w:rPr>
          <w:rFonts w:ascii="Cambria" w:hAnsi="Cambria"/>
          <w:noProof/>
          <w:color w:val="365F91"/>
          <w:sz w:val="24"/>
        </w:rPr>
        <w:t>Asistența tehnică</w:t>
      </w:r>
    </w:p>
    <w:tbl>
      <w:tblPr>
        <w:tblW w:w="15502" w:type="dxa"/>
        <w:tblInd w:w="113" w:type="dxa"/>
        <w:tblLook w:val="04A0" w:firstRow="1" w:lastRow="0" w:firstColumn="1" w:lastColumn="0" w:noHBand="0" w:noVBand="1"/>
      </w:tblPr>
      <w:tblGrid>
        <w:gridCol w:w="1009"/>
        <w:gridCol w:w="1438"/>
        <w:gridCol w:w="1250"/>
        <w:gridCol w:w="1562"/>
        <w:gridCol w:w="1604"/>
        <w:gridCol w:w="852"/>
        <w:gridCol w:w="1026"/>
        <w:gridCol w:w="932"/>
        <w:gridCol w:w="808"/>
        <w:gridCol w:w="916"/>
        <w:gridCol w:w="4105"/>
      </w:tblGrid>
      <w:tr w:rsidR="00780A28">
        <w:trPr>
          <w:trHeight w:val="927"/>
          <w:tblHeader/>
        </w:trPr>
        <w:tc>
          <w:tcPr>
            <w:tcW w:w="101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Număr secvențial</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Măsură conexă (reformă sau investiție)</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Jalon/Țintă</w:t>
            </w:r>
          </w:p>
        </w:tc>
        <w:tc>
          <w:tcPr>
            <w:tcW w:w="1563" w:type="dxa"/>
            <w:vMerge w:val="restart"/>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Nume</w:t>
            </w:r>
          </w:p>
        </w:tc>
        <w:tc>
          <w:tcPr>
            <w:tcW w:w="1605"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calitativi (pentru jaloane)</w:t>
            </w:r>
          </w:p>
        </w:tc>
        <w:tc>
          <w:tcPr>
            <w:tcW w:w="2810" w:type="dxa"/>
            <w:gridSpan w:val="3"/>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Indicatori cantitativi (pentru ținte)</w:t>
            </w:r>
          </w:p>
        </w:tc>
        <w:tc>
          <w:tcPr>
            <w:tcW w:w="1724" w:type="dxa"/>
            <w:gridSpan w:val="2"/>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Calendar orientativ pentru atingerea jaloanelor/țintelor </w:t>
            </w:r>
          </w:p>
        </w:tc>
        <w:tc>
          <w:tcPr>
            <w:tcW w:w="4107"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Descrierea fiecărui jalon și </w:t>
            </w:r>
            <w:r>
              <w:rPr>
                <w:rFonts w:ascii="Times New Roman" w:hAnsi="Times New Roman"/>
                <w:b/>
                <w:bCs/>
                <w:noProof/>
                <w:sz w:val="18"/>
                <w:szCs w:val="18"/>
              </w:rPr>
              <w:t>a fiecărei ținte</w:t>
            </w:r>
          </w:p>
        </w:tc>
      </w:tr>
      <w:tr w:rsidR="00780A28">
        <w:trPr>
          <w:trHeight w:val="1013"/>
        </w:trPr>
        <w:tc>
          <w:tcPr>
            <w:tcW w:w="1010"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563" w:type="dxa"/>
            <w:vMerge/>
            <w:tcBorders>
              <w:top w:val="single" w:sz="4" w:space="0" w:color="auto"/>
              <w:left w:val="nil"/>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c>
          <w:tcPr>
            <w:tcW w:w="85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Unitate de măsură</w:t>
            </w:r>
          </w:p>
        </w:tc>
        <w:tc>
          <w:tcPr>
            <w:tcW w:w="1026"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Valoare de referință </w:t>
            </w:r>
          </w:p>
        </w:tc>
        <w:tc>
          <w:tcPr>
            <w:tcW w:w="932"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 xml:space="preserve">Obiectiv </w:t>
            </w:r>
          </w:p>
        </w:tc>
        <w:tc>
          <w:tcPr>
            <w:tcW w:w="808"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Un sfert</w:t>
            </w:r>
          </w:p>
        </w:tc>
        <w:tc>
          <w:tcPr>
            <w:tcW w:w="916" w:type="dxa"/>
            <w:tcBorders>
              <w:top w:val="single" w:sz="4" w:space="0" w:color="auto"/>
              <w:left w:val="nil"/>
              <w:bottom w:val="single" w:sz="4" w:space="0" w:color="auto"/>
              <w:right w:val="single" w:sz="4" w:space="0" w:color="auto"/>
            </w:tcBorders>
            <w:shd w:val="clear" w:color="auto" w:fill="BDD7EE"/>
            <w:vAlign w:val="center"/>
            <w:hideMark/>
          </w:tcPr>
          <w:p w:rsidR="00780A28" w:rsidRDefault="001867D7">
            <w:pPr>
              <w:spacing w:after="0" w:line="240" w:lineRule="auto"/>
              <w:jc w:val="center"/>
              <w:rPr>
                <w:rFonts w:ascii="Times New Roman" w:eastAsia="Times New Roman" w:hAnsi="Times New Roman" w:cs="Times New Roman"/>
                <w:b/>
                <w:noProof/>
                <w:sz w:val="18"/>
                <w:szCs w:val="18"/>
              </w:rPr>
            </w:pPr>
            <w:r>
              <w:rPr>
                <w:rFonts w:ascii="Times New Roman" w:hAnsi="Times New Roman"/>
                <w:b/>
                <w:bCs/>
                <w:noProof/>
                <w:sz w:val="18"/>
                <w:szCs w:val="18"/>
              </w:rPr>
              <w:t>Anul</w:t>
            </w:r>
          </w:p>
        </w:tc>
        <w:tc>
          <w:tcPr>
            <w:tcW w:w="4107" w:type="dxa"/>
            <w:vMerge/>
            <w:tcBorders>
              <w:top w:val="single" w:sz="4" w:space="0" w:color="auto"/>
              <w:left w:val="single" w:sz="4" w:space="0" w:color="auto"/>
              <w:bottom w:val="single" w:sz="4" w:space="0" w:color="auto"/>
              <w:right w:val="single" w:sz="4" w:space="0" w:color="auto"/>
            </w:tcBorders>
            <w:vAlign w:val="center"/>
            <w:hideMark/>
          </w:tcPr>
          <w:p w:rsidR="00780A28" w:rsidRDefault="00780A28">
            <w:pPr>
              <w:spacing w:after="0" w:line="240" w:lineRule="auto"/>
              <w:rPr>
                <w:rFonts w:ascii="Times New Roman" w:eastAsia="Times New Roman" w:hAnsi="Times New Roman" w:cs="Times New Roman"/>
                <w:b/>
                <w:bCs/>
                <w:noProof/>
                <w:sz w:val="18"/>
                <w:szCs w:val="18"/>
                <w:lang w:eastAsia="en-GB"/>
              </w:rPr>
            </w:pPr>
          </w:p>
        </w:tc>
      </w:tr>
      <w:tr w:rsidR="00780A28">
        <w:trPr>
          <w:trHeight w:val="309"/>
        </w:trPr>
        <w:tc>
          <w:tcPr>
            <w:tcW w:w="1010" w:type="dxa"/>
            <w:tcBorders>
              <w:top w:val="single" w:sz="4" w:space="0" w:color="auto"/>
              <w:left w:val="single" w:sz="4" w:space="0" w:color="auto"/>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6100"/>
                <w:sz w:val="18"/>
                <w:szCs w:val="18"/>
              </w:rPr>
              <w:t>331</w:t>
            </w:r>
          </w:p>
        </w:tc>
        <w:tc>
          <w:tcPr>
            <w:tcW w:w="1432"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19-16968_Asistență tehnică</w:t>
            </w:r>
          </w:p>
        </w:tc>
        <w:tc>
          <w:tcPr>
            <w:tcW w:w="1251"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Jalon</w:t>
            </w:r>
          </w:p>
        </w:tc>
        <w:tc>
          <w:tcPr>
            <w:tcW w:w="1563"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Mandatul legal al EDEL și instituirea sistemelor de gestiune, control și audit </w:t>
            </w:r>
          </w:p>
        </w:tc>
        <w:tc>
          <w:tcPr>
            <w:tcW w:w="1605"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 xml:space="preserve">Mandatul legal al EDEL în vigoare și instituirea sistemelor de management, control și audit </w:t>
            </w:r>
          </w:p>
        </w:tc>
        <w:tc>
          <w:tcPr>
            <w:tcW w:w="85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1026"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932" w:type="dxa"/>
            <w:tcBorders>
              <w:top w:val="single" w:sz="4" w:space="0" w:color="auto"/>
              <w:left w:val="nil"/>
              <w:bottom w:val="single" w:sz="4" w:space="0" w:color="auto"/>
              <w:right w:val="single" w:sz="4" w:space="0" w:color="auto"/>
            </w:tcBorders>
            <w:shd w:val="clear" w:color="auto" w:fill="C6EFCE"/>
            <w:noWrap/>
          </w:tcPr>
          <w:p w:rsidR="00780A28" w:rsidRDefault="00780A28">
            <w:pPr>
              <w:spacing w:after="0" w:line="240" w:lineRule="auto"/>
              <w:rPr>
                <w:rFonts w:eastAsia="Times New Roman" w:cs="Calibri"/>
                <w:noProof/>
                <w:color w:val="006100"/>
                <w:sz w:val="18"/>
                <w:szCs w:val="18"/>
                <w:lang w:eastAsia="en-GB"/>
              </w:rPr>
            </w:pPr>
          </w:p>
        </w:tc>
        <w:tc>
          <w:tcPr>
            <w:tcW w:w="808"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Q3</w:t>
            </w:r>
          </w:p>
        </w:tc>
        <w:tc>
          <w:tcPr>
            <w:tcW w:w="916"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noProof/>
                <w:color w:val="006100"/>
                <w:sz w:val="18"/>
                <w:szCs w:val="18"/>
              </w:rPr>
            </w:pPr>
            <w:r>
              <w:rPr>
                <w:noProof/>
                <w:color w:val="006100"/>
                <w:sz w:val="18"/>
                <w:szCs w:val="18"/>
              </w:rPr>
              <w:t>2021</w:t>
            </w:r>
          </w:p>
        </w:tc>
        <w:tc>
          <w:tcPr>
            <w:tcW w:w="4107" w:type="dxa"/>
            <w:tcBorders>
              <w:top w:val="single" w:sz="4" w:space="0" w:color="auto"/>
              <w:left w:val="nil"/>
              <w:bottom w:val="single" w:sz="4" w:space="0" w:color="auto"/>
              <w:right w:val="single" w:sz="4" w:space="0" w:color="auto"/>
            </w:tcBorders>
            <w:shd w:val="clear" w:color="auto" w:fill="C6EFCE"/>
            <w:noWrap/>
          </w:tcPr>
          <w:p w:rsidR="00780A28" w:rsidRDefault="001867D7">
            <w:pPr>
              <w:spacing w:after="0" w:line="240" w:lineRule="auto"/>
              <w:rPr>
                <w:rFonts w:eastAsia="Times New Roman" w:cs="Calibri"/>
                <w:noProof/>
                <w:color w:val="006100"/>
                <w:sz w:val="18"/>
                <w:szCs w:val="18"/>
              </w:rPr>
            </w:pPr>
            <w:r>
              <w:rPr>
                <w:noProof/>
                <w:color w:val="008000"/>
                <w:sz w:val="18"/>
                <w:szCs w:val="18"/>
              </w:rPr>
              <w:t>Intrarea în vigoare a mandatului legal al EDEL și instituirea sistemului de audit și control care (a) asigură colectarea datelor și monitorizarea îndeplinirii jaloanelor și a țintelor; (b) să se poată pregăti declarațiile de gestiune și rezumatul auditului</w:t>
            </w:r>
            <w:r>
              <w:rPr>
                <w:noProof/>
                <w:color w:val="008000"/>
                <w:sz w:val="18"/>
                <w:szCs w:val="18"/>
              </w:rPr>
              <w:t xml:space="preserve">, precum și cererile de plată și (c) să se poată stabili procedurile necesare pentru colectarea și stocarea datelor privind beneficiarii, contractanții, subcontractanții și beneficiarii reali în conformitate cu articolul 22 din Regulamentul (UE) 2021/241, </w:t>
            </w:r>
            <w:r>
              <w:rPr>
                <w:noProof/>
                <w:color w:val="008000"/>
                <w:sz w:val="18"/>
                <w:szCs w:val="18"/>
              </w:rPr>
              <w:t xml:space="preserve">înainte să fie introdusă prima cerere de plată. </w:t>
            </w:r>
            <w:r>
              <w:rPr>
                <w:iCs/>
                <w:noProof/>
                <w:color w:val="008000"/>
                <w:sz w:val="18"/>
                <w:szCs w:val="18"/>
              </w:rPr>
              <w:t>Trebuie elaborat un raport de audit specific privind instituirea sistemului. În cazul în care raportul identifică eventuale deficiențe, raportul de audit recomandă măsuri corective.</w:t>
            </w:r>
          </w:p>
        </w:tc>
      </w:tr>
    </w:tbl>
    <w:p w:rsidR="00780A28" w:rsidRDefault="00780A28">
      <w:pPr>
        <w:spacing w:before="120" w:after="120" w:line="240" w:lineRule="auto"/>
        <w:ind w:left="709"/>
        <w:jc w:val="both"/>
        <w:rPr>
          <w:rFonts w:ascii="Times New Roman" w:hAnsi="Times New Roman" w:cs="Times New Roman"/>
          <w:noProof/>
          <w:sz w:val="24"/>
          <w:szCs w:val="24"/>
        </w:rPr>
      </w:pPr>
    </w:p>
    <w:p w:rsidR="00780A28" w:rsidRDefault="00780A28">
      <w:pPr>
        <w:spacing w:before="120" w:after="120" w:line="240" w:lineRule="auto"/>
        <w:jc w:val="both"/>
        <w:rPr>
          <w:rFonts w:ascii="Times New Roman" w:hAnsi="Times New Roman" w:cs="Times New Roman"/>
          <w:noProof/>
          <w:sz w:val="24"/>
        </w:rPr>
        <w:sectPr w:rsidR="00780A28">
          <w:headerReference w:type="even" r:id="rId323"/>
          <w:headerReference w:type="default" r:id="rId324"/>
          <w:footerReference w:type="even" r:id="rId325"/>
          <w:footerReference w:type="default" r:id="rId326"/>
          <w:headerReference w:type="first" r:id="rId327"/>
          <w:footerReference w:type="first" r:id="rId328"/>
          <w:pgSz w:w="16839" w:h="11907" w:orient="landscape"/>
          <w:pgMar w:top="720" w:right="720" w:bottom="720" w:left="720" w:header="709" w:footer="709" w:gutter="0"/>
          <w:cols w:space="720"/>
          <w:docGrid w:linePitch="360"/>
        </w:sectPr>
      </w:pPr>
    </w:p>
    <w:p w:rsidR="00780A28" w:rsidRDefault="001867D7">
      <w:pPr>
        <w:keepNext/>
        <w:spacing w:before="40" w:after="0" w:line="259" w:lineRule="auto"/>
        <w:ind w:left="130" w:firstLine="720"/>
        <w:jc w:val="both"/>
        <w:outlineLvl w:val="1"/>
        <w:rPr>
          <w:rFonts w:ascii="Times New Roman" w:eastAsia="Times New Roman" w:hAnsi="Times New Roman" w:cs="Times New Roman"/>
          <w:b/>
          <w:noProof/>
          <w:sz w:val="24"/>
          <w:u w:val="single"/>
        </w:rPr>
      </w:pPr>
      <w:bookmarkStart w:id="2" w:name="_Toc71726494"/>
      <w:bookmarkStart w:id="3" w:name="_Toc72228136"/>
      <w:r>
        <w:rPr>
          <w:rFonts w:ascii="Times New Roman" w:hAnsi="Times New Roman"/>
          <w:b/>
          <w:noProof/>
          <w:sz w:val="24"/>
          <w:u w:val="single"/>
        </w:rPr>
        <w:t>2. Costurile totale estimate ale planului de redresare și reziliență</w:t>
      </w:r>
      <w:bookmarkEnd w:id="2"/>
      <w:bookmarkEnd w:id="3"/>
    </w:p>
    <w:p w:rsidR="00780A28" w:rsidRDefault="001867D7">
      <w:pPr>
        <w:keepNext/>
        <w:spacing w:before="40" w:after="0" w:line="259" w:lineRule="auto"/>
        <w:jc w:val="both"/>
        <w:rPr>
          <w:rFonts w:ascii="Times New Roman" w:eastAsia="Times New Roman" w:hAnsi="Times New Roman" w:cs="Times New Roman"/>
          <w:noProof/>
          <w:sz w:val="24"/>
        </w:rPr>
      </w:pPr>
      <w:r>
        <w:rPr>
          <w:rFonts w:ascii="Times New Roman" w:hAnsi="Times New Roman"/>
          <w:noProof/>
          <w:sz w:val="24"/>
        </w:rPr>
        <w:t>Costurile totale estimate ale planului de redresare și reziliență al Greciei sunt de 31 164 331 515 EUR.</w:t>
      </w:r>
    </w:p>
    <w:p w:rsidR="00780A28" w:rsidRDefault="00780A28">
      <w:pPr>
        <w:keepNext/>
        <w:spacing w:before="40" w:after="0" w:line="259" w:lineRule="auto"/>
        <w:jc w:val="both"/>
        <w:rPr>
          <w:rFonts w:ascii="Times New Roman" w:eastAsia="Times New Roman" w:hAnsi="Times New Roman" w:cs="Times New Roman"/>
          <w:bCs/>
          <w:noProof/>
          <w:sz w:val="24"/>
          <w:szCs w:val="26"/>
        </w:rPr>
      </w:pPr>
    </w:p>
    <w:p w:rsidR="00780A28" w:rsidRDefault="001867D7">
      <w:pPr>
        <w:rPr>
          <w:rFonts w:ascii="Times New Roman" w:eastAsia="Times New Roman" w:hAnsi="Times New Roman" w:cs="Times New Roman"/>
          <w:b/>
          <w:smallCaps/>
          <w:noProof/>
          <w:sz w:val="24"/>
          <w:szCs w:val="28"/>
        </w:rPr>
      </w:pPr>
      <w:bookmarkStart w:id="4" w:name="_Toc72228137"/>
      <w:bookmarkStart w:id="5" w:name="_Toc71726495"/>
      <w:r>
        <w:rPr>
          <w:noProof/>
        </w:rPr>
        <w:br w:type="page"/>
      </w:r>
    </w:p>
    <w:p w:rsidR="00780A28" w:rsidRDefault="001867D7">
      <w:pPr>
        <w:keepNext/>
        <w:tabs>
          <w:tab w:val="num" w:pos="850"/>
        </w:tabs>
        <w:spacing w:before="360" w:after="0" w:line="259" w:lineRule="auto"/>
        <w:ind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SECȚIUNEA 2: SPRIJIN </w:t>
      </w:r>
      <w:r>
        <w:rPr>
          <w:rFonts w:ascii="Times New Roman" w:hAnsi="Times New Roman"/>
          <w:b/>
          <w:smallCaps/>
          <w:noProof/>
          <w:sz w:val="24"/>
        </w:rPr>
        <w:t>FINANCIAR</w:t>
      </w:r>
      <w:bookmarkEnd w:id="4"/>
      <w:r>
        <w:rPr>
          <w:rFonts w:ascii="Times New Roman" w:hAnsi="Times New Roman"/>
          <w:b/>
          <w:smallCaps/>
          <w:noProof/>
          <w:sz w:val="24"/>
        </w:rPr>
        <w:t xml:space="preserve"> </w:t>
      </w:r>
      <w:bookmarkEnd w:id="5"/>
    </w:p>
    <w:p w:rsidR="00780A28" w:rsidRDefault="001867D7">
      <w:pPr>
        <w:keepNext/>
        <w:numPr>
          <w:ilvl w:val="1"/>
          <w:numId w:val="67"/>
        </w:numPr>
        <w:spacing w:before="40" w:after="0" w:line="259" w:lineRule="auto"/>
        <w:ind w:left="0"/>
        <w:jc w:val="both"/>
        <w:outlineLvl w:val="1"/>
        <w:rPr>
          <w:rFonts w:ascii="Times New Roman" w:eastAsia="Times New Roman" w:hAnsi="Times New Roman" w:cs="Times New Roman"/>
          <w:b/>
          <w:noProof/>
          <w:sz w:val="24"/>
          <w:u w:val="single"/>
        </w:rPr>
      </w:pPr>
      <w:bookmarkStart w:id="6" w:name="_Toc72228138"/>
      <w:bookmarkStart w:id="7" w:name="_Toc71726496"/>
      <w:r>
        <w:rPr>
          <w:rFonts w:ascii="Times New Roman" w:hAnsi="Times New Roman"/>
          <w:b/>
          <w:noProof/>
          <w:sz w:val="24"/>
          <w:u w:val="single"/>
        </w:rPr>
        <w:t>Contribuția financiară</w:t>
      </w:r>
      <w:bookmarkEnd w:id="6"/>
      <w:r>
        <w:rPr>
          <w:rFonts w:ascii="Times New Roman" w:hAnsi="Times New Roman"/>
          <w:b/>
          <w:noProof/>
          <w:sz w:val="24"/>
          <w:u w:val="single"/>
        </w:rPr>
        <w:t xml:space="preserve"> </w:t>
      </w:r>
      <w:bookmarkEnd w:id="7"/>
    </w:p>
    <w:p w:rsidR="00780A28" w:rsidRDefault="001867D7">
      <w:pPr>
        <w:keepNext/>
        <w:spacing w:before="40" w:after="0" w:line="259" w:lineRule="auto"/>
        <w:jc w:val="both"/>
        <w:rPr>
          <w:rFonts w:ascii="Times New Roman" w:eastAsia="Times New Roman" w:hAnsi="Times New Roman" w:cs="Times New Roman"/>
          <w:noProof/>
          <w:sz w:val="24"/>
        </w:rPr>
      </w:pPr>
      <w:r>
        <w:rPr>
          <w:rFonts w:ascii="Times New Roman" w:hAnsi="Times New Roman"/>
          <w:noProof/>
          <w:sz w:val="24"/>
        </w:rPr>
        <w:t>Tranșele menționate la articolul 2 alineatul (2) se organizează după cum urmează:</w:t>
      </w:r>
    </w:p>
    <w:p w:rsidR="00780A28" w:rsidRDefault="00780A28">
      <w:pPr>
        <w:keepNext/>
        <w:spacing w:before="40" w:after="0" w:line="259" w:lineRule="auto"/>
        <w:jc w:val="both"/>
        <w:rPr>
          <w:rFonts w:ascii="Times New Roman" w:eastAsia="Times New Roman" w:hAnsi="Times New Roman" w:cs="Times New Roman"/>
          <w:bCs/>
          <w:noProof/>
          <w:sz w:val="24"/>
          <w:szCs w:val="26"/>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Prima cerere de plată (sprijin nerambursabil): </w:t>
      </w:r>
    </w:p>
    <w:tbl>
      <w:tblPr>
        <w:tblW w:w="9519" w:type="dxa"/>
        <w:tblInd w:w="113" w:type="dxa"/>
        <w:tblLook w:val="04A0" w:firstRow="1" w:lastRow="0" w:firstColumn="1" w:lastColumn="0" w:noHBand="0" w:noVBand="1"/>
      </w:tblPr>
      <w:tblGrid>
        <w:gridCol w:w="1804"/>
        <w:gridCol w:w="4283"/>
        <w:gridCol w:w="1279"/>
        <w:gridCol w:w="2153"/>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Măsură conexă (reformă sau investiție)</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2153"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2153"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20</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2 - 1.2.</w:t>
            </w:r>
            <w:r>
              <w:rPr>
                <w:rFonts w:ascii="Times New Roman" w:hAnsi="Times New Roman"/>
                <w:noProof/>
                <w:sz w:val="18"/>
                <w:szCs w:val="18"/>
              </w:rPr>
              <w:t xml:space="preserve"> Renovare — 16872_renovare energetică a clădirilor rezidențiale</w:t>
            </w:r>
          </w:p>
        </w:tc>
        <w:tc>
          <w:tcPr>
            <w:tcW w:w="1279"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Renovare rezidențială – lansarea primei runde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2 - 1.2. Renovare – 16920_Plan de acțiune privind sărăcia energetică</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Sărăcia energetică – adoptarea planului de acțiune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42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3 - </w:t>
            </w:r>
            <w:r>
              <w:rPr>
                <w:rFonts w:ascii="Times New Roman" w:hAnsi="Times New Roman"/>
                <w:noProof/>
                <w:sz w:val="18"/>
                <w:szCs w:val="18"/>
              </w:rPr>
              <w:t>1.3. Reîncărcare și realimentare – 16281_Cadrul pentru instalarea și exploatarea infrastructurii de încărcare a energiei electrice</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Puncte de încărcare pentru vehiculele electrice — Intrarea în vigoare a cadrului juridic</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4 - 1.4. Utilizarea durabi</w:t>
            </w:r>
            <w:r>
              <w:rPr>
                <w:rFonts w:ascii="Times New Roman" w:hAnsi="Times New Roman"/>
                <w:noProof/>
                <w:sz w:val="18"/>
                <w:szCs w:val="18"/>
              </w:rPr>
              <w:t>lă a resurselor, reziliența la schimbările climatice și protecția mediului — 16772_Legea privind gestionarea deșeurilor pentru punerea în aplicare a depozitării și reciclării durabile a deșeurilor</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Intrarea în vigoare a legislației privind gestionarea</w:t>
            </w:r>
            <w:r>
              <w:rPr>
                <w:rFonts w:ascii="Times New Roman" w:hAnsi="Times New Roman"/>
                <w:noProof/>
                <w:sz w:val="18"/>
                <w:szCs w:val="18"/>
              </w:rPr>
              <w:t xml:space="preserve"> deșeurilor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77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16283_Implementarea centrelor regionale de protecție civilă (PEKEPP) prin intermediul programelor PPP</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Licitație pentru 13 centre </w:t>
            </w:r>
            <w:r>
              <w:rPr>
                <w:rFonts w:ascii="Times New Roman" w:hAnsi="Times New Roman"/>
                <w:noProof/>
                <w:sz w:val="18"/>
                <w:szCs w:val="18"/>
              </w:rPr>
              <w:t>regionale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133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8 - 3.1. Promovarea creării de locuri de muncă și a participării pe piața muncii — 16744_Modernizarea și simplificarea legislației muncii</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Intrarea în vigoare a legislației muncii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141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8 - 3.1. Promovarea creării de locuri de muncă și a</w:t>
            </w:r>
            <w:r>
              <w:rPr>
                <w:rFonts w:ascii="Times New Roman" w:hAnsi="Times New Roman"/>
                <w:noProof/>
                <w:sz w:val="18"/>
                <w:szCs w:val="18"/>
              </w:rPr>
              <w:t xml:space="preserve"> participării pe piața muncii — 16941_Restructurarea și remarca SPOFM locale ale OAED (PAC2)</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OAED — Reforma organizațională — intrarea în vigoare a legislației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153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10 - 3.3. Îmbunătățirea rezilienței, accesibilității și sustenabilității asistenței </w:t>
            </w:r>
            <w:r>
              <w:rPr>
                <w:rFonts w:ascii="Times New Roman" w:hAnsi="Times New Roman"/>
                <w:noProof/>
                <w:sz w:val="18"/>
                <w:szCs w:val="18"/>
              </w:rPr>
              <w:t>medicale — 16816_Reforme și accelerarea investițiilor în sectorul asistenței medicale — Reducerea și raționalizarea cheltuielilor cu asistența medicală</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Recuperare — intrarea în vigoare a legislației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199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12 - 4.1. O impozitare mai favorabilă </w:t>
            </w:r>
            <w:r>
              <w:rPr>
                <w:rFonts w:ascii="Times New Roman" w:hAnsi="Times New Roman"/>
                <w:noProof/>
                <w:sz w:val="18"/>
                <w:szCs w:val="18"/>
              </w:rPr>
              <w:t>creșterii economice și o mai bună administrare fiscală și colectare a impozitelor — 16643_Codificarea și simplificarea legislației fiscale</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Calendarul pentru codificarea fiscală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200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18 - 4.7. Îmbunătățirea competitivității și promovarea investițiilor</w:t>
            </w:r>
            <w:r>
              <w:rPr>
                <w:rFonts w:ascii="Times New Roman" w:hAnsi="Times New Roman"/>
                <w:noProof/>
                <w:sz w:val="18"/>
                <w:szCs w:val="18"/>
              </w:rPr>
              <w:t xml:space="preserve"> private și a comerțului — 16598_Regimul de stimulare a productivității și a extinderii întreprinderilor (creșterea dimensiunii întreprinderilor)</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Proiect de act legislativ pentru încurajarea extinderii întreprinderilor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222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14 - 4.3. Îmbunătățirea ef</w:t>
            </w:r>
            <w:r>
              <w:rPr>
                <w:rFonts w:ascii="Times New Roman" w:hAnsi="Times New Roman"/>
                <w:noProof/>
                <w:sz w:val="18"/>
                <w:szCs w:val="18"/>
              </w:rPr>
              <w:t>icienței sistemului judiciar – 16292_noi clădiri judiciare</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Identificare — Clădiri eligibile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263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16982_Reforma organizațională în sectorul feroviar</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Foaie de </w:t>
            </w:r>
            <w:r>
              <w:rPr>
                <w:rFonts w:ascii="Times New Roman" w:hAnsi="Times New Roman"/>
                <w:noProof/>
                <w:sz w:val="18"/>
                <w:szCs w:val="18"/>
              </w:rPr>
              <w:t>parcurs pentru reforma sectorului feroviar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331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19-16968_Asistență tehnică</w:t>
            </w:r>
          </w:p>
        </w:tc>
        <w:tc>
          <w:tcPr>
            <w:tcW w:w="1279"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5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rPr>
                <w:rFonts w:ascii="Times New Roman" w:eastAsia="Times New Roman" w:hAnsi="Times New Roman" w:cs="Times New Roman"/>
                <w:bCs/>
                <w:noProof/>
                <w:sz w:val="18"/>
                <w:szCs w:val="18"/>
              </w:rPr>
            </w:pPr>
            <w:r>
              <w:rPr>
                <w:rFonts w:ascii="Times New Roman" w:hAnsi="Times New Roman"/>
                <w:noProof/>
                <w:sz w:val="18"/>
                <w:szCs w:val="18"/>
              </w:rPr>
              <w:t xml:space="preserve">Mandatul legal al EDEL și instituirea sistemelor de gestiune, control și audit </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59" w:lineRule="auto"/>
              <w:rPr>
                <w:rFonts w:ascii="Times New Roman" w:eastAsia="Times New Roman" w:hAnsi="Times New Roman" w:cs="Times New Roman"/>
                <w:bCs/>
                <w:noProof/>
                <w:sz w:val="18"/>
                <w:szCs w:val="18"/>
                <w:lang w:eastAsia="en-GB"/>
              </w:rPr>
            </w:pPr>
          </w:p>
        </w:tc>
        <w:tc>
          <w:tcPr>
            <w:tcW w:w="1279"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rPr>
                <w:rFonts w:ascii="Times New Roman" w:eastAsia="Times New Roman" w:hAnsi="Times New Roman" w:cs="Times New Roman"/>
                <w:bCs/>
                <w:noProof/>
                <w:sz w:val="18"/>
                <w:szCs w:val="18"/>
              </w:rPr>
            </w:pPr>
            <w:r>
              <w:rPr>
                <w:rFonts w:ascii="Times New Roman" w:hAnsi="Times New Roman"/>
                <w:noProof/>
                <w:sz w:val="18"/>
                <w:szCs w:val="18"/>
              </w:rPr>
              <w:t>Suma ratei</w:t>
            </w:r>
          </w:p>
        </w:tc>
        <w:tc>
          <w:tcPr>
            <w:tcW w:w="2153"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rPr>
                <w:rFonts w:ascii="Times New Roman" w:eastAsia="Times New Roman" w:hAnsi="Times New Roman" w:cs="Times New Roman"/>
                <w:bCs/>
                <w:noProof/>
                <w:sz w:val="18"/>
                <w:szCs w:val="18"/>
              </w:rPr>
            </w:pPr>
            <w:r>
              <w:rPr>
                <w:rFonts w:ascii="Times New Roman" w:hAnsi="Times New Roman"/>
                <w:noProof/>
                <w:sz w:val="18"/>
                <w:szCs w:val="18"/>
              </w:rPr>
              <w:t>1 974 438 067 EUR</w:t>
            </w:r>
          </w:p>
        </w:tc>
      </w:tr>
    </w:tbl>
    <w:p w:rsidR="00780A28" w:rsidRDefault="00780A28">
      <w:pPr>
        <w:keepNext/>
        <w:spacing w:before="120" w:after="160" w:line="259" w:lineRule="auto"/>
        <w:ind w:hanging="360"/>
        <w:contextualSpacing/>
        <w:jc w:val="both"/>
        <w:rPr>
          <w:rFonts w:ascii="Times New Roman" w:eastAsia="Times New Roman" w:hAnsi="Times New Roman" w:cs="Times New Roman"/>
          <w:bCs/>
          <w:noProof/>
          <w:sz w:val="24"/>
          <w:szCs w:val="24"/>
        </w:rPr>
      </w:pPr>
    </w:p>
    <w:p w:rsidR="00780A28" w:rsidRDefault="00780A28">
      <w:pPr>
        <w:keepNext/>
        <w:spacing w:before="120" w:after="160" w:line="259" w:lineRule="auto"/>
        <w:ind w:hanging="360"/>
        <w:contextualSpacing/>
        <w:jc w:val="both"/>
        <w:rPr>
          <w:rFonts w:ascii="Times New Roman" w:eastAsia="Times New Roman" w:hAnsi="Times New Roman" w:cs="Times New Roman"/>
          <w:bCs/>
          <w:noProof/>
          <w:sz w:val="24"/>
          <w:szCs w:val="24"/>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A doua cerere de plată (sprijin nerambursabil): </w:t>
      </w:r>
    </w:p>
    <w:tbl>
      <w:tblPr>
        <w:tblW w:w="9519" w:type="dxa"/>
        <w:tblInd w:w="113" w:type="dxa"/>
        <w:tblLook w:val="04A0" w:firstRow="1" w:lastRow="0" w:firstColumn="1" w:lastColumn="0" w:noHBand="0" w:noVBand="1"/>
      </w:tblPr>
      <w:tblGrid>
        <w:gridCol w:w="1804"/>
        <w:gridCol w:w="4283"/>
        <w:gridCol w:w="1692"/>
        <w:gridCol w:w="1740"/>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Număr </w:t>
            </w:r>
            <w:r>
              <w:rPr>
                <w:rFonts w:ascii="Times New Roman" w:hAnsi="Times New Roman"/>
                <w:noProof/>
                <w:sz w:val="18"/>
                <w:szCs w:val="18"/>
              </w:rPr>
              <w:t>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Măsură conexă (reformă 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44</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Reîncărcare și realimentare — 16924Electromobilitate</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Transportul public — Intrarea în vigoare a reglementării pieței pentru obligația de serviciu public (autobuze)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197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O impozitare mai favorabilă creșterii economice și o mai bună administrare fiscală și colectare a impozitelor — 16863_Super — deducerea cheltuielilor pentru economia ecologică, energie și tranziția digitală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Super-deducere pentru investi</w:t>
            </w:r>
            <w:r>
              <w:rPr>
                <w:rFonts w:ascii="Times New Roman" w:hAnsi="Times New Roman"/>
                <w:noProof/>
                <w:sz w:val="18"/>
                <w:szCs w:val="18"/>
              </w:rPr>
              <w:t>ț</w:t>
            </w:r>
            <w:r>
              <w:rPr>
                <w:rFonts w:ascii="Times New Roman" w:hAnsi="Times New Roman"/>
                <w:noProof/>
                <w:sz w:val="18"/>
                <w:szCs w:val="18"/>
              </w:rPr>
              <w:t>iile verzi și digitale ale IMM-urilor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198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O impozitare mai favorabilă creșterii economice și o mai bună administrare fiscală și colectare a impozitelor — 16616_Adoptarea de măsuri și stimulente pentru intensificarea tranzacțiilor electronice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Legislație pentru încurajarea tranzacțiilor electronice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240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15 - 4.4. Consolidarea sectorului financiar și a piețelor de capital — 16581_Consolidarea supravegherii și a credibilității pieței de capital</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Piețele de capital, supravegherea, digita</w:t>
            </w:r>
            <w:r>
              <w:rPr>
                <w:rFonts w:ascii="Times New Roman" w:hAnsi="Times New Roman"/>
                <w:noProof/>
                <w:sz w:val="18"/>
                <w:szCs w:val="18"/>
              </w:rPr>
              <w:t>lizarea proceselor de supraveghere, uniunea piețelor de capital (UPC)</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299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16593_Modificarea cadrului juridic pentru atragerea investițiilor strategice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Investiții </w:t>
            </w:r>
            <w:r>
              <w:rPr>
                <w:rFonts w:ascii="Times New Roman" w:hAnsi="Times New Roman"/>
                <w:noProof/>
                <w:sz w:val="18"/>
                <w:szCs w:val="18"/>
              </w:rPr>
              <w:t>strategice — reformă legislativă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16871_Acțiuni de revitalizare a celor mai afectate teritorii (teritorii de tranziție justă)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Reabilitare funciară — lege-cadru</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130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7 - 2.3. Digitalizarea întreprinderilor — 16706_Transformarea </w:t>
            </w:r>
            <w:r>
              <w:rPr>
                <w:rFonts w:ascii="Times New Roman" w:hAnsi="Times New Roman"/>
                <w:noProof/>
                <w:sz w:val="18"/>
                <w:szCs w:val="18"/>
              </w:rPr>
              <w:t>digitală a IMM-urilor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Transformarea digitală a IMM-urilor — cereri de propuneri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174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Creșterea accesului la politici sociale eficace și favorabile incluziunii — 16904_Handicap</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Legislația privind asistența personală în caz de invalidi</w:t>
            </w:r>
            <w:r>
              <w:rPr>
                <w:rFonts w:ascii="Times New Roman" w:hAnsi="Times New Roman"/>
                <w:noProof/>
                <w:sz w:val="18"/>
                <w:szCs w:val="18"/>
              </w:rPr>
              <w:t>tate și implementarea proiectului-pilot din prima fază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188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O impozitare mai favorabilă creșterii economice și o mai bună administrare fiscală și colectare a impozitelor — 16614_Casele de numerar online &amp; POS (reformă)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Autoritatea </w:t>
            </w:r>
            <w:r>
              <w:rPr>
                <w:rFonts w:ascii="Times New Roman" w:hAnsi="Times New Roman"/>
                <w:noProof/>
                <w:sz w:val="18"/>
                <w:szCs w:val="18"/>
              </w:rPr>
              <w:t>independentă pentru Venituri Publice (AIVP): Case de marcat &amp; terminale de plată (POS) online — Intrarea în vigoare a cadrului juridic</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190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Favorizarea creșterii economice și îmbunătățirea administrației fiscale și a colectării impozitelor — 1665</w:t>
            </w:r>
            <w:r>
              <w:rPr>
                <w:rFonts w:ascii="Times New Roman" w:hAnsi="Times New Roman"/>
                <w:noProof/>
                <w:sz w:val="18"/>
                <w:szCs w:val="18"/>
              </w:rPr>
              <w:t>6_noul cadru de combatere a contrabandei, în special pentru produsele supuse accizelor (tutun, alcool și energie)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Combaterea introducerii ilegale de migranți — foaie de parcurs privind deciziile de reglementare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201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18 - 4.7. Îmbunătățirea competitiv</w:t>
            </w:r>
            <w:r>
              <w:rPr>
                <w:rFonts w:ascii="Times New Roman" w:hAnsi="Times New Roman"/>
                <w:noProof/>
                <w:sz w:val="18"/>
                <w:szCs w:val="18"/>
              </w:rPr>
              <w:t>ității și promovarea investițiilor private și a comerțului — 16598_Regimul de stimulare a productivității și a extinderii întreprinderilor (creșterea dimensiunii întreprinderilor)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Legislație menită să încurajeze extinderea întreprinderilor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224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14 - </w:t>
            </w:r>
            <w:r>
              <w:rPr>
                <w:rFonts w:ascii="Times New Roman" w:hAnsi="Times New Roman"/>
                <w:noProof/>
                <w:sz w:val="18"/>
                <w:szCs w:val="18"/>
              </w:rPr>
              <w:t>4.3. Îmbunătățirea eficienței sistemului de justiție — 16733_Competențe și competențe digitale pentru judecători și angajații din justiție (personalul din justiție)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Formare — Judecători și grefieri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245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Promovarea cercetării și inovării — 1</w:t>
            </w:r>
            <w:r>
              <w:rPr>
                <w:rFonts w:ascii="Times New Roman" w:hAnsi="Times New Roman"/>
                <w:noProof/>
                <w:sz w:val="18"/>
                <w:szCs w:val="18"/>
              </w:rPr>
              <w:t>6618_Basic &amp; Cercetarea aplicată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Legislație privind cercetarea de bază &amp; Aplicată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246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16 - 4.5. Promovarea cercetării și inovării — 16624_Creare — Extindere — Actualizarea infrastructurilor centrelor de cercetare supravegheate de Secretariatul </w:t>
            </w:r>
            <w:r>
              <w:rPr>
                <w:rFonts w:ascii="Times New Roman" w:hAnsi="Times New Roman"/>
                <w:noProof/>
                <w:sz w:val="18"/>
                <w:szCs w:val="18"/>
              </w:rPr>
              <w:t>General pentru Cercetare și Inovare (GSRI)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Cerere de propuneri pentru centre de cercetare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292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16931_Dezvoltarea turismului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Dezvoltarea turismului: reforme p</w:t>
            </w:r>
            <w:r>
              <w:rPr>
                <w:rFonts w:ascii="Times New Roman" w:hAnsi="Times New Roman"/>
                <w:noProof/>
                <w:sz w:val="18"/>
                <w:szCs w:val="18"/>
              </w:rPr>
              <w:t>entru porturile turistice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300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16721_Accelerarea producției inteligente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Lansarea cererilor de propuneri pentru industria prelucrătoare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301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w:t>
            </w:r>
            <w:r>
              <w:rPr>
                <w:rFonts w:ascii="Times New Roman" w:hAnsi="Times New Roman"/>
                <w:noProof/>
                <w:sz w:val="18"/>
                <w:szCs w:val="18"/>
              </w:rPr>
              <w:t>îmbunătățirea rezilienței sectoarelor economice cheie — 16634_noi parcuri industriale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Lansarea cererilor de propuneri pentru parcurile industriale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310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rezilienței sectoarelor economice cheie — </w:t>
            </w:r>
            <w:r>
              <w:rPr>
                <w:rFonts w:ascii="Times New Roman" w:hAnsi="Times New Roman"/>
                <w:noProof/>
                <w:sz w:val="18"/>
                <w:szCs w:val="18"/>
              </w:rPr>
              <w:t>16626_Transformarea economică a sectorului agricol</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Transformarea economică a agriculturii: Lansarea programului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16865_Restructurarea și sporirea veniturilor contului CHP din SRE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Cont RES — legislație de modificare a L. 40</w:t>
            </w:r>
            <w:r>
              <w:rPr>
                <w:rFonts w:ascii="Times New Roman" w:hAnsi="Times New Roman"/>
                <w:noProof/>
                <w:sz w:val="18"/>
                <w:szCs w:val="18"/>
              </w:rPr>
              <w:t>01/2011; intrarea în vigoare a tuturor deciziilor relevante, inclusiv a codurilor, de către ministere, de către Autoritatea Națională de Reglementare (RAE) și de către Administratorul surselor regenerabile de energie și al garanțiilor de origine (DAPEEP).</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16860_Streamline funcționarea eficientă a noului model de piață a energiei electrice și dezvoltarea de noi centrale SRE pentru a atinge obiectivele PECN prin punerea în aplicare a mecanismului de monitorizare, participarea consumului</w:t>
            </w:r>
            <w:r>
              <w:rPr>
                <w:rFonts w:ascii="Times New Roman" w:hAnsi="Times New Roman"/>
                <w:noProof/>
                <w:sz w:val="18"/>
                <w:szCs w:val="18"/>
              </w:rPr>
              <w:t xml:space="preserve"> dispecerizabil și o reformă amplă a procedurii de acordare a licențelor pentru noile surse regenerabile de energie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Contul SRE — reforme ale pieței și simplificarea acordării licențelor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138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9 - 3.2. Educație, educație și formare profesională și </w:t>
            </w:r>
            <w:r>
              <w:rPr>
                <w:rFonts w:ascii="Times New Roman" w:hAnsi="Times New Roman"/>
                <w:noProof/>
                <w:sz w:val="18"/>
                <w:szCs w:val="18"/>
              </w:rPr>
              <w:t>competențe — 16913_O nouă strategie pentru perfecționare pe tot parcursul vieții: Modernizarea și modernizarea sistemului de actualizare a competențelor și de reconversie profesională al Greciei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Intrarea în vigoare a legislației privind strategia de </w:t>
            </w:r>
            <w:r>
              <w:rPr>
                <w:rFonts w:ascii="Times New Roman" w:hAnsi="Times New Roman"/>
                <w:noProof/>
                <w:sz w:val="18"/>
                <w:szCs w:val="18"/>
              </w:rPr>
              <w:t>învățare de-a lungul vieții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202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4.1. O impozitare mai favorabilă creșterii economice și o mai bună administrare fiscală și colectare a impozitelor — 16643_Codificarea și simplificarea legislației fiscale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Creșterea capacității de codificare fiscală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205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Modernizarea administrației publice, inclusiv prin accelerarea punerii în aplicare a investițiilor publice, îmbunătățirea cadrului de achiziții publice, măsuri de consolidare a capacităților și combaterea corupției — 16972_Reforma administra</w:t>
            </w:r>
            <w:r>
              <w:rPr>
                <w:rFonts w:ascii="Times New Roman" w:hAnsi="Times New Roman"/>
                <w:noProof/>
                <w:sz w:val="18"/>
                <w:szCs w:val="18"/>
              </w:rPr>
              <w:t>ț</w:t>
            </w:r>
            <w:r>
              <w:rPr>
                <w:rFonts w:ascii="Times New Roman" w:hAnsi="Times New Roman"/>
                <w:noProof/>
                <w:sz w:val="18"/>
                <w:szCs w:val="18"/>
              </w:rPr>
              <w:t>iei publice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Administrația publică — lansarea sistemului de plată a performanței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254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16628_Autostrada E-65 a Greciei Centrale: secțiunea Trikala- Egnatia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În</w:t>
            </w:r>
            <w:r>
              <w:rPr>
                <w:rFonts w:ascii="Times New Roman" w:hAnsi="Times New Roman"/>
                <w:noProof/>
                <w:sz w:val="18"/>
                <w:szCs w:val="18"/>
              </w:rPr>
              <w:t>ceperea lucrărilor de construcție în E-65</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264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16982_Reforma organizațională în sectorul feroviar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Legea privind reforma căilor ferate</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780A28" w:rsidRDefault="00780A28">
      <w:pPr>
        <w:keepNext/>
        <w:spacing w:before="40" w:after="0" w:line="259" w:lineRule="auto"/>
        <w:jc w:val="both"/>
        <w:rPr>
          <w:rFonts w:ascii="Times New Roman" w:eastAsia="Times New Roman" w:hAnsi="Times New Roman" w:cs="Times New Roman"/>
          <w:bCs/>
          <w:noProof/>
          <w:sz w:val="24"/>
          <w:szCs w:val="26"/>
        </w:rPr>
        <w:sectPr w:rsidR="00780A28">
          <w:headerReference w:type="even" r:id="rId329"/>
          <w:headerReference w:type="default" r:id="rId330"/>
          <w:footerReference w:type="even" r:id="rId331"/>
          <w:footerReference w:type="default" r:id="rId332"/>
          <w:headerReference w:type="first" r:id="rId333"/>
          <w:footerReference w:type="first" r:id="rId334"/>
          <w:pgSz w:w="11907" w:h="16839"/>
          <w:pgMar w:top="1134" w:right="1417" w:bottom="1134" w:left="1417" w:header="709" w:footer="709" w:gutter="0"/>
          <w:cols w:space="720"/>
          <w:docGrid w:linePitch="360"/>
        </w:sectPr>
      </w:pPr>
    </w:p>
    <w:p w:rsidR="00780A28" w:rsidRDefault="00780A28">
      <w:pPr>
        <w:keepNext/>
        <w:spacing w:before="40" w:after="0" w:line="259" w:lineRule="auto"/>
        <w:jc w:val="both"/>
        <w:rPr>
          <w:rFonts w:ascii="Times New Roman" w:eastAsia="Times New Roman" w:hAnsi="Times New Roman" w:cs="Times New Roman"/>
          <w:bCs/>
          <w:noProof/>
          <w:sz w:val="24"/>
          <w:szCs w:val="26"/>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A treia cerere de plată (sprijin nerambursabil):</w:t>
      </w:r>
    </w:p>
    <w:p w:rsidR="00780A28" w:rsidRDefault="00780A28">
      <w:pPr>
        <w:keepNext/>
        <w:spacing w:before="40" w:after="160" w:line="259" w:lineRule="auto"/>
        <w:contextualSpacing/>
        <w:jc w:val="both"/>
        <w:rPr>
          <w:rFonts w:ascii="Times New Roman" w:eastAsia="Times New Roman" w:hAnsi="Times New Roman" w:cs="Times New Roman"/>
          <w:noProof/>
          <w:sz w:val="24"/>
        </w:rPr>
      </w:pPr>
    </w:p>
    <w:tbl>
      <w:tblPr>
        <w:tblW w:w="9519" w:type="dxa"/>
        <w:tblInd w:w="113" w:type="dxa"/>
        <w:tblLook w:val="04A0" w:firstRow="1" w:lastRow="0" w:firstColumn="1" w:lastColumn="0" w:noHBand="0" w:noVBand="1"/>
      </w:tblPr>
      <w:tblGrid>
        <w:gridCol w:w="1804"/>
        <w:gridCol w:w="4283"/>
        <w:gridCol w:w="1692"/>
        <w:gridCol w:w="1740"/>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Măsură conexă (reformă 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21</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Renovare — 16872_renovare energetică a clădirilor </w:t>
            </w:r>
            <w:r>
              <w:rPr>
                <w:rFonts w:ascii="Times New Roman" w:hAnsi="Times New Roman"/>
                <w:noProof/>
                <w:sz w:val="18"/>
                <w:szCs w:val="18"/>
              </w:rPr>
              <w:t>rezidențiale</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Renovare rezidențială – a 2-a lansare, inclusiv a gospodăriilor afectate de sărăcia energetică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45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Reîncărcare și realimentare — 16924Electromobilitate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Transportul public — punerea în aplicare a unei noi reglementări a </w:t>
            </w:r>
            <w:r>
              <w:rPr>
                <w:rFonts w:ascii="Times New Roman" w:hAnsi="Times New Roman"/>
                <w:noProof/>
                <w:sz w:val="18"/>
                <w:szCs w:val="18"/>
              </w:rPr>
              <w:t>pieței pentru obligația de serviciu public (autobuze)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schimbările climatice și protecția mediului — 16772_Legea privind gestionarea deșeurilor pentru punerea în aplicare a depozitării și </w:t>
            </w:r>
            <w:r>
              <w:rPr>
                <w:rFonts w:ascii="Times New Roman" w:hAnsi="Times New Roman"/>
                <w:noProof/>
                <w:sz w:val="18"/>
                <w:szCs w:val="18"/>
              </w:rPr>
              <w:t>reciclării durabile a deșeurilor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Intrarea în vigoare a legislației privind gestionarea deșeurilor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CONNECT — 16818_Infrastructura de fibră optică din clădiri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contractului (contractelor) pentru proiectul „Infrastructura de</w:t>
            </w:r>
            <w:r>
              <w:rPr>
                <w:rFonts w:ascii="Times New Roman" w:hAnsi="Times New Roman"/>
                <w:noProof/>
                <w:sz w:val="18"/>
                <w:szCs w:val="18"/>
              </w:rPr>
              <w:t xml:space="preserve"> fibră optică din clădiri”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Modernizarea — 16929_Către servicii orientate către client ale administrației publice prin simplificarea și îmbunătățirea proceselor, îmbunătățirea sistemelor și respectarea strategiilor și politicilor europene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Crearea registrului național de proceduri și punerea în aplicare a planului național de simplificare a procesului (prima etapă)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8 - 3.1. Promovarea creării de locuri de muncă și a participării pe piața muncii — 16746_Reforma politicilor pasive </w:t>
            </w:r>
            <w:r>
              <w:rPr>
                <w:rFonts w:ascii="Times New Roman" w:hAnsi="Times New Roman"/>
                <w:noProof/>
                <w:sz w:val="18"/>
                <w:szCs w:val="18"/>
              </w:rPr>
              <w:t>privind piața forței de muncă în vederea sprijinirii tranziției către ocuparea forței de muncă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Reforma cadrului de obligații reciproce – intrarea în vigoare a legislației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Favorizarea creșterii economice și îmbunătățirea administrației</w:t>
            </w:r>
            <w:r>
              <w:rPr>
                <w:rFonts w:ascii="Times New Roman" w:hAnsi="Times New Roman"/>
                <w:noProof/>
                <w:sz w:val="18"/>
                <w:szCs w:val="18"/>
              </w:rPr>
              <w:t xml:space="preserve"> fiscale și a colectării impozitelor — 16656_noul cadru de combatere a contrabandei, în special pentru produsele supuse accizelor (tutun, alcool și energie)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Combaterea introducerii ilegale de migranți — adoptarea deciziilor de reglementare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w:t>
            </w:r>
            <w:r>
              <w:rPr>
                <w:rFonts w:ascii="Times New Roman" w:hAnsi="Times New Roman"/>
                <w:noProof/>
                <w:sz w:val="18"/>
                <w:szCs w:val="18"/>
              </w:rPr>
              <w:t>4.2. Modernizarea administrației publice, inclusiv prin accelerarea punerii în aplicare a investițiilor publice, îmbunătățirea cadrului de achiziții publice, măsuri de consolidare a capacităților și combaterea corupției — 16972_Reforma administrației publi</w:t>
            </w:r>
            <w:r>
              <w:rPr>
                <w:rFonts w:ascii="Times New Roman" w:hAnsi="Times New Roman"/>
                <w:noProof/>
                <w:sz w:val="18"/>
                <w:szCs w:val="18"/>
              </w:rPr>
              <w:t>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Administrația publică — cadrul legislativ pentru clarificarea mandatelor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Modernizarea administrației publice, inclusiv prin accelerarea punerii în aplicare a investițiilor publice, îmbunătățirea cadrului de achiziții publice, măsuri</w:t>
            </w:r>
            <w:r>
              <w:rPr>
                <w:rFonts w:ascii="Times New Roman" w:hAnsi="Times New Roman"/>
                <w:noProof/>
                <w:sz w:val="18"/>
                <w:szCs w:val="18"/>
              </w:rPr>
              <w:t xml:space="preserve"> de consolidare a capacităților și combaterea corupției — 16978_Combaterea eficientă a corupției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Declarații de avere și partide politice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Modernizarea administrației publice, inclusiv prin accelerarea punerii în aplicare a investițiilor</w:t>
            </w:r>
            <w:r>
              <w:rPr>
                <w:rFonts w:ascii="Times New Roman" w:hAnsi="Times New Roman"/>
                <w:noProof/>
                <w:sz w:val="18"/>
                <w:szCs w:val="18"/>
              </w:rPr>
              <w:t xml:space="preserve"> publice, îmbunătățirea cadrului de achiziții publice, măsuri de consolidare a capacităților și combaterea corupției — 16952_Consolidarea cadrului național anticorupție prin intervenții specifice în domeniile detectării, prevenirii și sensibilizării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Planul național de acțiune anticorupție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Îmbunătățirea eficienței sistemului de justiție — 16575 Accelerarea administrării justiției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Asistență tehnică — Instrumentul de performanță judiciară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Îmbunătățirea eficienței siste</w:t>
            </w:r>
            <w:r>
              <w:rPr>
                <w:rFonts w:ascii="Times New Roman" w:hAnsi="Times New Roman"/>
                <w:noProof/>
                <w:sz w:val="18"/>
                <w:szCs w:val="18"/>
              </w:rPr>
              <w:t>mului de justiție — 16575 Accelerarea administrării justiției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Poliția judiciară — Legislația secundară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reforma 16715_Labor în sectorul cultural</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Legislația </w:t>
            </w:r>
            <w:r>
              <w:rPr>
                <w:rFonts w:ascii="Times New Roman" w:hAnsi="Times New Roman"/>
                <w:noProof/>
                <w:sz w:val="18"/>
                <w:szCs w:val="18"/>
              </w:rPr>
              <w:t>privind reforma muncii în sectorul cultural</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16634_noi parcuri industriale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Parcurile industriale — reforma legislativă (dreptul primar)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17 - 4.6. Modernizarea și îmbunătățirea rezilienței sectoarelor economice cheie — 16653_Transformarea digitală a sectorului agroalimentar </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Lansarea apelului pentru transformarea digitală a sectorului agroalimentar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Renovare — </w:t>
            </w:r>
            <w:r>
              <w:rPr>
                <w:rFonts w:ascii="Times New Roman" w:hAnsi="Times New Roman"/>
                <w:noProof/>
                <w:sz w:val="18"/>
                <w:szCs w:val="18"/>
              </w:rPr>
              <w:t>16872_renovare energetică a clădirilor rezidențiale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Renovarea locuințelor — a 3-a rundă, inclusiv a gospodăriilor sărace din punct de vedere energetic</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Renovare — 16879_Pregătirea planurilor urbane în punerea în aplicare a reformei politi</w:t>
            </w:r>
            <w:r>
              <w:rPr>
                <w:rFonts w:ascii="Times New Roman" w:hAnsi="Times New Roman"/>
                <w:noProof/>
                <w:sz w:val="18"/>
                <w:szCs w:val="18"/>
              </w:rPr>
              <w:t>cii urbane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Premiul pentru planuri urbane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Reîncărcare și realimentare — 16281_Cadrul pentru instalarea și exploatarea infrastructurii de încărcare a energiei electrice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Puncte de încărcare pentru vehicule electrice — planuri locale </w:t>
            </w:r>
            <w:r>
              <w:rPr>
                <w:rFonts w:ascii="Times New Roman" w:hAnsi="Times New Roman"/>
                <w:noProof/>
                <w:sz w:val="18"/>
                <w:szCs w:val="18"/>
              </w:rPr>
              <w:t>aprobate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3 - 1.3. Reîncărcare și realimentare — 16831_Produc- E verde </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Unități industriale — lansarea programului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Reîncărcare și realimentare — 16924Electromobilitate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 Puncte de încărcare pentru vehicule electrice — lansarea pr</w:t>
            </w:r>
            <w:r>
              <w:rPr>
                <w:rFonts w:ascii="Times New Roman" w:hAnsi="Times New Roman"/>
                <w:noProof/>
                <w:sz w:val="18"/>
                <w:szCs w:val="18"/>
              </w:rPr>
              <w:t>ogramelor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Reîncărcare și realimentare — 16924Electromobilitate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Transport durabil — studiu de fezabilitate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schimbările climatice și protecția mediului — 16979_Constituirea unei </w:t>
            </w:r>
            <w:r>
              <w:rPr>
                <w:rFonts w:ascii="Times New Roman" w:hAnsi="Times New Roman"/>
                <w:noProof/>
                <w:sz w:val="18"/>
                <w:szCs w:val="18"/>
              </w:rPr>
              <w:t>noi autorități de reglementare în domeniul apei și al apelor reziduale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Intrarea în vigoare a legii privind autoritatea de reglementare în domeniul apei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schimbările climatice și protecția </w:t>
            </w:r>
            <w:r>
              <w:rPr>
                <w:rFonts w:ascii="Times New Roman" w:hAnsi="Times New Roman"/>
                <w:noProof/>
                <w:sz w:val="18"/>
                <w:szCs w:val="18"/>
              </w:rPr>
              <w:t>mediului — 16910_Sistemul de monitorizare și gestionare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Contract pentru GPS</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Modernizarea — 16778_Digitizarea arhivelor și a serviciilor conexe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contractului (contractelor) pentru digitizarea arhivelor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w:t>
            </w:r>
            <w:r>
              <w:rPr>
                <w:rFonts w:ascii="Times New Roman" w:hAnsi="Times New Roman"/>
                <w:noProof/>
                <w:sz w:val="18"/>
                <w:szCs w:val="18"/>
              </w:rPr>
              <w:t>Modernizare — 16779_Interoperabilitate și dezvoltarea serviciilor web</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contractului pentru proiectul de dezvoltare a interoperabilității și a serviciilor web</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16810_CRM pentru administrația publică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Atribuirea contractului pentru CRM pentru administrația publică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16780_Modernizarea în continuare a ghișeelor unice ale administrației publice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contractului pentru modernizarea în continuare a ghișeelor unice ale</w:t>
            </w:r>
            <w:r>
              <w:rPr>
                <w:rFonts w:ascii="Times New Roman" w:hAnsi="Times New Roman"/>
                <w:noProof/>
                <w:sz w:val="18"/>
                <w:szCs w:val="18"/>
              </w:rPr>
              <w:t xml:space="preserve"> administrației publice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Modernizarea — 16736_noul sistem pentru achizițiile publice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contractului pentru noul sistem de achiziții publice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Modernizare — 16823_Strategia și politicile de securitate cibernetică </w:t>
            </w:r>
            <w:r>
              <w:rPr>
                <w:rFonts w:ascii="Times New Roman" w:hAnsi="Times New Roman"/>
                <w:noProof/>
                <w:sz w:val="18"/>
                <w:szCs w:val="18"/>
              </w:rPr>
              <w:t>pentru sectorul public &amp; servicii avansate de securitate pentru infrastructurile naționale critice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contractului pentru strategia de securitate cibernetică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Modernizare — 16826_Programe de îmbunătățire a competențelor digitale </w:t>
            </w:r>
            <w:r>
              <w:rPr>
                <w:rFonts w:ascii="Times New Roman" w:hAnsi="Times New Roman"/>
                <w:noProof/>
                <w:sz w:val="18"/>
                <w:szCs w:val="18"/>
              </w:rPr>
              <w:t>pentru recruți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contractelor pentru programe de îmbunătățire a competențelor digitale pentru recruți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16742_Transformarea digitală a Ministerului Afacerilor Externe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Atribuirea contractului pentru </w:t>
            </w:r>
            <w:r>
              <w:rPr>
                <w:rFonts w:ascii="Times New Roman" w:hAnsi="Times New Roman"/>
                <w:noProof/>
                <w:sz w:val="18"/>
                <w:szCs w:val="18"/>
              </w:rPr>
              <w:t>transformarea digitală al Ministerului Afacerilor Externe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16824_Eregistrări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contractelor pentru registrele electronice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Modernizarea — 16842_Central BI — Analiză de date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Atribuirea contractului Central Business Intelligence (BI)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8 - 3.1. Promovarea creării de locuri de muncă și a participării pe piața muncii — 16750_Transformarea digitală a sistemelor de ocupare a forței de muncă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Atribuirea contractelor pentru </w:t>
            </w:r>
            <w:r>
              <w:rPr>
                <w:rFonts w:ascii="Times New Roman" w:hAnsi="Times New Roman"/>
                <w:noProof/>
                <w:sz w:val="18"/>
                <w:szCs w:val="18"/>
              </w:rPr>
              <w:t>sisteme informatice de muncă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Educație, educație și formare profesională și competențe — 16913_O nouă strategie pentru perfecționare pe tot parcursul vieții: Modernizarea și modernizarea sistemului de actualizare a competențelor și de reconver</w:t>
            </w:r>
            <w:r>
              <w:rPr>
                <w:rFonts w:ascii="Times New Roman" w:hAnsi="Times New Roman"/>
                <w:noProof/>
                <w:sz w:val="18"/>
                <w:szCs w:val="18"/>
              </w:rPr>
              <w:t>sie profesională al Greciei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Programe de formare — validarea strategiei de învățare pe tot parcursul vieții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16755_Reforma sistemului de asistență medic</w:t>
            </w:r>
            <w:r>
              <w:rPr>
                <w:rFonts w:ascii="Times New Roman" w:hAnsi="Times New Roman"/>
                <w:noProof/>
                <w:sz w:val="18"/>
                <w:szCs w:val="18"/>
              </w:rPr>
              <w:t>ală primară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Activarea programei de medicină de familie în domeniul asistenței medicale primare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Îmbunătățirea rezilienței, accesibilității și sustenabilității asistenței medicale — 16820_Reforma în domeniul sănătății mintale și al </w:t>
            </w:r>
            <w:r>
              <w:rPr>
                <w:rFonts w:ascii="Times New Roman" w:hAnsi="Times New Roman"/>
                <w:noProof/>
                <w:sz w:val="18"/>
                <w:szCs w:val="18"/>
              </w:rPr>
              <w:t>dependenței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Sănătatea mintală — 50 unități deschise — etapa 1 din 2</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Modernizarea administrației publice, inclusiv prin accelerarea punerii în aplicare a investițiilor publice, îmbunătățirea cadrului de achiziții publice, măsuri de cons</w:t>
            </w:r>
            <w:r>
              <w:rPr>
                <w:rFonts w:ascii="Times New Roman" w:hAnsi="Times New Roman"/>
                <w:noProof/>
                <w:sz w:val="18"/>
                <w:szCs w:val="18"/>
              </w:rPr>
              <w:t>olidare a capacităților și combaterea corupției — 16952_Consolidarea cadrului național anticorupție prin intervenții specifice în domeniile detectării, prevenirii și sensibilizării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Punerea în aplicare a legislației privind controalele interne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w:t>
            </w:r>
            <w:r>
              <w:rPr>
                <w:rFonts w:ascii="Times New Roman" w:hAnsi="Times New Roman"/>
                <w:noProof/>
                <w:sz w:val="18"/>
                <w:szCs w:val="18"/>
              </w:rPr>
              <w:t xml:space="preserve"> - 4.2. Modernizarea administrației publice, inclusiv prin accelerarea punerii în aplicare a investițiilor publice, îmbunătățirea cadrului de achiziții publice, măsuri de consolidare a capacităților și combaterea corupției — 16701_Consolidarea rețelei de a</w:t>
            </w:r>
            <w:r>
              <w:rPr>
                <w:rFonts w:ascii="Times New Roman" w:hAnsi="Times New Roman"/>
                <w:noProof/>
                <w:sz w:val="18"/>
                <w:szCs w:val="18"/>
              </w:rPr>
              <w:t>jutoare de stat</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Consolidarea rețelei de ajutoare de stat</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Modernizarea administrației publice, inclusiv prin accelerarea punerii în aplicare a investițiilor publice, îmbunătățirea cadrului de achiziții publice, măsuri de consolidare a c</w:t>
            </w:r>
            <w:r>
              <w:rPr>
                <w:rFonts w:ascii="Times New Roman" w:hAnsi="Times New Roman"/>
                <w:noProof/>
                <w:sz w:val="18"/>
                <w:szCs w:val="18"/>
              </w:rPr>
              <w:t>apacităților și combaterea corupției — 16981_Consolidarea planificării și coordonării politicilor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Planificarea și coordonarea politicilor — evaluarea impactului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14 - 4.3. Îmbunătățirea eficienței sistemului de justiție — 16575 Accelerarea </w:t>
            </w:r>
            <w:r>
              <w:rPr>
                <w:rFonts w:ascii="Times New Roman" w:hAnsi="Times New Roman"/>
                <w:noProof/>
                <w:sz w:val="18"/>
                <w:szCs w:val="18"/>
              </w:rPr>
              <w:t>administrării justiției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Hartă judiciară — legislație primară — administrativă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Îmbunătățirea eficienței sistemului judiciar – 16292_noi clădiri judiciare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40"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Clădiri judiciare — Construcții și renovări — Ajustare pe listă — lansarea </w:t>
            </w:r>
            <w:r>
              <w:rPr>
                <w:rFonts w:ascii="Times New Roman" w:hAnsi="Times New Roman"/>
                <w:noProof/>
                <w:sz w:val="18"/>
                <w:szCs w:val="18"/>
              </w:rPr>
              <w:t>licitațiilor</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40"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780A28" w:rsidRDefault="00780A28">
      <w:pPr>
        <w:keepNext/>
        <w:spacing w:before="40" w:after="0" w:line="259" w:lineRule="auto"/>
        <w:jc w:val="both"/>
        <w:rPr>
          <w:rFonts w:ascii="Times New Roman" w:eastAsia="Times New Roman" w:hAnsi="Times New Roman" w:cs="Times New Roman"/>
          <w:bCs/>
          <w:noProof/>
          <w:sz w:val="24"/>
          <w:szCs w:val="26"/>
        </w:rPr>
        <w:sectPr w:rsidR="00780A28">
          <w:headerReference w:type="even" r:id="rId335"/>
          <w:headerReference w:type="default" r:id="rId336"/>
          <w:footerReference w:type="even" r:id="rId337"/>
          <w:footerReference w:type="default" r:id="rId338"/>
          <w:headerReference w:type="first" r:id="rId339"/>
          <w:footerReference w:type="first" r:id="rId340"/>
          <w:pgSz w:w="11907" w:h="16839"/>
          <w:pgMar w:top="1134" w:right="1417" w:bottom="1134" w:left="1417" w:header="709" w:footer="709" w:gutter="0"/>
          <w:cols w:space="720"/>
          <w:docGrid w:linePitch="360"/>
        </w:sectPr>
      </w:pPr>
    </w:p>
    <w:p w:rsidR="00780A28" w:rsidRDefault="00780A28">
      <w:pPr>
        <w:keepNext/>
        <w:spacing w:before="40" w:after="0" w:line="259" w:lineRule="auto"/>
        <w:jc w:val="both"/>
        <w:rPr>
          <w:rFonts w:ascii="Times New Roman" w:eastAsia="Times New Roman" w:hAnsi="Times New Roman" w:cs="Times New Roman"/>
          <w:bCs/>
          <w:noProof/>
          <w:sz w:val="24"/>
          <w:szCs w:val="26"/>
        </w:rPr>
      </w:pPr>
    </w:p>
    <w:p w:rsidR="00780A28" w:rsidRDefault="001867D7">
      <w:pPr>
        <w:keepNext/>
        <w:numPr>
          <w:ilvl w:val="1"/>
          <w:numId w:val="20"/>
        </w:numPr>
        <w:spacing w:before="40" w:after="0" w:line="259" w:lineRule="auto"/>
        <w:ind w:left="0"/>
        <w:contextualSpacing/>
        <w:jc w:val="both"/>
        <w:rPr>
          <w:rFonts w:ascii="Times New Roman" w:eastAsia="Times New Roman" w:hAnsi="Times New Roman" w:cs="Times New Roman"/>
          <w:i/>
          <w:noProof/>
          <w:color w:val="4F81BD"/>
          <w:sz w:val="24"/>
        </w:rPr>
      </w:pPr>
      <w:r>
        <w:rPr>
          <w:rFonts w:ascii="Times New Roman" w:hAnsi="Times New Roman"/>
          <w:noProof/>
          <w:sz w:val="24"/>
        </w:rPr>
        <w:t xml:space="preserve">A patra cerere de plată (sprijin nerambursabil): </w:t>
      </w:r>
    </w:p>
    <w:p w:rsidR="00780A28" w:rsidRDefault="00780A28">
      <w:pPr>
        <w:keepNext/>
        <w:spacing w:before="40" w:after="0" w:line="259" w:lineRule="auto"/>
        <w:contextualSpacing/>
        <w:jc w:val="both"/>
        <w:rPr>
          <w:rFonts w:ascii="Times New Roman" w:eastAsia="Times New Roman" w:hAnsi="Times New Roman" w:cs="Times New Roman"/>
          <w:i/>
          <w:noProof/>
          <w:color w:val="4F81BD"/>
          <w:sz w:val="24"/>
        </w:rPr>
      </w:pPr>
    </w:p>
    <w:tbl>
      <w:tblPr>
        <w:tblW w:w="9535" w:type="dxa"/>
        <w:tblInd w:w="113" w:type="dxa"/>
        <w:tblLook w:val="04A0" w:firstRow="1" w:lastRow="0" w:firstColumn="1" w:lastColumn="0" w:noHBand="0" w:noVBand="1"/>
      </w:tblPr>
      <w:tblGrid>
        <w:gridCol w:w="1804"/>
        <w:gridCol w:w="4283"/>
        <w:gridCol w:w="1692"/>
        <w:gridCol w:w="1756"/>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Măsură conexă (reformă 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37</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Renovate — </w:t>
            </w:r>
            <w:r>
              <w:rPr>
                <w:rFonts w:ascii="Times New Roman" w:hAnsi="Times New Roman"/>
                <w:noProof/>
                <w:sz w:val="18"/>
                <w:szCs w:val="18"/>
              </w:rPr>
              <w:t>16932_Centrul olimpic Athletic din Atena</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OAKA — Atribuirea contractului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228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Îmbunătățirea eficienței sistemului de justiție — 16733_Competențe și competențe digitale pentru judecători și angajații din justiție (personalul din justiție)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Formare — Judecători și grefieri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247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Promovarea cercetării și inovării — 16624_Creare — Extindere — Actualizarea infrastructurilor centrelor de cercetare supravegheate de Secretariatul General pentru Cercetare și Inovare (GSRI)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Atribuirea contractelor pentru centrele de cercetare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Promovarea cercetării și inovării — 16654_TH 2 ORAX: Trellis Holistic &amp; Hybrid Operational Ruggedized Autonomous eXemplary system</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contractelor pentru TH²ORAX</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rezilienței sectoarelor economice cheie — 16954 Intervenții pentru modernizarea și reamenajarea sistemului și a infrastructurii rețelei feroviare elene </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unui contract PPP pentru modernizarea și reame</w:t>
            </w:r>
            <w:r>
              <w:rPr>
                <w:rFonts w:ascii="Times New Roman" w:hAnsi="Times New Roman"/>
                <w:noProof/>
                <w:sz w:val="18"/>
                <w:szCs w:val="18"/>
              </w:rPr>
              <w:t>najarea rețelei feroviare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16870_Intervenții pentru interconectarea rețelelor de energie electrică ale insulelor și pentru modernizarea rețelei de energie electrică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Interconectarea insulelor — atribuirea contractelor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w:t>
            </w:r>
            <w:r>
              <w:rPr>
                <w:rFonts w:ascii="Times New Roman" w:hAnsi="Times New Roman"/>
                <w:noProof/>
                <w:sz w:val="18"/>
                <w:szCs w:val="18"/>
              </w:rPr>
              <w:t xml:space="preserve"> Power up — 16865_Restructurarea și sporirea veniturilor contului CHP din SRE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Contul SRE — obiectivul de creștere a capacității pentru 1</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Power up — 16871_Acțiuni de revitalizare a celor mai afectate teritorii (teritorii de tranziție </w:t>
            </w:r>
            <w:r>
              <w:rPr>
                <w:rFonts w:ascii="Times New Roman" w:hAnsi="Times New Roman"/>
                <w:noProof/>
                <w:sz w:val="18"/>
                <w:szCs w:val="18"/>
              </w:rPr>
              <w:t>justă)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Reabilitare teritorială — planuri urbane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16926_Susținerea instalării sistemelor de stocare pentru a îmbunătăți penetrarea surselor regenerabile de energie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Contractul de depozitare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Renovare — </w:t>
            </w:r>
            <w:r>
              <w:rPr>
                <w:rFonts w:ascii="Times New Roman" w:hAnsi="Times New Roman"/>
                <w:noProof/>
                <w:sz w:val="18"/>
                <w:szCs w:val="18"/>
              </w:rPr>
              <w:t>16874_Energie și antreprenoriat</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Eficiența energetică în sectorul privat — cereri aprobate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Renovare — 16876_Modernizarea energetică a clădirilor din sectorul public </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Clădiri publice eficiente din punct de vedere energetic — cereri a</w:t>
            </w:r>
            <w:r>
              <w:rPr>
                <w:rFonts w:ascii="Times New Roman" w:hAnsi="Times New Roman"/>
                <w:noProof/>
                <w:sz w:val="18"/>
                <w:szCs w:val="18"/>
              </w:rPr>
              <w:t>probate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Renovare — 16873Intervenții în zonele rezidențiale și în parcul imobiliar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Intervenții urbane — atribuirea contractelor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schimbările climatice și protecția mediului — </w:t>
            </w:r>
            <w:r>
              <w:rPr>
                <w:rFonts w:ascii="Times New Roman" w:hAnsi="Times New Roman"/>
                <w:noProof/>
                <w:sz w:val="18"/>
                <w:szCs w:val="18"/>
              </w:rPr>
              <w:t>16772_Legea privind gestionarea deșeurilor pentru punerea în aplicare a depozitării și reciclării durabile a deșeurilor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Înființarea și funcționarea autorității de reglementare în domeniul gestionării deșeurilor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w:t>
            </w:r>
            <w:r>
              <w:rPr>
                <w:rFonts w:ascii="Times New Roman" w:hAnsi="Times New Roman"/>
                <w:noProof/>
                <w:sz w:val="18"/>
                <w:szCs w:val="18"/>
              </w:rPr>
              <w:t>rselor, reziliența la schimbările climatice și protecția mediului — 16849_Planul național de reîmpădurire și investiția emblematică Parnitha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Reîmpădurire — contracte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schimbările climatice </w:t>
            </w:r>
            <w:r>
              <w:rPr>
                <w:rFonts w:ascii="Times New Roman" w:hAnsi="Times New Roman"/>
                <w:noProof/>
                <w:sz w:val="18"/>
                <w:szCs w:val="18"/>
              </w:rPr>
              <w:t>ș</w:t>
            </w:r>
            <w:r>
              <w:rPr>
                <w:rFonts w:ascii="Times New Roman" w:hAnsi="Times New Roman"/>
                <w:noProof/>
                <w:sz w:val="18"/>
                <w:szCs w:val="18"/>
              </w:rPr>
              <w:t>i protecția mediului — 16850_Aprovizionarea cu apă potabilă și infrastructuri de salvare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Emiterea unei cereri de exprimare a interesului pentru acțiunile de economisire a apei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Conectare — 16962_Cabluri din fibre submarine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contractului (contractelor) pentru proiectul „Cabluri din fibre submarine”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Conectare — 16855_Număr de sateliți de mici dimensiuni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contractului (contractelor) pentru proiectul „Sateliți mici”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Conectare —</w:t>
            </w:r>
            <w:r>
              <w:rPr>
                <w:rFonts w:ascii="Times New Roman" w:hAnsi="Times New Roman"/>
                <w:noProof/>
                <w:sz w:val="18"/>
                <w:szCs w:val="18"/>
              </w:rPr>
              <w:t xml:space="preserve"> Coridoare 16834_5G — Dezvoltarea rețelelor 5G care asigură acoperirea tuturor autostrăzilor grecești care fac parte din rețelele transeuropene de transport</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contractului (contractelor) pentru proiectul „coridoarelor 5G”</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Educa</w:t>
            </w:r>
            <w:r>
              <w:rPr>
                <w:rFonts w:ascii="Times New Roman" w:hAnsi="Times New Roman"/>
                <w:noProof/>
                <w:sz w:val="18"/>
                <w:szCs w:val="18"/>
              </w:rPr>
              <w:t>ț</w:t>
            </w:r>
            <w:r>
              <w:rPr>
                <w:rFonts w:ascii="Times New Roman" w:hAnsi="Times New Roman"/>
                <w:noProof/>
                <w:sz w:val="18"/>
                <w:szCs w:val="18"/>
              </w:rPr>
              <w:t>ie, educație și formare profesională și competențe — 16792_Formare a forței de muncă, recalificare și perfecționare prin intermediul unui model reformat de formare (Educație profesională &amp; Reforma formării)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contractului pentru sistemul de</w:t>
            </w:r>
            <w:r>
              <w:rPr>
                <w:rFonts w:ascii="Times New Roman" w:hAnsi="Times New Roman"/>
                <w:noProof/>
                <w:sz w:val="18"/>
                <w:szCs w:val="18"/>
              </w:rPr>
              <w:t xml:space="preserve"> control al calității EFP</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16816_Reforme și accelerarea investițiilor în sectorul asistenței medicale — Reducerea și raționalizarea cheltuielilor cu asistenț</w:t>
            </w:r>
            <w:r>
              <w:rPr>
                <w:rFonts w:ascii="Times New Roman" w:hAnsi="Times New Roman"/>
                <w:noProof/>
                <w:sz w:val="18"/>
                <w:szCs w:val="18"/>
              </w:rPr>
              <w:t>a medicală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Reducerea recuperării în 50 000 000 — etapa 1</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O impozitare mai favorabilă creșterii economice și o mai bună administrare fiscală și colectare a impozitelor — 16611_Transformarea digitală a auditurilor fiscale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Audituri </w:t>
            </w:r>
            <w:r>
              <w:rPr>
                <w:rFonts w:ascii="Times New Roman" w:hAnsi="Times New Roman"/>
                <w:noProof/>
                <w:sz w:val="18"/>
                <w:szCs w:val="18"/>
              </w:rPr>
              <w:t>fiscale — MyData și informații bancare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O impozitare mai favorabilă creșterii economice și o mai bună administrare fiscală și colectare a impozitelor — 16643_Codificarea și simplificarea legislației fiscale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Recuperarea impozitelor pe ve</w:t>
            </w:r>
            <w:r>
              <w:rPr>
                <w:rFonts w:ascii="Times New Roman" w:hAnsi="Times New Roman"/>
                <w:noProof/>
                <w:sz w:val="18"/>
                <w:szCs w:val="18"/>
              </w:rPr>
              <w:t>nit și a codurilor de procedură fiscală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Modernizarea administrației publice, inclusiv prin accelerarea punerii în aplicare a investițiilor publice, îmbunătățirea cadrului de achiziții publice, măsuri de consolidare a capacităților și </w:t>
            </w:r>
            <w:r>
              <w:rPr>
                <w:rFonts w:ascii="Times New Roman" w:hAnsi="Times New Roman"/>
                <w:noProof/>
                <w:sz w:val="18"/>
                <w:szCs w:val="18"/>
              </w:rPr>
              <w:t>combaterea corupției — 16702_Consolidarea cadrului de combatere a spălării banilor și a finanțării terorismului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Cadrul consolidat de combatere a spălării banilor (AML) și a finanțării terorismului (CFT)</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14 - 4.3. Îmbunătățirea eficienței sistem</w:t>
            </w:r>
            <w:r>
              <w:rPr>
                <w:rFonts w:ascii="Times New Roman" w:hAnsi="Times New Roman"/>
                <w:noProof/>
                <w:sz w:val="18"/>
                <w:szCs w:val="18"/>
              </w:rPr>
              <w:t>ului de justiție — 16727 Transformarea digitală a justiției (e-justiție)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Modernizarea sistemelor de înregistrare &amp; Sisteme informatice de justiție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14 - 4.3. Îmbunătățirea eficienței sistemului de justiție — 16575 Accelerarea administrării justi</w:t>
            </w:r>
            <w:r>
              <w:rPr>
                <w:rFonts w:ascii="Times New Roman" w:hAnsi="Times New Roman"/>
                <w:noProof/>
                <w:sz w:val="18"/>
                <w:szCs w:val="18"/>
              </w:rPr>
              <w:t>ț</w:t>
            </w:r>
            <w:r>
              <w:rPr>
                <w:rFonts w:ascii="Times New Roman" w:hAnsi="Times New Roman"/>
                <w:noProof/>
                <w:sz w:val="18"/>
                <w:szCs w:val="18"/>
              </w:rPr>
              <w:t>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Adoptare — Instrumentul de performanță al grefierilor judiciari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14 - 4.3. Îmbunătățirea eficienței sistemului judiciar – 16292_noi clădiri judiciare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Contracte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rezilienței principalelor </w:t>
            </w:r>
            <w:r>
              <w:rPr>
                <w:rFonts w:ascii="Times New Roman" w:hAnsi="Times New Roman"/>
                <w:noProof/>
                <w:sz w:val="18"/>
                <w:szCs w:val="18"/>
              </w:rPr>
              <w:t>sectoare economice — 16631_Modernizarea siguranței rutiere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contractelor pentru siguranța rutieră — primul lot de contracte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rezilienței principalelor sectoare economice — 16630_Autostrada din </w:t>
            </w:r>
            <w:r>
              <w:rPr>
                <w:rFonts w:ascii="Times New Roman" w:hAnsi="Times New Roman"/>
                <w:noProof/>
                <w:sz w:val="18"/>
                <w:szCs w:val="18"/>
              </w:rPr>
              <w:t>Nordul insulei Creta (Β.Ο.Α.Κ.)</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Notificarea atribuirii contractelor pentru trei subproiecte ale BOAK</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rezilienței sectoarelor economice cheie — 16950_Tolluri electronice </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contractelor pentr</w:t>
            </w:r>
            <w:r>
              <w:rPr>
                <w:rFonts w:ascii="Times New Roman" w:hAnsi="Times New Roman"/>
                <w:noProof/>
                <w:sz w:val="18"/>
                <w:szCs w:val="18"/>
              </w:rPr>
              <w:t>u taxele de trecere electronică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16833_Implementarea lucrărilor de remediere a conformității efectuate de AESA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Notificare privind atribuirea unui t pentru lucr</w:t>
            </w:r>
            <w:r>
              <w:rPr>
                <w:rFonts w:ascii="Times New Roman" w:hAnsi="Times New Roman"/>
                <w:noProof/>
                <w:sz w:val="18"/>
                <w:szCs w:val="18"/>
              </w:rPr>
              <w:t>ările Agenției Uniunii Europene pentru Siguranța Aviației (AESA) în aeroporturile regionale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16975_Actualizarea intervențiilor pentru porturile regionale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Contractarea lucrărilor de modernizare portuară regională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16634_noi parcuri industriale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Parcurile industriale — reformă legislativă (legislație secundară)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18 </w:t>
            </w:r>
            <w:r>
              <w:rPr>
                <w:rFonts w:ascii="Times New Roman" w:hAnsi="Times New Roman"/>
                <w:noProof/>
                <w:sz w:val="18"/>
                <w:szCs w:val="18"/>
              </w:rPr>
              <w:t>- 4.7. Îmbunătățirea competitivității și promovarea investițiilor private și a exporturilor — 16543_Acțiuni pentru simplificarea mediului de afaceri și îmbunătățirea calității și siguranței acestuia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Instituirea unei politici în domeniul calității și a unui nou cadru de reglementare pentru infrastructurile de calitate </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780A28" w:rsidRDefault="00780A28">
      <w:pPr>
        <w:keepNext/>
        <w:spacing w:before="40" w:after="0" w:line="259" w:lineRule="auto"/>
        <w:jc w:val="both"/>
        <w:rPr>
          <w:rFonts w:ascii="Times New Roman" w:eastAsia="Times New Roman" w:hAnsi="Times New Roman" w:cs="Times New Roman"/>
          <w:bCs/>
          <w:noProof/>
          <w:sz w:val="24"/>
          <w:szCs w:val="26"/>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A cincea cerere de plată (sprijin nerambursabil): </w:t>
      </w:r>
    </w:p>
    <w:tbl>
      <w:tblPr>
        <w:tblW w:w="9782" w:type="dxa"/>
        <w:tblInd w:w="113" w:type="dxa"/>
        <w:tblLook w:val="04A0" w:firstRow="1" w:lastRow="0" w:firstColumn="1" w:lastColumn="0" w:noHBand="0" w:noVBand="1"/>
      </w:tblPr>
      <w:tblGrid>
        <w:gridCol w:w="1804"/>
        <w:gridCol w:w="4283"/>
        <w:gridCol w:w="1692"/>
        <w:gridCol w:w="2003"/>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Măsură conexă (reformă sau </w:t>
            </w:r>
            <w:r>
              <w:rPr>
                <w:rFonts w:ascii="Times New Roman" w:hAnsi="Times New Roman"/>
                <w:noProof/>
                <w:sz w:val="18"/>
                <w:szCs w:val="18"/>
              </w:rPr>
              <w:t>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2003"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2003"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12</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16901_HEDNO cu scopul de a spori reziliența și de a proteja mediul</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00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HEDNO — contracte 1</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modernizarea rețelei aeriene 16900_HEDNO în zonele forestiere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HEDNO — </w:t>
            </w:r>
            <w:r>
              <w:rPr>
                <w:rFonts w:ascii="Times New Roman" w:hAnsi="Times New Roman"/>
                <w:noProof/>
                <w:sz w:val="18"/>
                <w:szCs w:val="18"/>
              </w:rPr>
              <w:t>contracte 2</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16899_Creșterea capacității instalate a substațiilor electrice ale operatorului de rețea de distribuție a energiei electrice (HEDNO) HV/MV pentru noua conexiune SRE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HEDNO — contracte 3</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Renovare — </w:t>
            </w:r>
            <w:r>
              <w:rPr>
                <w:rFonts w:ascii="Times New Roman" w:hAnsi="Times New Roman"/>
                <w:noProof/>
                <w:sz w:val="18"/>
                <w:szCs w:val="18"/>
              </w:rPr>
              <w:t>16872_renovare energetică a clădirilor rezidențiale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Renovare rezidențială — renovarea locuințelor #1</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Renovare — 16879_Pregătirea planurilor urbane în punerea în aplicare a reformei politicii urbane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Premiul pentru planuri urbane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Reîncărcare și realimentare — 16924Electromobilitate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Puncte de încărcare pentru vehicule electrice — locații de instalare confirmate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Reîncărcare și realimentare — 16831_Produc- E verde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Unități industriale — societăți </w:t>
            </w:r>
            <w:r>
              <w:rPr>
                <w:rFonts w:ascii="Times New Roman" w:hAnsi="Times New Roman"/>
                <w:noProof/>
                <w:sz w:val="18"/>
                <w:szCs w:val="18"/>
              </w:rPr>
              <w:t>selectate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16979_Constituirea unei noi autorități de reglementare în domeniul apei și al apelor reziduale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Înființarea și funcționarea autorități</w:t>
            </w:r>
            <w:r>
              <w:rPr>
                <w:rFonts w:ascii="Times New Roman" w:hAnsi="Times New Roman"/>
                <w:noProof/>
                <w:sz w:val="18"/>
                <w:szCs w:val="18"/>
              </w:rPr>
              <w:t>i de reglementare în domeniul gospodăririi apelor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16882_Proiecte de atenuare a inundațiilor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Notificarea atribuirii contractelor de protecție îm</w:t>
            </w:r>
            <w:r>
              <w:rPr>
                <w:rFonts w:ascii="Times New Roman" w:hAnsi="Times New Roman"/>
                <w:noProof/>
                <w:sz w:val="18"/>
                <w:szCs w:val="18"/>
              </w:rPr>
              <w:t>potriva inundațiilor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Proiecte de aprovizionare 16898_WATER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Notificarea atribuirii contractului pentru proiecte de alimentare cu apă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w:t>
            </w:r>
            <w:r>
              <w:rPr>
                <w:rFonts w:ascii="Times New Roman" w:hAnsi="Times New Roman"/>
                <w:noProof/>
                <w:sz w:val="18"/>
                <w:szCs w:val="18"/>
              </w:rPr>
              <w:t>1.4. Utilizarea durabilă a resurselor, reziliența la schimbările climatice și protecția mediului — 16846_noua infrastructură — Infrastructurile de gestionare a apelor urbane reziduale și a nămolurilor rezultate din tratarea apelor uzate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Notificarea a</w:t>
            </w:r>
            <w:r>
              <w:rPr>
                <w:rFonts w:ascii="Times New Roman" w:hAnsi="Times New Roman"/>
                <w:noProof/>
                <w:sz w:val="18"/>
                <w:szCs w:val="18"/>
              </w:rPr>
              <w:t>tribuirii contractelor pentru proiecte privind apele reziduale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16911_Mijloace aeriene pentru gestionarea crizelor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Achiziționarea a două </w:t>
            </w:r>
            <w:r>
              <w:rPr>
                <w:rFonts w:ascii="Times New Roman" w:hAnsi="Times New Roman"/>
                <w:noProof/>
                <w:sz w:val="18"/>
                <w:szCs w:val="18"/>
              </w:rPr>
              <w:t>elicoptere Sikorsky</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Modernizarea — 16778_Digitizarea arhivelor și a serviciilor conexe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Digitalizarea arhivelor — prima etapă a punerii în aplicare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Modernizarea — 16929_Către servicii orientate către client ale administrației</w:t>
            </w:r>
            <w:r>
              <w:rPr>
                <w:rFonts w:ascii="Times New Roman" w:hAnsi="Times New Roman"/>
                <w:noProof/>
                <w:sz w:val="18"/>
                <w:szCs w:val="18"/>
              </w:rPr>
              <w:t xml:space="preserve"> publice prin simplificarea și îmbunătățirea proceselor, îmbunătățirea sistemelor și respectarea strategiilor și politicilor europene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Punerea în aplicare a planului național de simplificare a procesului (a doua etapă)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8 - 3.1. Promovarea creării</w:t>
            </w:r>
            <w:r>
              <w:rPr>
                <w:rFonts w:ascii="Times New Roman" w:hAnsi="Times New Roman"/>
                <w:noProof/>
                <w:sz w:val="18"/>
                <w:szCs w:val="18"/>
              </w:rPr>
              <w:t xml:space="preserve"> de locuri de muncă și a participării pe piața muncii — 16942_Transformarea digitală a serviciului public de ocupare a forței de muncă (OAED)</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Digitalizarea OAED A3 A4 pagini arhive digitalizate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8 - 3.1. Promovarea creării de locuri de muncă și a</w:t>
            </w:r>
            <w:r>
              <w:rPr>
                <w:rFonts w:ascii="Times New Roman" w:hAnsi="Times New Roman"/>
                <w:noProof/>
                <w:sz w:val="18"/>
                <w:szCs w:val="18"/>
              </w:rPr>
              <w:t xml:space="preserve"> participării pe piața forței de muncă — 16747_Reforma activă a politicilor pieței forței de muncă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programului de perfecționare a competențelor în domeniul ocupării forței de muncă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Educație, educație și formare profesională</w:t>
            </w:r>
            <w:r>
              <w:rPr>
                <w:rFonts w:ascii="Times New Roman" w:hAnsi="Times New Roman"/>
                <w:noProof/>
                <w:sz w:val="18"/>
                <w:szCs w:val="18"/>
              </w:rPr>
              <w:t xml:space="preserve"> și competențe — 16289_Strategie de excelență în universități &amp; Inovarea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contractelor de cercetare de către universitățile de excelență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Îmbunătățirea rezilienței, accesibilității și sustenabilității asistenței medicale — </w:t>
            </w:r>
            <w:r>
              <w:rPr>
                <w:rFonts w:ascii="Times New Roman" w:hAnsi="Times New Roman"/>
                <w:noProof/>
                <w:sz w:val="18"/>
                <w:szCs w:val="18"/>
              </w:rPr>
              <w:t>16755_Reforma sistemului de asistență medicală primară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Centre de asistență medicală primară — centre medicale de atribuire a contractelor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16820_Reform</w:t>
            </w:r>
            <w:r>
              <w:rPr>
                <w:rFonts w:ascii="Times New Roman" w:hAnsi="Times New Roman"/>
                <w:noProof/>
                <w:sz w:val="18"/>
                <w:szCs w:val="18"/>
              </w:rPr>
              <w:t>a în domeniul sănătății mintale și al dependenței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Sănătatea mintală — 106 unități deschise — etapa 2 din 2</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16752_Transformarea digitală a sănătății (D</w:t>
            </w:r>
            <w:r>
              <w:rPr>
                <w:rFonts w:ascii="Times New Roman" w:hAnsi="Times New Roman"/>
                <w:noProof/>
                <w:sz w:val="18"/>
                <w:szCs w:val="18"/>
              </w:rPr>
              <w:t>igHealth)</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Transformarea digitală a asistenței medicale – registrul național digital de sănătate (subproiectul 1)</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Creșterea accesului la politici sociale eficace și favorabile incluziunii — Optimizarea beneficiilor sociale în 16726</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Carduri preplătite de optimizare a prestațiilor sociale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Creșterea accesului la politici sociale eficace și favorabile incluziunii — 16904_Handicap</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celei de a doua etape a evaluării handicapului în cadrul asistenței pe</w:t>
            </w:r>
            <w:r>
              <w:rPr>
                <w:rFonts w:ascii="Times New Roman" w:hAnsi="Times New Roman"/>
                <w:noProof/>
                <w:sz w:val="18"/>
                <w:szCs w:val="18"/>
              </w:rPr>
              <w:t>rsonale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Creșterea accesului la politici sociale eficace și favorabile incluziunii — 16919_Protecția copilului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Dezinstituționalizarea minorilor: finalizarea îngrijitorilor maternali profesioniști cu handicap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11 - 3.4. Creșterea </w:t>
            </w:r>
            <w:r>
              <w:rPr>
                <w:rFonts w:ascii="Times New Roman" w:hAnsi="Times New Roman"/>
                <w:noProof/>
                <w:sz w:val="18"/>
                <w:szCs w:val="18"/>
              </w:rPr>
              <w:t>accesului la politici sociale eficace și favorabile incluziunii — 16919_Protecția copilului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Apartamente vii independente pentru dezinstituționalizarea adolescenților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Creșterea accesului la politici sociale eficace și favorabile incluz</w:t>
            </w:r>
            <w:r>
              <w:rPr>
                <w:rFonts w:ascii="Times New Roman" w:hAnsi="Times New Roman"/>
                <w:noProof/>
                <w:sz w:val="18"/>
                <w:szCs w:val="18"/>
              </w:rPr>
              <w:t>iunii — 16925_Transformarea digitală a sistemului de sprijin social</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livrării cardurilor cu handicap de către autoritatea de management</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11 - 3.4. Creșterea accesului la politici sociale eficace și favorabile incluziunii — </w:t>
            </w:r>
            <w:r>
              <w:rPr>
                <w:rFonts w:ascii="Times New Roman" w:hAnsi="Times New Roman"/>
                <w:noProof/>
                <w:sz w:val="18"/>
                <w:szCs w:val="18"/>
              </w:rPr>
              <w:t>16685_Sensibilizarea diversității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activităților de formare în materie de sensibilizare cu privire la diversitate ale managerilor de la începutul mandatului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O impozitare mai favorabilă creșterii economice și o mai bună admin</w:t>
            </w:r>
            <w:r>
              <w:rPr>
                <w:rFonts w:ascii="Times New Roman" w:hAnsi="Times New Roman"/>
                <w:noProof/>
                <w:sz w:val="18"/>
                <w:szCs w:val="18"/>
              </w:rPr>
              <w:t>istrare fiscală și colectare a impozitelor — 16610_Promovarea accelerării rambursărilor de TVA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Rambursarea complet automatizată a TVA — lansarea sistemului informatic</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Modernizarea administrației publice, inclusiv prin accelerarea </w:t>
            </w:r>
            <w:r>
              <w:rPr>
                <w:rFonts w:ascii="Times New Roman" w:hAnsi="Times New Roman"/>
                <w:noProof/>
                <w:sz w:val="18"/>
                <w:szCs w:val="18"/>
              </w:rPr>
              <w:t>punerii în aplicare a investițiilor publice, îmbunătățirea cadrului de achiziții publice, măsuri de consolidare a capacităților și combaterea corupției — 16972_Reforma administrației publice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Administrația publică — un nou sistem de recompensare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Îmbunătățirea eficienței sistemului de justiție — 16575 Accelerarea administrării justiției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Revizuirea hărții judiciare — legislația primară — civilă și penală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14 - 4.3. Îmbunătățirea eficienței sistemului judiciar – 16292_noi clădiri </w:t>
            </w:r>
            <w:r>
              <w:rPr>
                <w:rFonts w:ascii="Times New Roman" w:hAnsi="Times New Roman"/>
                <w:noProof/>
                <w:sz w:val="18"/>
                <w:szCs w:val="18"/>
              </w:rPr>
              <w:t>judiciare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Construcții judiciare și renovare — lansarea procedurilor de ofertare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Îmbunătățirea eficienței sistemului de justiție — 16575 Accelerarea administrării justiției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Poliția judiciară operațională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w:t>
            </w:r>
            <w:r>
              <w:rPr>
                <w:rFonts w:ascii="Times New Roman" w:hAnsi="Times New Roman"/>
                <w:noProof/>
                <w:sz w:val="18"/>
                <w:szCs w:val="18"/>
              </w:rPr>
              <w:t>Modernizarea și îmbunătățirea rezilienței principalelor sectoare economice — 16628_Autostrada E-65 a Greciei Centrale: secțiunea Trikala- Egnatia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E-65 lucrări — prima fază de construcție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w:t>
            </w:r>
            <w:r>
              <w:rPr>
                <w:rFonts w:ascii="Times New Roman" w:hAnsi="Times New Roman"/>
                <w:noProof/>
                <w:sz w:val="18"/>
                <w:szCs w:val="18"/>
              </w:rPr>
              <w:t>relor economice cheie — 16982_Reforma organizațională în sectorul feroviar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Punerea în aplicare a reformei sectorului feroviar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rezilienței sectoarelor economice cheie — 16486_Muzeul de antichități </w:t>
            </w:r>
            <w:r>
              <w:rPr>
                <w:rFonts w:ascii="Times New Roman" w:hAnsi="Times New Roman"/>
                <w:noProof/>
                <w:sz w:val="18"/>
                <w:szCs w:val="18"/>
              </w:rPr>
              <w:t>subacvatice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contractului pentru Muzeul de antichități subacvatice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16293_Cultura ca motor al creșterii economice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Marca și platforma culturală greac</w:t>
            </w:r>
            <w:r>
              <w:rPr>
                <w:rFonts w:ascii="Times New Roman" w:hAnsi="Times New Roman"/>
                <w:noProof/>
                <w:sz w:val="18"/>
                <w:szCs w:val="18"/>
              </w:rPr>
              <w:t>ă contemporană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16723_Consolidarea competențelor pentru profesioniștii din domeniul creativ și cultural</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Consolidarea competențelor pentru profesioniștii din </w:t>
            </w:r>
            <w:r>
              <w:rPr>
                <w:rFonts w:ascii="Times New Roman" w:hAnsi="Times New Roman"/>
                <w:noProof/>
                <w:sz w:val="18"/>
                <w:szCs w:val="18"/>
              </w:rPr>
              <w:t>domeniul creativ și cultural (pe termen mediu)</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16931_Dezvoltarea turismului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Dezvoltarea turismului: contractarea de porturi turistice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w:t>
            </w:r>
            <w:r>
              <w:rPr>
                <w:rFonts w:ascii="Times New Roman" w:hAnsi="Times New Roman"/>
                <w:noProof/>
                <w:sz w:val="18"/>
                <w:szCs w:val="18"/>
              </w:rPr>
              <w:t>rea și îmbunătățirea rezilienței sectoarelor economice cheie — 16593_Modificarea cadrului juridic pentru atragerea investițiilor strategice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Investiții strategice — selectarea proiectelor eligibile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w:t>
            </w:r>
            <w:r>
              <w:rPr>
                <w:rFonts w:ascii="Times New Roman" w:hAnsi="Times New Roman"/>
                <w:noProof/>
                <w:sz w:val="18"/>
                <w:szCs w:val="18"/>
              </w:rPr>
              <w:t>rezilienței principalelor sectoare economice — 16592_Facilitarea comerțului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Punerea în aplicare a acțiunilor de facilitare a comerțului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16285_</w:t>
            </w:r>
            <w:r>
              <w:rPr>
                <w:rFonts w:ascii="Times New Roman" w:hAnsi="Times New Roman"/>
                <w:noProof/>
                <w:sz w:val="18"/>
                <w:szCs w:val="18"/>
              </w:rPr>
              <w:t>Investiții în rețeaua națională de irigații prin intermediul programelor PPP</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00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Contracte atribuite pentru proiecte de irigare</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2003"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780A28" w:rsidRDefault="00780A28">
      <w:pPr>
        <w:keepNext/>
        <w:spacing w:before="40" w:line="259" w:lineRule="auto"/>
        <w:jc w:val="both"/>
        <w:rPr>
          <w:rFonts w:eastAsia="Times New Roman"/>
          <w:i/>
          <w:noProof/>
          <w:color w:val="4F81BD"/>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A șasea cerere de plată (sprijin nerambursabil): </w:t>
      </w:r>
    </w:p>
    <w:tbl>
      <w:tblPr>
        <w:tblW w:w="9535" w:type="dxa"/>
        <w:tblInd w:w="113" w:type="dxa"/>
        <w:tblLook w:val="04A0" w:firstRow="1" w:lastRow="0" w:firstColumn="1" w:lastColumn="0" w:noHBand="0" w:noVBand="1"/>
      </w:tblPr>
      <w:tblGrid>
        <w:gridCol w:w="1804"/>
        <w:gridCol w:w="4283"/>
        <w:gridCol w:w="1692"/>
        <w:gridCol w:w="1756"/>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Măsură conexă (reformă </w:t>
            </w:r>
            <w:r>
              <w:rPr>
                <w:rFonts w:ascii="Times New Roman" w:hAnsi="Times New Roman"/>
                <w:noProof/>
                <w:sz w:val="18"/>
                <w:szCs w:val="18"/>
              </w:rPr>
              <w:t>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7</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16865_Restructurarea și sporirea veniturilor contului CHP din SRE</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Țintă</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Contul SRE — obiectivul de creștere a capacității pentru 2</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Renovate — 16932_Centrul olimpic Athletic din </w:t>
            </w:r>
            <w:r>
              <w:rPr>
                <w:rFonts w:ascii="Times New Roman" w:hAnsi="Times New Roman"/>
                <w:noProof/>
                <w:sz w:val="18"/>
                <w:szCs w:val="18"/>
              </w:rPr>
              <w:t>Atena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OAKA — finalizarea lucrărilor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Reîncărcare și realimentare — 16831_Produc- E verde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Captarea și stocarea carbonului (CSC) — autorizație de stocare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Modernizare — 16853 Furnizarea de infrastructuri și servicii de </w:t>
            </w:r>
            <w:r>
              <w:rPr>
                <w:rFonts w:ascii="Times New Roman" w:hAnsi="Times New Roman"/>
                <w:i/>
                <w:noProof/>
                <w:sz w:val="18"/>
                <w:szCs w:val="18"/>
              </w:rPr>
              <w:t>cloud computing</w:t>
            </w:r>
            <w:r>
              <w:rPr>
                <w:rFonts w:ascii="Times New Roman" w:hAnsi="Times New Roman"/>
                <w:noProof/>
                <w:sz w:val="18"/>
                <w:szCs w:val="18"/>
              </w:rPr>
              <w:t xml:space="preserve"> centrale)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infrastructurii și a serviciului central de </w:t>
            </w:r>
            <w:r>
              <w:rPr>
                <w:rFonts w:ascii="Times New Roman" w:hAnsi="Times New Roman"/>
                <w:i/>
                <w:noProof/>
                <w:sz w:val="18"/>
                <w:szCs w:val="18"/>
              </w:rPr>
              <w:t>cloud computing</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8 - 3.1. Promovarea creării de locuri de muncă și a participării pe piața muncii — 16750_Transformarea digitală a sistemelor de ocupare a forței de</w:t>
            </w:r>
            <w:r>
              <w:rPr>
                <w:rFonts w:ascii="Times New Roman" w:hAnsi="Times New Roman"/>
                <w:noProof/>
                <w:sz w:val="18"/>
                <w:szCs w:val="18"/>
              </w:rPr>
              <w:t xml:space="preserve"> muncă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sistemului de acordare a pensiilor Atlas</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Îmbunătățirea rezilienței, accesibilității și sustenabilității asistenței medicale — 16816_Reforme și accelerarea investițiilor în sectorul asistenței medicale — Reducerea și </w:t>
            </w:r>
            <w:r>
              <w:rPr>
                <w:rFonts w:ascii="Times New Roman" w:hAnsi="Times New Roman"/>
                <w:noProof/>
                <w:sz w:val="18"/>
                <w:szCs w:val="18"/>
              </w:rPr>
              <w:t>raționalizarea cheltuielilor cu asistența medicală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Reducerea recuperării în 150 000 000 — etapa 2</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16816_Reforme și accelerarea investițiilor în sector</w:t>
            </w:r>
            <w:r>
              <w:rPr>
                <w:rFonts w:ascii="Times New Roman" w:hAnsi="Times New Roman"/>
                <w:noProof/>
                <w:sz w:val="18"/>
                <w:szCs w:val="18"/>
              </w:rPr>
              <w:t>ul asistenței medicale — Reducerea și raționalizarea cheltuielilor cu asistența medicală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 &amp; D în domeniul farmaceutic</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Îmbunătățirea rezilienței, accesibilității și sustenabilității asistenței medicale — 16752_Transformarea digitală a </w:t>
            </w:r>
            <w:r>
              <w:rPr>
                <w:rFonts w:ascii="Times New Roman" w:hAnsi="Times New Roman"/>
                <w:noProof/>
                <w:sz w:val="18"/>
                <w:szCs w:val="18"/>
              </w:rPr>
              <w:t>sănătății (DigHealth)</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Transformarea digitală — programul digital privind cancerul — subproiectul 2</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12 - 4.1. O impozitare mai favorabilă creșterii economice și o mai bună administrare fiscală și colectare a impozitelor — 16614_Casele de numerar </w:t>
            </w:r>
            <w:r>
              <w:rPr>
                <w:rFonts w:ascii="Times New Roman" w:hAnsi="Times New Roman"/>
                <w:noProof/>
                <w:sz w:val="18"/>
                <w:szCs w:val="18"/>
              </w:rPr>
              <w:t>online &amp; POS (reformă)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Autoritatea Independentă pentru Venituri Publice: Case de marcat &amp; terminale de plată (POS) online — introducere și interconectare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12 - 4.1. O impozitare mai favorabilă creșterii economice și o mai bună administrare </w:t>
            </w:r>
            <w:r>
              <w:rPr>
                <w:rFonts w:ascii="Times New Roman" w:hAnsi="Times New Roman"/>
                <w:noProof/>
                <w:sz w:val="18"/>
                <w:szCs w:val="18"/>
              </w:rPr>
              <w:t>fiscală și colectare a impozitelor — 16643_Codificarea și simplificarea legislației fiscale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codificării fiscale inițiale și a sistemului de informații privind contribuabilii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Modernizarea administrației publice, inclusiv pri</w:t>
            </w:r>
            <w:r>
              <w:rPr>
                <w:rFonts w:ascii="Times New Roman" w:hAnsi="Times New Roman"/>
                <w:noProof/>
                <w:sz w:val="18"/>
                <w:szCs w:val="18"/>
              </w:rPr>
              <w:t>n accelerarea punerii în aplicare a investițiilor publice, îmbunătățirea cadrului de achiziții publice, măsuri de consolidare a capacităților și combaterea corupției — 16711_Profesionalizarea domeniului achizițiilor publice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Profesionalizarea domeniul</w:t>
            </w:r>
            <w:r>
              <w:rPr>
                <w:rFonts w:ascii="Times New Roman" w:hAnsi="Times New Roman"/>
                <w:noProof/>
                <w:sz w:val="18"/>
                <w:szCs w:val="18"/>
              </w:rPr>
              <w:t>ui achizițiilor publice — noua legislație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16631_Modernizarea siguranței rutiere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Atribuirea contractelor pentru siguranța rutieră — toate contractele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w:t>
            </w:r>
            <w:r>
              <w:rPr>
                <w:rFonts w:ascii="Times New Roman" w:hAnsi="Times New Roman"/>
                <w:noProof/>
                <w:sz w:val="18"/>
                <w:szCs w:val="18"/>
              </w:rPr>
              <w:t xml:space="preserve"> 4.6. Modernizarea și îmbunătățirea rezilienței sectoarelor economice cheie — 16599_Digitilizarea rețelei de diplomație economică &amp; Program de formare a exportatorilor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Digitalizarea rețelei diplomației economice — punerea în aplicare a tuturor acțiun</w:t>
            </w:r>
            <w:r>
              <w:rPr>
                <w:rFonts w:ascii="Times New Roman" w:hAnsi="Times New Roman"/>
                <w:noProof/>
                <w:sz w:val="18"/>
                <w:szCs w:val="18"/>
              </w:rPr>
              <w:t>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18 - 4.7. Îmbunătățirea competitivității și promovarea investițiilor private și a exporturilor — 16591_Ele de afaceri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Îmbunătățirea mediului de afaceri — facilitarea desfășurării de activități economice</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780A28" w:rsidRDefault="00780A28">
      <w:pPr>
        <w:keepNext/>
        <w:spacing w:before="40" w:line="259" w:lineRule="auto"/>
        <w:jc w:val="both"/>
        <w:rPr>
          <w:rFonts w:eastAsia="Times New Roman"/>
          <w:i/>
          <w:noProof/>
          <w:color w:val="4F81BD"/>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A șaptea cerere de plată (sprijin nerambursabil): </w:t>
      </w:r>
    </w:p>
    <w:tbl>
      <w:tblPr>
        <w:tblW w:w="9535" w:type="dxa"/>
        <w:tblInd w:w="113" w:type="dxa"/>
        <w:tblLook w:val="04A0" w:firstRow="1" w:lastRow="0" w:firstColumn="1" w:lastColumn="0" w:noHBand="0" w:noVBand="1"/>
      </w:tblPr>
      <w:tblGrid>
        <w:gridCol w:w="1804"/>
        <w:gridCol w:w="4283"/>
        <w:gridCol w:w="1692"/>
        <w:gridCol w:w="1756"/>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Măsură conexă (reformă 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179</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Creșterea accesului la politici sociale eficace și favorabile incluziunii — 16904_Handicap</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Implementarea </w:t>
            </w:r>
            <w:r>
              <w:rPr>
                <w:rFonts w:ascii="Times New Roman" w:hAnsi="Times New Roman"/>
                <w:noProof/>
                <w:sz w:val="18"/>
                <w:szCs w:val="18"/>
              </w:rPr>
              <w:t>la nivel național a sistemului de asistență personală pentru persoanele cu handicap.</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Renovare — 16872_renovare energetică a clădirilor rezidențiale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Renovare rezidențială — renovarea locuințelor #2</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52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Reîncărcare și realimentare</w:t>
            </w:r>
            <w:r>
              <w:rPr>
                <w:rFonts w:ascii="Times New Roman" w:hAnsi="Times New Roman"/>
                <w:noProof/>
                <w:sz w:val="18"/>
                <w:szCs w:val="18"/>
              </w:rPr>
              <w:t xml:space="preserve"> — 16924_ Electromobilitate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Autobuze și taxiuri — înlocuire cu autobuze electrice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16882_Proiecte de atenuare a inundațiilor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a</w:t>
            </w:r>
            <w:r>
              <w:rPr>
                <w:rFonts w:ascii="Times New Roman" w:hAnsi="Times New Roman"/>
                <w:noProof/>
                <w:sz w:val="18"/>
                <w:szCs w:val="18"/>
              </w:rPr>
              <w:t xml:space="preserve"> 60 % din lucrările de atenuare a inundațiilor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Proiecte de aprovizionare 16898_WATER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a 60 % din proiectele de alimentare cu apă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16850_Aprovizionarea cu apă potabilă și infrastructuri de salvare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a 50 % din acțiunile de economisire a apei și de furnizare a apei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16846_noua infrastructură — Infrastructurile de gestionare a apelor urbane reziduale și a nămolurilor rezultate din tratarea apelor uzate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a 50 % din lucrările de tratare a apelor reziduale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schimbările climatice și protecția mediului — 16283_Implementarea centrelor regionale de protecție civilă (PEKEPP) prin intermediul </w:t>
            </w:r>
            <w:r>
              <w:rPr>
                <w:rFonts w:ascii="Times New Roman" w:hAnsi="Times New Roman"/>
                <w:noProof/>
                <w:sz w:val="18"/>
                <w:szCs w:val="18"/>
              </w:rPr>
              <w:t>programelor PPP</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a 13 clădiri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16782_Interconectarea și interoperabilitatea registrelor, sistemelor și serviciilor pentru schimbul de date între organizațiile publice naționale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Baza de reglementare pentru in</w:t>
            </w:r>
            <w:r>
              <w:rPr>
                <w:rFonts w:ascii="Times New Roman" w:hAnsi="Times New Roman"/>
                <w:noProof/>
                <w:sz w:val="18"/>
                <w:szCs w:val="18"/>
              </w:rPr>
              <w:t>terconectarea și interoperabilitatea registrelor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16779_Interoperabilitate și dezvoltarea serviciilor web</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proiectului „Interoperabilitate și dezvoltarea serviciilor web”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Modernizare — 16810_CRM </w:t>
            </w:r>
            <w:r>
              <w:rPr>
                <w:rFonts w:ascii="Times New Roman" w:hAnsi="Times New Roman"/>
                <w:noProof/>
                <w:sz w:val="18"/>
                <w:szCs w:val="18"/>
              </w:rPr>
              <w:t>pentru administrația publică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CRM pentru administrația publică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16780_Modernizarea în continuare a ghișeelor unice ale administrației publice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„ghișee unice”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w:t>
            </w:r>
            <w:r>
              <w:rPr>
                <w:rFonts w:ascii="Times New Roman" w:hAnsi="Times New Roman"/>
                <w:noProof/>
                <w:sz w:val="18"/>
                <w:szCs w:val="18"/>
              </w:rPr>
              <w:t xml:space="preserve"> Modernizare — 16965_Studii de clasificare a datelor pentru sistemele de informații din sectorul public</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studiilor de clasificare a datelor proiectului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16823_Strategia și politicile de securitate cibernetică pen</w:t>
            </w:r>
            <w:r>
              <w:rPr>
                <w:rFonts w:ascii="Times New Roman" w:hAnsi="Times New Roman"/>
                <w:noProof/>
                <w:sz w:val="18"/>
                <w:szCs w:val="18"/>
              </w:rPr>
              <w:t>tru sectorul public &amp; servicii avansate de securitate pentru infrastructurile naționale critice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Strategia de securitate cibernetică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8 - 3.1. Promovarea creării de locuri de muncă și a participării pe piața muncii — </w:t>
            </w:r>
            <w:r>
              <w:rPr>
                <w:rFonts w:ascii="Times New Roman" w:hAnsi="Times New Roman"/>
                <w:noProof/>
                <w:sz w:val="18"/>
                <w:szCs w:val="18"/>
              </w:rPr>
              <w:t>16750_Transformarea digitală a sistemelor de ocupare a forței de muncă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Intrarea în vigoare a legislației secundare a sistemului informatic unic Ariadne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9 - 3.2. Educație, educație și formare profesională și competențe — 16676_Transformarea </w:t>
            </w:r>
            <w:r>
              <w:rPr>
                <w:rFonts w:ascii="Times New Roman" w:hAnsi="Times New Roman"/>
                <w:noProof/>
                <w:sz w:val="18"/>
                <w:szCs w:val="18"/>
              </w:rPr>
              <w:t>digitală a educației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instalării sistemelor interactive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Creșterea accesului la politici sociale eficace și favorabile incluziunii — 16919_Protecția copilului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personalului centrelor de îngrijire a copiilor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Creșterea accesului la politici sociale eficace și favorabile incluziunii — 16945_Crearea de unități de îngrijire a copiilor în cadrul întreprinderilor mari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Unități de îngrijire a copiilor întreprinderi mari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Creșterea a</w:t>
            </w:r>
            <w:r>
              <w:rPr>
                <w:rFonts w:ascii="Times New Roman" w:hAnsi="Times New Roman"/>
                <w:noProof/>
                <w:sz w:val="18"/>
                <w:szCs w:val="18"/>
              </w:rPr>
              <w:t>ccesului la politici sociale eficace și favorabile incluziunii — 16763_Transformarea digitală a sistemului de sprijin social</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Digitalizarea Sistemului de azil al migrației — finalizarea sistemului de azil</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11 - 3.4. Sporirea accesului la politici </w:t>
            </w:r>
            <w:r>
              <w:rPr>
                <w:rFonts w:ascii="Times New Roman" w:hAnsi="Times New Roman"/>
                <w:noProof/>
                <w:sz w:val="18"/>
                <w:szCs w:val="18"/>
              </w:rPr>
              <w:t>sociale eficace și favorabile incluziunii — 16922_integrare socială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renovării locuințelor sociale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Îmbunătățirea eficienței sistemului de justiție — 16733_Competențe și competențe digitale pentru judecători și angajații din</w:t>
            </w:r>
            <w:r>
              <w:rPr>
                <w:rFonts w:ascii="Times New Roman" w:hAnsi="Times New Roman"/>
                <w:noProof/>
                <w:sz w:val="18"/>
                <w:szCs w:val="18"/>
              </w:rPr>
              <w:t xml:space="preserve"> justiție (personalul din justiție)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Formare — Judecători și grefieri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Îmbunătățirea eficienței sistemului de justiție — 16575 Accelerarea administrării justiției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Revizuirea hărții judiciare — Progrese înregistrate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15 - 4.4. </w:t>
            </w:r>
            <w:r>
              <w:rPr>
                <w:rFonts w:ascii="Times New Roman" w:hAnsi="Times New Roman"/>
                <w:noProof/>
                <w:sz w:val="18"/>
                <w:szCs w:val="18"/>
              </w:rPr>
              <w:t>Consolidarea sectorului financiar și a piețelor de capital — 16580_Punerea în aplicare a noului cadru unificat de insolvență pentru restructurarea datoriei și a celei de a 2-a șanse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Supravegherea, digitalizarea proceselor de supraveghere, uniunea pie</w:t>
            </w:r>
            <w:r>
              <w:rPr>
                <w:rFonts w:ascii="Times New Roman" w:hAnsi="Times New Roman"/>
                <w:noProof/>
                <w:sz w:val="18"/>
                <w:szCs w:val="18"/>
              </w:rPr>
              <w:t>ț</w:t>
            </w:r>
            <w:r>
              <w:rPr>
                <w:rFonts w:ascii="Times New Roman" w:hAnsi="Times New Roman"/>
                <w:noProof/>
                <w:sz w:val="18"/>
                <w:szCs w:val="18"/>
              </w:rPr>
              <w:t>elor de capital, piețele de capital, restructurarea preventivă a datoriilor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15 - 4.4. Consolidarea sectorului financiar și a piețelor de capital — 16576_noua promovare a împrumuturilor — Instituirea Observatorului extinderii creditelor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Piețele </w:t>
            </w:r>
            <w:r>
              <w:rPr>
                <w:rFonts w:ascii="Times New Roman" w:hAnsi="Times New Roman"/>
                <w:noProof/>
                <w:sz w:val="18"/>
                <w:szCs w:val="18"/>
              </w:rPr>
              <w:t>de capital, supravegherea, digitalizarea proceselor de supraveghere, uniunea piețelor de capital</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780A28" w:rsidRDefault="00780A28">
      <w:pPr>
        <w:keepNext/>
        <w:spacing w:before="40" w:line="259" w:lineRule="auto"/>
        <w:jc w:val="both"/>
        <w:rPr>
          <w:rFonts w:eastAsia="Times New Roman"/>
          <w:i/>
          <w:noProof/>
          <w:color w:val="4F81BD"/>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A opta cerere de plată (sprijin nerambursabil): </w:t>
      </w:r>
    </w:p>
    <w:tbl>
      <w:tblPr>
        <w:tblW w:w="9535" w:type="dxa"/>
        <w:tblInd w:w="113" w:type="dxa"/>
        <w:tblLook w:val="04A0" w:firstRow="1" w:lastRow="0" w:firstColumn="1" w:lastColumn="0" w:noHBand="0" w:noVBand="1"/>
      </w:tblPr>
      <w:tblGrid>
        <w:gridCol w:w="1804"/>
        <w:gridCol w:w="4283"/>
        <w:gridCol w:w="1692"/>
        <w:gridCol w:w="1756"/>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Măsură conexă (reformă 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16870_Intervenții pentru interconectarea rețelelor de energie electrică ale insulelor și pentru modernizarea rețelei de energie electrică</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Interconectarea insulelor — evoluția lucrărilor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Power up — </w:t>
            </w:r>
            <w:r>
              <w:rPr>
                <w:rFonts w:ascii="Times New Roman" w:hAnsi="Times New Roman"/>
                <w:noProof/>
                <w:sz w:val="18"/>
                <w:szCs w:val="18"/>
              </w:rPr>
              <w:t>16865_Restructurarea și sporirea veniturilor contului CHP din SRE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Țintă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Contul SRE — obiectivul de creștere a capacității pentru 3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62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schimbările climatice și protecția mediului — 16849_Planul </w:t>
            </w:r>
            <w:r>
              <w:rPr>
                <w:rFonts w:ascii="Times New Roman" w:hAnsi="Times New Roman"/>
                <w:noProof/>
                <w:sz w:val="18"/>
                <w:szCs w:val="18"/>
              </w:rPr>
              <w:t>național de reîmpădurire și investiția emblematică Parnitha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Reîmpădurire — Finalizarea subproiectului 2 (Mt Parnitha)</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Modernizarea — 16738_Sistemul central de gestionare a documentelor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proiectului privind sistemul central de gestionare a documentelor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16742_Transformarea digitală a Ministerului Afacerilor Externe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transformării digitale a Ministerului Afacerilor Externe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w:t>
            </w:r>
            <w:r>
              <w:rPr>
                <w:rFonts w:ascii="Times New Roman" w:hAnsi="Times New Roman"/>
                <w:noProof/>
                <w:sz w:val="18"/>
                <w:szCs w:val="18"/>
              </w:rPr>
              <w:t>2.2. Modernizarea — 16791_Transformarea digitală a Organizației Naționale a Turismului din Grecia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digitalizării Organizației Naționale a Turismului din Grecia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Modernizarea — 16964_Centrul de interoperabilitate de nouă gener</w:t>
            </w:r>
            <w:r>
              <w:rPr>
                <w:rFonts w:ascii="Times New Roman" w:hAnsi="Times New Roman"/>
                <w:noProof/>
                <w:sz w:val="18"/>
                <w:szCs w:val="18"/>
              </w:rPr>
              <w:t>ație (KED)</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Centrului de interoperabilitate de nouă generație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Modernizarea — 16785_Registrul turismului e-MHTE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registrului digital al turismului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Modernizare — 16826_Programe de îmbunătățire a </w:t>
            </w:r>
            <w:r>
              <w:rPr>
                <w:rFonts w:ascii="Times New Roman" w:hAnsi="Times New Roman"/>
                <w:noProof/>
                <w:sz w:val="18"/>
                <w:szCs w:val="18"/>
              </w:rPr>
              <w:t>competențelor digitale pentru recruți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Numărul de recruți formați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7 - 2.3. Digitalizarea întreprinderilor — 16706_Transformarea digitală a IMM-urilor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Transformarea digitală a IMM-urilor — Furnizarea de produse și servicii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7 - 2.3. </w:t>
            </w:r>
            <w:r>
              <w:rPr>
                <w:rFonts w:ascii="Times New Roman" w:hAnsi="Times New Roman"/>
                <w:noProof/>
                <w:sz w:val="18"/>
                <w:szCs w:val="18"/>
              </w:rPr>
              <w:t>Digitalizarea întreprinderilor — 16973_Stabilirea unui ecosistem de afaceri digitale și introducerea de stimulente fiscale pentru facilitarea transformării digitale a IMM-urilor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Transformarea digitală a IMM-urilor Reforma legislativă pentru a stimul</w:t>
            </w:r>
            <w:r>
              <w:rPr>
                <w:rFonts w:ascii="Times New Roman" w:hAnsi="Times New Roman"/>
                <w:noProof/>
                <w:sz w:val="18"/>
                <w:szCs w:val="18"/>
              </w:rPr>
              <w:t>a adoptarea tehnologiilor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Îmbunătățirea rezilienței, accesibilității și sustenabilității asistenței medicale — 16816_Reforme și accelerarea investițiilor în sectorul asistenței medicale — Reducerea și raționalizarea cheltuielilor cu </w:t>
            </w:r>
            <w:r>
              <w:rPr>
                <w:rFonts w:ascii="Times New Roman" w:hAnsi="Times New Roman"/>
                <w:noProof/>
                <w:sz w:val="18"/>
                <w:szCs w:val="18"/>
              </w:rPr>
              <w:t>asistența medicală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Reducerea recuperării în 300 000 000 — etapa 3</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16756_Reforme organizaționale în sistemul de sănătate (KETEKNY, ODIPY)</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Sistemul de sănătate — finalizarea Institutului elen DRG KETEKNY și a noii Agenții pentru Asigurarea Calității în Sănătate ODIPY (cu excepția formării)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1675</w:t>
            </w:r>
            <w:r>
              <w:rPr>
                <w:rFonts w:ascii="Times New Roman" w:hAnsi="Times New Roman"/>
                <w:noProof/>
                <w:sz w:val="18"/>
                <w:szCs w:val="18"/>
              </w:rPr>
              <w:t>6_Reforme organizaționale în sistemul de sănătate (KETEKNY, ODIPY)</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Sistemul de sănătate — KETEKNY ODIPY, formare completă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Îmbunătățirea rezilienței, a accesibilității și a durabilității asistenței medicale — 16753_Stabilirea </w:t>
            </w:r>
            <w:r>
              <w:rPr>
                <w:rFonts w:ascii="Times New Roman" w:hAnsi="Times New Roman"/>
                <w:noProof/>
                <w:sz w:val="18"/>
                <w:szCs w:val="18"/>
              </w:rPr>
              <w:t>serviciilor medicale de uz casnic &amp; Spitalul la sistemele naționale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Îngrijirea la domiciliu — deschiderea unităților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Modernizarea administrației publice, inclusiv prin accelerarea punerii în aplicare a investițiilor publice, îmbunătăți</w:t>
            </w:r>
            <w:r>
              <w:rPr>
                <w:rFonts w:ascii="Times New Roman" w:hAnsi="Times New Roman"/>
                <w:noProof/>
                <w:sz w:val="18"/>
                <w:szCs w:val="18"/>
              </w:rPr>
              <w:t>rea cadrului de achiziții publice, măsuri de consolidare a capacităților și combaterea corupției — 16703_Combaterea comerțului ilegal și protejarea proprietății intelectuale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Combaterea comerțului ilegal — sistem informatic și stații de control</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w:t>
            </w:r>
            <w:r>
              <w:rPr>
                <w:rFonts w:ascii="Times New Roman" w:hAnsi="Times New Roman"/>
                <w:noProof/>
                <w:sz w:val="18"/>
                <w:szCs w:val="18"/>
              </w:rPr>
              <w:t>3 - 4.2. Modernizarea administrației publice, inclusiv prin accelerarea punerii în aplicare a investițiilor publice, îmbunătățirea cadrului de achiziții publice, măsuri de consolidare a capacităților și combaterea corupției — 16940_Modernizarea Fondului el</w:t>
            </w:r>
            <w:r>
              <w:rPr>
                <w:rFonts w:ascii="Times New Roman" w:hAnsi="Times New Roman"/>
                <w:noProof/>
                <w:sz w:val="18"/>
                <w:szCs w:val="18"/>
              </w:rPr>
              <w:t>en de depozitare și creditare a transporturilor </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tuturor subproiectelor Fondului elen de depozit și credite de transport</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17 - 4.6. Modernizarea și îmbunătățirea rezilienței principalelor sectoare economice — 16628_Autostrada E-65 a </w:t>
            </w:r>
            <w:r>
              <w:rPr>
                <w:rFonts w:ascii="Times New Roman" w:hAnsi="Times New Roman"/>
                <w:noProof/>
                <w:sz w:val="18"/>
                <w:szCs w:val="18"/>
              </w:rPr>
              <w:t>Greciei Centrale: secțiunea Trikala- Egnatia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E-65 lucrări — finalizare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16630_Autostrada din Nordul insulei Creta (Β.Ο.Α.Κ.)</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Evoluția lucrărilor de const</w:t>
            </w:r>
            <w:r>
              <w:rPr>
                <w:rFonts w:ascii="Times New Roman" w:hAnsi="Times New Roman"/>
                <w:noProof/>
                <w:sz w:val="18"/>
                <w:szCs w:val="18"/>
              </w:rPr>
              <w:t>rucție ale BOAK</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16833_Implementarea lucrărilor de remediere a conformității efectuate de AESA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lucrărilor AESA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w:t>
            </w:r>
            <w:r>
              <w:rPr>
                <w:rFonts w:ascii="Times New Roman" w:hAnsi="Times New Roman"/>
                <w:noProof/>
                <w:sz w:val="18"/>
                <w:szCs w:val="18"/>
              </w:rPr>
              <w:t>îmbunătățirea rezilienței principalelor sectoare economice — 16944_Planul general pentru reînnoirea flotei elene de transport maritim de pasageri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Planul general pentru transportul maritim de pasageri în Grecia</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w:t>
            </w:r>
            <w:r>
              <w:rPr>
                <w:rFonts w:ascii="Times New Roman" w:hAnsi="Times New Roman"/>
                <w:noProof/>
                <w:sz w:val="18"/>
                <w:szCs w:val="18"/>
              </w:rPr>
              <w:t>irea rezilienței principalelor sectoare economice — 16921_Reconversie și actualizare a competențelor în turism</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Recalificarea și actualizarea competențelor în turism (finalizare)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17 - 4.6. Modernizarea și îmbunătățirea rezilienței sectoarelor </w:t>
            </w:r>
            <w:r>
              <w:rPr>
                <w:rFonts w:ascii="Times New Roman" w:hAnsi="Times New Roman"/>
                <w:noProof/>
                <w:sz w:val="18"/>
                <w:szCs w:val="18"/>
              </w:rPr>
              <w:t>economice cheie — 16653_Transformarea digitală a sectorului agroalimentar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de transformare digitală a agriculturii</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1 974 438 067 EUR</w:t>
            </w:r>
          </w:p>
        </w:tc>
      </w:tr>
    </w:tbl>
    <w:p w:rsidR="00780A28" w:rsidRDefault="00780A28">
      <w:pPr>
        <w:keepNext/>
        <w:spacing w:before="40" w:after="0" w:line="259" w:lineRule="auto"/>
        <w:jc w:val="both"/>
        <w:rPr>
          <w:rFonts w:ascii="Times New Roman" w:eastAsia="Times New Roman" w:hAnsi="Times New Roman" w:cs="Times New Roman"/>
          <w:bCs/>
          <w:noProof/>
          <w:sz w:val="24"/>
          <w:szCs w:val="26"/>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A noua cerere de plată (sprijin nerambursabil): </w:t>
      </w:r>
    </w:p>
    <w:tbl>
      <w:tblPr>
        <w:tblW w:w="9886" w:type="dxa"/>
        <w:tblInd w:w="113" w:type="dxa"/>
        <w:tblLook w:val="04A0" w:firstRow="1" w:lastRow="0" w:firstColumn="1" w:lastColumn="0" w:noHBand="0" w:noVBand="1"/>
      </w:tblPr>
      <w:tblGrid>
        <w:gridCol w:w="1804"/>
        <w:gridCol w:w="4283"/>
        <w:gridCol w:w="1692"/>
        <w:gridCol w:w="2107"/>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Măsură </w:t>
            </w:r>
            <w:r>
              <w:rPr>
                <w:rFonts w:ascii="Times New Roman" w:hAnsi="Times New Roman"/>
                <w:noProof/>
                <w:sz w:val="18"/>
                <w:szCs w:val="18"/>
              </w:rPr>
              <w:t>conexă (reformă 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2107"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2107"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1 - 1.1. Power up — 16870_Intervenții pentru interconectarea rețelelor de energie electrică ale insulelor și pentru modernizarea rețelei de energie electrică</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Jalon</w:t>
            </w:r>
          </w:p>
        </w:tc>
        <w:tc>
          <w:tcPr>
            <w:tcW w:w="2107"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Interconectarea insulelor — </w:t>
            </w:r>
            <w:r>
              <w:rPr>
                <w:rFonts w:ascii="Times New Roman" w:hAnsi="Times New Roman"/>
                <w:noProof/>
                <w:sz w:val="18"/>
                <w:szCs w:val="18"/>
              </w:rPr>
              <w:t>finalizare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16871_Acțiuni de revitalizare a celor mai afectate teritorii (teritorii de tranziție justă)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Reabilitare teritorială — finalizare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16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Power up — 16926_Susținerea instalării sistemelor de stocare pentru a </w:t>
            </w:r>
            <w:r>
              <w:rPr>
                <w:rFonts w:ascii="Times New Roman" w:hAnsi="Times New Roman"/>
                <w:noProof/>
                <w:sz w:val="18"/>
                <w:szCs w:val="18"/>
              </w:rPr>
              <w:t>îmbunătăți penetrarea surselor regenerabile de energie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Stocarea energiei — finalizare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16901_HEDNO cu scopul de a spori reziliența și de a proteja mediul</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HEDNO — finalizare 1</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1 - 1.1. Power up — modernizarea rețelei </w:t>
            </w:r>
            <w:r>
              <w:rPr>
                <w:rFonts w:ascii="Times New Roman" w:hAnsi="Times New Roman"/>
                <w:noProof/>
                <w:sz w:val="18"/>
                <w:szCs w:val="18"/>
              </w:rPr>
              <w:t>aeriene 16900_HEDNO în zonele forestiere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HEDNO — finalizare 2</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1 - 1.1. Power up – 16899_Creșterea capacității instalate a substațiilor electrice ale operatorului de rețea de distribuție a energiei electrice (HEDNO) HV/MV pentru noua conexiune SRE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HEDNO — finalizare 3</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Renovare — 16872_renovare energetică a clădirilor rezidențiale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Renovare rezidențială — renovarea locuințelor pentru gospodăriile sărace din punct de vedere energetic</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Renovare — 16872_renovare </w:t>
            </w:r>
            <w:r>
              <w:rPr>
                <w:rFonts w:ascii="Times New Roman" w:hAnsi="Times New Roman"/>
                <w:noProof/>
                <w:sz w:val="18"/>
                <w:szCs w:val="18"/>
              </w:rPr>
              <w:t>energetică a clădirilor rezidențiale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Renovare rezidențială — renovarea locuințelor #3</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Renovare — 16879_Pregătirea planurilor urbane în punerea în aplicare a reformei politicii urbane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planificării urbane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w:t>
            </w:r>
            <w:r>
              <w:rPr>
                <w:rFonts w:ascii="Times New Roman" w:hAnsi="Times New Roman"/>
                <w:noProof/>
                <w:sz w:val="18"/>
                <w:szCs w:val="18"/>
              </w:rPr>
              <w:t>Renovare — 16894_Stabilirea unei noi amenajări speciale a teritoriului pentru ESR, industrie, turism și acvacultură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 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Adoptarea unor cadre spațiale speciale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Renovare — 16891_Stabilirea unei noi amenajări a spațiului maritim</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Adoptare</w:t>
            </w:r>
            <w:r>
              <w:rPr>
                <w:rFonts w:ascii="Times New Roman" w:hAnsi="Times New Roman"/>
                <w:noProof/>
                <w:sz w:val="18"/>
                <w:szCs w:val="18"/>
              </w:rPr>
              <w:t>a strategiei maritime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Renovare — 16876_Modernizarea energetică a clădirilor din sectorul public</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Clădiri publice eficiente din punct de vedere energetic — finalizate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Renovare — 16874_Energie și antreprenoriat</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Sectorul </w:t>
            </w:r>
            <w:r>
              <w:rPr>
                <w:rFonts w:ascii="Times New Roman" w:hAnsi="Times New Roman"/>
                <w:noProof/>
                <w:sz w:val="18"/>
                <w:szCs w:val="18"/>
              </w:rPr>
              <w:t>privat privind eficiența energetică — finalizat #2</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2 - 1.2. Renovare — 16873- Intervenții în zonele rezidențiale și în parcul imobiliar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Intervenții urbane — finalizarea tuturor lucrărilor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2 - 1.2. Renovare — 16875_Amenajarea infrastructurii </w:t>
            </w:r>
            <w:r>
              <w:rPr>
                <w:rFonts w:ascii="Times New Roman" w:hAnsi="Times New Roman"/>
                <w:noProof/>
                <w:sz w:val="18"/>
                <w:szCs w:val="18"/>
              </w:rPr>
              <w:t>ș</w:t>
            </w:r>
            <w:r>
              <w:rPr>
                <w:rFonts w:ascii="Times New Roman" w:hAnsi="Times New Roman"/>
                <w:noProof/>
                <w:sz w:val="18"/>
                <w:szCs w:val="18"/>
              </w:rPr>
              <w:t>i restaurarea clădirilor în fosta localitate regală din Tatoi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Tatoi — finalizarea tuturor lucrărilor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Reîncărcare și realimentare — 16831_Produc- E verde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CCS — certificat de operare emis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3 - 1.3. Reîncărcare și realimentare — </w:t>
            </w:r>
            <w:r>
              <w:rPr>
                <w:rFonts w:ascii="Times New Roman" w:hAnsi="Times New Roman"/>
                <w:noProof/>
                <w:sz w:val="18"/>
                <w:szCs w:val="18"/>
              </w:rPr>
              <w:t>16831_Produc- E verde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Unități industriale —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3 - 1.3. Reîncărcare și realimentare — 16831_Produc- E verde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Puncte de încărcare pentru vehicule electrice — instalații finalizate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w:t>
            </w:r>
            <w:r>
              <w:rPr>
                <w:rFonts w:ascii="Times New Roman" w:hAnsi="Times New Roman"/>
                <w:noProof/>
                <w:sz w:val="18"/>
                <w:szCs w:val="18"/>
              </w:rPr>
              <w:t>schimbările climatice și protecția mediului — 16849_Planul național de reîmpădurire și investiția emblematică Parnitha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Reîmpădurire — Finalizarea subproiectului 1 (Restaurarea a 16 500 ha)</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w:t>
            </w:r>
            <w:r>
              <w:rPr>
                <w:rFonts w:ascii="Times New Roman" w:hAnsi="Times New Roman"/>
                <w:noProof/>
                <w:sz w:val="18"/>
                <w:szCs w:val="18"/>
              </w:rPr>
              <w:t>schimbările climatice și protecția mediului — 16851_Protecția biodiversității ca motor al creșterii durabile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Biodiversitate — Finalizare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schimbările climatice și protecția mediului — </w:t>
            </w:r>
            <w:r>
              <w:rPr>
                <w:rFonts w:ascii="Times New Roman" w:hAnsi="Times New Roman"/>
                <w:noProof/>
                <w:sz w:val="18"/>
                <w:szCs w:val="18"/>
              </w:rPr>
              <w:t>16846_noua infrastructură — Infrastructurile de gestionare a apelor urbane reziduale și a nămolurilor rezultate din tratarea apelor uzate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infrastructurilor de gestionare a apelor urbane reziduale și a nămolurilor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w:t>
            </w:r>
            <w:r>
              <w:rPr>
                <w:rFonts w:ascii="Times New Roman" w:hAnsi="Times New Roman"/>
                <w:noProof/>
                <w:sz w:val="18"/>
                <w:szCs w:val="18"/>
              </w:rPr>
              <w:t>urabilă a resurselor, reziliența la schimbările climatice și protecția mediului — 16850_Aprovizionarea cu apă potabilă și infrastructuri de salvare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aprovizionării cu apă potabilă și a infrastructurilor de salvare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w:t>
            </w:r>
            <w:r>
              <w:rPr>
                <w:rFonts w:ascii="Times New Roman" w:hAnsi="Times New Roman"/>
                <w:noProof/>
                <w:sz w:val="18"/>
                <w:szCs w:val="18"/>
              </w:rPr>
              <w:t>durabilă a resurselor, reziliența la schimbările climatice și protecția mediului — 16882_Proiecte de atenuare a inundațiilor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proiectelor de atenuare a inundațiilor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76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w:t>
            </w:r>
            <w:r>
              <w:rPr>
                <w:rFonts w:ascii="Times New Roman" w:hAnsi="Times New Roman"/>
                <w:noProof/>
                <w:sz w:val="18"/>
                <w:szCs w:val="18"/>
              </w:rPr>
              <w:t>limatice și protecția mediului — Proiecte de aprovizionare 16898_WATER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proiectelor de alimentare cu apă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16910_Sistemul de monitoriz</w:t>
            </w:r>
            <w:r>
              <w:rPr>
                <w:rFonts w:ascii="Times New Roman" w:hAnsi="Times New Roman"/>
                <w:noProof/>
                <w:sz w:val="18"/>
                <w:szCs w:val="18"/>
              </w:rPr>
              <w:t>are și gestionare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sistemului de monitorizare și gestionare pentru protecția civilă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schimbările climatice și protecția mediului — 16911_Mijloace aeriene pentru gestionarea </w:t>
            </w:r>
            <w:r>
              <w:rPr>
                <w:rFonts w:ascii="Times New Roman" w:hAnsi="Times New Roman"/>
                <w:noProof/>
                <w:sz w:val="18"/>
                <w:szCs w:val="18"/>
              </w:rPr>
              <w:t>crizelor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de mijloace aeriene de gestionare a crizelor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schimbările climatice și protecția mediului — 16912_Echipamente de combatere a incendiilor forestiere, de </w:t>
            </w:r>
            <w:r>
              <w:rPr>
                <w:rFonts w:ascii="Times New Roman" w:hAnsi="Times New Roman"/>
                <w:noProof/>
                <w:sz w:val="18"/>
                <w:szCs w:val="18"/>
              </w:rPr>
              <w:t>prevenire și de reacție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echipamentelor de combatere a pădurilor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4 - 1.4. Utilizarea durabilă a resurselor, reziliența la schimbările climatice și protecția mediului — 16909_Infrastructură — Instituirea unei gestionări naționale </w:t>
            </w:r>
            <w:r>
              <w:rPr>
                <w:rFonts w:ascii="Times New Roman" w:hAnsi="Times New Roman"/>
                <w:noProof/>
                <w:sz w:val="18"/>
                <w:szCs w:val="18"/>
              </w:rPr>
              <w:t>strategice a riscurilor de dezastre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gestionării riscurilor de dezastre la nivel național</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89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Conectare — 16962_Cabluri din fibre submarine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„Cabluri din fibre submarine”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CONNECT — 16818_I</w:t>
            </w:r>
            <w:r>
              <w:rPr>
                <w:rFonts w:ascii="Times New Roman" w:hAnsi="Times New Roman"/>
                <w:noProof/>
                <w:sz w:val="18"/>
                <w:szCs w:val="18"/>
              </w:rPr>
              <w:t>nfrastructura de fibră optică din clădiri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„Infrastructura de fibră optică din clădiri”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5 - 2.1. Conectare — Coridoare 16834_5G — Dezvoltarea rețelelor 5G care asigură acoperirea tuturor autostrăzilor grecești care fac </w:t>
            </w:r>
            <w:r>
              <w:rPr>
                <w:rFonts w:ascii="Times New Roman" w:hAnsi="Times New Roman"/>
                <w:noProof/>
                <w:sz w:val="18"/>
                <w:szCs w:val="18"/>
              </w:rPr>
              <w:t>parte din rețelele transeuropene de transport</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proiectului „coridoarele 5G”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5 - 2.1. Conectare — 16855_Număr de sateliți de mici dimensiuni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proiectului „sateliți mici”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6 - 2.2. Modernizarea — 16778_Digitizarea </w:t>
            </w:r>
            <w:r>
              <w:rPr>
                <w:rFonts w:ascii="Times New Roman" w:hAnsi="Times New Roman"/>
                <w:noProof/>
                <w:sz w:val="18"/>
                <w:szCs w:val="18"/>
              </w:rPr>
              <w:t>arhivelor și a serviciilor conexe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Țintă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Digitalizarea arhivelor — punerea în aplicare integrală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6 - 2.2. Modernizarea — 16929_Către servicii orientate către client ale administrației publice prin simplificarea și îmbunătățirea proceselor, </w:t>
            </w:r>
            <w:r>
              <w:rPr>
                <w:rFonts w:ascii="Times New Roman" w:hAnsi="Times New Roman"/>
                <w:noProof/>
                <w:sz w:val="18"/>
                <w:szCs w:val="18"/>
              </w:rPr>
              <w:t>îmbunătățirea sistemelor și respectarea strategiilor și politicilor europene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strategiei privind reducerea sarcinii administrative și a planului național de simplificare a procesului (etapa finală)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Modernizarea — 16736_noul s</w:t>
            </w:r>
            <w:r>
              <w:rPr>
                <w:rFonts w:ascii="Times New Roman" w:hAnsi="Times New Roman"/>
                <w:noProof/>
                <w:sz w:val="18"/>
                <w:szCs w:val="18"/>
              </w:rPr>
              <w:t>istem pentru achizițiile publice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noului sistem de achiziții publice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16824_ERegistries</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proiectului Eregistrstries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16854_Orașe inteligente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Implementarea </w:t>
            </w:r>
            <w:r>
              <w:rPr>
                <w:rFonts w:ascii="Times New Roman" w:hAnsi="Times New Roman"/>
                <w:noProof/>
                <w:sz w:val="18"/>
                <w:szCs w:val="18"/>
              </w:rPr>
              <w:t>integrală a proiectelor privind orașele inteligente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Modernizarea — 16928_Încorporarea noilor tehnologii și tendințe către serviciile avansate ale administrației publice, creșterea eficienței și eficacității și scăderea costurilor de exploatar</w:t>
            </w:r>
            <w:r>
              <w:rPr>
                <w:rFonts w:ascii="Times New Roman" w:hAnsi="Times New Roman"/>
                <w:noProof/>
                <w:sz w:val="18"/>
                <w:szCs w:val="18"/>
              </w:rPr>
              <w:t>e, modernizare și întreținere a sistemelor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noilor tehnologii pentru administrația publică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6 - 2.2. Modernizarea — 16955_Actualizarea infrastructurii și serviciilor de </w:t>
            </w:r>
            <w:r>
              <w:rPr>
                <w:rFonts w:ascii="Times New Roman" w:hAnsi="Times New Roman"/>
                <w:i/>
                <w:noProof/>
                <w:sz w:val="18"/>
                <w:szCs w:val="18"/>
              </w:rPr>
              <w:t>cloud computing</w:t>
            </w:r>
            <w:r>
              <w:rPr>
                <w:rFonts w:ascii="Times New Roman" w:hAnsi="Times New Roman"/>
                <w:noProof/>
                <w:sz w:val="18"/>
                <w:szCs w:val="18"/>
              </w:rPr>
              <w:t xml:space="preserve"> ale infrastructurilor naționale de cercetare și tehnologie (GRNET)</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GRNET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16287_Consolidarea continuității activității sectorului public</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continuității activității din sectorul public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6 </w:t>
            </w:r>
            <w:r>
              <w:rPr>
                <w:rFonts w:ascii="Times New Roman" w:hAnsi="Times New Roman"/>
                <w:noProof/>
                <w:sz w:val="18"/>
                <w:szCs w:val="18"/>
              </w:rPr>
              <w:t>- 2.2. Modernizare — 16956_Extinderea Syzefksis II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Syzefksis 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Modernizare — 16827_Strategia de guvernanță a datelor &amp; politici pentru sectorul public</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strategiei de guvernanță a datelor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6 - 2.2. Moder</w:t>
            </w:r>
            <w:r>
              <w:rPr>
                <w:rFonts w:ascii="Times New Roman" w:hAnsi="Times New Roman"/>
                <w:noProof/>
                <w:sz w:val="18"/>
                <w:szCs w:val="18"/>
              </w:rPr>
              <w:t>nizarea — 16842_Central BI — Analiză de date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BI central</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9 - 3.2. Educație, educație și formare profesională și competențe — 16913_O nouă strategie pentru perfecționare pe tot parcursul vieții: Modernizarea și modernizarea sistemului</w:t>
            </w:r>
            <w:r>
              <w:rPr>
                <w:rFonts w:ascii="Times New Roman" w:hAnsi="Times New Roman"/>
                <w:noProof/>
                <w:sz w:val="18"/>
                <w:szCs w:val="18"/>
              </w:rPr>
              <w:t xml:space="preserve"> de actualizare a competențelor și de reconversie profesională al Greciei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Programe de formare — validarea etapelor învățării pe tot parcursul vieții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Educație, educație și formare profesională și competențe — 16794_Consolidarea sistemul</w:t>
            </w:r>
            <w:r>
              <w:rPr>
                <w:rFonts w:ascii="Times New Roman" w:hAnsi="Times New Roman"/>
                <w:noProof/>
                <w:sz w:val="18"/>
                <w:szCs w:val="18"/>
              </w:rPr>
              <w:t xml:space="preserve">ui de ucenicie </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Cursuri de formare care să finalizeze digitalizarea e-learning și finalizarea renovărilor eficiente din punct de vedere energetic</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Educație, educație și formare profesională și competențe — 16792_Formare a forței de muncă</w:t>
            </w:r>
            <w:r>
              <w:rPr>
                <w:rFonts w:ascii="Times New Roman" w:hAnsi="Times New Roman"/>
                <w:noProof/>
                <w:sz w:val="18"/>
                <w:szCs w:val="18"/>
              </w:rPr>
              <w:t>, recalificare și perfecționare prin intermediul unui model reformat de formare (Educație profesională &amp; Reforma formării)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sistemului de control al calității VET</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9 - 3.2. Educație, educație și formare profesională și competențe — </w:t>
            </w:r>
            <w:r>
              <w:rPr>
                <w:rFonts w:ascii="Times New Roman" w:hAnsi="Times New Roman"/>
                <w:noProof/>
                <w:sz w:val="18"/>
                <w:szCs w:val="18"/>
              </w:rPr>
              <w:t>16933_Ameliorarea educației și formării profesionale (EFP): Furnizarea de echipamente de laborator pentru centrele de laborator pentru IEK, EPAL, clasa de ucenicie postliceală și școlile de formare profesională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Reînnoirea modernizării centrelor de la</w:t>
            </w:r>
            <w:r>
              <w:rPr>
                <w:rFonts w:ascii="Times New Roman" w:hAnsi="Times New Roman"/>
                <w:noProof/>
                <w:sz w:val="18"/>
                <w:szCs w:val="18"/>
              </w:rPr>
              <w:t>borator EFP — finalizarea</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Educație, educație și formare profesională și competențe — 16289_Strategie de excelență în universități &amp; Inovarea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vizitei de către profesorii invitați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9 - 3.2. Educație, educație și formare </w:t>
            </w:r>
            <w:r>
              <w:rPr>
                <w:rFonts w:ascii="Times New Roman" w:hAnsi="Times New Roman"/>
                <w:noProof/>
                <w:sz w:val="18"/>
                <w:szCs w:val="18"/>
              </w:rPr>
              <w:t>profesională și competențe — 16289_Strategie de excelență în universități &amp; Inovarea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proiectului „Trust your stars”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9 - 3.2. Educație, educație și formare profesională și competențe — 16934_Ameliorarea educației și formării profesio</w:t>
            </w:r>
            <w:r>
              <w:rPr>
                <w:rFonts w:ascii="Times New Roman" w:hAnsi="Times New Roman"/>
                <w:noProof/>
                <w:sz w:val="18"/>
                <w:szCs w:val="18"/>
              </w:rPr>
              <w:t>nale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Actualizarea profilurilor profesionale ale sistemului VET IEK, Model EPAL Digitalisation EOPPEP</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16783_Implementarea programului național de preve</w:t>
            </w:r>
            <w:r>
              <w:rPr>
                <w:rFonts w:ascii="Times New Roman" w:hAnsi="Times New Roman"/>
                <w:noProof/>
                <w:sz w:val="18"/>
                <w:szCs w:val="18"/>
              </w:rPr>
              <w:t>nire a sănătății publice „Spiros Doxiadis” (DSD)</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Programul național de prevenire a sănătății publice „Doxiadis” — toate proiectele finalizate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10 - 3.3. Îmbunătățirea rezilienței, accesibilității și sustenabilității asistenței medicale — </w:t>
            </w:r>
            <w:r>
              <w:rPr>
                <w:rFonts w:ascii="Times New Roman" w:hAnsi="Times New Roman"/>
                <w:noProof/>
                <w:sz w:val="18"/>
                <w:szCs w:val="18"/>
              </w:rPr>
              <w:t>16755_Investiții ecologice — Reforma sistemului de asistență medicală primară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PHC — centre medicale renovate integral</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16795_Renovarea spitalului NHS ș</w:t>
            </w:r>
            <w:r>
              <w:rPr>
                <w:rFonts w:ascii="Times New Roman" w:hAnsi="Times New Roman"/>
                <w:noProof/>
                <w:sz w:val="18"/>
                <w:szCs w:val="18"/>
              </w:rPr>
              <w:t>i modernizarea infrastructurii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modernizării infrastructurii NHS</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16757_Înființarea unui centru de radioterapie la spitalul de boli toracice</w:t>
            </w:r>
            <w:r>
              <w:rPr>
                <w:rFonts w:ascii="Times New Roman" w:hAnsi="Times New Roman"/>
                <w:noProof/>
                <w:sz w:val="18"/>
                <w:szCs w:val="18"/>
              </w:rPr>
              <w:t xml:space="preserve"> „Sotiria”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Centrul de radioterapie Sotiria</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16793_Proiect pentru construirea unei clădiri dedicate laboratoarelor clinice de terapie celulară, de terap</w:t>
            </w:r>
            <w:r>
              <w:rPr>
                <w:rFonts w:ascii="Times New Roman" w:hAnsi="Times New Roman"/>
                <w:noProof/>
                <w:sz w:val="18"/>
                <w:szCs w:val="18"/>
              </w:rPr>
              <w:t>ie genică și de hematologie din cadrul spitalului general din Salonic „Papanikolaou”</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spitalului Papanikolau</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10 - 3.3. Îmbunătățirea rezilienței, accesibilității și sustenabilității asistenței medicale — 16752_Transformarea digitală a</w:t>
            </w:r>
            <w:r>
              <w:rPr>
                <w:rFonts w:ascii="Times New Roman" w:hAnsi="Times New Roman"/>
                <w:noProof/>
                <w:sz w:val="18"/>
                <w:szCs w:val="18"/>
              </w:rPr>
              <w:t xml:space="preserve"> sănătății (DigHealth)</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Transformarea digitală — toate subproiectele sunt finalizate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Sporirea accesului la politici sociale eficace și favorabile incluziunii — 16922_integrare socială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Integrarea socială a beneficiarilor de MG fără adăpost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187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11 - 3.4. Creșterea accesului la politici sociale eficace și favorabile incluziunii — 16688: Promovarea integrării refugiaților pe piața forței de muncă </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Integrarea refugiaților pe piața fo</w:t>
            </w:r>
            <w:r>
              <w:rPr>
                <w:rFonts w:ascii="Times New Roman" w:hAnsi="Times New Roman"/>
                <w:noProof/>
                <w:sz w:val="18"/>
                <w:szCs w:val="18"/>
              </w:rPr>
              <w:t>rței de muncă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O impozitare mai favorabilă creșterii economice și o mai bună administrare fiscală și colectare a impozitelor — 16611_Transformarea digitală a auditurilor fiscale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transformării digitale a auditurilor fiscale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12 - 4.1. Transformarea digitală a administrației fiscale și a administrației fiscale și a colectării impozitelor — 16291_Transformarea digitală a administrației fiscale și vamale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rezultatelor primei faze a mediului informatic integra</w:t>
            </w:r>
            <w:r>
              <w:rPr>
                <w:rFonts w:ascii="Times New Roman" w:hAnsi="Times New Roman"/>
                <w:noProof/>
                <w:sz w:val="18"/>
                <w:szCs w:val="18"/>
              </w:rPr>
              <w:t xml:space="preserve">t fiscal și de audit al Autorității Independente pentru Venituri Publice, ca parte a transformării sale digitale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196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12 - 4.1. Transformarea digitală a administrației fiscale și a administrației fiscale și a colectării impozitelor — 16291_Transformarea </w:t>
            </w:r>
            <w:r>
              <w:rPr>
                <w:rFonts w:ascii="Times New Roman" w:hAnsi="Times New Roman"/>
                <w:noProof/>
                <w:sz w:val="18"/>
                <w:szCs w:val="18"/>
              </w:rPr>
              <w:t>digitală a administrației fiscale și vamale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Lansarea sistemului de supraveghere a vehiculelor comerciale și a containerelor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208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13 - 4.2. Modernizarea administrației publice, inclusiv prin accelerarea punerii în aplicare a investițiilor publice, </w:t>
            </w:r>
            <w:r>
              <w:rPr>
                <w:rFonts w:ascii="Times New Roman" w:hAnsi="Times New Roman"/>
                <w:noProof/>
                <w:sz w:val="18"/>
                <w:szCs w:val="18"/>
              </w:rPr>
              <w:t>îmbunătățirea cadrului de achiziții publice, măsuri de consolidare a capacităților și combaterea corupției — 16972_Reforma administrației publice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Administrația publică — finalizarea formării funcționarilor publici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Modernizarea administ</w:t>
            </w:r>
            <w:r>
              <w:rPr>
                <w:rFonts w:ascii="Times New Roman" w:hAnsi="Times New Roman"/>
                <w:noProof/>
                <w:sz w:val="18"/>
                <w:szCs w:val="18"/>
              </w:rPr>
              <w:t>rației publice, inclusiv prin accelerarea punerii în aplicare a investițiilor publice, îmbunătățirea cadrului de achiziții publice, măsuri de consolidare a capacităților și combaterea corupției — 16711_Profesionalizarea domeniului achizițiilor publice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w:t>
            </w:r>
            <w:r>
              <w:rPr>
                <w:rFonts w:ascii="Times New Roman" w:hAnsi="Times New Roman"/>
                <w:noProof/>
                <w:sz w:val="18"/>
                <w:szCs w:val="18"/>
              </w:rPr>
              <w:t>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Punerea în aplicare a Strategiei naționale privind achizițiile publice 2021-2025</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219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Modernizarea administrației publice, inclusiv prin accelerarea punerii în aplicare a investițiilor publice, îmbunătățirea cadrului de achiziții publice, măsur</w:t>
            </w:r>
            <w:r>
              <w:rPr>
                <w:rFonts w:ascii="Times New Roman" w:hAnsi="Times New Roman"/>
                <w:noProof/>
                <w:sz w:val="18"/>
                <w:szCs w:val="18"/>
              </w:rPr>
              <w:t>i de consolidare a capacităților și combaterea corupției — 16974_Reforma contabilă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Reforma contabilă: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Modernizarea administrației publice, inclusiv prin accelerarea punerii în aplicare a investițiilor publice, îmbunătățirea cadrului de</w:t>
            </w:r>
            <w:r>
              <w:rPr>
                <w:rFonts w:ascii="Times New Roman" w:hAnsi="Times New Roman"/>
                <w:noProof/>
                <w:sz w:val="18"/>
                <w:szCs w:val="18"/>
              </w:rPr>
              <w:t xml:space="preserve"> achiziții publice, măsuri de consolidare a capacităților și combaterea corupției — 16705_Transformarea digitală a gestiunii fiscale și a supravegherii în materie de guvernanță &amp; facturarea electronică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Planificarea resurselor întreprinderilor guverna</w:t>
            </w:r>
            <w:r>
              <w:rPr>
                <w:rFonts w:ascii="Times New Roman" w:hAnsi="Times New Roman"/>
                <w:noProof/>
                <w:sz w:val="18"/>
                <w:szCs w:val="18"/>
              </w:rPr>
              <w:t>mentale (GOV-ERP)</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221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13 - 4.2. Modernizarea administrației publice, inclusiv prin accelerarea punerii în aplicare a investițiilor publice, îmbunătățirea cadrului de achiziții publice, măsuri de consolidare a capacităților și combaterea corupției — 16711_</w:t>
            </w:r>
            <w:r>
              <w:rPr>
                <w:rFonts w:ascii="Times New Roman" w:hAnsi="Times New Roman"/>
                <w:noProof/>
                <w:sz w:val="18"/>
                <w:szCs w:val="18"/>
              </w:rPr>
              <w:t>Profesionalizarea domeniului achizițiilor publice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programelor de perfecționare/recalificare pentru achizițiile publice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Îmbunătățirea eficienței sistemului judiciar – 16292_noi clădiri judiciare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Lucrări de construcții și renovare — identitate electronică — finalizare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14 - 4.3. Îmbunătățirea eficienței sistemului de justiție — 16575 Accelerarea administrării justiției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Revizuirea hărții judiciare — punerea în aplicare integrală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239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14 -</w:t>
            </w:r>
            <w:r>
              <w:rPr>
                <w:rFonts w:ascii="Times New Roman" w:hAnsi="Times New Roman"/>
                <w:noProof/>
                <w:sz w:val="18"/>
                <w:szCs w:val="18"/>
              </w:rPr>
              <w:t xml:space="preserve"> 4.3. Îmbunătățirea eficienței sistemului de justiție — 16727_Transformarea digitală a justiției (e-justiție)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inerea evidențelor și actualizări IT</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15 - 4.4. Consolidarea sectorului financiar și a piețelor de capital — 16581_Consolidarea </w:t>
            </w:r>
            <w:r>
              <w:rPr>
                <w:rFonts w:ascii="Times New Roman" w:hAnsi="Times New Roman"/>
                <w:noProof/>
                <w:sz w:val="18"/>
                <w:szCs w:val="18"/>
              </w:rPr>
              <w:t>supravegherii și a credibilității pieței de capital</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Piețele de capital, supravegherea, digitalizarea proceselor de supraveghere, uniunea piețelor de capital (UPC)</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15 - 4.4. Consolidarea sectorului financiar și a piețelor de capital — 16957_Conso</w:t>
            </w:r>
            <w:r>
              <w:rPr>
                <w:rFonts w:ascii="Times New Roman" w:hAnsi="Times New Roman"/>
                <w:noProof/>
                <w:sz w:val="18"/>
                <w:szCs w:val="18"/>
              </w:rPr>
              <w:t>lidarea capacității sistemului financiar de a depăși provocările moștenite și de a finanța economia reală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Rezoluția datoriilor, rezoluția creditelor neperformante, vânzările de credite neperformante, stabilitatea financiară, Biroul pentru credite pub</w:t>
            </w:r>
            <w:r>
              <w:rPr>
                <w:rFonts w:ascii="Times New Roman" w:hAnsi="Times New Roman"/>
                <w:noProof/>
                <w:sz w:val="18"/>
                <w:szCs w:val="18"/>
              </w:rPr>
              <w:t>lice, solvabilitatea,</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249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Promovarea cercetării și inovării — 16624_Creare — Extindere — Actualizarea infrastructurilor centrelor de cercetare supravegheate de Secretariatul General pentru Cercetare și Inovare (GSRI)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w:t>
            </w:r>
            <w:r>
              <w:rPr>
                <w:rFonts w:ascii="Times New Roman" w:hAnsi="Times New Roman"/>
                <w:noProof/>
                <w:sz w:val="18"/>
                <w:szCs w:val="18"/>
              </w:rPr>
              <w:t>proiectelor privind centrele de cercetare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Promovarea cercetării și inovării — 16618_Basic &amp; Cercetarea aplicată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proiectelor de cercetare de bază &amp; Aplicate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Promovarea cercetării și inovării — 16654_TH 2 ORAX:</w:t>
            </w:r>
            <w:r>
              <w:rPr>
                <w:rFonts w:ascii="Times New Roman" w:hAnsi="Times New Roman"/>
                <w:noProof/>
                <w:sz w:val="18"/>
                <w:szCs w:val="18"/>
              </w:rPr>
              <w:t xml:space="preserve"> Trellis Holistic &amp; Hybrid Operational Ruggedized Autonomous eXemplary system</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TH²ORAX</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Promovarea cercetării și inovării – 16971_Cercetare – Creare – Inovare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proiectelor de Cercetare – Creare – </w:t>
            </w:r>
            <w:r>
              <w:rPr>
                <w:rFonts w:ascii="Times New Roman" w:hAnsi="Times New Roman"/>
                <w:noProof/>
                <w:sz w:val="18"/>
                <w:szCs w:val="18"/>
              </w:rPr>
              <w:t>Inovare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16 - 4.5. Promovarea cercetării și inovării — 16621_Extroversiunea ecosistemului de cercetare și inovare din Grecia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extroversiunii proiectelor de ecosistem C &amp; 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262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17 - 4.6. Modernizarea și îmbunătățirea rezilienței princ</w:t>
            </w:r>
            <w:r>
              <w:rPr>
                <w:rFonts w:ascii="Times New Roman" w:hAnsi="Times New Roman"/>
                <w:noProof/>
                <w:sz w:val="18"/>
                <w:szCs w:val="18"/>
              </w:rPr>
              <w:t>ipalelor sectoare economice — 16630_Autostrada din Nordul insulei Creta (Β.Ο.Α.Κ.)</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BOAK</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rezilienței sectoarelor economice cheie — 16954 Intervenții pentru modernizarea și reamenajarea sistemului și a infrastructurii rețelei feroviare elene </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modernizării rețelei feroviare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w:t>
            </w:r>
            <w:r>
              <w:rPr>
                <w:rFonts w:ascii="Times New Roman" w:hAnsi="Times New Roman"/>
                <w:noProof/>
                <w:sz w:val="18"/>
                <w:szCs w:val="18"/>
              </w:rPr>
              <w:t xml:space="preserve"> Modernizarea și îmbunătățirea rezilienței principalelor sectoare economice — 16892_Ameliorarea căilor ferate suburbane din Attica de Vest</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căii ferate din Attica de Vest</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w:t>
            </w:r>
            <w:r>
              <w:rPr>
                <w:rFonts w:ascii="Times New Roman" w:hAnsi="Times New Roman"/>
                <w:noProof/>
                <w:sz w:val="18"/>
                <w:szCs w:val="18"/>
              </w:rPr>
              <w:t xml:space="preserve"> economice cheie — 16949_Puncte inteligente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„Poduri inteligente”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16950_Tolluri electronice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Finalizarea proiectului privind taxele de </w:t>
            </w:r>
            <w:r>
              <w:rPr>
                <w:rFonts w:ascii="Times New Roman" w:hAnsi="Times New Roman"/>
                <w:noProof/>
                <w:sz w:val="18"/>
                <w:szCs w:val="18"/>
              </w:rPr>
              <w:t>trecere electronice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16959_Transformarea digitală a Organizației Căilor Ferate Elene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transformării digitale a proiectului OSE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w:t>
            </w:r>
            <w:r>
              <w:rPr>
                <w:rFonts w:ascii="Times New Roman" w:hAnsi="Times New Roman"/>
                <w:noProof/>
                <w:sz w:val="18"/>
                <w:szCs w:val="18"/>
              </w:rPr>
              <w:t>Modernizarea și îmbunătățirea rezilienței sectoarelor economice cheie — 16960_Infrastructură inteligentă cu accent pe mediu și cultură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de infrastructură inteligentă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w:t>
            </w:r>
            <w:r>
              <w:rPr>
                <w:rFonts w:ascii="Times New Roman" w:hAnsi="Times New Roman"/>
                <w:noProof/>
                <w:sz w:val="18"/>
                <w:szCs w:val="18"/>
              </w:rPr>
              <w:t>oarelor economice cheie — 16937_Sistemul digital integrat de gestionare a programelor pentru administrarea lucrărilor tehnice și a activelor structurale al Ministerului Infrastructurii și Transporturilor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PMIS pentru Ministerul Infrastruct</w:t>
            </w:r>
            <w:r>
              <w:rPr>
                <w:rFonts w:ascii="Times New Roman" w:hAnsi="Times New Roman"/>
                <w:noProof/>
                <w:sz w:val="18"/>
                <w:szCs w:val="18"/>
              </w:rPr>
              <w:t>urii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277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16786_Simplificarea procedurilor Ministerului Infrastructurii &amp; Transporturile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Simplificarea procedurilor pentru Ministerul Transporturilor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282</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w:t>
            </w:r>
            <w:r>
              <w:rPr>
                <w:rFonts w:ascii="Times New Roman" w:hAnsi="Times New Roman"/>
                <w:noProof/>
                <w:sz w:val="18"/>
                <w:szCs w:val="18"/>
              </w:rPr>
              <w:t>Modernizarea și îmbunătățirea rezilienței principalelor sectoare economice — 16970_autostrăzi pentru natură și cultură</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Autostrăzi pentru natură și cultură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rezilienței sectoarelor economice cheie — </w:t>
            </w:r>
            <w:r>
              <w:rPr>
                <w:rFonts w:ascii="Times New Roman" w:hAnsi="Times New Roman"/>
                <w:noProof/>
                <w:sz w:val="18"/>
                <w:szCs w:val="18"/>
              </w:rPr>
              <w:t>16293_Cultura ca motor al creșterii economice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Cultura ca motor al creșterii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rezilienței principalelor sectoare economice — 16536_Actualizarea infrastructurii, reînnoirea echipamentelor și îmbunătățirea </w:t>
            </w:r>
            <w:r>
              <w:rPr>
                <w:rFonts w:ascii="Times New Roman" w:hAnsi="Times New Roman"/>
                <w:noProof/>
                <w:sz w:val="18"/>
                <w:szCs w:val="18"/>
              </w:rPr>
              <w:t>calității serviciilor furnizate de magazinele HOCRED — foste Stores ARF (la fața locului și în format electronic)</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Modernizarea Organizației elene pentru dezvoltarea resurselor culturale (HOCRED)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w:t>
            </w:r>
            <w:r>
              <w:rPr>
                <w:rFonts w:ascii="Times New Roman" w:hAnsi="Times New Roman"/>
                <w:noProof/>
                <w:sz w:val="18"/>
                <w:szCs w:val="18"/>
              </w:rPr>
              <w:t>ei sectoarelor economice cheie — 16725_Ameliorarea învățământului superior în domeniul artelor</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Modernizarea învățământului superior în domeniul artelor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16723_</w:t>
            </w:r>
            <w:r>
              <w:rPr>
                <w:rFonts w:ascii="Times New Roman" w:hAnsi="Times New Roman"/>
                <w:noProof/>
                <w:sz w:val="18"/>
                <w:szCs w:val="18"/>
              </w:rPr>
              <w:t>Consolidarea competențelor pentru profesioniștii din domeniul creativ și cultural</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Dezvoltarea competențelor pentru profesioniștii din domeniul creativ și cultural (finalizare)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rezilienței sectoarelor </w:t>
            </w:r>
            <w:r>
              <w:rPr>
                <w:rFonts w:ascii="Times New Roman" w:hAnsi="Times New Roman"/>
                <w:noProof/>
                <w:sz w:val="18"/>
                <w:szCs w:val="18"/>
              </w:rPr>
              <w:t>economice cheie — 16486_Muzeul de antichități subacvatice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Muzeu de antichități subacvatice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16485_Itinerariile culturale în situri arheologice și monumente emblemat</w:t>
            </w:r>
            <w:r>
              <w:rPr>
                <w:rFonts w:ascii="Times New Roman" w:hAnsi="Times New Roman"/>
                <w:noProof/>
                <w:sz w:val="18"/>
                <w:szCs w:val="18"/>
              </w:rPr>
              <w:t>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Itinerarii culturale la siturile arheologice emblematice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289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rezilienței sectoarelor economice cheie — 16735_Utilizarea „artelor pe bază de rețetă”, promovarea coeziunii sociale și valorificarea economiei </w:t>
            </w:r>
            <w:r>
              <w:rPr>
                <w:rFonts w:ascii="Times New Roman" w:hAnsi="Times New Roman"/>
                <w:noProof/>
                <w:sz w:val="18"/>
                <w:szCs w:val="18"/>
              </w:rPr>
              <w:t>vârstei a treia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Utilizarea „artelor pe bază de rețetă”;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16433_Protecția monumentelor culturale și a siturilor arheologice împotriva schimbărilor climatice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Jalon </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w:t>
            </w:r>
            <w:r>
              <w:rPr>
                <w:rFonts w:ascii="Times New Roman" w:hAnsi="Times New Roman"/>
                <w:noProof/>
                <w:sz w:val="18"/>
                <w:szCs w:val="18"/>
              </w:rPr>
              <w:t>rotejarea monumentelor culturale împotriva schimbărilor climatice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291</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16435_Restaurare — Conservare — Consolidarea monumentelor de pe Acropole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Restaurare — </w:t>
            </w:r>
            <w:r>
              <w:rPr>
                <w:rFonts w:ascii="Times New Roman" w:hAnsi="Times New Roman"/>
                <w:noProof/>
                <w:sz w:val="18"/>
                <w:szCs w:val="18"/>
              </w:rPr>
              <w:t>Conservare — Consolidarea Acropolei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principalelor sectoare economice — 16931_Dezvoltarea turismului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de dezvoltare turistică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298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îmbunătățirea </w:t>
            </w:r>
            <w:r>
              <w:rPr>
                <w:rFonts w:ascii="Times New Roman" w:hAnsi="Times New Roman"/>
                <w:noProof/>
                <w:sz w:val="18"/>
                <w:szCs w:val="18"/>
              </w:rPr>
              <w:t>rezilienței principalelor sectoare economice — 16975_Actualizarea intervențiilor pentru porturile regionale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Intervenții pentru modernizarea porturilor regionale</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307</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w:t>
            </w:r>
            <w:r>
              <w:rPr>
                <w:rFonts w:ascii="Times New Roman" w:hAnsi="Times New Roman"/>
                <w:noProof/>
                <w:sz w:val="18"/>
                <w:szCs w:val="18"/>
              </w:rPr>
              <w:t>634_noi parcuri industriale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Parități industriale — punerea în aplicare a investițiilor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308</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16593_Modificarea cadrului juridic pentru atragerea investițiilor strategice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Investiții strategice — punerea în aplicare a investițiilor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309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16721_Accelerarea producției inteligente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Industria prelucrătoare, sectorul — punerea în aplicare</w:t>
            </w:r>
            <w:r>
              <w:rPr>
                <w:rFonts w:ascii="Times New Roman" w:hAnsi="Times New Roman"/>
                <w:noProof/>
                <w:sz w:val="18"/>
                <w:szCs w:val="18"/>
              </w:rPr>
              <w:t xml:space="preserve"> a investițiilor</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17 - 4.6. Modernizarea și îmbunătățirea rezilienței sectoarelor economice cheie — 16626_Transformarea economică a sectorului agricol</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transformării economice a agriculturii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315</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17 - 4.6. Modernizarea și </w:t>
            </w:r>
            <w:r>
              <w:rPr>
                <w:rFonts w:ascii="Times New Roman" w:hAnsi="Times New Roman"/>
                <w:noProof/>
                <w:sz w:val="18"/>
                <w:szCs w:val="18"/>
              </w:rPr>
              <w:t>îmbunătățirea rezilienței sectoarelor economice cheie — 16584_Propuneri de acțiuni în sectorul acvaculturii</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Cultură acvatică finalizată</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316</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4 - 1.4. Utilizarea durabilă a resurselor, reziliența la schimbările climatice și protecția mediului — 16285_</w:t>
            </w:r>
            <w:r>
              <w:rPr>
                <w:rFonts w:ascii="Times New Roman" w:hAnsi="Times New Roman"/>
                <w:noProof/>
                <w:sz w:val="18"/>
                <w:szCs w:val="18"/>
              </w:rPr>
              <w:t>Investiții în rețeaua națională de irigații prin intermediul programelor PPP</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irigării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319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18 - 4.7. Îmbunătățirea competitivității și promovarea investițiilor private și a exporturilor — 16543_Acțiuni pentru simplificarea mediului de </w:t>
            </w:r>
            <w:r>
              <w:rPr>
                <w:rFonts w:ascii="Times New Roman" w:hAnsi="Times New Roman"/>
                <w:noProof/>
                <w:sz w:val="18"/>
                <w:szCs w:val="18"/>
              </w:rPr>
              <w:t>afaceri și îmbunătățirea calității și siguranței acestuia</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Îmbunătățirea mediului de afaceri — simplificarea licențelor și supravegherea pieței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259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17 - 4.6. Modernizarea și îmbunătățirea rezilienței principalelor sectoare economice — 16631_Moderniz</w:t>
            </w:r>
            <w:r>
              <w:rPr>
                <w:rFonts w:ascii="Times New Roman" w:hAnsi="Times New Roman"/>
                <w:noProof/>
                <w:sz w:val="18"/>
                <w:szCs w:val="18"/>
              </w:rPr>
              <w:t>area siguranței rutiere</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w:t>
            </w:r>
          </w:p>
        </w:tc>
        <w:tc>
          <w:tcPr>
            <w:tcW w:w="2107"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Finalizarea proiectului privind siguranța rutieră</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2107"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1 974 438 066 EUR</w:t>
            </w:r>
          </w:p>
        </w:tc>
      </w:tr>
    </w:tbl>
    <w:p w:rsidR="00780A28" w:rsidRDefault="00780A28">
      <w:pPr>
        <w:keepNext/>
        <w:spacing w:before="40" w:after="0" w:line="259" w:lineRule="auto"/>
        <w:jc w:val="both"/>
        <w:rPr>
          <w:rFonts w:ascii="Times New Roman" w:eastAsia="Times New Roman" w:hAnsi="Times New Roman" w:cs="Times New Roman"/>
          <w:bCs/>
          <w:noProof/>
          <w:sz w:val="18"/>
          <w:szCs w:val="18"/>
        </w:rPr>
      </w:pPr>
    </w:p>
    <w:p w:rsidR="00780A28" w:rsidRDefault="00780A28">
      <w:pPr>
        <w:keepNext/>
        <w:spacing w:before="40" w:after="160" w:line="259" w:lineRule="auto"/>
        <w:contextualSpacing/>
        <w:jc w:val="both"/>
        <w:rPr>
          <w:rFonts w:ascii="Times New Roman" w:eastAsia="Times New Roman" w:hAnsi="Times New Roman" w:cs="Times New Roman"/>
          <w:noProof/>
          <w:sz w:val="18"/>
          <w:szCs w:val="18"/>
        </w:rPr>
      </w:pPr>
    </w:p>
    <w:p w:rsidR="00780A28" w:rsidRDefault="001867D7">
      <w:pPr>
        <w:keepNext/>
        <w:numPr>
          <w:ilvl w:val="0"/>
          <w:numId w:val="20"/>
        </w:numPr>
        <w:spacing w:before="40" w:after="0" w:line="259" w:lineRule="auto"/>
        <w:ind w:left="0"/>
        <w:jc w:val="both"/>
        <w:outlineLvl w:val="1"/>
        <w:rPr>
          <w:rFonts w:ascii="Times New Roman" w:eastAsia="Times New Roman" w:hAnsi="Times New Roman" w:cs="Times New Roman"/>
          <w:b/>
          <w:noProof/>
          <w:sz w:val="24"/>
          <w:u w:val="single"/>
        </w:rPr>
      </w:pPr>
      <w:bookmarkStart w:id="8" w:name="_Toc72228139"/>
      <w:bookmarkStart w:id="9" w:name="_Toc71726497"/>
      <w:r>
        <w:rPr>
          <w:rFonts w:ascii="Times New Roman" w:hAnsi="Times New Roman"/>
          <w:b/>
          <w:noProof/>
          <w:sz w:val="24"/>
          <w:u w:val="single"/>
        </w:rPr>
        <w:t>Împrumut</w:t>
      </w:r>
      <w:bookmarkEnd w:id="8"/>
      <w:r>
        <w:rPr>
          <w:rFonts w:ascii="Times New Roman" w:hAnsi="Times New Roman"/>
          <w:b/>
          <w:noProof/>
          <w:sz w:val="24"/>
          <w:u w:val="single"/>
        </w:rPr>
        <w:t xml:space="preserve"> </w:t>
      </w:r>
      <w:bookmarkEnd w:id="9"/>
    </w:p>
    <w:p w:rsidR="00780A28" w:rsidRDefault="00780A28">
      <w:pPr>
        <w:keepNext/>
        <w:spacing w:before="40" w:after="0" w:line="259" w:lineRule="auto"/>
        <w:jc w:val="both"/>
        <w:rPr>
          <w:rFonts w:ascii="Times New Roman" w:eastAsia="Times New Roman" w:hAnsi="Times New Roman" w:cs="Times New Roman"/>
          <w:bCs/>
          <w:noProof/>
          <w:sz w:val="24"/>
          <w:szCs w:val="26"/>
        </w:rPr>
      </w:pPr>
    </w:p>
    <w:p w:rsidR="00780A28" w:rsidRDefault="001867D7">
      <w:pPr>
        <w:keepNext/>
        <w:spacing w:before="40" w:after="0" w:line="259" w:lineRule="auto"/>
        <w:jc w:val="both"/>
        <w:rPr>
          <w:rFonts w:ascii="Times New Roman" w:eastAsia="Times New Roman" w:hAnsi="Times New Roman" w:cs="Times New Roman"/>
          <w:noProof/>
          <w:sz w:val="24"/>
        </w:rPr>
      </w:pPr>
      <w:r>
        <w:rPr>
          <w:rFonts w:ascii="Times New Roman" w:hAnsi="Times New Roman"/>
          <w:noProof/>
          <w:sz w:val="24"/>
        </w:rPr>
        <w:t>Tranșele menționate la articolul 3 alineatul (2) se organizează după cum urmează:</w:t>
      </w:r>
    </w:p>
    <w:p w:rsidR="00780A28" w:rsidRDefault="00780A28">
      <w:pPr>
        <w:keepNext/>
        <w:spacing w:before="120" w:after="160" w:line="259" w:lineRule="auto"/>
        <w:contextualSpacing/>
        <w:jc w:val="both"/>
        <w:rPr>
          <w:rFonts w:ascii="Times New Roman" w:eastAsia="Times New Roman" w:hAnsi="Times New Roman" w:cs="Times New Roman"/>
          <w:bCs/>
          <w:noProof/>
          <w:sz w:val="24"/>
          <w:szCs w:val="24"/>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Prima cerere de plată (sprijin sub formă de împrumut): </w:t>
      </w:r>
    </w:p>
    <w:tbl>
      <w:tblPr>
        <w:tblW w:w="9535" w:type="dxa"/>
        <w:tblInd w:w="113" w:type="dxa"/>
        <w:tblLook w:val="04A0" w:firstRow="1" w:lastRow="0" w:firstColumn="1" w:lastColumn="0" w:noHBand="0" w:noVBand="1"/>
      </w:tblPr>
      <w:tblGrid>
        <w:gridCol w:w="1804"/>
        <w:gridCol w:w="4283"/>
        <w:gridCol w:w="1692"/>
        <w:gridCol w:w="1756"/>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Măsură conexă (reformă 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24"/>
                <w:szCs w:val="26"/>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24"/>
                <w:szCs w:val="26"/>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24"/>
                <w:szCs w:val="26"/>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24"/>
                <w:szCs w:val="26"/>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320</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4.7. Îmbunătățirea competitivității și promovarea investițiilor private și a exporturilor — facilitatea de împrumut </w:t>
            </w:r>
            <w:r>
              <w:rPr>
                <w:rFonts w:ascii="Times New Roman" w:hAnsi="Times New Roman"/>
                <w:noProof/>
                <w:sz w:val="18"/>
                <w:szCs w:val="18"/>
              </w:rPr>
              <w:t>16980_RRP</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Acorduri operaționale cu IFI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321</w:t>
            </w:r>
          </w:p>
        </w:tc>
        <w:tc>
          <w:tcPr>
            <w:tcW w:w="4283" w:type="dxa"/>
            <w:tcBorders>
              <w:top w:val="nil"/>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 Îmbunătățirea competitivității și promovarea investițiilor private și a exporturilor — facilitatea de împrumut 16980_RRP</w:t>
            </w:r>
          </w:p>
        </w:tc>
        <w:tc>
          <w:tcPr>
            <w:tcW w:w="1692" w:type="dxa"/>
            <w:tcBorders>
              <w:top w:val="nil"/>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Lansarea cererii de propuneri a băncilor comerciale</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w:t>
            </w:r>
          </w:p>
        </w:tc>
      </w:tr>
    </w:tbl>
    <w:p w:rsidR="00780A28" w:rsidRDefault="00780A28">
      <w:pPr>
        <w:keepNext/>
        <w:spacing w:before="120" w:after="160" w:line="259" w:lineRule="auto"/>
        <w:ind w:hanging="360"/>
        <w:contextualSpacing/>
        <w:jc w:val="both"/>
        <w:rPr>
          <w:rFonts w:ascii="Times New Roman" w:eastAsia="Times New Roman" w:hAnsi="Times New Roman" w:cs="Times New Roman"/>
          <w:bCs/>
          <w:noProof/>
          <w:sz w:val="24"/>
          <w:szCs w:val="24"/>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A doua cerere de plată (sprijin sub formă de împrumut): </w:t>
      </w:r>
    </w:p>
    <w:tbl>
      <w:tblPr>
        <w:tblW w:w="9535" w:type="dxa"/>
        <w:tblInd w:w="113" w:type="dxa"/>
        <w:tblLook w:val="04A0" w:firstRow="1" w:lastRow="0" w:firstColumn="1" w:lastColumn="0" w:noHBand="0" w:noVBand="1"/>
      </w:tblPr>
      <w:tblGrid>
        <w:gridCol w:w="1804"/>
        <w:gridCol w:w="4283"/>
        <w:gridCol w:w="1692"/>
        <w:gridCol w:w="1756"/>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Măsură conexă (reformă 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322</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 4.7. Îmbunătățirea competitivității și promovarea investițiilor private și a exporturilor — </w:t>
            </w:r>
            <w:r>
              <w:rPr>
                <w:rFonts w:ascii="Times New Roman" w:hAnsi="Times New Roman"/>
                <w:noProof/>
                <w:sz w:val="18"/>
                <w:szCs w:val="18"/>
              </w:rPr>
              <w:t>facilitatea de împrumut 16980_RRP</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Acord pentru platforma de capitaluri proprii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323</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4.7. Îmbunătățirea competitivității și promovarea investițiilor private și a exporturilor — facilitatea de împrumut 16980_RRP</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Jalon</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Acordul de contribuție InvestEU</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324</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 Îmbunătățirea competitivității și promovarea investițiilor private și a exporturilor — facilitatea de împrumut 16980_RRP</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586,4 milioane EUR de fonduri ale instituțiilor financiare semnate cu beneficiarii finali</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w:t>
            </w:r>
            <w:r>
              <w:rPr>
                <w:rFonts w:ascii="Times New Roman" w:hAnsi="Times New Roman"/>
                <w:noProof/>
                <w:sz w:val="18"/>
                <w:szCs w:val="18"/>
              </w:rPr>
              <w:t>R</w:t>
            </w:r>
          </w:p>
        </w:tc>
      </w:tr>
    </w:tbl>
    <w:p w:rsidR="00780A28" w:rsidRDefault="00780A28">
      <w:pPr>
        <w:keepNext/>
        <w:spacing w:before="40" w:after="160" w:line="259" w:lineRule="auto"/>
        <w:contextualSpacing/>
        <w:jc w:val="both"/>
        <w:rPr>
          <w:rFonts w:ascii="Times New Roman" w:eastAsia="Times New Roman" w:hAnsi="Times New Roman" w:cs="Times New Roman"/>
          <w:noProof/>
          <w:sz w:val="24"/>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A treia cerere de plată (sprijin sub formă de împrumut): </w:t>
      </w:r>
    </w:p>
    <w:tbl>
      <w:tblPr>
        <w:tblW w:w="9535" w:type="dxa"/>
        <w:tblInd w:w="113" w:type="dxa"/>
        <w:tblLook w:val="04A0" w:firstRow="1" w:lastRow="0" w:firstColumn="1" w:lastColumn="0" w:noHBand="0" w:noVBand="1"/>
      </w:tblPr>
      <w:tblGrid>
        <w:gridCol w:w="1804"/>
        <w:gridCol w:w="4283"/>
        <w:gridCol w:w="1692"/>
        <w:gridCol w:w="1756"/>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Măsură conexă (reformă 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325</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4.7. Îmbunătățirea competitivității și promovarea investițiilor private și a exporturilor — facilitatea de </w:t>
            </w:r>
            <w:r>
              <w:rPr>
                <w:rFonts w:ascii="Times New Roman" w:hAnsi="Times New Roman"/>
                <w:noProof/>
                <w:sz w:val="18"/>
                <w:szCs w:val="18"/>
              </w:rPr>
              <w:t>împrumut 16980_RRP</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3518,4 milioane EUR de fonduri ale instituțiilor financiare semnate cu beneficiarii finali</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w:t>
            </w:r>
          </w:p>
        </w:tc>
      </w:tr>
    </w:tbl>
    <w:p w:rsidR="00780A28" w:rsidRDefault="00780A28">
      <w:pPr>
        <w:keepNext/>
        <w:spacing w:before="40" w:after="0" w:line="259" w:lineRule="auto"/>
        <w:jc w:val="both"/>
        <w:rPr>
          <w:rFonts w:ascii="Times New Roman" w:eastAsia="Times New Roman" w:hAnsi="Times New Roman" w:cs="Times New Roman"/>
          <w:bCs/>
          <w:noProof/>
          <w:sz w:val="24"/>
          <w:szCs w:val="26"/>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A patra cerere de plată (sprijin sub formă de împrumut): </w:t>
      </w:r>
    </w:p>
    <w:tbl>
      <w:tblPr>
        <w:tblW w:w="9519" w:type="dxa"/>
        <w:tblInd w:w="113" w:type="dxa"/>
        <w:tblLook w:val="04A0" w:firstRow="1" w:lastRow="0" w:firstColumn="1" w:lastColumn="0" w:noHBand="0" w:noVBand="1"/>
      </w:tblPr>
      <w:tblGrid>
        <w:gridCol w:w="1804"/>
        <w:gridCol w:w="4283"/>
        <w:gridCol w:w="1692"/>
        <w:gridCol w:w="1740"/>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Măsură conexă (reformă sau </w:t>
            </w:r>
            <w:r>
              <w:rPr>
                <w:rFonts w:ascii="Times New Roman" w:hAnsi="Times New Roman"/>
                <w:noProof/>
                <w:sz w:val="18"/>
                <w:szCs w:val="18"/>
              </w:rPr>
              <w:t>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326</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 Îmbunătățirea competitivității și promovarea investițiilor private și a exporturilor — facilitatea de împrumut 16980_RRP</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40"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5864 milioane EUR de fonduri ale instituțiilor financiare semnate cu beneficiarii </w:t>
            </w:r>
            <w:r>
              <w:rPr>
                <w:rFonts w:ascii="Times New Roman" w:hAnsi="Times New Roman"/>
                <w:noProof/>
                <w:sz w:val="18"/>
                <w:szCs w:val="18"/>
              </w:rPr>
              <w:t>finali</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40"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w:t>
            </w:r>
          </w:p>
        </w:tc>
      </w:tr>
    </w:tbl>
    <w:p w:rsidR="00780A28" w:rsidRDefault="00780A28">
      <w:pPr>
        <w:keepNext/>
        <w:spacing w:before="40" w:after="0" w:line="259" w:lineRule="auto"/>
        <w:jc w:val="both"/>
        <w:rPr>
          <w:rFonts w:ascii="Times New Roman" w:eastAsia="Times New Roman" w:hAnsi="Times New Roman" w:cs="Times New Roman"/>
          <w:bCs/>
          <w:noProof/>
          <w:sz w:val="24"/>
          <w:szCs w:val="26"/>
        </w:rPr>
      </w:pPr>
    </w:p>
    <w:p w:rsidR="00780A28" w:rsidRDefault="001867D7">
      <w:pPr>
        <w:keepNext/>
        <w:numPr>
          <w:ilvl w:val="1"/>
          <w:numId w:val="20"/>
        </w:numPr>
        <w:spacing w:before="40" w:after="160" w:line="259" w:lineRule="auto"/>
        <w:ind w:left="0"/>
        <w:contextualSpacing/>
        <w:jc w:val="both"/>
        <w:rPr>
          <w:rFonts w:ascii="Times New Roman" w:eastAsia="Times New Roman" w:hAnsi="Times New Roman" w:cs="Times New Roman"/>
          <w:noProof/>
          <w:sz w:val="24"/>
        </w:rPr>
      </w:pPr>
      <w:r>
        <w:rPr>
          <w:rFonts w:ascii="Times New Roman" w:hAnsi="Times New Roman"/>
          <w:noProof/>
          <w:sz w:val="24"/>
        </w:rPr>
        <w:t xml:space="preserve"> A cincea cerere de plată (sprijin sub formă de împrumut): </w:t>
      </w:r>
    </w:p>
    <w:tbl>
      <w:tblPr>
        <w:tblW w:w="9519" w:type="dxa"/>
        <w:tblInd w:w="113" w:type="dxa"/>
        <w:tblLook w:val="04A0" w:firstRow="1" w:lastRow="0" w:firstColumn="1" w:lastColumn="0" w:noHBand="0" w:noVBand="1"/>
      </w:tblPr>
      <w:tblGrid>
        <w:gridCol w:w="1804"/>
        <w:gridCol w:w="4283"/>
        <w:gridCol w:w="1692"/>
        <w:gridCol w:w="1740"/>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Număr 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Măsură conexă (reformă 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40"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740"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327</w:t>
            </w:r>
          </w:p>
        </w:tc>
        <w:tc>
          <w:tcPr>
            <w:tcW w:w="4283"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 xml:space="preserve">4.7. Îmbunătățirea competitivității și promovarea investițiilor private </w:t>
            </w:r>
            <w:r>
              <w:rPr>
                <w:rFonts w:ascii="Times New Roman" w:hAnsi="Times New Roman"/>
                <w:noProof/>
                <w:sz w:val="18"/>
                <w:szCs w:val="18"/>
              </w:rPr>
              <w:t>ș</w:t>
            </w:r>
            <w:r>
              <w:rPr>
                <w:rFonts w:ascii="Times New Roman" w:hAnsi="Times New Roman"/>
                <w:noProof/>
                <w:sz w:val="18"/>
                <w:szCs w:val="18"/>
              </w:rPr>
              <w:t>i a exporturilor — facilitatea de împrumut 16980_RRP</w:t>
            </w:r>
          </w:p>
        </w:tc>
        <w:tc>
          <w:tcPr>
            <w:tcW w:w="1692"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40" w:type="dxa"/>
            <w:tcBorders>
              <w:top w:val="single" w:sz="4" w:space="0" w:color="auto"/>
              <w:left w:val="nil"/>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9382,4 milioane EUR de fonduri ale instituțiilor financiare semnate cu beneficiarii finali</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40"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2 121 256 487 EUR</w:t>
            </w:r>
          </w:p>
        </w:tc>
      </w:tr>
    </w:tbl>
    <w:p w:rsidR="00780A28" w:rsidRDefault="00780A28">
      <w:pPr>
        <w:keepNext/>
        <w:spacing w:before="40" w:after="0" w:line="259" w:lineRule="auto"/>
        <w:jc w:val="both"/>
        <w:rPr>
          <w:rFonts w:ascii="Times New Roman" w:eastAsia="Times New Roman" w:hAnsi="Times New Roman" w:cs="Times New Roman"/>
          <w:bCs/>
          <w:noProof/>
          <w:sz w:val="24"/>
          <w:szCs w:val="26"/>
        </w:rPr>
      </w:pPr>
    </w:p>
    <w:p w:rsidR="00780A28" w:rsidRDefault="001867D7">
      <w:pPr>
        <w:keepNext/>
        <w:numPr>
          <w:ilvl w:val="1"/>
          <w:numId w:val="20"/>
        </w:numPr>
        <w:spacing w:before="40" w:after="160" w:line="259" w:lineRule="auto"/>
        <w:ind w:left="0"/>
        <w:contextualSpacing/>
        <w:jc w:val="both"/>
        <w:rPr>
          <w:rFonts w:ascii="Times New Roman" w:hAnsi="Times New Roman" w:cs="Times New Roman"/>
          <w:noProof/>
          <w:sz w:val="24"/>
        </w:rPr>
      </w:pPr>
      <w:r>
        <w:rPr>
          <w:rFonts w:ascii="Times New Roman" w:hAnsi="Times New Roman"/>
          <w:noProof/>
          <w:sz w:val="24"/>
        </w:rPr>
        <w:t xml:space="preserve"> A șasea cerere de plată (sprijin sub formă de împrumut): </w:t>
      </w:r>
    </w:p>
    <w:tbl>
      <w:tblPr>
        <w:tblW w:w="9535" w:type="dxa"/>
        <w:tblInd w:w="113" w:type="dxa"/>
        <w:tblLook w:val="04A0" w:firstRow="1" w:lastRow="0" w:firstColumn="1" w:lastColumn="0" w:noHBand="0" w:noVBand="1"/>
      </w:tblPr>
      <w:tblGrid>
        <w:gridCol w:w="1804"/>
        <w:gridCol w:w="4283"/>
        <w:gridCol w:w="1692"/>
        <w:gridCol w:w="1756"/>
      </w:tblGrid>
      <w:tr w:rsidR="00780A28">
        <w:trPr>
          <w:trHeight w:val="906"/>
        </w:trPr>
        <w:tc>
          <w:tcPr>
            <w:tcW w:w="1804"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 xml:space="preserve">Număr </w:t>
            </w:r>
            <w:r>
              <w:rPr>
                <w:rFonts w:ascii="Times New Roman" w:hAnsi="Times New Roman"/>
                <w:noProof/>
                <w:sz w:val="18"/>
                <w:szCs w:val="18"/>
              </w:rPr>
              <w:t>secvențial</w:t>
            </w:r>
          </w:p>
        </w:tc>
        <w:tc>
          <w:tcPr>
            <w:tcW w:w="4283"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Măsură conexă (reformă sau investiție)</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Jalon/Țintă</w:t>
            </w:r>
          </w:p>
        </w:tc>
        <w:tc>
          <w:tcPr>
            <w:tcW w:w="1756" w:type="dxa"/>
            <w:vMerge w:val="restart"/>
            <w:tcBorders>
              <w:top w:val="single" w:sz="4" w:space="0" w:color="auto"/>
              <w:left w:val="nil"/>
              <w:bottom w:val="single" w:sz="4" w:space="0" w:color="000000"/>
              <w:right w:val="single" w:sz="4" w:space="0" w:color="auto"/>
            </w:tcBorders>
            <w:shd w:val="clear" w:color="auto" w:fill="BDD7EE"/>
            <w:vAlign w:val="center"/>
            <w:hideMark/>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Nume</w:t>
            </w:r>
          </w:p>
        </w:tc>
      </w:tr>
      <w:tr w:rsidR="00780A28">
        <w:trPr>
          <w:trHeight w:val="990"/>
        </w:trPr>
        <w:tc>
          <w:tcPr>
            <w:tcW w:w="1804"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vMerge/>
            <w:tcBorders>
              <w:top w:val="single" w:sz="4" w:space="0" w:color="auto"/>
              <w:left w:val="single" w:sz="4" w:space="0" w:color="auto"/>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756" w:type="dxa"/>
            <w:vMerge/>
            <w:tcBorders>
              <w:top w:val="single" w:sz="4" w:space="0" w:color="auto"/>
              <w:left w:val="nil"/>
              <w:bottom w:val="single" w:sz="4" w:space="0" w:color="000000"/>
              <w:right w:val="single" w:sz="4" w:space="0" w:color="auto"/>
            </w:tcBorders>
            <w:vAlign w:val="center"/>
            <w:hideMark/>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328</w:t>
            </w:r>
          </w:p>
        </w:tc>
        <w:tc>
          <w:tcPr>
            <w:tcW w:w="4283"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4.7. Îmbunătățirea competitivității și promovarea investițiilor private și a exporturilor — facilitatea de împrumut 16980_RRP</w:t>
            </w:r>
          </w:p>
        </w:tc>
        <w:tc>
          <w:tcPr>
            <w:tcW w:w="1692"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single" w:sz="4" w:space="0" w:color="auto"/>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bCs/>
                <w:noProof/>
                <w:sz w:val="18"/>
                <w:szCs w:val="18"/>
              </w:rPr>
            </w:pPr>
            <w:r>
              <w:rPr>
                <w:rFonts w:ascii="Times New Roman" w:hAnsi="Times New Roman"/>
                <w:noProof/>
                <w:sz w:val="18"/>
                <w:szCs w:val="18"/>
              </w:rPr>
              <w:t>11728 milioane EUR de fonduri ale instituțiilor</w:t>
            </w:r>
            <w:r>
              <w:rPr>
                <w:rFonts w:ascii="Times New Roman" w:hAnsi="Times New Roman"/>
                <w:noProof/>
                <w:sz w:val="18"/>
                <w:szCs w:val="18"/>
              </w:rPr>
              <w:t xml:space="preserve"> financiare semnate cu beneficiarii finali</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329</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4.7. Îmbunătățirea competitivității și promovarea investițiilor private și a exporturilor — facilitatea de împrumut 16980_RRP</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 xml:space="preserve">Investiții de 100 % din sprijinul sub formă de capital propriu </w:t>
            </w:r>
          </w:p>
        </w:tc>
      </w:tr>
      <w:tr w:rsidR="00780A28">
        <w:trPr>
          <w:trHeight w:val="302"/>
        </w:trPr>
        <w:tc>
          <w:tcPr>
            <w:tcW w:w="1804" w:type="dxa"/>
            <w:tcBorders>
              <w:top w:val="nil"/>
              <w:left w:val="single" w:sz="4" w:space="0" w:color="auto"/>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eastAsia="Times New Roman" w:hAnsi="Times New Roman" w:cs="Times New Roman"/>
                <w:noProof/>
                <w:sz w:val="18"/>
                <w:szCs w:val="18"/>
              </w:rPr>
            </w:pPr>
            <w:r>
              <w:rPr>
                <w:rFonts w:ascii="Times New Roman" w:hAnsi="Times New Roman"/>
                <w:noProof/>
                <w:sz w:val="18"/>
                <w:szCs w:val="18"/>
              </w:rPr>
              <w:t>330</w:t>
            </w:r>
          </w:p>
        </w:tc>
        <w:tc>
          <w:tcPr>
            <w:tcW w:w="4283"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 xml:space="preserve">4.7. </w:t>
            </w:r>
            <w:r>
              <w:rPr>
                <w:rFonts w:ascii="Times New Roman" w:hAnsi="Times New Roman"/>
                <w:noProof/>
                <w:sz w:val="18"/>
                <w:szCs w:val="18"/>
              </w:rPr>
              <w:t>Îmbunătățirea competitivității și promovarea investițiilor private și a exporturilor — facilitatea de împrumut 16980_RRP</w:t>
            </w:r>
          </w:p>
        </w:tc>
        <w:tc>
          <w:tcPr>
            <w:tcW w:w="1692"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Ț</w:t>
            </w:r>
            <w:r>
              <w:rPr>
                <w:rFonts w:ascii="Times New Roman" w:hAnsi="Times New Roman"/>
                <w:noProof/>
                <w:sz w:val="18"/>
                <w:szCs w:val="18"/>
              </w:rPr>
              <w:t>intă</w:t>
            </w:r>
          </w:p>
        </w:tc>
        <w:tc>
          <w:tcPr>
            <w:tcW w:w="1756" w:type="dxa"/>
            <w:tcBorders>
              <w:top w:val="nil"/>
              <w:left w:val="nil"/>
              <w:bottom w:val="single" w:sz="4" w:space="0" w:color="auto"/>
              <w:right w:val="single" w:sz="4" w:space="0" w:color="auto"/>
            </w:tcBorders>
            <w:shd w:val="clear" w:color="000000" w:fill="C6EFCE"/>
            <w:noWrap/>
            <w:vAlign w:val="center"/>
          </w:tcPr>
          <w:p w:rsidR="00780A28" w:rsidRDefault="001867D7">
            <w:pPr>
              <w:keepNext/>
              <w:spacing w:before="40" w:after="0" w:line="240" w:lineRule="auto"/>
              <w:jc w:val="both"/>
              <w:rPr>
                <w:rFonts w:ascii="Times New Roman" w:hAnsi="Times New Roman" w:cs="Times New Roman"/>
                <w:noProof/>
                <w:sz w:val="18"/>
                <w:szCs w:val="18"/>
              </w:rPr>
            </w:pPr>
            <w:r>
              <w:rPr>
                <w:rFonts w:ascii="Times New Roman" w:hAnsi="Times New Roman"/>
                <w:noProof/>
                <w:sz w:val="18"/>
                <w:szCs w:val="18"/>
              </w:rPr>
              <w:t>Aprobarea operațiunilor de către InvestEU</w:t>
            </w:r>
          </w:p>
        </w:tc>
      </w:tr>
      <w:tr w:rsidR="00780A28">
        <w:trPr>
          <w:trHeight w:val="302"/>
        </w:trPr>
        <w:tc>
          <w:tcPr>
            <w:tcW w:w="1804" w:type="dxa"/>
            <w:tcBorders>
              <w:top w:val="single" w:sz="4" w:space="0" w:color="auto"/>
              <w:left w:val="single" w:sz="4" w:space="0" w:color="auto"/>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4283" w:type="dxa"/>
            <w:tcBorders>
              <w:top w:val="single" w:sz="4" w:space="0" w:color="auto"/>
              <w:left w:val="nil"/>
              <w:bottom w:val="single" w:sz="4" w:space="0" w:color="auto"/>
              <w:right w:val="single" w:sz="4" w:space="0" w:color="auto"/>
            </w:tcBorders>
            <w:shd w:val="clear" w:color="auto" w:fill="C6EFCE"/>
            <w:noWrap/>
            <w:vAlign w:val="bottom"/>
          </w:tcPr>
          <w:p w:rsidR="00780A28" w:rsidRDefault="00780A28">
            <w:pPr>
              <w:keepNext/>
              <w:spacing w:before="40" w:after="0" w:line="259" w:lineRule="auto"/>
              <w:jc w:val="both"/>
              <w:rPr>
                <w:rFonts w:ascii="Times New Roman" w:eastAsia="Times New Roman" w:hAnsi="Times New Roman" w:cs="Times New Roman"/>
                <w:bCs/>
                <w:noProof/>
                <w:sz w:val="18"/>
                <w:szCs w:val="18"/>
                <w:lang w:eastAsia="en-GB"/>
              </w:rPr>
            </w:pPr>
          </w:p>
        </w:tc>
        <w:tc>
          <w:tcPr>
            <w:tcW w:w="1692"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Suma ratei</w:t>
            </w:r>
          </w:p>
        </w:tc>
        <w:tc>
          <w:tcPr>
            <w:tcW w:w="1756" w:type="dxa"/>
            <w:tcBorders>
              <w:top w:val="single" w:sz="4" w:space="0" w:color="auto"/>
              <w:left w:val="nil"/>
              <w:bottom w:val="single" w:sz="4" w:space="0" w:color="auto"/>
              <w:right w:val="single" w:sz="4" w:space="0" w:color="auto"/>
            </w:tcBorders>
            <w:shd w:val="clear" w:color="auto" w:fill="C6EFCE"/>
            <w:noWrap/>
            <w:vAlign w:val="bottom"/>
          </w:tcPr>
          <w:p w:rsidR="00780A28" w:rsidRDefault="001867D7">
            <w:pPr>
              <w:keepNext/>
              <w:spacing w:before="40" w:after="0" w:line="259" w:lineRule="auto"/>
              <w:jc w:val="both"/>
              <w:rPr>
                <w:rFonts w:ascii="Times New Roman" w:eastAsia="Times New Roman" w:hAnsi="Times New Roman" w:cs="Times New Roman"/>
                <w:noProof/>
                <w:sz w:val="18"/>
                <w:szCs w:val="18"/>
              </w:rPr>
            </w:pPr>
            <w:r>
              <w:rPr>
                <w:rFonts w:ascii="Times New Roman" w:hAnsi="Times New Roman"/>
                <w:noProof/>
                <w:sz w:val="18"/>
                <w:szCs w:val="18"/>
              </w:rPr>
              <w:t>2 121 256 485 EUR</w:t>
            </w:r>
          </w:p>
        </w:tc>
      </w:tr>
    </w:tbl>
    <w:p w:rsidR="00780A28" w:rsidRDefault="001867D7">
      <w:pPr>
        <w:rPr>
          <w:rFonts w:ascii="Times New Roman" w:hAnsi="Times New Roman" w:cs="Times New Roman"/>
          <w:b/>
          <w:bCs/>
          <w:noProof/>
          <w:sz w:val="24"/>
        </w:rPr>
      </w:pPr>
      <w:r>
        <w:rPr>
          <w:noProof/>
        </w:rPr>
        <w:br w:type="page"/>
      </w:r>
    </w:p>
    <w:p w:rsidR="00780A28" w:rsidRDefault="001867D7">
      <w:pPr>
        <w:keepNext/>
        <w:tabs>
          <w:tab w:val="num" w:pos="850"/>
        </w:tabs>
        <w:spacing w:before="120" w:after="120" w:line="259" w:lineRule="auto"/>
        <w:ind w:hanging="850"/>
        <w:jc w:val="both"/>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SECȚIUNEA 3: MĂSURI SUPLIMENTARE </w:t>
      </w:r>
    </w:p>
    <w:p w:rsidR="00780A28" w:rsidRDefault="001867D7">
      <w:pPr>
        <w:numPr>
          <w:ilvl w:val="6"/>
          <w:numId w:val="15"/>
        </w:numPr>
        <w:spacing w:before="120" w:after="120" w:line="240" w:lineRule="auto"/>
        <w:ind w:left="0" w:hanging="567"/>
        <w:jc w:val="both"/>
        <w:rPr>
          <w:rFonts w:ascii="Times New Roman" w:eastAsia="Times New Roman" w:hAnsi="Times New Roman" w:cs="Times New Roman"/>
          <w:b/>
          <w:noProof/>
          <w:sz w:val="24"/>
        </w:rPr>
      </w:pPr>
      <w:r>
        <w:rPr>
          <w:rFonts w:ascii="Times New Roman" w:hAnsi="Times New Roman"/>
          <w:b/>
          <w:bCs/>
          <w:noProof/>
          <w:sz w:val="24"/>
        </w:rPr>
        <w:t xml:space="preserve">Măsuri pentru </w:t>
      </w:r>
      <w:r>
        <w:rPr>
          <w:rFonts w:ascii="Times New Roman" w:hAnsi="Times New Roman"/>
          <w:b/>
          <w:bCs/>
          <w:noProof/>
          <w:sz w:val="24"/>
        </w:rPr>
        <w:t>monitorizarea și implementarea planului de redresare și reziliență</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Monitorizarea și implementarea planului de redresare și reziliență al Greciei se desfășoară în modul următor: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Principalul organism responsabil cu coordonarea punerii în aplicare și monitor</w:t>
      </w:r>
      <w:r>
        <w:rPr>
          <w:rFonts w:ascii="Times New Roman" w:hAnsi="Times New Roman"/>
          <w:noProof/>
          <w:sz w:val="24"/>
        </w:rPr>
        <w:t>izarea planului de redresare și reziliență va fi Agenția de Coordonare a Mecanismului de redresare și reziliență, un serviciu public special independent al Ministerului de Finanțe, instituit prin Legea nr. 4738/2020. Agenția de coordonare a Mecanismului de</w:t>
      </w:r>
      <w:r>
        <w:rPr>
          <w:rFonts w:ascii="Times New Roman" w:hAnsi="Times New Roman"/>
          <w:noProof/>
          <w:sz w:val="24"/>
        </w:rPr>
        <w:t xml:space="preserve"> redresare și reziliență este, de asemenea, organismul responsabil pentru a verifica dacă jaloanele și țintele stabilite ale planului de redresare și reziliență au fost îndeplinite și, de asemenea, acționează ca o legătură (unică) între Comisia Europeană ș</w:t>
      </w:r>
      <w:r>
        <w:rPr>
          <w:rFonts w:ascii="Times New Roman" w:hAnsi="Times New Roman"/>
          <w:noProof/>
          <w:sz w:val="24"/>
        </w:rPr>
        <w:t>i autoritățile elene. Mai precis, sarcinile sale implică monitorizarea activă a evoluției proiectelor, pe baza jaloanelor și a țintelor convenite, precum și transmiterea cererilor de plată către Comisia Europeană după verificarea finalizării acestora. Aces</w:t>
      </w:r>
      <w:r>
        <w:rPr>
          <w:rFonts w:ascii="Times New Roman" w:hAnsi="Times New Roman"/>
          <w:noProof/>
          <w:sz w:val="24"/>
        </w:rPr>
        <w:t>tea din urmă sunt însoțite de o declarație de gestiune conform căreia fondurile au fost utilizate în scopurile prevăzute și în conformitate cu principiul bunei gestiuni financiare, precum și de un rezumat al auditurilor efectuate, inclusiv deficiențele ide</w:t>
      </w:r>
      <w:r>
        <w:rPr>
          <w:rFonts w:ascii="Times New Roman" w:hAnsi="Times New Roman"/>
          <w:noProof/>
          <w:sz w:val="24"/>
        </w:rPr>
        <w:t>ntificate și eventualele măsuri corective luate.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Responsabilitatea generală pentru punerea în aplicare a fiecărei măsuri specifice intră în sfera de competență a ministerului competent, ale cărui servicii vor sprijini monitorizarea progreselor înregistrate</w:t>
      </w:r>
      <w:r>
        <w:rPr>
          <w:rFonts w:ascii="Times New Roman" w:hAnsi="Times New Roman"/>
          <w:noProof/>
          <w:sz w:val="24"/>
        </w:rPr>
        <w:t xml:space="preserve"> de proiecte și vor menține o cooperare strânsă cu Agenția de Coordonare a Mecanismului de redresare și reziliență.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Toate măsurile din plan sunt puse în aplicare de organismele naționale („organismele de punere în aplicare”) desemnate de ministerul compet</w:t>
      </w:r>
      <w:r>
        <w:rPr>
          <w:rFonts w:ascii="Times New Roman" w:hAnsi="Times New Roman"/>
          <w:noProof/>
          <w:sz w:val="24"/>
        </w:rPr>
        <w:t>ent și sunt responsabile de îndeplinirea jaloanelor și a țintelor convenite, precum și de raportarea tuturor datelor și a documentației către Agenția de Coordonare a Mecanismului de redresare și reziliență prin intermediul sistemului informatic de manageme</w:t>
      </w:r>
      <w:r>
        <w:rPr>
          <w:rFonts w:ascii="Times New Roman" w:hAnsi="Times New Roman"/>
          <w:noProof/>
          <w:sz w:val="24"/>
        </w:rPr>
        <w:t xml:space="preserve">nt care va fi instituit. </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În cele din urmă, Comitetul de audit financiar (EDEL, care face parte din Secretariatul General pentru Politica Fiscală (Biroul general de contabilitate de stat) din cadrul Ministerului Finanțelor, garantează respectarea principii</w:t>
      </w:r>
      <w:r>
        <w:rPr>
          <w:rFonts w:ascii="Times New Roman" w:hAnsi="Times New Roman"/>
          <w:noProof/>
          <w:sz w:val="24"/>
        </w:rPr>
        <w:t>lor bunei gestiuni financiare.</w:t>
      </w:r>
    </w:p>
    <w:p w:rsidR="00780A28" w:rsidRDefault="00780A28">
      <w:pPr>
        <w:spacing w:before="120" w:after="120" w:line="240" w:lineRule="auto"/>
        <w:jc w:val="both"/>
        <w:rPr>
          <w:rFonts w:ascii="Times New Roman" w:hAnsi="Times New Roman" w:cs="Times New Roman"/>
          <w:noProof/>
          <w:sz w:val="24"/>
        </w:rPr>
      </w:pPr>
    </w:p>
    <w:p w:rsidR="00780A28" w:rsidRDefault="001867D7">
      <w:pPr>
        <w:numPr>
          <w:ilvl w:val="6"/>
          <w:numId w:val="15"/>
        </w:numPr>
        <w:spacing w:before="120" w:after="120" w:line="240" w:lineRule="auto"/>
        <w:ind w:left="0" w:hanging="567"/>
        <w:jc w:val="both"/>
        <w:rPr>
          <w:rFonts w:ascii="Times New Roman" w:hAnsi="Times New Roman" w:cs="Times New Roman"/>
          <w:noProof/>
          <w:sz w:val="24"/>
        </w:rPr>
      </w:pPr>
      <w:r>
        <w:rPr>
          <w:rFonts w:ascii="Times New Roman" w:hAnsi="Times New Roman"/>
          <w:b/>
          <w:bCs/>
          <w:noProof/>
          <w:sz w:val="24"/>
        </w:rPr>
        <w:t>Măsuri pentru asigurarea accesului deplin al Comisiei la datele subiacente</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Pentru a asigura accesul deplin al Comisiei la datele subiacente relevante, Grecia instituie următoarele măsuri:</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Agenția de coordonare a Mecanismului</w:t>
      </w:r>
      <w:r>
        <w:rPr>
          <w:rFonts w:ascii="Times New Roman" w:hAnsi="Times New Roman"/>
          <w:noProof/>
          <w:sz w:val="24"/>
        </w:rPr>
        <w:t xml:space="preserve"> de redresare și reziliență, în calitate de organism central de coordonare pentru planul de redresare și reziliență al Greciei și pentru punerea sa în aplicare, este responsabilă de coordonarea și monitorizarea generală a planului. În special, acesta acțio</w:t>
      </w:r>
      <w:r>
        <w:rPr>
          <w:rFonts w:ascii="Times New Roman" w:hAnsi="Times New Roman"/>
          <w:noProof/>
          <w:sz w:val="24"/>
        </w:rPr>
        <w:t>nează ca un organism de coordonare pentru monitorizarea progreselor înregistrate în ceea ce privește jaloanele și țintele, pentru monitorizare și, după caz, pentru punerea în aplicare a activităților de control și de audit, precum și pentru furnizarea de r</w:t>
      </w:r>
      <w:r>
        <w:rPr>
          <w:rFonts w:ascii="Times New Roman" w:hAnsi="Times New Roman"/>
          <w:noProof/>
          <w:sz w:val="24"/>
        </w:rPr>
        <w:t>apoarte și de cereri de plată. Acesta coordonează raportarea jaloanelor și a țintelor, indicatorii relevanți, dar și informațiile financiare calitative și alte date, cum ar fi cele privind destinatarii finali. Codificarea datelor are loc în toate organisme</w:t>
      </w:r>
      <w:r>
        <w:rPr>
          <w:rFonts w:ascii="Times New Roman" w:hAnsi="Times New Roman"/>
          <w:noProof/>
          <w:sz w:val="24"/>
        </w:rPr>
        <w:t>le de punere în aplicare, care au obligația de a raporta datele solicitate către Agenția de Coordonare a Mecanismului de redresare și reziliență prin intermediul sistemului informațional de management.</w:t>
      </w:r>
    </w:p>
    <w:p w:rsidR="00780A28" w:rsidRDefault="001867D7">
      <w:pPr>
        <w:spacing w:before="120" w:after="120" w:line="240" w:lineRule="auto"/>
        <w:jc w:val="both"/>
        <w:rPr>
          <w:rFonts w:ascii="Times New Roman" w:hAnsi="Times New Roman" w:cs="Times New Roman"/>
          <w:noProof/>
          <w:sz w:val="24"/>
        </w:rPr>
      </w:pPr>
      <w:r>
        <w:rPr>
          <w:rFonts w:ascii="Times New Roman" w:hAnsi="Times New Roman"/>
          <w:noProof/>
          <w:sz w:val="24"/>
        </w:rPr>
        <w:t>În conformitate cu articolul 24 alineatul (2) din Regu</w:t>
      </w:r>
      <w:r>
        <w:rPr>
          <w:rFonts w:ascii="Times New Roman" w:hAnsi="Times New Roman"/>
          <w:noProof/>
          <w:sz w:val="24"/>
        </w:rPr>
        <w:t xml:space="preserve">lamentul (UE) 2021/241, după îndeplinirea jaloanelor și a țintelor convenite relevante din secțiunea 2.1 a prezentei anexe, Grecia prezintă Comisiei o cerere justificată în mod corespunzător de plată a contribuției financiare și, după caz, a împrumutului. </w:t>
      </w:r>
      <w:r>
        <w:rPr>
          <w:rFonts w:ascii="Times New Roman" w:hAnsi="Times New Roman"/>
          <w:noProof/>
          <w:sz w:val="24"/>
        </w:rPr>
        <w:t>Grecia se asigură că, la cerere, Comisia are acces deplin la datele relevante care stau la baza justificării corespunzătoare a cererii de plată, atât pentru evaluarea cererii de plată în conformitate cu articolul 24 alineatul (3) din Regulamentul (UE) 2021</w:t>
      </w:r>
      <w:r>
        <w:rPr>
          <w:rFonts w:ascii="Times New Roman" w:hAnsi="Times New Roman"/>
          <w:noProof/>
          <w:sz w:val="24"/>
        </w:rPr>
        <w:t xml:space="preserve">/241, cât și în scopul auditului și al controlului. </w:t>
      </w:r>
    </w:p>
    <w:p w:rsidR="00780A28" w:rsidRDefault="00780A28">
      <w:pPr>
        <w:spacing w:before="120" w:after="120"/>
        <w:rPr>
          <w:noProof/>
        </w:rPr>
      </w:pPr>
    </w:p>
    <w:sectPr w:rsidR="00780A28">
      <w:headerReference w:type="even" r:id="rId341"/>
      <w:headerReference w:type="default" r:id="rId342"/>
      <w:footerReference w:type="even" r:id="rId343"/>
      <w:footerReference w:type="default" r:id="rId344"/>
      <w:headerReference w:type="first" r:id="rId345"/>
      <w:footerReference w:type="first" r:id="rId34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28" w:rsidRDefault="001867D7">
      <w:pPr>
        <w:spacing w:after="0" w:line="240" w:lineRule="auto"/>
      </w:pPr>
      <w:r>
        <w:separator/>
      </w:r>
    </w:p>
  </w:endnote>
  <w:endnote w:type="continuationSeparator" w:id="0">
    <w:p w:rsidR="00780A28" w:rsidRDefault="001867D7">
      <w:pPr>
        <w:spacing w:after="0" w:line="240" w:lineRule="auto"/>
      </w:pPr>
      <w:r>
        <w:continuationSeparator/>
      </w:r>
    </w:p>
  </w:endnote>
  <w:endnote w:type="continuationNotice" w:id="1">
    <w:p w:rsidR="00780A28" w:rsidRDefault="00780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D7" w:rsidRPr="001867D7" w:rsidRDefault="001867D7" w:rsidP="001867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160</w:t>
    </w:r>
    <w:r>
      <w:fldChar w:fldCharType="end"/>
    </w:r>
    <w:r>
      <w:tab/>
    </w:r>
    <w:r>
      <w:tab/>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pPr>
    <w:r>
      <w:rPr>
        <w:rFonts w:ascii="Arial" w:hAnsi="Arial"/>
        <w:b/>
        <w:sz w:val="48"/>
      </w:rPr>
      <w:tab/>
    </w:r>
    <w:r>
      <w:fldChar w:fldCharType="begin"/>
    </w:r>
    <w:r>
      <w:instrText xml:space="preserve"> PAGE  \* MERGEF</w:instrText>
    </w:r>
    <w:r>
      <w:instrText xml:space="preserve">ORMAT </w:instrText>
    </w:r>
    <w:r>
      <w:fldChar w:fldCharType="separate"/>
    </w:r>
    <w:r>
      <w:rPr>
        <w:noProof/>
      </w:rPr>
      <w:t>163</w:t>
    </w:r>
    <w:r>
      <w:fldChar w:fldCharType="end"/>
    </w:r>
    <w:r>
      <w:tab/>
    </w:r>
    <w:r>
      <w:tab/>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170</w:t>
    </w:r>
    <w:r>
      <w:fldChar w:fldCharType="end"/>
    </w:r>
    <w:r>
      <w:tab/>
    </w:r>
    <w:r>
      <w:tab/>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15</w:t>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pPr>
    <w:r>
      <w:rPr>
        <w:rFonts w:ascii="Arial" w:hAnsi="Arial"/>
        <w:b/>
        <w:sz w:val="48"/>
      </w:rPr>
      <w:tab/>
    </w:r>
    <w:r>
      <w:fldChar w:fldCharType="begin"/>
    </w:r>
    <w:r>
      <w:instrText xml:space="preserve"> PAGE  \* MERGEFORMAT </w:instrText>
    </w:r>
    <w:r>
      <w:fldChar w:fldCharType="separate"/>
    </w:r>
    <w:r>
      <w:rPr>
        <w:noProof/>
      </w:rPr>
      <w:t>173</w:t>
    </w:r>
    <w:r>
      <w:fldChar w:fldCharType="end"/>
    </w:r>
    <w:r>
      <w:tab/>
    </w:r>
    <w:r>
      <w:tab/>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176</w:t>
    </w:r>
    <w:r>
      <w:fldChar w:fldCharType="end"/>
    </w:r>
    <w:r>
      <w:tab/>
    </w:r>
    <w:r>
      <w:tab/>
    </w: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pPr>
    <w:r>
      <w:rPr>
        <w:rFonts w:ascii="Arial" w:hAnsi="Arial"/>
        <w:b/>
        <w:sz w:val="48"/>
      </w:rPr>
      <w:tab/>
    </w:r>
    <w:r>
      <w:fldChar w:fldCharType="begin"/>
    </w:r>
    <w:r>
      <w:instrText xml:space="preserve"> PAGE  \* MERGEFORMAT </w:instrText>
    </w:r>
    <w:r>
      <w:fldChar w:fldCharType="separate"/>
    </w:r>
    <w:r>
      <w:rPr>
        <w:noProof/>
      </w:rPr>
      <w:t>179</w:t>
    </w:r>
    <w:r>
      <w:fldChar w:fldCharType="end"/>
    </w:r>
    <w:r>
      <w:tab/>
    </w:r>
    <w:r>
      <w:tab/>
    </w: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183</w:t>
    </w:r>
    <w:r>
      <w:fldChar w:fldCharType="end"/>
    </w:r>
    <w:r>
      <w:tab/>
    </w: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pPr>
    <w:r>
      <w:rPr>
        <w:rFonts w:ascii="Arial" w:hAnsi="Arial"/>
        <w:b/>
        <w:sz w:val="48"/>
      </w:rPr>
      <w:tab/>
    </w:r>
    <w:r>
      <w:fldChar w:fldCharType="begin"/>
    </w:r>
    <w:r>
      <w:instrText xml:space="preserve"> PAGE  \* ME</w:instrText>
    </w:r>
    <w:r>
      <w:instrText xml:space="preserve">RGEFORMAT </w:instrText>
    </w:r>
    <w:r>
      <w:fldChar w:fldCharType="separate"/>
    </w:r>
    <w:r>
      <w:rPr>
        <w:noProof/>
      </w:rPr>
      <w:t>198</w:t>
    </w:r>
    <w:r>
      <w:fldChar w:fldCharType="end"/>
    </w:r>
    <w:r>
      <w:tab/>
    </w:r>
    <w:r>
      <w:tab/>
    </w: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200</w:t>
    </w:r>
    <w:r>
      <w:fldChar w:fldCharType="end"/>
    </w:r>
    <w:r>
      <w:tab/>
    </w:r>
    <w:r>
      <w:tab/>
    </w: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203</w:t>
    </w:r>
    <w:r>
      <w:fldChar w:fldCharType="end"/>
    </w:r>
    <w:r>
      <w:tab/>
    </w:r>
    <w:r>
      <w:tab/>
    </w: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215</w:t>
    </w:r>
    <w:r>
      <w:fldChar w:fldCharType="end"/>
    </w:r>
    <w:r>
      <w:tab/>
    </w:r>
    <w:r>
      <w:tab/>
    </w: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228</w:t>
    </w:r>
    <w:r>
      <w:fldChar w:fldCharType="end"/>
    </w:r>
    <w:r>
      <w:tab/>
    </w:r>
    <w:r>
      <w:tab/>
    </w: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232</w:t>
    </w:r>
    <w:r>
      <w:fldChar w:fldCharType="end"/>
    </w:r>
    <w:r>
      <w:tab/>
    </w:r>
    <w:r>
      <w:tab/>
    </w: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25</w:t>
    </w:r>
    <w: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pPr>
    <w:r>
      <w:rPr>
        <w:rFonts w:ascii="Arial" w:hAnsi="Arial"/>
        <w:b/>
        <w:sz w:val="48"/>
      </w:rPr>
      <w:tab/>
    </w:r>
    <w:r>
      <w:fldChar w:fldCharType="begin"/>
    </w:r>
    <w:r>
      <w:instrText xml:space="preserve"> PAGE  \* MERGEFORMAT </w:instrText>
    </w:r>
    <w:r>
      <w:fldChar w:fldCharType="separate"/>
    </w:r>
    <w:r>
      <w:rPr>
        <w:noProof/>
      </w:rPr>
      <w:t>234</w:t>
    </w:r>
    <w:r>
      <w:fldChar w:fldCharType="end"/>
    </w:r>
    <w:r>
      <w:tab/>
    </w:r>
    <w:r>
      <w:tab/>
    </w: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237</w:t>
    </w:r>
    <w:r>
      <w:fldChar w:fldCharType="end"/>
    </w:r>
    <w:r>
      <w:tab/>
    </w:r>
    <w:r>
      <w:tab/>
    </w: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pPr>
    <w:r>
      <w:rPr>
        <w:rFonts w:ascii="Arial" w:hAnsi="Arial"/>
        <w:b/>
        <w:sz w:val="48"/>
      </w:rPr>
      <w:tab/>
    </w:r>
    <w:r>
      <w:fldChar w:fldCharType="begin"/>
    </w:r>
    <w:r>
      <w:instrText xml:space="preserve"> PAGE  \* MERGEFORMAT </w:instrText>
    </w:r>
    <w:r>
      <w:fldChar w:fldCharType="separate"/>
    </w:r>
    <w:r>
      <w:rPr>
        <w:noProof/>
      </w:rPr>
      <w:t>239</w:t>
    </w:r>
    <w:r>
      <w:fldChar w:fldCharType="end"/>
    </w:r>
    <w:r>
      <w:tab/>
    </w:r>
    <w:r>
      <w:tab/>
    </w: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244</w:t>
    </w:r>
    <w:r>
      <w:fldChar w:fldCharType="end"/>
    </w:r>
    <w:r>
      <w:tab/>
    </w: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pPr>
    <w:r>
      <w:rPr>
        <w:rFonts w:ascii="Arial" w:hAnsi="Arial"/>
        <w:b/>
        <w:sz w:val="48"/>
      </w:rPr>
      <w:tab/>
    </w:r>
    <w:r>
      <w:fldChar w:fldCharType="begin"/>
    </w:r>
    <w:r>
      <w:instrText xml:space="preserve"> PAGE  \* MERGEFORMAT </w:instrText>
    </w:r>
    <w:r>
      <w:fldChar w:fldCharType="separate"/>
    </w:r>
    <w:r>
      <w:rPr>
        <w:noProof/>
      </w:rPr>
      <w:t>245</w:t>
    </w:r>
    <w:r>
      <w:fldChar w:fldCharType="end"/>
    </w:r>
    <w:r>
      <w:tab/>
    </w:r>
    <w:r>
      <w:tab/>
    </w: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246</w:t>
    </w:r>
    <w:r>
      <w:fldChar w:fldCharType="end"/>
    </w:r>
    <w:r>
      <w:tab/>
    </w:r>
    <w:r>
      <w:tab/>
    </w: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jc w:val="center"/>
    </w:pPr>
    <w:r>
      <w:fldChar w:fldCharType="begin"/>
    </w:r>
    <w:r>
      <w:instrText xml:space="preserve"> PAGE  \* MERGEFORMAT </w:instrText>
    </w:r>
    <w:r>
      <w:fldChar w:fldCharType="separate"/>
    </w:r>
    <w:r>
      <w:rPr>
        <w:noProof/>
      </w:rPr>
      <w:t>252</w:t>
    </w:r>
    <w:r>
      <w:fldChar w:fldCharType="end"/>
    </w: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jc w:val="center"/>
    </w:pPr>
    <w:r>
      <w:fldChar w:fldCharType="begin"/>
    </w:r>
    <w:r>
      <w:instrText xml:space="preserve"> PAGE  \* MERGEFORMAT </w:instrText>
    </w:r>
    <w:r>
      <w:fldChar w:fldCharType="separate"/>
    </w:r>
    <w:r>
      <w:rPr>
        <w:noProof/>
      </w:rPr>
      <w:t>256</w:t>
    </w:r>
    <w:r>
      <w:fldChar w:fldCharType="end"/>
    </w: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jc w:val="center"/>
    </w:pPr>
    <w:r>
      <w:fldChar w:fldCharType="begin"/>
    </w:r>
    <w:r>
      <w:instrText xml:space="preserve"> PAGE  \* MERGEFORMAT </w:instrText>
    </w:r>
    <w:r>
      <w:fldChar w:fldCharType="separate"/>
    </w:r>
    <w:r>
      <w:rPr>
        <w:noProof/>
      </w:rPr>
      <w:t>276</w:t>
    </w:r>
    <w:r>
      <w:fldChar w:fldCharType="end"/>
    </w: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28</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D7" w:rsidRPr="001867D7" w:rsidRDefault="001867D7" w:rsidP="001867D7">
    <w:pPr>
      <w:pStyle w:val="FooterCoverPage"/>
      <w:rPr>
        <w:rFonts w:ascii="Arial" w:hAnsi="Arial" w:cs="Arial"/>
        <w:b/>
        <w:sz w:val="48"/>
      </w:rPr>
    </w:pPr>
    <w:r w:rsidRPr="001867D7">
      <w:rPr>
        <w:rFonts w:ascii="Arial" w:hAnsi="Arial" w:cs="Arial"/>
        <w:b/>
        <w:sz w:val="48"/>
      </w:rPr>
      <w:t>RO</w:t>
    </w:r>
    <w:r w:rsidRPr="001867D7">
      <w:rPr>
        <w:rFonts w:ascii="Arial" w:hAnsi="Arial" w:cs="Arial"/>
        <w:b/>
        <w:sz w:val="48"/>
      </w:rPr>
      <w:tab/>
    </w:r>
    <w:r w:rsidRPr="001867D7">
      <w:rPr>
        <w:rFonts w:ascii="Arial" w:hAnsi="Arial" w:cs="Arial"/>
        <w:b/>
        <w:sz w:val="48"/>
      </w:rPr>
      <w:tab/>
    </w:r>
    <w:r w:rsidRPr="001867D7">
      <w:tab/>
    </w:r>
    <w:r w:rsidRPr="001867D7">
      <w:rPr>
        <w:rFonts w:ascii="Arial" w:hAnsi="Arial" w:cs="Arial"/>
        <w:b/>
        <w:sz w:val="48"/>
      </w:rPr>
      <w:t>RO</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29</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35</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40</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D7" w:rsidRPr="001867D7" w:rsidRDefault="001867D7" w:rsidP="001867D7">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53</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57</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66</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jc w:val="center"/>
    </w:pPr>
    <w:r>
      <w:fldChar w:fldCharType="begin"/>
    </w:r>
    <w:r>
      <w:instrText xml:space="preserve"> PAGE  \* MERGEFORMAT </w:instrText>
    </w:r>
    <w:r>
      <w:fldChar w:fldCharType="separate"/>
    </w:r>
    <w:r>
      <w:rPr>
        <w:noProof/>
      </w:rPr>
      <w:t>71</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Landscape"/>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jc w:val="center"/>
    </w:pPr>
    <w:r>
      <w:fldChar w:fldCharType="begin"/>
    </w:r>
    <w:r>
      <w:instrText xml:space="preserve"> PAGE  \* MERGEFORMAT </w:instrText>
    </w:r>
    <w:r>
      <w:fldChar w:fldCharType="separate"/>
    </w:r>
    <w:r>
      <w:rPr>
        <w:noProof/>
      </w:rPr>
      <w:t>86</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Landscape"/>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89</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1</w:t>
    </w:r>
    <w:r>
      <w:fldChar w:fldCharType="end"/>
    </w:r>
  </w:p>
  <w:p w:rsidR="00780A28" w:rsidRDefault="00780A28">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94</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89</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91</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93</w:t>
    </w:r>
    <w:r>
      <w:fldChar w:fldCharType="end"/>
    </w:r>
    <w:r>
      <w:tab/>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Landscape"/>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pPr>
    <w:r>
      <w:rPr>
        <w:rFonts w:ascii="Arial" w:hAnsi="Arial"/>
        <w:b/>
        <w:sz w:val="48"/>
      </w:rPr>
      <w:tab/>
    </w:r>
    <w:r>
      <w:fldChar w:fldCharType="begin"/>
    </w:r>
    <w:r>
      <w:instrText xml:space="preserve"> PAGE  \* MERGEFORMAT </w:instrText>
    </w:r>
    <w:r>
      <w:fldChar w:fldCharType="separate"/>
    </w:r>
    <w:r>
      <w:rPr>
        <w:noProof/>
      </w:rPr>
      <w:t>97</w:t>
    </w:r>
    <w:r>
      <w:fldChar w:fldCharType="end"/>
    </w:r>
    <w:r>
      <w:tab/>
    </w:r>
    <w:r>
      <w:tab/>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100</w:t>
    </w:r>
    <w:r>
      <w:fldChar w:fldCharType="end"/>
    </w:r>
    <w:r>
      <w:tab/>
    </w:r>
    <w:r>
      <w:tab/>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Landscape"/>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106</w:t>
    </w:r>
    <w:r>
      <w:fldChar w:fldCharType="end"/>
    </w:r>
    <w:r>
      <w:tab/>
    </w:r>
    <w:r>
      <w:tab/>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Landscap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pPr>
    <w:r>
      <w:rPr>
        <w:rFonts w:ascii="Arial" w:hAnsi="Arial"/>
        <w:b/>
        <w:sz w:val="48"/>
      </w:rPr>
      <w:tab/>
    </w:r>
    <w:r>
      <w:fldChar w:fldCharType="begin"/>
    </w:r>
    <w:r>
      <w:instrText xml:space="preserve"> PAGE  \* MERGEFORMAT </w:instrText>
    </w:r>
    <w:r>
      <w:fldChar w:fldCharType="separate"/>
    </w:r>
    <w:r>
      <w:rPr>
        <w:noProof/>
      </w:rPr>
      <w:t>111</w:t>
    </w:r>
    <w:r>
      <w:fldChar w:fldCharType="end"/>
    </w:r>
    <w:r>
      <w:tab/>
    </w:r>
    <w:r>
      <w:tab/>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113</w:t>
    </w:r>
    <w:r>
      <w:fldChar w:fldCharType="end"/>
    </w:r>
    <w:r>
      <w:tab/>
    </w:r>
    <w:r>
      <w:tab/>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Landscape"/>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123</w:t>
    </w:r>
    <w:r>
      <w:fldChar w:fldCharType="end"/>
    </w:r>
    <w:r>
      <w:tab/>
    </w:r>
    <w:r>
      <w:tab/>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Landscape"/>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5</w: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pPr>
    <w:r>
      <w:rPr>
        <w:rFonts w:ascii="Arial" w:hAnsi="Arial"/>
        <w:b/>
        <w:sz w:val="48"/>
      </w:rPr>
      <w:tab/>
    </w:r>
    <w:r>
      <w:fldChar w:fldCharType="begin"/>
    </w:r>
    <w:r>
      <w:instrText xml:space="preserve"> PAGE  \* MERGEFORMAT </w:instrText>
    </w:r>
    <w:r>
      <w:fldChar w:fldCharType="separate"/>
    </w:r>
    <w:r>
      <w:rPr>
        <w:noProof/>
      </w:rPr>
      <w:t>126</w:t>
    </w:r>
    <w:r>
      <w:fldChar w:fldCharType="end"/>
    </w:r>
    <w:r>
      <w:tab/>
    </w:r>
    <w:r>
      <w:tab/>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133</w:t>
    </w:r>
    <w:r>
      <w:fldChar w:fldCharType="end"/>
    </w:r>
    <w:r>
      <w:tab/>
    </w:r>
    <w:r>
      <w:tab/>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Landscape"/>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jc w:val="center"/>
    </w:pPr>
    <w:r>
      <w:fldChar w:fldCharType="begin"/>
    </w:r>
    <w:r>
      <w:instrText xml:space="preserve"> PAGE   \* MERGEFORMAT </w:instrText>
    </w:r>
    <w:r>
      <w:fldChar w:fldCharType="separate"/>
    </w:r>
    <w:r>
      <w:rPr>
        <w:noProof/>
      </w:rPr>
      <w:t>136</w:t>
    </w:r>
    <w:r>
      <w:fldChar w:fldCharType="end"/>
    </w:r>
  </w:p>
  <w:p w:rsidR="00780A28" w:rsidRDefault="00780A28">
    <w:pPr>
      <w:pStyle w:val="Footer"/>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Landscape"/>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141</w:t>
    </w:r>
    <w:r>
      <w:fldChar w:fldCharType="end"/>
    </w:r>
    <w:r>
      <w:tab/>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MERGEFORMAT </w:instrText>
    </w:r>
    <w:r>
      <w:fldChar w:fldCharType="separate"/>
    </w:r>
    <w:r>
      <w:rPr>
        <w:noProof/>
      </w:rPr>
      <w:t>145</w:t>
    </w:r>
    <w:r>
      <w:fldChar w:fldCharType="end"/>
    </w:r>
    <w:r>
      <w:tab/>
    </w:r>
    <w:r>
      <w:tab/>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
    </w:pPr>
    <w:r>
      <w:rPr>
        <w:rFonts w:ascii="Arial" w:hAnsi="Arial"/>
        <w:b/>
        <w:sz w:val="48"/>
      </w:rPr>
      <w:tab/>
    </w:r>
    <w:r>
      <w:fldChar w:fldCharType="begin"/>
    </w:r>
    <w:r>
      <w:instrText xml:space="preserve"> PAGE  \* MERGEFORMAT </w:instrText>
    </w:r>
    <w:r>
      <w:fldChar w:fldCharType="separate"/>
    </w:r>
    <w:r>
      <w:rPr>
        <w:noProof/>
      </w:rPr>
      <w:t>149</w:t>
    </w:r>
    <w:r>
      <w:fldChar w:fldCharType="end"/>
    </w:r>
    <w:r>
      <w:tab/>
    </w:r>
    <w:r>
      <w:tab/>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1867D7">
    <w:pPr>
      <w:pStyle w:val="FooterLandscape"/>
    </w:pPr>
    <w:r>
      <w:rPr>
        <w:rFonts w:ascii="Arial" w:hAnsi="Arial"/>
        <w:b/>
        <w:sz w:val="48"/>
      </w:rPr>
      <w:tab/>
    </w:r>
    <w:r>
      <w:fldChar w:fldCharType="begin"/>
    </w:r>
    <w:r>
      <w:instrText xml:space="preserve"> PAGE  \* MERGEFORMA</w:instrText>
    </w:r>
    <w:r>
      <w:instrText xml:space="preserve">T </w:instrText>
    </w:r>
    <w:r>
      <w:fldChar w:fldCharType="separate"/>
    </w:r>
    <w:r>
      <w:rPr>
        <w:noProof/>
      </w:rPr>
      <w:t>152</w:t>
    </w:r>
    <w:r>
      <w:fldChar w:fldCharType="end"/>
    </w:r>
    <w:r>
      <w:tab/>
    </w:r>
    <w:r>
      <w:tab/>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28" w:rsidRDefault="001867D7">
      <w:pPr>
        <w:spacing w:after="0" w:line="240" w:lineRule="auto"/>
      </w:pPr>
      <w:r>
        <w:separator/>
      </w:r>
    </w:p>
  </w:footnote>
  <w:footnote w:type="continuationSeparator" w:id="0">
    <w:p w:rsidR="00780A28" w:rsidRDefault="001867D7">
      <w:pPr>
        <w:spacing w:after="0" w:line="240" w:lineRule="auto"/>
      </w:pPr>
      <w:r>
        <w:continuationSeparator/>
      </w:r>
    </w:p>
  </w:footnote>
  <w:footnote w:type="continuationNotice" w:id="1">
    <w:p w:rsidR="00780A28" w:rsidRDefault="00780A28">
      <w:pPr>
        <w:spacing w:after="0" w:line="240" w:lineRule="auto"/>
      </w:pPr>
    </w:p>
  </w:footnote>
  <w:footnote w:id="2">
    <w:p w:rsidR="00780A28" w:rsidRDefault="001867D7">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Cu excepția proiectelor din cadrul acestei măsuri privind generarea de energie electrică și/sau termică, precum și infrastructura aferentă de transport și distr</w:t>
      </w:r>
      <w:r>
        <w:rPr>
          <w:rStyle w:val="FootnoteReference"/>
          <w:vertAlign w:val="baseline"/>
        </w:rPr>
        <w:t>ibuție, care utilizează gaze naturale, care respectă condițiile stabilite în anexa III la Orientările tehnice „Fără prejudicii semnificative” (2021/C58/01).</w:t>
      </w:r>
    </w:p>
  </w:footnote>
  <w:footnote w:id="3">
    <w:p w:rsidR="00780A28" w:rsidRDefault="001867D7">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În cazul în care activitatea sprijinită generează emisii de gaze cu efect de seră preconizate car</w:t>
      </w:r>
      <w:r>
        <w:rPr>
          <w:rStyle w:val="FootnoteReference"/>
          <w:vertAlign w:val="baseline"/>
        </w:rPr>
        <w:t xml:space="preserve">e nu sunt semnificativ mai scăzute decât valorile de referință relevante, ar trebui furnizată o explicație a motivelor pentru care acest lucru nu este posibil. Valorile de referință stabilite pentru alocarea cu titlu gratuit pentru activitățile care intră </w:t>
      </w:r>
      <w:r>
        <w:rPr>
          <w:rStyle w:val="FootnoteReference"/>
          <w:vertAlign w:val="baseline"/>
        </w:rPr>
        <w:t>în domeniul de aplicare al schemei de comercializare a certificatelor de emisii, astfel cum se prevede în regulamentul de punere în aplicare (UE) 2021/447 al Comisiei.</w:t>
      </w:r>
    </w:p>
  </w:footnote>
  <w:footnote w:id="4">
    <w:p w:rsidR="00780A28" w:rsidRDefault="001867D7">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Această excludere nu se aplică acțiunilor întreprinse în cadrul acestei măsuri în inst</w:t>
      </w:r>
      <w:r>
        <w:rPr>
          <w:rStyle w:val="FootnoteReference"/>
          <w:vertAlign w:val="baseline"/>
        </w:rPr>
        <w:t xml:space="preserve">alațiile dedicate exclusiv tratării deșeurilor periculoase nereciclabile și instalațiilor existente, în cazul în care acțiunile din cadrul acestei măsuri vizează creșterea eficienței energetice, captarea gazelor de evacuare pentru depozitare sau utilizare </w:t>
      </w:r>
      <w:r>
        <w:rPr>
          <w:rStyle w:val="FootnoteReference"/>
          <w:vertAlign w:val="baseline"/>
        </w:rPr>
        <w:t>sau recuperarea materialelor din cenușa de incinerare, cu condiția ca astfel de acțiuni din cadrul acestei măsuri să nu conducă la o creștere a capacității de prelucrare a deșeurilor a instalațiilor sau la o prelungire a duratei de viață a instalațiilor; p</w:t>
      </w:r>
      <w:r>
        <w:rPr>
          <w:rStyle w:val="FootnoteReference"/>
          <w:vertAlign w:val="baseline"/>
        </w:rPr>
        <w:t>entru care se furnizează dovezi la nivel de uzină.</w:t>
      </w:r>
    </w:p>
  </w:footnote>
  <w:footnote w:id="5">
    <w:p w:rsidR="00780A28" w:rsidRDefault="001867D7">
      <w:pPr>
        <w:pStyle w:val="FootnoteText"/>
        <w:ind w:left="0" w:firstLine="0"/>
      </w:pPr>
      <w:r>
        <w:rPr>
          <w:rStyle w:val="FootnoteReference"/>
        </w:rPr>
        <w:footnoteRef/>
      </w:r>
      <w:r>
        <w:rPr>
          <w:rStyle w:val="FootnoteReference"/>
        </w:rPr>
        <w:t xml:space="preserve"> </w:t>
      </w:r>
      <w:r>
        <w:rPr>
          <w:rStyle w:val="FootnoteReference"/>
          <w:vertAlign w:val="baseline"/>
        </w:rPr>
        <w:t>Această excludere nu se aplică acțiunilor întreprinse în cadrul acestei măsuri în stațiile de tratare mecano­biologică existente, în cazul în care acțiunile din cadrul acestei măsuri vizează creșterea ef</w:t>
      </w:r>
      <w:r>
        <w:rPr>
          <w:rStyle w:val="FootnoteReference"/>
          <w:vertAlign w:val="baseline"/>
        </w:rPr>
        <w:t>icienței energetice sau readaptarea la operațiunile de reciclare a deșeurilor separate pentru compostarea deșeurilor biologice și a digestiei anaerobe a deșeurilor biologice, cu condiția ca astfel de acțiuni din cadrul acestei măsuri să nu conducă la o cre</w:t>
      </w:r>
      <w:r>
        <w:rPr>
          <w:rStyle w:val="FootnoteReference"/>
          <w:vertAlign w:val="baseline"/>
        </w:rPr>
        <w:t>ș</w:t>
      </w:r>
      <w:r>
        <w:rPr>
          <w:rStyle w:val="FootnoteReference"/>
          <w:vertAlign w:val="baseline"/>
        </w:rPr>
        <w:t>tere a capacității de prelucrare a deșeurilor a instalațiilor sau la o prelungire a duratei de viață a instalațiilor; pentru care se furnizează dovezi la nivel de uzină.</w:t>
      </w:r>
    </w:p>
  </w:footnote>
  <w:footnote w:id="6">
    <w:p w:rsidR="00780A28" w:rsidRDefault="001867D7">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 xml:space="preserve">Cu excepția proiectelor din cadrul acestei măsuri privind generarea de energie </w:t>
      </w:r>
      <w:r>
        <w:rPr>
          <w:rStyle w:val="FootnoteReference"/>
          <w:vertAlign w:val="baseline"/>
        </w:rPr>
        <w:t>electrică și/sau termică, precum și infrastructura aferentă de transport și distribuție, care utilizează gaze naturale, care respectă condițiile stabilite în anexa III la Orientările tehnice „Fără prejudicii semnificative” (2021/C58/01).</w:t>
      </w:r>
    </w:p>
  </w:footnote>
  <w:footnote w:id="7">
    <w:p w:rsidR="00780A28" w:rsidRDefault="001867D7">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În cazul în care</w:t>
      </w:r>
      <w:r>
        <w:rPr>
          <w:rStyle w:val="FootnoteReference"/>
          <w:vertAlign w:val="baseline"/>
        </w:rPr>
        <w:t xml:space="preserve"> activitatea sprijinită generează emisii de gaze cu efect de seră preconizate care nu sunt semnificativ mai scăzute decât valorile de referință relevante, ar trebui furnizată o explicație a motivelor pentru care acest lucru nu este posibil. Valorile de ref</w:t>
      </w:r>
      <w:r>
        <w:rPr>
          <w:rStyle w:val="FootnoteReference"/>
          <w:vertAlign w:val="baseline"/>
        </w:rPr>
        <w:t>erință stabilite pentru alocarea cu titlu gratuit pentru activitățile care intră în domeniul de aplicare al schemei de comercializare a certificatelor de emisii, astfel cum se prevede în regulamentul de punere în aplicare (UE) 2021/447 al Comisiei.</w:t>
      </w:r>
    </w:p>
  </w:footnote>
  <w:footnote w:id="8">
    <w:p w:rsidR="00780A28" w:rsidRDefault="001867D7">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Această excludere nu se aplică acțiunilor întreprinse în cadrul acestei măsuri în instalațiile dedicate exclusiv tratării deșeurilor periculoase nereciclabile și instalațiilor existente, în cazul în care acțiunile din cadrul acestei măsuri vizează creștere</w:t>
      </w:r>
      <w:r>
        <w:rPr>
          <w:rStyle w:val="FootnoteReference"/>
          <w:vertAlign w:val="baseline"/>
        </w:rPr>
        <w:t xml:space="preserve">a eficienței energetice, captarea gazelor de evacuare pentru depozitare sau utilizare sau recuperarea materialelor din cenușa de incinerare, cu condiția ca astfel de acțiuni din cadrul acestei măsuri să nu conducă la o creștere a capacității de prelucrare </w:t>
      </w:r>
      <w:r>
        <w:rPr>
          <w:rStyle w:val="FootnoteReference"/>
          <w:vertAlign w:val="baseline"/>
        </w:rPr>
        <w:t>a deșeurilor a instalațiilor sau la o prelungire a duratei de viață a instalațiilor; pentru care se furnizează dovezi la nivel de uzină.</w:t>
      </w:r>
    </w:p>
  </w:footnote>
  <w:footnote w:id="9">
    <w:p w:rsidR="00780A28" w:rsidRDefault="001867D7">
      <w:pPr>
        <w:pStyle w:val="FootnoteText"/>
        <w:ind w:left="0" w:firstLine="0"/>
      </w:pPr>
      <w:r>
        <w:rPr>
          <w:rStyle w:val="FootnoteReference"/>
        </w:rPr>
        <w:footnoteRef/>
      </w:r>
      <w:r>
        <w:rPr>
          <w:rStyle w:val="FootnoteReference"/>
        </w:rPr>
        <w:t xml:space="preserve"> </w:t>
      </w:r>
      <w:r>
        <w:rPr>
          <w:rStyle w:val="FootnoteReference"/>
          <w:vertAlign w:val="baseline"/>
        </w:rPr>
        <w:t>Această excludere nu se aplică acțiunilor întreprinse în cadrul acestei măsuri în stațiile de tratare mecano-biologic</w:t>
      </w:r>
      <w:r>
        <w:rPr>
          <w:rStyle w:val="FootnoteReference"/>
          <w:vertAlign w:val="baseline"/>
        </w:rPr>
        <w:t>ă existente, în cazul în care acțiunile din cadrul acestei măsuri vizează creșterea eficienței energetice sau readaptarea la operațiunile de reciclare a deșeurilor separate pentru compostarea deșeurilor biologice și a digestiei anaerobe a deșeurilor biolog</w:t>
      </w:r>
      <w:r>
        <w:rPr>
          <w:rStyle w:val="FootnoteReference"/>
          <w:vertAlign w:val="baseline"/>
        </w:rPr>
        <w:t>ice, cu condiția ca astfel de acțiuni din cadrul acestei măsuri să nu conducă la o creștere a capacității de prelucrare a deșeurilor a instalațiilor sau la o prelungire a duratei de viață a instalațiilor; pentru care se furnizează dovezi la nivel de uzină.</w:t>
      </w:r>
    </w:p>
  </w:footnote>
  <w:footnote w:id="10">
    <w:p w:rsidR="00780A28" w:rsidRDefault="001867D7">
      <w:pPr>
        <w:pStyle w:val="FootnoteText"/>
        <w:ind w:left="0" w:firstLine="0"/>
      </w:pPr>
      <w:r>
        <w:rPr>
          <w:rStyle w:val="FootnoteReference"/>
        </w:rPr>
        <w:footnoteRef/>
      </w:r>
      <w:r>
        <w:t xml:space="preserve"> Cu excepția proiectelor din cadrul acestei măsuri privind generarea de energie electrică și/sau termică, precum și infrastructura aferentă de transport și distribuție, care utilizează gaze naturale, care respectă condițiile stabilite în anexa III la Ori</w:t>
      </w:r>
      <w:r>
        <w:t>entările tehnice bazate pe principiul de „a nu aduce prejudicii semnificative” (2021/C58/01).</w:t>
      </w:r>
    </w:p>
  </w:footnote>
  <w:footnote w:id="11">
    <w:p w:rsidR="00780A28" w:rsidRDefault="001867D7">
      <w:pPr>
        <w:pStyle w:val="FootnoteText"/>
        <w:ind w:left="0" w:firstLine="0"/>
      </w:pPr>
      <w:r>
        <w:rPr>
          <w:rStyle w:val="FootnoteReference"/>
        </w:rPr>
        <w:footnoteRef/>
      </w:r>
      <w:r>
        <w:t xml:space="preserve"> În cazul în care activitatea sprijinită generează emisii de gaze cu efect de seră preconizate care nu sunt semnificativ mai scăzute decât valorile de referință </w:t>
      </w:r>
      <w:r>
        <w:t>relevante, ar trebui furnizată o explicație a motivelor pentru care acest lucru nu este posibil. Valorile de referință stabilite pentru alocarea cu titlu gratuit pentru activitățile care intră în domeniul de aplicare al schemei de comercializare a certific</w:t>
      </w:r>
      <w:r>
        <w:t>atelor de emisii, astfel cum se prevede în regulamentul de punere în aplicare (UE) 2021/447 al Comisiei.</w:t>
      </w:r>
    </w:p>
  </w:footnote>
  <w:footnote w:id="12">
    <w:p w:rsidR="00780A28" w:rsidRDefault="001867D7">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rPr>
        <w:t>Această excludere nu se aplică acțiunilor întreprinse în cadrul acestei măsuri în instalațiile dedicate exclusiv tratării deșeurilor periculoase nere</w:t>
      </w:r>
      <w:r>
        <w:rPr>
          <w:rFonts w:ascii="Times New Roman" w:hAnsi="Times New Roman"/>
        </w:rPr>
        <w:t>ciclabile și instalațiilor existente, în cazul în care acțiunile din cadrul acestei măsuri vizează creșterea eficienței energetice, captarea gazelor de evacuare pentru depozitare sau utilizare sau recuperarea materialelor din cenușa de incinerare, cu condi</w:t>
      </w:r>
      <w:r>
        <w:rPr>
          <w:rFonts w:ascii="Times New Roman" w:hAnsi="Times New Roman"/>
        </w:rPr>
        <w:t>ț</w:t>
      </w:r>
      <w:r>
        <w:rPr>
          <w:rFonts w:ascii="Times New Roman" w:hAnsi="Times New Roman"/>
        </w:rPr>
        <w:t>ia ca astfel de acțiuni din cadrul acestei măsuri să nu conducă la o creștere a capacității de prelucrare a deșeurilor a instalațiilor sau la o prelungire a duratei de viață a instalațiilor;</w:t>
      </w:r>
      <w:r>
        <w:rPr>
          <w:rFonts w:ascii="Times New Roman" w:hAnsi="Times New Roman"/>
          <w:sz w:val="20"/>
          <w:szCs w:val="20"/>
        </w:rPr>
        <w:t xml:space="preserve"> pentru care se furnizează dovezi la nivel de uzină.</w:t>
      </w:r>
    </w:p>
  </w:footnote>
  <w:footnote w:id="13">
    <w:p w:rsidR="00780A28" w:rsidRDefault="001867D7">
      <w:pPr>
        <w:pStyle w:val="FootnoteText"/>
        <w:ind w:left="0" w:firstLine="0"/>
      </w:pPr>
      <w:r>
        <w:rPr>
          <w:rStyle w:val="FootnoteReference"/>
        </w:rPr>
        <w:footnoteRef/>
      </w:r>
      <w:r>
        <w:t xml:space="preserve"> Această ex</w:t>
      </w:r>
      <w:r>
        <w:t>cludere nu se aplică acțiunilor întreprinse în cadrul acestei măsuri în stațiile de tratare mecano­biologică existente, în cazul în care acțiunile din cadrul acestei măsuri vizează creșterea eficienței energetice sau readaptarea la operațiunile de reciclar</w:t>
      </w:r>
      <w:r>
        <w:t xml:space="preserve">e a deșeurilor separate pentru compostarea deșeurilor biologice și a digestiei anaerobe a deșeurilor biologice, cu condiția ca astfel de acțiuni din cadrul acestei măsuri să nu conducă la o creștere a capacității de prelucrare a deșeurilor a instalațiilor </w:t>
      </w:r>
      <w:r>
        <w:t>sau la o prelungire a duratei de viață a instalațiilor; pentru care se furnizează dovezi la nivel de uzină.</w:t>
      </w:r>
    </w:p>
  </w:footnote>
  <w:footnote w:id="14">
    <w:p w:rsidR="00780A28" w:rsidRDefault="001867D7">
      <w:pPr>
        <w:pStyle w:val="FootnoteText"/>
        <w:ind w:left="0" w:firstLine="0"/>
      </w:pPr>
      <w:r>
        <w:rPr>
          <w:rStyle w:val="FootnoteReference"/>
        </w:rPr>
        <w:footnoteRef/>
      </w:r>
      <w:r>
        <w:t xml:space="preserve"> Cu excepția proiectelor din cadrul acestei măsuri privind generarea de energie electrică și/sau termică, precum și infrastructura aferentă de tran</w:t>
      </w:r>
      <w:r>
        <w:t>sport și distribuție, care utilizează gaze naturale, care respectă condițiile stabilite în anexa III la Orientările tehnice bazate pe principiul de „a nu aduce prejudicii semnificative” (2021/C58/01).</w:t>
      </w:r>
    </w:p>
  </w:footnote>
  <w:footnote w:id="15">
    <w:p w:rsidR="00780A28" w:rsidRDefault="001867D7">
      <w:pPr>
        <w:pStyle w:val="FootnoteText"/>
        <w:ind w:left="0" w:firstLine="0"/>
      </w:pPr>
      <w:r>
        <w:rPr>
          <w:rStyle w:val="FootnoteReference"/>
        </w:rPr>
        <w:footnoteRef/>
      </w:r>
      <w:r>
        <w:t xml:space="preserve"> În cazul în care activitatea sprijinită generează emi</w:t>
      </w:r>
      <w:r>
        <w:t>sii de gaze cu efect de seră preconizate care nu sunt semnificativ mai scăzute decât valorile de referință relevante, ar trebui furnizată o explicație a motivelor pentru care acest lucru nu este posibil. Valorile de referință stabilite pentru alocarea cu t</w:t>
      </w:r>
      <w:r>
        <w:t>itlu gratuit pentru activitățile care intră în domeniul de aplicare al schemei de comercializare a certificatelor de emisii, astfel cum se prevede în regulamentul de punere în aplicare (UE) 2021/447 al Comisiei.</w:t>
      </w:r>
    </w:p>
  </w:footnote>
  <w:footnote w:id="16">
    <w:p w:rsidR="00780A28" w:rsidRDefault="001867D7">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Această excludere nu se aplică acțiunilor î</w:t>
      </w:r>
      <w:r>
        <w:rPr>
          <w:rFonts w:ascii="Times New Roman" w:hAnsi="Times New Roman"/>
          <w:sz w:val="20"/>
          <w:szCs w:val="20"/>
        </w:rPr>
        <w:t>ntreprinse în cadrul acestei măsuri în instalațiile dedicate exclusiv tratării deșeurilor periculoase nereciclabile și instalațiilor existente, în cazul în care acțiunile din cadrul acestei măsuri vizează creșterea eficienței energetice, captarea gazelor d</w:t>
      </w:r>
      <w:r>
        <w:rPr>
          <w:rFonts w:ascii="Times New Roman" w:hAnsi="Times New Roman"/>
          <w:sz w:val="20"/>
          <w:szCs w:val="20"/>
        </w:rPr>
        <w:t>e evacuare pentru depozitare sau utilizare sau recuperarea materialelor din cenușa de incinerare, cu condiția ca astfel de acțiuni din cadrul acestei măsuri să nu conducă la o creștere a capacității de prelucrare a deșeurilor a instalațiilor sau la o prelu</w:t>
      </w:r>
      <w:r>
        <w:rPr>
          <w:rFonts w:ascii="Times New Roman" w:hAnsi="Times New Roman"/>
          <w:sz w:val="20"/>
          <w:szCs w:val="20"/>
        </w:rPr>
        <w:t>ngire a duratei de viață a instalațiilor; pentru care se furnizează dovezi la nivel de uzină.</w:t>
      </w:r>
    </w:p>
  </w:footnote>
  <w:footnote w:id="17">
    <w:p w:rsidR="00780A28" w:rsidRDefault="001867D7">
      <w:pPr>
        <w:pStyle w:val="FootnoteText"/>
        <w:ind w:left="0" w:firstLine="0"/>
      </w:pPr>
      <w:r>
        <w:rPr>
          <w:rStyle w:val="FootnoteReference"/>
        </w:rPr>
        <w:footnoteRef/>
      </w:r>
      <w:r>
        <w:t xml:space="preserve"> Această excludere nu se aplică acțiunilor întreprinse în cadrul acestei măsuri în stațiile de tratare mecano­biologică existente, în cazul în care acțiunile din</w:t>
      </w:r>
      <w:r>
        <w:t xml:space="preserve"> cadrul acestei măsuri vizează creșterea eficienței energetice sau readaptarea la operațiunile de reciclare a deșeurilor separate pentru compostarea deșeurilor biologice și a digestiei anaerobe a deșeurilor biologice, cu condiția ca astfel de acțiuni din c</w:t>
      </w:r>
      <w:r>
        <w:t>adrul acestei măsuri să nu conducă la o creștere a capacității de prelucrare a deșeurilor a instalațiilor sau la o prelungire a duratei de viață a instalațiilor; pentru care se furnizează dovezi la nivel de uzină.</w:t>
      </w:r>
    </w:p>
  </w:footnote>
  <w:footnote w:id="18">
    <w:p w:rsidR="00780A28" w:rsidRDefault="001867D7">
      <w:pPr>
        <w:pStyle w:val="FootnoteText"/>
        <w:ind w:left="0" w:firstLine="0"/>
      </w:pPr>
      <w:r>
        <w:rPr>
          <w:rStyle w:val="FootnoteReference"/>
        </w:rPr>
        <w:footnoteRef/>
      </w:r>
      <w:r>
        <w:t xml:space="preserve"> Cu excepția proiectelor din cadrul acest</w:t>
      </w:r>
      <w:r>
        <w:t>ei măsuri privind generarea de energie electrică și/sau termică, precum și infrastructura aferentă de transport și distribuție, care utilizează gaze naturale, care respectă condițiile stabilite în anexa III la Orientările tehnice bazate pe principiul de „a</w:t>
      </w:r>
      <w:r>
        <w:t xml:space="preserve"> nu aduce prejudicii semnificative” (2021/C58/01).</w:t>
      </w:r>
    </w:p>
  </w:footnote>
  <w:footnote w:id="19">
    <w:p w:rsidR="00780A28" w:rsidRDefault="001867D7">
      <w:pPr>
        <w:pStyle w:val="FootnoteText"/>
        <w:ind w:left="0" w:firstLine="0"/>
      </w:pPr>
      <w:r>
        <w:rPr>
          <w:rStyle w:val="FootnoteReference"/>
        </w:rPr>
        <w:footnoteRef/>
      </w:r>
      <w:r>
        <w:t xml:space="preserve"> În cazul în care activitatea sprijinită generează emisii de gaze cu efect de seră preconizate care nu sunt semnificativ mai scăzute decât valorile de referință relevante, ar trebui furnizată o explicație</w:t>
      </w:r>
      <w:r>
        <w:t xml:space="preserve"> a motivelor pentru care acest lucru nu este posibil. Valorile de referință stabilite pentru alocarea cu titlu gratuit pentru activitățile care intră în domeniul de aplicare al schemei de comercializare a certificatelor de emisii, astfel cum se prevede în </w:t>
      </w:r>
      <w:r>
        <w:t>regulamentul de punere în aplicare (UE) 2021/447 al Comisiei.</w:t>
      </w:r>
    </w:p>
  </w:footnote>
  <w:footnote w:id="20">
    <w:p w:rsidR="00780A28" w:rsidRDefault="001867D7">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Această excludere nu se aplică acțiunilor întreprinse în cadrul acestei măsuri în instalațiile dedicate exclusiv tratării deșeurilor periculoase nereciclabile și instalațiilor existente, în caz</w:t>
      </w:r>
      <w:r>
        <w:rPr>
          <w:rFonts w:ascii="Times New Roman" w:hAnsi="Times New Roman"/>
          <w:sz w:val="20"/>
          <w:szCs w:val="20"/>
        </w:rPr>
        <w:t xml:space="preserve">ul în care acțiunile din cadrul acestei măsuri vizează creșterea eficienței energetice, captarea gazelor de evacuare pentru depozitare sau utilizare sau recuperarea materialelor din cenușa de incinerare, cu condiția ca astfel de acțiuni din cadrul acestei </w:t>
      </w:r>
      <w:r>
        <w:rPr>
          <w:rFonts w:ascii="Times New Roman" w:hAnsi="Times New Roman"/>
          <w:sz w:val="20"/>
          <w:szCs w:val="20"/>
        </w:rPr>
        <w:t>măsuri să nu conducă la o creștere a capacității de prelucrare a deșeurilor a instalațiilor sau la o prelungire a duratei de viață a instalațiilor; pentru care se furnizează dovezi la nivel de uzină.</w:t>
      </w:r>
    </w:p>
  </w:footnote>
  <w:footnote w:id="21">
    <w:p w:rsidR="00780A28" w:rsidRDefault="001867D7">
      <w:pPr>
        <w:pStyle w:val="FootnoteText"/>
        <w:ind w:left="0" w:firstLine="0"/>
      </w:pPr>
      <w:r>
        <w:rPr>
          <w:rStyle w:val="FootnoteReference"/>
        </w:rPr>
        <w:footnoteRef/>
      </w:r>
      <w:r>
        <w:t xml:space="preserve"> Această excludere nu se aplică acțiunilor întreprinse </w:t>
      </w:r>
      <w:r>
        <w:t>în cadrul acestei măsuri în stațiile de tratare mecano-biologică existente, în cazul în care acțiunile din cadrul acestei măsuri vizează creșterea eficienței energetice sau readaptarea la operațiunile de reciclare a deșeurilor separate pentru compostarea d</w:t>
      </w:r>
      <w:r>
        <w:t>eșeurilor biologice și a digestiei anaerobe a deșeurilor biologice, cu condiția ca astfel de acțiuni din cadrul acestei măsuri să nu conducă la o creștere a capacității de prelucrare a deșeurilor a instalațiilor sau la o prelungire a duratei de viață a ins</w:t>
      </w:r>
      <w:r>
        <w:t>talațiilor; pentru care se furnizează dovezi la nivel de uzină.</w:t>
      </w:r>
    </w:p>
  </w:footnote>
  <w:footnote w:id="22">
    <w:p w:rsidR="00780A28" w:rsidRDefault="001867D7">
      <w:pPr>
        <w:pStyle w:val="FootnoteText"/>
        <w:ind w:left="57" w:firstLine="0"/>
      </w:pPr>
      <w:r>
        <w:rPr>
          <w:rStyle w:val="FootnoteReference"/>
        </w:rPr>
        <w:footnoteRef/>
      </w:r>
      <w:r>
        <w:t xml:space="preserve"> Cu excepția proiectelor din cadrul acestei măsuri privind generarea de energie electrică și/sau termică, precum și infrastructura aferentă de transport și distribuție, care utilizează gaze n</w:t>
      </w:r>
      <w:r>
        <w:t>aturale, care respectă condițiile stabilite în anexa III la Orientările tehnice bazate pe principiul de „a nu aduce prejudicii semnificative” (2021/C58/01).</w:t>
      </w:r>
    </w:p>
  </w:footnote>
  <w:footnote w:id="23">
    <w:p w:rsidR="00780A28" w:rsidRDefault="001867D7">
      <w:pPr>
        <w:pStyle w:val="FootnoteText"/>
        <w:ind w:left="57" w:firstLine="0"/>
      </w:pPr>
      <w:r>
        <w:rPr>
          <w:rStyle w:val="FootnoteReference"/>
        </w:rPr>
        <w:footnoteRef/>
      </w:r>
      <w:r>
        <w:t xml:space="preserve"> În cazul în care activitatea sprijinită generează emisii de gaze cu efect de seră preconizate car</w:t>
      </w:r>
      <w:r>
        <w:t xml:space="preserve">e nu sunt semnificativ mai scăzute decât valorile de referință relevante, ar trebui furnizată o explicație a motivelor pentru care acest lucru nu este posibil. Valorile de referință stabilite pentru alocarea cu titlu gratuit pentru activitățile care intră </w:t>
      </w:r>
      <w:r>
        <w:t>în domeniul de aplicare al schemei de comercializare a certificatelor de emisii, astfel cum se prevede în regulamentul de punere în aplicare (UE) 2021/447 al Comisiei.</w:t>
      </w:r>
    </w:p>
  </w:footnote>
  <w:footnote w:id="24">
    <w:p w:rsidR="00780A28" w:rsidRDefault="001867D7">
      <w:pPr>
        <w:spacing w:after="0" w:line="240" w:lineRule="auto"/>
        <w:ind w:left="5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Această excludere nu se aplică acțiunilor întreprinse în cadrul acestei măsuri în insta</w:t>
      </w:r>
      <w:r>
        <w:rPr>
          <w:rFonts w:ascii="Times New Roman" w:hAnsi="Times New Roman"/>
          <w:sz w:val="20"/>
          <w:szCs w:val="20"/>
        </w:rPr>
        <w:t>lațiile dedicate exclusiv tratării deșeurilor periculoase nereciclabile și instalațiilor existente, în cazul în care acțiunile din cadrul acestei măsuri vizează creșterea eficienței energetice, captarea gazelor de evacuare pentru depozitare sau utilizare s</w:t>
      </w:r>
      <w:r>
        <w:rPr>
          <w:rFonts w:ascii="Times New Roman" w:hAnsi="Times New Roman"/>
          <w:sz w:val="20"/>
          <w:szCs w:val="20"/>
        </w:rPr>
        <w:t>au recuperarea materialelor din cenușa de incinerare, cu condiția ca astfel de acțiuni din cadrul acestei măsuri să nu conducă la o creștere a capacității de prelucrare a deșeurilor a instalațiilor sau la o prelungire a duratei de viață a instalațiilor; pe</w:t>
      </w:r>
      <w:r>
        <w:rPr>
          <w:rFonts w:ascii="Times New Roman" w:hAnsi="Times New Roman"/>
          <w:sz w:val="20"/>
          <w:szCs w:val="20"/>
        </w:rPr>
        <w:t>ntru care se furnizează dovezi la nivel de uzină.</w:t>
      </w:r>
    </w:p>
  </w:footnote>
  <w:footnote w:id="25">
    <w:p w:rsidR="00780A28" w:rsidRDefault="001867D7">
      <w:pPr>
        <w:pStyle w:val="FootnoteText"/>
        <w:ind w:left="57" w:firstLine="0"/>
      </w:pPr>
      <w:r>
        <w:rPr>
          <w:rStyle w:val="FootnoteReference"/>
        </w:rPr>
        <w:footnoteRef/>
      </w:r>
      <w:r>
        <w:t xml:space="preserve"> Această excludere nu se aplică acțiunilor întreprinse în cadrul acestei măsuri în stațiile de tratare mecano-biologică existente, în cazul în care acțiunile din cadrul acestei măsuri vizează creșterea efi</w:t>
      </w:r>
      <w:r>
        <w:t>cienței energetice sau readaptarea la operațiunile de reciclare a deșeurilor separate pentru compostarea deșeurilor biologice și a digestiei anaerobe a deșeurilor biologice, cu condiția ca astfel de acțiuni din cadrul acestei măsuri să nu conducă la o creș</w:t>
      </w:r>
      <w:r>
        <w:t>tere a capacității de prelucrare a deșeurilor a instalațiilor sau la o prelungire a duratei de viață a instalațiilor; pentru care se furnizează dovezi la nivel de uzină.</w:t>
      </w:r>
    </w:p>
  </w:footnote>
  <w:footnote w:id="26">
    <w:p w:rsidR="00780A28" w:rsidRDefault="001867D7">
      <w:pPr>
        <w:pStyle w:val="FootnoteText"/>
        <w:ind w:left="0" w:firstLine="0"/>
      </w:pPr>
      <w:r>
        <w:rPr>
          <w:rStyle w:val="FootnoteReference"/>
        </w:rPr>
        <w:footnoteRef/>
      </w:r>
      <w:r>
        <w:t xml:space="preserve"> Cu excepția proiectelor din cadrul acestei măsuri privind generarea de energie elect</w:t>
      </w:r>
      <w:r>
        <w:t>rică și/sau termică, precum și infrastructura aferentă de transport și distribuție, care utilizează gaze naturale, care respectă condițiile stabilite în anexa III la Orientările tehnice bazate pe principiul de „a nu aduce prejudicii semnificative” (2021/C5</w:t>
      </w:r>
      <w:r>
        <w:t>8/01).</w:t>
      </w:r>
    </w:p>
  </w:footnote>
  <w:footnote w:id="27">
    <w:p w:rsidR="00780A28" w:rsidRDefault="001867D7">
      <w:pPr>
        <w:pStyle w:val="FootnoteText"/>
        <w:ind w:left="0" w:firstLine="0"/>
      </w:pPr>
      <w:r>
        <w:rPr>
          <w:rStyle w:val="FootnoteReference"/>
        </w:rPr>
        <w:footnoteRef/>
      </w:r>
      <w:r>
        <w:t xml:space="preserve"> În cazul în care activitatea sprijinită generează emisii de gaze cu efect de seră preconizate care nu sunt semnificativ mai scăzute decât valorile de referință relevante, ar trebui furnizată o explicație a motivelor pentru care acest lucru nu este</w:t>
      </w:r>
      <w:r>
        <w:t xml:space="preserve"> posibil. Valorile de referință stabilite pentru alocarea cu titlu gratuit pentru activitățile care intră în domeniul de aplicare al schemei de comercializare a certificatelor de emisii, astfel cum se prevede în regulamentul de punere în aplicare (UE) 2021</w:t>
      </w:r>
      <w:r>
        <w:t>/447 al Comisiei.</w:t>
      </w:r>
    </w:p>
  </w:footnote>
  <w:footnote w:id="28">
    <w:p w:rsidR="00780A28" w:rsidRDefault="001867D7">
      <w:pPr>
        <w:spacing w:after="0" w:line="240" w:lineRule="auto"/>
        <w:jc w:val="both"/>
      </w:pPr>
      <w:r>
        <w:rPr>
          <w:rStyle w:val="FootnoteReference"/>
          <w:rFonts w:ascii="Times New Roman" w:hAnsi="Times New Roman" w:cs="Times New Roman"/>
          <w:sz w:val="20"/>
          <w:szCs w:val="20"/>
        </w:rPr>
        <w:footnoteRef/>
      </w:r>
      <w:r>
        <w:rPr>
          <w:rFonts w:ascii="Times New Roman" w:hAnsi="Times New Roman"/>
          <w:sz w:val="20"/>
          <w:szCs w:val="20"/>
        </w:rPr>
        <w:t xml:space="preserve">Această excludere nu se aplică acțiunilor întreprinse în cadrul acestei măsuri în instalațiile dedicate exclusiv tratării deșeurilor periculoase nereciclabile și instalațiilor existente, în cazul în care acțiunile din cadrul acestei </w:t>
      </w:r>
      <w:r>
        <w:rPr>
          <w:rFonts w:ascii="Times New Roman" w:hAnsi="Times New Roman"/>
          <w:sz w:val="20"/>
          <w:szCs w:val="20"/>
        </w:rPr>
        <w:t>măsuri vizează creșterea eficienței energetice, captarea gazelor de evacuare pentru depozitare sau utilizare sau recuperarea materialelor din cenușa de incinerare, cu condiția ca astfel de acțiuni din cadrul acestei măsuri să nu conducă la o creștere a cap</w:t>
      </w:r>
      <w:r>
        <w:rPr>
          <w:rFonts w:ascii="Times New Roman" w:hAnsi="Times New Roman"/>
          <w:sz w:val="20"/>
          <w:szCs w:val="20"/>
        </w:rPr>
        <w:t>acității de prelucrare a deșeurilor a instalațiilor sau la o prelungire a duratei de viață a instalațiilor; pentru care se furnizează dovezi la nivel de uzină.</w:t>
      </w:r>
    </w:p>
  </w:footnote>
  <w:footnote w:id="29">
    <w:p w:rsidR="00780A28" w:rsidRDefault="001867D7">
      <w:pPr>
        <w:pStyle w:val="FootnoteText"/>
        <w:ind w:left="0" w:firstLine="0"/>
      </w:pPr>
      <w:r>
        <w:rPr>
          <w:rStyle w:val="FootnoteReference"/>
        </w:rPr>
        <w:footnoteRef/>
      </w:r>
      <w:r>
        <w:t xml:space="preserve"> Această excludere nu se aplică acțiunilor întreprinse în cadrul acestei măsuri în stațiile de </w:t>
      </w:r>
      <w:r>
        <w:t>tratare mecano-biologică existente, în cazul în care acțiunile din cadrul acestei măsuri vizează creșterea eficienței energetice sau readaptarea la operațiunile de reciclare a deșeurilor separate pentru compostarea deșeurilor biologice și a digestiei anaer</w:t>
      </w:r>
      <w:r>
        <w:t>obe a deșeurilor biologice, cu condiția ca astfel de acțiuni din cadrul acestei măsuri să nu conducă la o creștere a capacității de prelucrare a deșeurilor a instalațiilor sau la o prelungire a duratei de viață a instalațiilor; pentru care se furnizează do</w:t>
      </w:r>
      <w:r>
        <w:t>vezi la nivel de uzină.</w:t>
      </w:r>
    </w:p>
  </w:footnote>
  <w:footnote w:id="30">
    <w:p w:rsidR="00780A28" w:rsidRDefault="001867D7">
      <w:pPr>
        <w:pStyle w:val="FootnoteText"/>
        <w:ind w:left="0" w:firstLine="0"/>
      </w:pPr>
      <w:r>
        <w:rPr>
          <w:rStyle w:val="FootnoteReference"/>
        </w:rPr>
        <w:footnoteRef/>
      </w:r>
      <w:r>
        <w:t xml:space="preserve"> Cu excepția proiectelor din cadrul acestei măsuri privind generarea de energie electrică și/sau termică, precum și infrastructura aferentă de transport și distribuție, care utilizează gaze naturale, care respectă condițiile stabil</w:t>
      </w:r>
      <w:r>
        <w:t>ite în anexa III la Orientările tehnice bazate pe principiul de „a nu aduce prejudicii semnificative” (2021/C58/01).</w:t>
      </w:r>
    </w:p>
  </w:footnote>
  <w:footnote w:id="31">
    <w:p w:rsidR="00780A28" w:rsidRDefault="001867D7">
      <w:pPr>
        <w:pStyle w:val="FootnoteText"/>
        <w:ind w:left="0" w:firstLine="0"/>
      </w:pPr>
      <w:r>
        <w:rPr>
          <w:rStyle w:val="FootnoteReference"/>
        </w:rPr>
        <w:footnoteRef/>
      </w:r>
      <w:r>
        <w:t xml:space="preserve"> În cazul în care activitatea sprijinită generează emisii de gaze cu efect de seră preconizate care nu sunt semnificativ mai scăzute decât</w:t>
      </w:r>
      <w:r>
        <w:t xml:space="preserve"> valorile de referință relevante, ar trebui furnizată o explicație a motivelor pentru care acest lucru nu este posibil. Valorile de referință stabilite pentru alocarea cu titlu gratuit pentru activitățile care intră în domeniul de aplicare al schemei de co</w:t>
      </w:r>
      <w:r>
        <w:t>mercializare a certificatelor de emisii, astfel cum se prevede în regulamentul de punere în aplicare (UE) 2021/447 al Comisiei.</w:t>
      </w:r>
    </w:p>
  </w:footnote>
  <w:footnote w:id="32">
    <w:p w:rsidR="00780A28" w:rsidRDefault="001867D7">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Această excludere nu se aplică acțiunilor întreprinse în cadrul acestei măsuri în instalațiile dedicate exclusiv tratării </w:t>
      </w:r>
      <w:r>
        <w:rPr>
          <w:rFonts w:ascii="Times New Roman" w:hAnsi="Times New Roman"/>
          <w:sz w:val="20"/>
          <w:szCs w:val="20"/>
        </w:rPr>
        <w:t>deșeurilor periculoase nereciclabile și instalațiilor existente, în cazul în care acțiunile din cadrul acestei măsuri vizează creșterea eficienței energetice, captarea gazelor de evacuare pentru depozitare sau utilizare sau recuperarea materialelor din cen</w:t>
      </w:r>
      <w:r>
        <w:rPr>
          <w:rFonts w:ascii="Times New Roman" w:hAnsi="Times New Roman"/>
          <w:sz w:val="20"/>
          <w:szCs w:val="20"/>
        </w:rPr>
        <w:t>ușa de incinerare, cu condiția ca astfel de acțiuni din cadrul acestei măsuri să nu conducă la o creștere a capacității de prelucrare a deșeurilor a instalațiilor sau la o prelungire a duratei de viață a instalațiilor; pentru care se furnizează dovezi la n</w:t>
      </w:r>
      <w:r>
        <w:rPr>
          <w:rFonts w:ascii="Times New Roman" w:hAnsi="Times New Roman"/>
          <w:sz w:val="20"/>
          <w:szCs w:val="20"/>
        </w:rPr>
        <w:t>ivel de uzină.</w:t>
      </w:r>
    </w:p>
  </w:footnote>
  <w:footnote w:id="33">
    <w:p w:rsidR="00780A28" w:rsidRDefault="001867D7">
      <w:pPr>
        <w:pStyle w:val="FootnoteText"/>
        <w:ind w:left="0" w:firstLine="0"/>
      </w:pPr>
      <w:r>
        <w:rPr>
          <w:rStyle w:val="FootnoteReference"/>
        </w:rPr>
        <w:footnoteRef/>
      </w:r>
      <w:r>
        <w:t xml:space="preserve"> Această excludere nu se aplică acțiunilor întreprinse în cadrul acestei măsuri în stațiile de tratare mecano-biologică existente, în cazul în care acțiunile din cadrul acestei măsuri vizează creșterea eficienței energetice sau readaptarea </w:t>
      </w:r>
      <w:r>
        <w:t xml:space="preserve">la operațiunile de reciclare a deșeurilor separate pentru compostarea deșeurilor biologice și a digestiei anaerobe a deșeurilor biologice, cu condiția ca astfel de acțiuni din cadrul acestei măsuri să nu conducă la o creștere a capacității de prelucrare a </w:t>
      </w:r>
      <w:r>
        <w:t>deșeurilor a instalațiilor sau la o prelungire a duratei de viață a instalațiilor; pentru care se furnizează dovezi la nivel de uzină.</w:t>
      </w:r>
    </w:p>
  </w:footnote>
  <w:footnote w:id="34">
    <w:p w:rsidR="00780A28" w:rsidRDefault="001867D7">
      <w:pPr>
        <w:pStyle w:val="FootnoteText"/>
        <w:ind w:left="0" w:firstLine="0"/>
        <w:rPr>
          <w:rStyle w:val="FootnoteReference"/>
          <w:vertAlign w:val="baseline"/>
        </w:rPr>
      </w:pPr>
      <w:r>
        <w:rPr>
          <w:rStyle w:val="FootnoteReference"/>
        </w:rPr>
        <w:footnoteRef/>
      </w:r>
      <w:r>
        <w:rPr>
          <w:rStyle w:val="FootnoteReference"/>
        </w:rPr>
        <w:t xml:space="preserve"> </w:t>
      </w:r>
      <w:r>
        <w:rPr>
          <w:rStyle w:val="FootnoteReference"/>
          <w:vertAlign w:val="baseline"/>
        </w:rPr>
        <w:t>Cu excepția proiectelor din cadrul acestei măsuri privind generarea de energie electrică și/sau termică, precum și infr</w:t>
      </w:r>
      <w:r>
        <w:rPr>
          <w:rStyle w:val="FootnoteReference"/>
          <w:vertAlign w:val="baseline"/>
        </w:rPr>
        <w:t>astructura aferentă de transport și distribuție, care utilizează gaze naturale, care respectă condițiile stabilite în anexa III la Orientările tehnice „Fără prejudicii semnificative” (2021/C58/01).</w:t>
      </w:r>
    </w:p>
  </w:footnote>
  <w:footnote w:id="35">
    <w:p w:rsidR="00780A28" w:rsidRDefault="001867D7">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În cazul în care activitatea sprijinită generează emisii</w:t>
      </w:r>
      <w:r>
        <w:rPr>
          <w:rStyle w:val="FootnoteReference"/>
          <w:vertAlign w:val="baseline"/>
        </w:rPr>
        <w:t xml:space="preserve"> de gaze cu efect de seră preconizate care nu sunt semnificativ mai scăzute decât valorile de referință relevante, ar trebui furnizată o explicație a motivelor pentru care acest lucru nu este posibil. Valorile de referință stabilite pentru alocarea cu titl</w:t>
      </w:r>
      <w:r>
        <w:rPr>
          <w:rStyle w:val="FootnoteReference"/>
          <w:vertAlign w:val="baseline"/>
        </w:rPr>
        <w:t>u gratuit pentru activitățile care intră în domeniul de aplicare al schemei de comercializare a certificatelor de emisii, astfel cum se prevede în regulamentul de punere în aplicare (UE) 2021/447 al Comisiei.</w:t>
      </w:r>
    </w:p>
  </w:footnote>
  <w:footnote w:id="36">
    <w:p w:rsidR="00780A28" w:rsidRDefault="001867D7">
      <w:pPr>
        <w:pStyle w:val="FootnoteText"/>
        <w:ind w:left="0" w:firstLine="0"/>
        <w:rPr>
          <w:rStyle w:val="FootnoteReference"/>
        </w:rPr>
      </w:pPr>
      <w:r>
        <w:rPr>
          <w:rStyle w:val="FootnoteReference"/>
        </w:rPr>
        <w:footnoteRef/>
      </w:r>
      <w:r>
        <w:rPr>
          <w:rStyle w:val="FootnoteReference"/>
        </w:rPr>
        <w:t xml:space="preserve"> </w:t>
      </w:r>
      <w:r>
        <w:rPr>
          <w:rStyle w:val="FootnoteReference"/>
          <w:vertAlign w:val="baseline"/>
        </w:rPr>
        <w:t>Această excludere nu se aplică acțiunilor înt</w:t>
      </w:r>
      <w:r>
        <w:rPr>
          <w:rStyle w:val="FootnoteReference"/>
          <w:vertAlign w:val="baseline"/>
        </w:rPr>
        <w:t xml:space="preserve">reprinse în cadrul acestei măsuri în instalațiile dedicate exclusiv tratării deșeurilor periculoase nereciclabile și instalațiilor existente, în cazul în care acțiunile din cadrul acestei măsuri vizează creșterea eficienței energetice, captarea gazelor de </w:t>
      </w:r>
      <w:r>
        <w:rPr>
          <w:rStyle w:val="FootnoteReference"/>
          <w:vertAlign w:val="baseline"/>
        </w:rPr>
        <w:t>evacuare pentru depozitare sau utilizare sau recuperarea materialelor din cenușa de incinerare, cu condiția ca astfel de acțiuni din cadrul acestei măsuri să nu conducă la o creștere a capacității de prelucrare a deșeurilor a instalațiilor sau la o prelung</w:t>
      </w:r>
      <w:r>
        <w:rPr>
          <w:rStyle w:val="FootnoteReference"/>
          <w:vertAlign w:val="baseline"/>
        </w:rPr>
        <w:t>ire a duratei de viață a instalațiilor; pentru care se furnizează dovezi la nivel de uzină.</w:t>
      </w:r>
    </w:p>
  </w:footnote>
  <w:footnote w:id="37">
    <w:p w:rsidR="00780A28" w:rsidRDefault="001867D7">
      <w:pPr>
        <w:pStyle w:val="FootnoteText"/>
        <w:ind w:left="0" w:firstLine="0"/>
      </w:pPr>
      <w:r>
        <w:rPr>
          <w:rStyle w:val="FootnoteReference"/>
        </w:rPr>
        <w:footnoteRef/>
      </w:r>
      <w:r>
        <w:rPr>
          <w:rStyle w:val="FootnoteReference"/>
        </w:rPr>
        <w:t xml:space="preserve"> </w:t>
      </w:r>
      <w:r>
        <w:rPr>
          <w:rStyle w:val="FootnoteReference"/>
          <w:vertAlign w:val="baseline"/>
        </w:rPr>
        <w:t>Această excludere nu se aplică acțiunilor întreprinse în cadrul acestei măsuri în stațiile de tratare mecano-biologică existente, în cazul în care acțiunile din c</w:t>
      </w:r>
      <w:r>
        <w:rPr>
          <w:rStyle w:val="FootnoteReference"/>
          <w:vertAlign w:val="baseline"/>
        </w:rPr>
        <w:t>adrul acestei măsuri vizează creșterea eficienței energetice sau readaptarea la operațiunile de reciclare a deșeurilor separate pentru compostarea deșeurilor biologice și a digestiei anaerobe a deșeurilor biologice, cu condiția ca astfel de acțiuni din cad</w:t>
      </w:r>
      <w:r>
        <w:rPr>
          <w:rStyle w:val="FootnoteReference"/>
          <w:vertAlign w:val="baseline"/>
        </w:rPr>
        <w:t>rul acestei măsuri să nu conducă la o creștere a capacității de prelucrare a deșeurilor a instalațiilor sau la o prelungire a duratei de viață a instalațiilor; pentru care se furnizează dovezi la nivel de uzină.</w:t>
      </w:r>
    </w:p>
  </w:footnote>
  <w:footnote w:id="38">
    <w:p w:rsidR="00780A28" w:rsidRDefault="001867D7">
      <w:pPr>
        <w:pStyle w:val="FootnoteText"/>
        <w:ind w:left="0" w:firstLine="0"/>
      </w:pPr>
      <w:r>
        <w:rPr>
          <w:rStyle w:val="FootnoteReference"/>
        </w:rPr>
        <w:footnoteRef/>
      </w:r>
      <w:r>
        <w:t xml:space="preserve"> Cu excepția proiectelor din cadrul acestei</w:t>
      </w:r>
      <w:r>
        <w:t xml:space="preserve"> măsuri privind generarea de energie electrică și/sau termică, precum și infrastructura aferentă de transport și distribuție, care utilizează gaze naturale, care respectă condițiile stabilite în anexa III la Orientările tehnice bazate pe principiul de „a n</w:t>
      </w:r>
      <w:r>
        <w:t>u aduce prejudicii semnificative” (2021/C58/01).</w:t>
      </w:r>
    </w:p>
  </w:footnote>
  <w:footnote w:id="39">
    <w:p w:rsidR="00780A28" w:rsidRDefault="001867D7">
      <w:pPr>
        <w:pStyle w:val="FootnoteText"/>
        <w:ind w:left="0" w:firstLine="0"/>
      </w:pPr>
      <w:r>
        <w:rPr>
          <w:rStyle w:val="FootnoteReference"/>
        </w:rPr>
        <w:footnoteRef/>
      </w:r>
      <w:r>
        <w:t xml:space="preserve"> În cazul în care activitatea sprijinită generează emisii de gaze cu efect de seră preconizate care nu sunt semnificativ mai scăzute decât valorile de referință relevante, ar trebui furnizată o explicație a</w:t>
      </w:r>
      <w:r>
        <w:t xml:space="preserve"> motivelor pentru care acest lucru nu este posibil. Valorile de referință stabilite pentru alocarea cu titlu gratuit pentru activitățile care intră în domeniul de aplicare al schemei de comercializare a certificatelor de emisii, astfel cum se prevede în re</w:t>
      </w:r>
      <w:r>
        <w:t>gulamentul de punere în aplicare (UE) 2021/447 al Comisiei.</w:t>
      </w:r>
    </w:p>
  </w:footnote>
  <w:footnote w:id="40">
    <w:p w:rsidR="00780A28" w:rsidRDefault="001867D7">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Această excludere nu se aplică acțiunilor întreprinse în cadrul acestei măsuri în instalațiile dedicate exclusiv tratării deșeurilor periculoase nereciclabile și instalațiilor existente, în cazul</w:t>
      </w:r>
      <w:r>
        <w:rPr>
          <w:rFonts w:ascii="Times New Roman" w:hAnsi="Times New Roman"/>
          <w:sz w:val="20"/>
          <w:szCs w:val="20"/>
        </w:rPr>
        <w:t xml:space="preserve"> în care acțiunile din cadrul acestei măsuri vizează creșterea eficienței energetice, captarea gazelor de evacuare pentru depozitare sau utilizare sau recuperarea materialelor din cenușa de incinerare, cu condiția ca astfel de acțiuni din cadrul acestei mă</w:t>
      </w:r>
      <w:r>
        <w:rPr>
          <w:rFonts w:ascii="Times New Roman" w:hAnsi="Times New Roman"/>
          <w:sz w:val="20"/>
          <w:szCs w:val="20"/>
        </w:rPr>
        <w:t>suri să nu conducă la o creștere a capacității de prelucrare a deșeurilor a instalațiilor sau la o prelungire a duratei de viață a instalațiilor; pentru care se furnizează dovezi la nivel de uzină.</w:t>
      </w:r>
    </w:p>
  </w:footnote>
  <w:footnote w:id="41">
    <w:p w:rsidR="00780A28" w:rsidRDefault="001867D7">
      <w:pPr>
        <w:pStyle w:val="FootnoteText"/>
        <w:ind w:left="0" w:firstLine="0"/>
      </w:pPr>
      <w:r>
        <w:rPr>
          <w:rStyle w:val="FootnoteReference"/>
        </w:rPr>
        <w:footnoteRef/>
      </w:r>
      <w:r>
        <w:t xml:space="preserve"> Această excludere nu se aplică acțiunilor întreprinse în</w:t>
      </w:r>
      <w:r>
        <w:t xml:space="preserve"> cadrul acestei măsuri în stațiile de tratare mecano-biologică existente, în cazul în care acțiunile din cadrul acestei măsuri vizează creșterea eficienței energetice sau readaptarea la operațiunile de reciclare a deșeurilor separate pentru compostarea deș</w:t>
      </w:r>
      <w:r>
        <w:t>eurilor biologice și a digestiei anaerobe a deșeurilor biologice, cu condiția ca astfel de acțiuni din cadrul acestei măsuri să nu conducă la o creștere a capacității de prelucrare a deșeurilor a instalațiilor sau la o prelungire a duratei de viață a insta</w:t>
      </w:r>
      <w:r>
        <w:t>lațiilor; pentru care se furnizează dovezi la nivel de uzină.</w:t>
      </w:r>
    </w:p>
  </w:footnote>
  <w:footnote w:id="42">
    <w:p w:rsidR="00780A28" w:rsidRDefault="001867D7">
      <w:pPr>
        <w:pStyle w:val="FootnoteText"/>
        <w:ind w:left="0" w:firstLine="0"/>
      </w:pPr>
      <w:r>
        <w:rPr>
          <w:rStyle w:val="FootnoteReference"/>
        </w:rPr>
        <w:footnoteRef/>
      </w:r>
      <w:r>
        <w:t xml:space="preserve"> Cu excepția proiectelor din cadrul acestei măsuri privind generarea de energie electrică și/sau termică, precum și infrastructura aferentă de transport și distribuție, care utilizează gaze nat</w:t>
      </w:r>
      <w:r>
        <w:t>urale, care respectă condițiile stabilite în anexa III la Orientările tehnice bazate pe principiul de „a nu aduce prejudicii semnificative” (2021/C58/01).</w:t>
      </w:r>
    </w:p>
  </w:footnote>
  <w:footnote w:id="43">
    <w:p w:rsidR="00780A28" w:rsidRDefault="001867D7">
      <w:pPr>
        <w:pStyle w:val="FootnoteText"/>
        <w:ind w:left="0" w:firstLine="0"/>
      </w:pPr>
      <w:r>
        <w:rPr>
          <w:rStyle w:val="FootnoteReference"/>
        </w:rPr>
        <w:footnoteRef/>
      </w:r>
      <w:r>
        <w:t xml:space="preserve"> În cazul în care activitatea sprijinită generează emisii de gaze cu efect de seră preconizate care </w:t>
      </w:r>
      <w:r>
        <w:t>nu sunt semnificativ mai scăzute decât valorile de referință relevante, ar trebui furnizată o explicație a motivelor pentru care acest lucru nu este posibil. Valorile de referință stabilite pentru alocarea cu titlu gratuit pentru activitățile care intră în</w:t>
      </w:r>
      <w:r>
        <w:t xml:space="preserve"> domeniul de aplicare al schemei de comercializare a certificatelor de emisii, astfel cum se prevede în regulamentul de punere în aplicare (UE) 2021/447 al Comisiei.</w:t>
      </w:r>
    </w:p>
  </w:footnote>
  <w:footnote w:id="44">
    <w:p w:rsidR="00780A28" w:rsidRDefault="001867D7">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Această excludere nu se aplică acțiunilor întreprinse în cadrul acestei măsuri în instala</w:t>
      </w:r>
      <w:r>
        <w:rPr>
          <w:rFonts w:ascii="Times New Roman" w:hAnsi="Times New Roman"/>
          <w:sz w:val="20"/>
          <w:szCs w:val="20"/>
        </w:rPr>
        <w:t>ț</w:t>
      </w:r>
      <w:r>
        <w:rPr>
          <w:rFonts w:ascii="Times New Roman" w:hAnsi="Times New Roman"/>
          <w:sz w:val="20"/>
          <w:szCs w:val="20"/>
        </w:rPr>
        <w:t>iile dedicate exclusiv tratării deșeurilor periculoase nereciclabile și instalațiilor existente, în cazul în care acțiunile din cadrul acestei măsuri vizează creșterea eficienței energetice, captarea gazelor de evacuare pentru depozitare sau utilizare sau</w:t>
      </w:r>
      <w:r>
        <w:rPr>
          <w:rFonts w:ascii="Times New Roman" w:hAnsi="Times New Roman"/>
          <w:sz w:val="20"/>
          <w:szCs w:val="20"/>
        </w:rPr>
        <w:t xml:space="preserve"> recuperarea materialelor din cenușa de incinerare, cu condiția ca astfel de acțiuni din cadrul acestei măsuri să nu conducă la o creștere a capacității de prelucrare a deșeurilor a instalațiilor sau la o prelungire a duratei de viață a instalațiilor; pent</w:t>
      </w:r>
      <w:r>
        <w:rPr>
          <w:rFonts w:ascii="Times New Roman" w:hAnsi="Times New Roman"/>
          <w:sz w:val="20"/>
          <w:szCs w:val="20"/>
        </w:rPr>
        <w:t>ru care se furnizează dovezi la nivel de uzină.</w:t>
      </w:r>
    </w:p>
  </w:footnote>
  <w:footnote w:id="45">
    <w:p w:rsidR="00780A28" w:rsidRDefault="001867D7">
      <w:pPr>
        <w:pStyle w:val="FootnoteText"/>
        <w:ind w:left="0" w:firstLine="0"/>
      </w:pPr>
      <w:r>
        <w:rPr>
          <w:rStyle w:val="FootnoteReference"/>
        </w:rPr>
        <w:footnoteRef/>
      </w:r>
      <w:r>
        <w:t xml:space="preserve"> Această excludere nu se aplică acțiunilor întreprinse în cadrul acestei măsuri în stațiile de tratare mecano-biologică existente, în cazul în care acțiunile din cadrul acestei măsuri vizează creșterea efici</w:t>
      </w:r>
      <w:r>
        <w:t>enței energetice sau readaptarea la operațiunile de reciclare a deșeurilor separate pentru compostarea deșeurilor biologice și a digestiei anaerobe a deșeurilor biologice, cu condiția ca astfel de acțiuni din cadrul acestei măsuri să nu conducă la o crește</w:t>
      </w:r>
      <w:r>
        <w:t>re a capacității de prelucrare a deșeurilor a instalațiilor sau la o prelungire a duratei de viață a instalațiilor; pentru care se furnizează dovezi la nivel de uzină.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D7" w:rsidRPr="001867D7" w:rsidRDefault="001867D7" w:rsidP="001867D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D7" w:rsidRPr="001867D7" w:rsidRDefault="001867D7" w:rsidP="001867D7">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D7" w:rsidRPr="001867D7" w:rsidRDefault="001867D7" w:rsidP="001867D7">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Landscape"/>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8" w:rsidRDefault="00780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21A28"/>
    <w:multiLevelType w:val="multilevel"/>
    <w:tmpl w:val="7174EE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2A22527"/>
    <w:multiLevelType w:val="multilevel"/>
    <w:tmpl w:val="F6327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64457B"/>
    <w:multiLevelType w:val="multilevel"/>
    <w:tmpl w:val="905ED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3E395C"/>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9B22FCB"/>
    <w:multiLevelType w:val="multilevel"/>
    <w:tmpl w:val="5A1C7E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DC866E5"/>
    <w:multiLevelType w:val="hybridMultilevel"/>
    <w:tmpl w:val="3EB8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175DC"/>
    <w:multiLevelType w:val="multilevel"/>
    <w:tmpl w:val="7FF44A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2EE5687"/>
    <w:multiLevelType w:val="multilevel"/>
    <w:tmpl w:val="A3A21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55D3EF1"/>
    <w:multiLevelType w:val="multilevel"/>
    <w:tmpl w:val="DBAE26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9921D6B"/>
    <w:multiLevelType w:val="multilevel"/>
    <w:tmpl w:val="9BAED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E64B66"/>
    <w:multiLevelType w:val="multilevel"/>
    <w:tmpl w:val="A90805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1F5C3451"/>
    <w:multiLevelType w:val="hybridMultilevel"/>
    <w:tmpl w:val="54EC4DF6"/>
    <w:lvl w:ilvl="0" w:tplc="69D45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01921A2"/>
    <w:multiLevelType w:val="hybridMultilevel"/>
    <w:tmpl w:val="FCE8F21E"/>
    <w:lvl w:ilvl="0" w:tplc="143EE164">
      <w:start w:val="1"/>
      <w:numFmt w:val="lowerRoman"/>
      <w:lvlText w:val="(%1)"/>
      <w:lvlJc w:val="left"/>
      <w:pPr>
        <w:ind w:left="772" w:hanging="720"/>
      </w:pPr>
      <w:rPr>
        <w:rFonts w:hint="default"/>
        <w:color w:val="006100"/>
        <w:sz w:val="18"/>
        <w:szCs w:val="18"/>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18" w15:restartNumberingAfterBreak="0">
    <w:nsid w:val="21F32B4A"/>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62737E"/>
    <w:multiLevelType w:val="hybridMultilevel"/>
    <w:tmpl w:val="6128C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D05BB1"/>
    <w:multiLevelType w:val="hybridMultilevel"/>
    <w:tmpl w:val="DF902C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2CD116E7"/>
    <w:multiLevelType w:val="multilevel"/>
    <w:tmpl w:val="C2607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300D3194"/>
    <w:multiLevelType w:val="multilevel"/>
    <w:tmpl w:val="8368A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20C2934"/>
    <w:multiLevelType w:val="hybridMultilevel"/>
    <w:tmpl w:val="DD9ADCD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37A0803"/>
    <w:multiLevelType w:val="hybridMultilevel"/>
    <w:tmpl w:val="7EDE79A4"/>
    <w:lvl w:ilvl="0" w:tplc="98E2A8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9203A5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3A800118"/>
    <w:multiLevelType w:val="hybridMultilevel"/>
    <w:tmpl w:val="B2C4AB5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400A7B18"/>
    <w:multiLevelType w:val="multilevel"/>
    <w:tmpl w:val="2DB03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016359"/>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15:restartNumberingAfterBreak="0">
    <w:nsid w:val="444248FB"/>
    <w:multiLevelType w:val="hybridMultilevel"/>
    <w:tmpl w:val="0B04F2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15:restartNumberingAfterBreak="0">
    <w:nsid w:val="46EE6E57"/>
    <w:multiLevelType w:val="hybridMultilevel"/>
    <w:tmpl w:val="9A38D79A"/>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7CE62D2"/>
    <w:multiLevelType w:val="hybridMultilevel"/>
    <w:tmpl w:val="89DE6B22"/>
    <w:lvl w:ilvl="0" w:tplc="A4B2B7E6">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4B054A94"/>
    <w:multiLevelType w:val="hybridMultilevel"/>
    <w:tmpl w:val="8F0E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E2717E"/>
    <w:multiLevelType w:val="hybridMultilevel"/>
    <w:tmpl w:val="4FB0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3B34F7"/>
    <w:multiLevelType w:val="multilevel"/>
    <w:tmpl w:val="50DED8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4F4F6024"/>
    <w:multiLevelType w:val="hybridMultilevel"/>
    <w:tmpl w:val="2B281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6B06BC"/>
    <w:multiLevelType w:val="hybridMultilevel"/>
    <w:tmpl w:val="DA9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2B6C49"/>
    <w:multiLevelType w:val="hybridMultilevel"/>
    <w:tmpl w:val="108AE942"/>
    <w:lvl w:ilvl="0" w:tplc="1616BC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5" w15:restartNumberingAfterBreak="0">
    <w:nsid w:val="5620612B"/>
    <w:multiLevelType w:val="hybridMultilevel"/>
    <w:tmpl w:val="4D4A8CA4"/>
    <w:lvl w:ilvl="0" w:tplc="7EB43C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59F422D7"/>
    <w:multiLevelType w:val="multilevel"/>
    <w:tmpl w:val="7618F6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15:restartNumberingAfterBreak="0">
    <w:nsid w:val="5C4F1CC4"/>
    <w:multiLevelType w:val="multilevel"/>
    <w:tmpl w:val="913C5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DCC1A5E"/>
    <w:multiLevelType w:val="multilevel"/>
    <w:tmpl w:val="64044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F1446F8"/>
    <w:multiLevelType w:val="hybridMultilevel"/>
    <w:tmpl w:val="CBCA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DA099C"/>
    <w:multiLevelType w:val="hybridMultilevel"/>
    <w:tmpl w:val="5F3E4828"/>
    <w:lvl w:ilvl="0" w:tplc="B0820C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63C42873"/>
    <w:multiLevelType w:val="multilevel"/>
    <w:tmpl w:val="1746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4A12FA4"/>
    <w:multiLevelType w:val="multilevel"/>
    <w:tmpl w:val="BC1C158C"/>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7" w15:restartNumberingAfterBreak="0">
    <w:nsid w:val="6D367641"/>
    <w:multiLevelType w:val="hybridMultilevel"/>
    <w:tmpl w:val="2B744C64"/>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6E184B22"/>
    <w:multiLevelType w:val="multilevel"/>
    <w:tmpl w:val="1A34B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F3B7FF3"/>
    <w:multiLevelType w:val="hybridMultilevel"/>
    <w:tmpl w:val="72DCE090"/>
    <w:lvl w:ilvl="0" w:tplc="A4B2B7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15:restartNumberingAfterBreak="0">
    <w:nsid w:val="6FD63E69"/>
    <w:multiLevelType w:val="hybridMultilevel"/>
    <w:tmpl w:val="9E722B94"/>
    <w:lvl w:ilvl="0" w:tplc="3014CE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15:restartNumberingAfterBreak="0">
    <w:nsid w:val="70140041"/>
    <w:multiLevelType w:val="multilevel"/>
    <w:tmpl w:val="817E2E62"/>
    <w:lvl w:ilvl="0">
      <w:start w:val="3"/>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62" w15:restartNumberingAfterBreak="0">
    <w:nsid w:val="72B72642"/>
    <w:multiLevelType w:val="multilevel"/>
    <w:tmpl w:val="24C884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752436E5"/>
    <w:multiLevelType w:val="hybridMultilevel"/>
    <w:tmpl w:val="650AC2E6"/>
    <w:lvl w:ilvl="0" w:tplc="080C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75C14FE6"/>
    <w:multiLevelType w:val="hybridMultilevel"/>
    <w:tmpl w:val="E848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D06977"/>
    <w:multiLevelType w:val="hybridMultilevel"/>
    <w:tmpl w:val="42E4798A"/>
    <w:lvl w:ilvl="0" w:tplc="991C3E1E">
      <w:start w:val="1"/>
      <w:numFmt w:val="bullet"/>
      <w:lvlText w:val="-"/>
      <w:lvlJc w:val="left"/>
      <w:pPr>
        <w:ind w:left="1080" w:hanging="720"/>
      </w:pPr>
      <w:rPr>
        <w:rFonts w:ascii="Calibri" w:hAnsi="Calibri" w:hint="default"/>
      </w:rPr>
    </w:lvl>
    <w:lvl w:ilvl="1" w:tplc="548ABFEE">
      <w:start w:val="1"/>
      <w:numFmt w:val="decimal"/>
      <w:lvlText w:val="%2."/>
      <w:lvlJc w:val="left"/>
      <w:pPr>
        <w:ind w:left="1440" w:hanging="360"/>
      </w:pPr>
      <w:rPr>
        <w:rFonts w:hint="default"/>
      </w:rPr>
    </w:lvl>
    <w:lvl w:ilvl="2" w:tplc="450EA25E">
      <w:start w:val="1"/>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6" w15:restartNumberingAfterBreak="0">
    <w:nsid w:val="7BF94956"/>
    <w:multiLevelType w:val="hybridMultilevel"/>
    <w:tmpl w:val="26F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8" w15:restartNumberingAfterBreak="0">
    <w:nsid w:val="7CD26665"/>
    <w:multiLevelType w:val="multilevel"/>
    <w:tmpl w:val="13DA1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F010CB7"/>
    <w:multiLevelType w:val="multilevel"/>
    <w:tmpl w:val="08ECA5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15:restartNumberingAfterBreak="0">
    <w:nsid w:val="7F332538"/>
    <w:multiLevelType w:val="multilevel"/>
    <w:tmpl w:val="209439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1" w15:restartNumberingAfterBreak="0">
    <w:nsid w:val="7F830756"/>
    <w:multiLevelType w:val="hybridMultilevel"/>
    <w:tmpl w:val="8A4CF84E"/>
    <w:lvl w:ilvl="0" w:tplc="F96681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32"/>
  </w:num>
  <w:num w:numId="3">
    <w:abstractNumId w:val="56"/>
  </w:num>
  <w:num w:numId="4">
    <w:abstractNumId w:val="24"/>
  </w:num>
  <w:num w:numId="5">
    <w:abstractNumId w:val="33"/>
  </w:num>
  <w:num w:numId="6">
    <w:abstractNumId w:val="19"/>
  </w:num>
  <w:num w:numId="7">
    <w:abstractNumId w:val="55"/>
  </w:num>
  <w:num w:numId="8">
    <w:abstractNumId w:val="15"/>
  </w:num>
  <w:num w:numId="9">
    <w:abstractNumId w:val="35"/>
  </w:num>
  <w:num w:numId="10">
    <w:abstractNumId w:val="47"/>
  </w:num>
  <w:num w:numId="11">
    <w:abstractNumId w:val="48"/>
  </w:num>
  <w:num w:numId="12">
    <w:abstractNumId w:val="21"/>
  </w:num>
  <w:num w:numId="13">
    <w:abstractNumId w:val="44"/>
  </w:num>
  <w:num w:numId="14">
    <w:abstractNumId w:val="67"/>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1"/>
  </w:num>
  <w:num w:numId="19">
    <w:abstractNumId w:val="0"/>
  </w:num>
  <w:num w:numId="20">
    <w:abstractNumId w:val="30"/>
  </w:num>
  <w:num w:numId="21">
    <w:abstractNumId w:val="54"/>
  </w:num>
  <w:num w:numId="22">
    <w:abstractNumId w:val="11"/>
  </w:num>
  <w:num w:numId="23">
    <w:abstractNumId w:val="61"/>
  </w:num>
  <w:num w:numId="24">
    <w:abstractNumId w:val="28"/>
  </w:num>
  <w:num w:numId="25">
    <w:abstractNumId w:val="23"/>
  </w:num>
  <w:num w:numId="26">
    <w:abstractNumId w:val="13"/>
  </w:num>
  <w:num w:numId="27">
    <w:abstractNumId w:val="41"/>
  </w:num>
  <w:num w:numId="28">
    <w:abstractNumId w:val="68"/>
  </w:num>
  <w:num w:numId="29">
    <w:abstractNumId w:val="5"/>
  </w:num>
  <w:num w:numId="30">
    <w:abstractNumId w:val="49"/>
  </w:num>
  <w:num w:numId="31">
    <w:abstractNumId w:val="25"/>
  </w:num>
  <w:num w:numId="32">
    <w:abstractNumId w:val="6"/>
  </w:num>
  <w:num w:numId="33">
    <w:abstractNumId w:val="51"/>
  </w:num>
  <w:num w:numId="34">
    <w:abstractNumId w:val="58"/>
  </w:num>
  <w:num w:numId="35">
    <w:abstractNumId w:val="4"/>
  </w:num>
  <w:num w:numId="36">
    <w:abstractNumId w:val="40"/>
  </w:num>
  <w:num w:numId="37">
    <w:abstractNumId w:val="14"/>
  </w:num>
  <w:num w:numId="38">
    <w:abstractNumId w:val="10"/>
  </w:num>
  <w:num w:numId="39">
    <w:abstractNumId w:val="70"/>
  </w:num>
  <w:num w:numId="40">
    <w:abstractNumId w:val="8"/>
  </w:num>
  <w:num w:numId="41">
    <w:abstractNumId w:val="12"/>
  </w:num>
  <w:num w:numId="42">
    <w:abstractNumId w:val="46"/>
  </w:num>
  <w:num w:numId="43">
    <w:abstractNumId w:val="69"/>
  </w:num>
  <w:num w:numId="44">
    <w:abstractNumId w:val="43"/>
  </w:num>
  <w:num w:numId="45">
    <w:abstractNumId w:val="38"/>
  </w:num>
  <w:num w:numId="46">
    <w:abstractNumId w:val="17"/>
  </w:num>
  <w:num w:numId="47">
    <w:abstractNumId w:val="42"/>
  </w:num>
  <w:num w:numId="48">
    <w:abstractNumId w:val="39"/>
  </w:num>
  <w:num w:numId="49">
    <w:abstractNumId w:val="66"/>
  </w:num>
  <w:num w:numId="50">
    <w:abstractNumId w:val="20"/>
  </w:num>
  <w:num w:numId="51">
    <w:abstractNumId w:val="64"/>
  </w:num>
  <w:num w:numId="52">
    <w:abstractNumId w:val="71"/>
  </w:num>
  <w:num w:numId="53">
    <w:abstractNumId w:val="9"/>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num>
  <w:num w:numId="58">
    <w:abstractNumId w:val="52"/>
  </w:num>
  <w:num w:numId="59">
    <w:abstractNumId w:val="27"/>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22"/>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num>
  <w:num w:numId="68">
    <w:abstractNumId w:val="37"/>
  </w:num>
  <w:num w:numId="69">
    <w:abstractNumId w:val="16"/>
  </w:num>
  <w:num w:numId="70">
    <w:abstractNumId w:val="18"/>
  </w:num>
  <w:num w:numId="71">
    <w:abstractNumId w:val="45"/>
  </w:num>
  <w:num w:numId="72">
    <w:abstractNumId w:val="7"/>
  </w:num>
  <w:num w:numId="73">
    <w:abstractNumId w:val="26"/>
  </w:num>
  <w:num w:numId="74">
    <w:abstractNumId w:val="31"/>
  </w:num>
  <w:num w:numId="75">
    <w:abstractNumId w:val="63"/>
  </w:num>
  <w:num w:numId="76">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it-IT" w:vendorID="64" w:dllVersion="131078" w:nlCheck="1" w:checkStyle="0"/>
  <w:revisionView w:markup="0"/>
  <w:doNotTrackMove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la"/>
    <w:docVar w:name="LW_ANNEX_NBR_FIRST" w:val="1"/>
    <w:docVar w:name="LW_ANNEX_NBR_LAST" w:val="1"/>
    <w:docVar w:name="LW_ANNEX_UNIQUE" w:val="1"/>
    <w:docVar w:name="LW_CORRIGENDUM" w:val="&lt;UNUSED&gt;"/>
    <w:docVar w:name="LW_COVERPAGE_EXISTS" w:val="True"/>
    <w:docVar w:name="LW_COVERPAGE_GUID" w:val="41271FB3-2FD0-495E-87DA-503E124583A3"/>
    <w:docVar w:name="LW_COVERPAGE_TYPE" w:val="1"/>
    <w:docVar w:name="LW_CROSSREFERENCE" w:val="{SWD(2021) 155 final}"/>
    <w:docVar w:name="LW_DocType" w:val="NORMAL"/>
    <w:docVar w:name="LW_EMISSION" w:val="17.6.2021"/>
    <w:docVar w:name="LW_EMISSION_ISODATE" w:val="2021-06-17"/>
    <w:docVar w:name="LW_EMISSION_LOCATION" w:val="BRX"/>
    <w:docVar w:name="LW_EMISSION_PREFIX" w:val="Bruxelles, "/>
    <w:docVar w:name="LW_EMISSION_SUFFIX" w:val=" "/>
    <w:docVar w:name="LW_ID_DOCTYPE_NONLW" w:val="CP-036"/>
    <w:docVar w:name="LW_LANGUE" w:val="RO"/>
    <w:docVar w:name="LW_LEVEL_OF_SENSITIVITY" w:val="Standard treatment"/>
    <w:docVar w:name="LW_NOM.INST" w:val="COMISIA EUROPEAN\u258?"/>
    <w:docVar w:name="LW_NOM.INST_JOINTDOC" w:val="&lt;EMPTY&gt;"/>
    <w:docVar w:name="LW_OBJETACTEPRINCIPAL.CP" w:val="&lt;FMT:Bold&gt;de&lt;/FMT&gt;&lt;FMT:Style_Marker,Bold&gt; &lt;/FMT&gt;&lt;FMT:Bold&gt;aprobare a evalu\u259?rii planului de redresare \u537?i rezilien\u539?\u259? al Greciei&lt;/FMT&gt;_x000d__x000b__x000d__x000b__x000d__x000d__x000b_"/>
    <w:docVar w:name="LW_PART_NBR" w:val="1"/>
    <w:docVar w:name="LW_PART_NBR_TOTAL" w:val="1"/>
    <w:docVar w:name="LW_REF.INST.NEW" w:val="COM"/>
    <w:docVar w:name="LW_REF.INST.NEW_ADOPTED" w:val="final"/>
    <w:docVar w:name="LW_REF.INST.NEW_TEXT" w:val="(2021) 3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u258?_x000b_"/>
    <w:docVar w:name="LW_TYPEACTEPRINCIPAL.CP" w:val="DECIZIA DE PUNERE ÎN APLICARE A CONSILIULUI"/>
    <w:docVar w:name="LwApiVersions" w:val="LW4CoDe 1.23.0.0; LW 8.0, Build 20210114"/>
  </w:docVars>
  <w:rsids>
    <w:rsidRoot w:val="00780A28"/>
    <w:rsid w:val="001867D7"/>
    <w:rsid w:val="00780A28"/>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9D66DCC-B852-449F-BA57-BBE9FD2B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yanmar Text"/>
        <w:lang w:val="ro-RO"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unhideWhenUsed/>
    <w:qFormat/>
    <w:pPr>
      <w:keepNext/>
      <w:numPr>
        <w:ilvl w:val="2"/>
        <w:numId w:val="7"/>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Text1"/>
    <w:next w:val="Text1"/>
    <w:link w:val="Heading4Char"/>
    <w:uiPriority w:val="9"/>
    <w:unhideWhenUsed/>
    <w:qFormat/>
    <w:pPr>
      <w:ind w:left="680" w:firstLine="6"/>
      <w:outlineLvl w:val="3"/>
    </w:pPr>
    <w:rPr>
      <w:b/>
      <w:bCs/>
    </w:rPr>
  </w:style>
  <w:style w:type="paragraph" w:styleId="Heading5">
    <w:name w:val="heading 5"/>
    <w:basedOn w:val="Normal"/>
    <w:next w:val="Normal"/>
    <w:link w:val="Heading5Char"/>
    <w:uiPriority w:val="9"/>
    <w:unhideWhenUsed/>
    <w:qFormat/>
    <w:pPr>
      <w:keepNext/>
      <w:keepLines/>
      <w:spacing w:before="40" w:after="0" w:line="240" w:lineRule="auto"/>
      <w:jc w:val="both"/>
      <w:outlineLvl w:val="4"/>
    </w:pPr>
    <w:rPr>
      <w:rFonts w:ascii="Cambria" w:eastAsia="Times New Roman" w:hAnsi="Cambria"/>
      <w:color w:val="365F9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rPr>
  </w:style>
  <w:style w:type="character" w:customStyle="1" w:styleId="Heading2Char">
    <w:name w:val="Heading 2 Char"/>
    <w:link w:val="Heading2"/>
    <w:uiPriority w:val="9"/>
    <w:rPr>
      <w:rFonts w:ascii="Times New Roman" w:eastAsia="Times New Roman" w:hAnsi="Times New Roman" w:cs="Times New Roman"/>
      <w:b/>
      <w:bCs/>
      <w:sz w:val="24"/>
      <w:szCs w:val="26"/>
    </w:rPr>
  </w:style>
  <w:style w:type="character" w:customStyle="1" w:styleId="Heading3Char">
    <w:name w:val="Heading 3 Char"/>
    <w:link w:val="Heading3"/>
    <w:uiPriority w:val="9"/>
    <w:rPr>
      <w:rFonts w:ascii="Times New Roman" w:eastAsia="Times New Roman" w:hAnsi="Times New Roman" w:cs="Times New Roman"/>
      <w:bCs/>
      <w:i/>
      <w:sz w:val="24"/>
    </w:rPr>
  </w:style>
  <w:style w:type="character" w:customStyle="1" w:styleId="Heading4Char">
    <w:name w:val="Heading 4 Char"/>
    <w:link w:val="Heading4"/>
    <w:uiPriority w:val="9"/>
    <w:rPr>
      <w:rFonts w:ascii="Times New Roman" w:hAnsi="Times New Roman" w:cs="Times New Roman"/>
      <w:b/>
      <w:bCs/>
      <w:sz w:val="24"/>
    </w:rPr>
  </w:style>
  <w:style w:type="character" w:customStyle="1" w:styleId="Heading5Char">
    <w:name w:val="Heading 5 Char"/>
    <w:link w:val="Heading5"/>
    <w:uiPriority w:val="9"/>
    <w:rPr>
      <w:rFonts w:ascii="Cambria" w:eastAsia="Times New Roman" w:hAnsi="Cambria" w:cs="Myanmar Text"/>
      <w:color w:val="365F91"/>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cs="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cs="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cs="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cs="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cs="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cs="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cs="Times New Roman"/>
      <w:sz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cs="Times New Roman"/>
      <w:sz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cs="Times New Roman"/>
      <w:sz w:val="24"/>
    </w:rPr>
  </w:style>
  <w:style w:type="paragraph" w:customStyle="1" w:styleId="NumPar1">
    <w:name w:val="NumPar 1"/>
    <w:basedOn w:val="Normal"/>
    <w:next w:val="Text1"/>
    <w:pPr>
      <w:numPr>
        <w:numId w:val="6"/>
      </w:numPr>
      <w:spacing w:before="120" w:after="120" w:line="240" w:lineRule="auto"/>
      <w:jc w:val="both"/>
    </w:pPr>
    <w:rPr>
      <w:rFonts w:ascii="Times New Roman" w:hAnsi="Times New Roman" w:cs="Times New Roman"/>
      <w:sz w:val="24"/>
    </w:rPr>
  </w:style>
  <w:style w:type="paragraph" w:customStyle="1" w:styleId="NumPar2">
    <w:name w:val="NumPar 2"/>
    <w:basedOn w:val="Normal"/>
    <w:next w:val="Text1"/>
    <w:pPr>
      <w:numPr>
        <w:ilvl w:val="1"/>
        <w:numId w:val="6"/>
      </w:numPr>
      <w:spacing w:before="120" w:after="120" w:line="240" w:lineRule="auto"/>
      <w:jc w:val="both"/>
    </w:pPr>
    <w:rPr>
      <w:rFonts w:ascii="Times New Roman" w:hAnsi="Times New Roman" w:cs="Times New Roman"/>
      <w:sz w:val="24"/>
    </w:rPr>
  </w:style>
  <w:style w:type="paragraph" w:customStyle="1" w:styleId="NumPar3">
    <w:name w:val="NumPar 3"/>
    <w:basedOn w:val="Normal"/>
    <w:next w:val="Text1"/>
    <w:pPr>
      <w:numPr>
        <w:ilvl w:val="2"/>
        <w:numId w:val="6"/>
      </w:numPr>
      <w:spacing w:before="120" w:after="120" w:line="240" w:lineRule="auto"/>
      <w:jc w:val="both"/>
    </w:pPr>
    <w:rPr>
      <w:rFonts w:ascii="Times New Roman" w:hAnsi="Times New Roman" w:cs="Times New Roman"/>
      <w:sz w:val="24"/>
    </w:rPr>
  </w:style>
  <w:style w:type="paragraph" w:customStyle="1" w:styleId="NumPar4">
    <w:name w:val="NumPar 4"/>
    <w:basedOn w:val="Normal"/>
    <w:next w:val="Text1"/>
    <w:pPr>
      <w:numPr>
        <w:ilvl w:val="3"/>
        <w:numId w:val="6"/>
      </w:numPr>
      <w:spacing w:before="120" w:after="120" w:line="240" w:lineRule="auto"/>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cs="Times New Roman"/>
      <w:b/>
      <w:sz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8"/>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8"/>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8"/>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8"/>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8"/>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8"/>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8"/>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8"/>
      </w:numPr>
      <w:spacing w:before="120" w:after="120" w:line="240" w:lineRule="auto"/>
      <w:jc w:val="both"/>
    </w:pPr>
    <w:rPr>
      <w:rFonts w:ascii="Times New Roman" w:hAnsi="Times New Roman" w:cs="Times New Roman"/>
      <w:sz w:val="24"/>
    </w:rPr>
  </w:style>
  <w:style w:type="paragraph" w:customStyle="1" w:styleId="Bullet0">
    <w:name w:val="Bullet 0"/>
    <w:basedOn w:val="Normal"/>
    <w:pPr>
      <w:numPr>
        <w:numId w:val="9"/>
      </w:numPr>
      <w:spacing w:before="120" w:after="120" w:line="240" w:lineRule="auto"/>
      <w:jc w:val="both"/>
    </w:pPr>
    <w:rPr>
      <w:rFonts w:ascii="Times New Roman" w:hAnsi="Times New Roman" w:cs="Times New Roman"/>
      <w:sz w:val="24"/>
    </w:rPr>
  </w:style>
  <w:style w:type="paragraph" w:customStyle="1" w:styleId="Bullet1">
    <w:name w:val="Bullet 1"/>
    <w:basedOn w:val="Normal"/>
    <w:pPr>
      <w:numPr>
        <w:numId w:val="10"/>
      </w:numPr>
      <w:spacing w:before="120" w:after="120" w:line="240" w:lineRule="auto"/>
      <w:jc w:val="both"/>
    </w:pPr>
    <w:rPr>
      <w:rFonts w:ascii="Times New Roman" w:hAnsi="Times New Roman" w:cs="Times New Roman"/>
      <w:sz w:val="24"/>
    </w:rPr>
  </w:style>
  <w:style w:type="paragraph" w:customStyle="1" w:styleId="Bullet2">
    <w:name w:val="Bullet 2"/>
    <w:basedOn w:val="Normal"/>
    <w:pPr>
      <w:numPr>
        <w:numId w:val="11"/>
      </w:numPr>
      <w:spacing w:before="120" w:after="120" w:line="240" w:lineRule="auto"/>
      <w:jc w:val="both"/>
    </w:pPr>
    <w:rPr>
      <w:rFonts w:ascii="Times New Roman" w:hAnsi="Times New Roman" w:cs="Times New Roman"/>
      <w:sz w:val="24"/>
    </w:rPr>
  </w:style>
  <w:style w:type="paragraph" w:customStyle="1" w:styleId="Bullet3">
    <w:name w:val="Bullet 3"/>
    <w:basedOn w:val="Normal"/>
    <w:pPr>
      <w:numPr>
        <w:numId w:val="12"/>
      </w:numPr>
      <w:spacing w:before="120" w:after="120" w:line="240" w:lineRule="auto"/>
      <w:jc w:val="both"/>
    </w:pPr>
    <w:rPr>
      <w:rFonts w:ascii="Times New Roman" w:hAnsi="Times New Roman" w:cs="Times New Roman"/>
      <w:sz w:val="24"/>
    </w:rPr>
  </w:style>
  <w:style w:type="paragraph" w:customStyle="1" w:styleId="Bullet4">
    <w:name w:val="Bullet 4"/>
    <w:basedOn w:val="Normal"/>
    <w:pPr>
      <w:numPr>
        <w:numId w:val="13"/>
      </w:numPr>
      <w:spacing w:before="120" w:after="120" w:line="240" w:lineRule="auto"/>
      <w:jc w:val="both"/>
    </w:pPr>
    <w:rPr>
      <w:rFonts w:ascii="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cs="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cs="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cs="Times New Roman"/>
      <w:sz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Annexetitreexpos">
    <w:name w:val="Annexe titre (exposé)"/>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cs="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cs="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cs="Times New Roman"/>
      <w:i/>
      <w:sz w:val="32"/>
    </w:rPr>
  </w:style>
  <w:style w:type="paragraph" w:customStyle="1" w:styleId="Considrant">
    <w:name w:val="Considérant"/>
    <w:basedOn w:val="Normal"/>
    <w:pPr>
      <w:numPr>
        <w:numId w:val="14"/>
      </w:numPr>
      <w:spacing w:before="120" w:after="120" w:line="240" w:lineRule="auto"/>
      <w:jc w:val="both"/>
    </w:pPr>
    <w:rPr>
      <w:rFonts w:ascii="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hAnsi="Times New Roman" w:cs="Times New Roman"/>
      <w:sz w:val="24"/>
    </w:rPr>
  </w:style>
  <w:style w:type="paragraph" w:customStyle="1" w:styleId="Datedadoption">
    <w:name w:val="Date d'adoption"/>
    <w:basedOn w:val="Normal"/>
    <w:next w:val="IntrtEEE"/>
    <w:pPr>
      <w:spacing w:before="360" w:after="0" w:line="240" w:lineRule="auto"/>
      <w:jc w:val="center"/>
    </w:pPr>
    <w:rPr>
      <w:rFonts w:ascii="Times New Roman" w:hAnsi="Times New Roman" w:cs="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after="240" w:line="240" w:lineRule="auto"/>
      <w:jc w:val="center"/>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Typedudocument">
    <w:name w:val="Type du document"/>
    <w:basedOn w:val="Normal"/>
    <w:next w:val="Accompagnant"/>
    <w:pPr>
      <w:spacing w:before="360" w:after="180" w:line="240" w:lineRule="auto"/>
      <w:jc w:val="center"/>
    </w:pPr>
    <w:rPr>
      <w:rFonts w:ascii="Times New Roman" w:hAnsi="Times New Roman" w:cs="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after="240" w:line="240" w:lineRule="auto"/>
      <w:ind w:left="5103"/>
    </w:pPr>
    <w:rPr>
      <w:rFonts w:ascii="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line="240" w:lineRule="auto"/>
      <w:jc w:val="center"/>
    </w:pPr>
    <w:rPr>
      <w:rFonts w:ascii="Times New Roman" w:hAnsi="Times New Roman" w:cs="Times New Roman"/>
      <w:b/>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cs="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cs="Times New Roman"/>
      <w:sz w:val="24"/>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120" w:after="120" w:line="240" w:lineRule="auto"/>
      <w:jc w:val="both"/>
    </w:pPr>
    <w:rPr>
      <w:rFonts w:ascii="Times New Roman" w:hAnsi="Times New Roman" w:cs="Times New Roman"/>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spacing w:after="160" w:line="259" w:lineRule="auto"/>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Pr>
      <w:lang w:val="ro-RO"/>
    </w:rPr>
  </w:style>
  <w:style w:type="character" w:styleId="IntenseEmphasis">
    <w:name w:val="Intense Emphasis"/>
    <w:uiPriority w:val="21"/>
    <w:qFormat/>
    <w:rPr>
      <w:i/>
      <w:iCs/>
      <w:color w:val="4F81BD"/>
    </w:rPr>
  </w:style>
  <w:style w:type="paragraph" w:styleId="BalloonText">
    <w:name w:val="Balloon Text"/>
    <w:basedOn w:val="Normal"/>
    <w:link w:val="BalloonTextChar"/>
    <w:uiPriority w:val="99"/>
    <w:semiHidden/>
    <w:unhideWhenUsed/>
    <w:pPr>
      <w:spacing w:after="0" w:line="240" w:lineRule="auto"/>
      <w:jc w:val="both"/>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ListBullet">
    <w:name w:val="List Bullet"/>
    <w:basedOn w:val="Normal"/>
    <w:uiPriority w:val="99"/>
    <w:semiHidden/>
    <w:unhideWhenUsed/>
    <w:pPr>
      <w:numPr>
        <w:numId w:val="16"/>
      </w:numPr>
      <w:spacing w:before="120" w:after="120" w:line="240" w:lineRule="auto"/>
      <w:contextualSpacing/>
      <w:jc w:val="both"/>
    </w:pPr>
    <w:rPr>
      <w:rFonts w:ascii="Times New Roman" w:hAnsi="Times New Roman" w:cs="Times New Roman"/>
      <w:sz w:val="24"/>
    </w:rPr>
  </w:style>
  <w:style w:type="paragraph" w:styleId="ListBullet2">
    <w:name w:val="List Bullet 2"/>
    <w:basedOn w:val="Normal"/>
    <w:uiPriority w:val="99"/>
    <w:semiHidden/>
    <w:unhideWhenUsed/>
    <w:pPr>
      <w:numPr>
        <w:numId w:val="17"/>
      </w:numPr>
      <w:spacing w:before="120" w:after="120" w:line="240" w:lineRule="auto"/>
      <w:contextualSpacing/>
      <w:jc w:val="both"/>
    </w:pPr>
    <w:rPr>
      <w:rFonts w:ascii="Times New Roman" w:hAnsi="Times New Roman" w:cs="Times New Roman"/>
      <w:sz w:val="24"/>
    </w:rPr>
  </w:style>
  <w:style w:type="paragraph" w:styleId="ListBullet3">
    <w:name w:val="List Bullet 3"/>
    <w:basedOn w:val="Normal"/>
    <w:uiPriority w:val="99"/>
    <w:semiHidden/>
    <w:unhideWhenUsed/>
    <w:pPr>
      <w:numPr>
        <w:numId w:val="18"/>
      </w:numPr>
      <w:spacing w:before="120" w:after="120" w:line="240" w:lineRule="auto"/>
      <w:contextualSpacing/>
      <w:jc w:val="both"/>
    </w:pPr>
    <w:rPr>
      <w:rFonts w:ascii="Times New Roman" w:hAnsi="Times New Roman" w:cs="Times New Roman"/>
      <w:sz w:val="24"/>
    </w:rPr>
  </w:style>
  <w:style w:type="paragraph" w:styleId="ListBullet4">
    <w:name w:val="List Bullet 4"/>
    <w:basedOn w:val="Normal"/>
    <w:uiPriority w:val="99"/>
    <w:semiHidden/>
    <w:unhideWhenUsed/>
    <w:pPr>
      <w:numPr>
        <w:numId w:val="19"/>
      </w:numPr>
      <w:spacing w:before="120" w:after="120" w:line="240" w:lineRule="auto"/>
      <w:contextualSpacing/>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rPr>
  </w:style>
  <w:style w:type="paragraph" w:styleId="Revision">
    <w:name w:val="Revision"/>
    <w:hidden/>
    <w:uiPriority w:val="99"/>
    <w:semiHidden/>
    <w:rPr>
      <w:rFonts w:ascii="Times New Roman" w:hAnsi="Times New Roman" w:cs="Times New Roman"/>
      <w:sz w:val="24"/>
      <w:szCs w:val="22"/>
      <w:lang w:eastAsia="en-US"/>
    </w:rPr>
  </w:style>
  <w:style w:type="character" w:styleId="Hyperlink">
    <w:name w:val="Hyperlink"/>
    <w:uiPriority w:val="99"/>
    <w:unhideWhenUsed/>
    <w:rPr>
      <w:color w:val="0000FF"/>
      <w:u w:val="singl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style>
  <w:style w:type="character" w:customStyle="1" w:styleId="normaltextrun">
    <w:name w:val="normaltextrun"/>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link w:val="HeaderCoverPage"/>
    <w:rPr>
      <w:rFonts w:ascii="Times New Roman" w:hAnsi="Times New Roman" w:cs="Times New Roman"/>
      <w:sz w:val="24"/>
      <w:szCs w:val="22"/>
      <w:lang w:eastAsia="en-US"/>
    </w:rPr>
  </w:style>
  <w:style w:type="numbering" w:customStyle="1" w:styleId="NoList2">
    <w:name w:val="No List2"/>
    <w:next w:val="NoList"/>
    <w:uiPriority w:val="99"/>
    <w:semiHidden/>
    <w:unhideWhenUsed/>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IntrtEEEPagedecouverture"/>
  </w:style>
  <w:style w:type="numbering" w:customStyle="1" w:styleId="NoList3">
    <w:name w:val="No List3"/>
    <w:next w:val="NoList"/>
    <w:uiPriority w:val="99"/>
    <w:semiHidden/>
    <w:unhideWhenUsed/>
  </w:style>
  <w:style w:type="character" w:customStyle="1" w:styleId="findhit">
    <w:name w:val="findhit"/>
    <w:basedOn w:val="DefaultParagraphFont"/>
  </w:style>
  <w:style w:type="numbering" w:customStyle="1" w:styleId="NoList4">
    <w:name w:val="No List4"/>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1.xml"/><Relationship Id="rId299" Type="http://schemas.openxmlformats.org/officeDocument/2006/relationships/header" Target="header142.xml"/><Relationship Id="rId303" Type="http://schemas.openxmlformats.org/officeDocument/2006/relationships/header" Target="header144.xml"/><Relationship Id="rId21" Type="http://schemas.openxmlformats.org/officeDocument/2006/relationships/footer" Target="footer5.xml"/><Relationship Id="rId42" Type="http://schemas.openxmlformats.org/officeDocument/2006/relationships/footer" Target="footer14.xml"/><Relationship Id="rId63" Type="http://schemas.openxmlformats.org/officeDocument/2006/relationships/header" Target="header25.xml"/><Relationship Id="rId84" Type="http://schemas.openxmlformats.org/officeDocument/2006/relationships/footer" Target="footer35.xml"/><Relationship Id="rId138" Type="http://schemas.openxmlformats.org/officeDocument/2006/relationships/header" Target="header62.xml"/><Relationship Id="rId159" Type="http://schemas.openxmlformats.org/officeDocument/2006/relationships/header" Target="header72.xml"/><Relationship Id="rId324" Type="http://schemas.openxmlformats.org/officeDocument/2006/relationships/header" Target="header155.xml"/><Relationship Id="rId345" Type="http://schemas.openxmlformats.org/officeDocument/2006/relationships/header" Target="header165.xml"/><Relationship Id="rId170" Type="http://schemas.openxmlformats.org/officeDocument/2006/relationships/footer" Target="footer77.xml"/><Relationship Id="rId191" Type="http://schemas.openxmlformats.org/officeDocument/2006/relationships/header" Target="header88.xml"/><Relationship Id="rId205" Type="http://schemas.openxmlformats.org/officeDocument/2006/relationships/footer" Target="footer94.xml"/><Relationship Id="rId226" Type="http://schemas.openxmlformats.org/officeDocument/2006/relationships/footer" Target="footer105.xml"/><Relationship Id="rId247" Type="http://schemas.openxmlformats.org/officeDocument/2006/relationships/footer" Target="footer115.xml"/><Relationship Id="rId107" Type="http://schemas.openxmlformats.org/officeDocument/2006/relationships/header" Target="header46.xml"/><Relationship Id="rId268" Type="http://schemas.openxmlformats.org/officeDocument/2006/relationships/footer" Target="footer126.xml"/><Relationship Id="rId289" Type="http://schemas.openxmlformats.org/officeDocument/2006/relationships/footer" Target="footer136.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19.xml"/><Relationship Id="rId74" Type="http://schemas.openxmlformats.org/officeDocument/2006/relationships/footer" Target="footer30.xml"/><Relationship Id="rId128" Type="http://schemas.openxmlformats.org/officeDocument/2006/relationships/footer" Target="footer56.xml"/><Relationship Id="rId149" Type="http://schemas.openxmlformats.org/officeDocument/2006/relationships/header" Target="header67.xml"/><Relationship Id="rId314" Type="http://schemas.openxmlformats.org/officeDocument/2006/relationships/footer" Target="footer149.xml"/><Relationship Id="rId335" Type="http://schemas.openxmlformats.org/officeDocument/2006/relationships/header" Target="header160.xml"/><Relationship Id="rId5" Type="http://schemas.openxmlformats.org/officeDocument/2006/relationships/numbering" Target="numbering.xml"/><Relationship Id="rId95" Type="http://schemas.openxmlformats.org/officeDocument/2006/relationships/header" Target="header40.xml"/><Relationship Id="rId160" Type="http://schemas.openxmlformats.org/officeDocument/2006/relationships/footer" Target="footer72.xml"/><Relationship Id="rId181" Type="http://schemas.openxmlformats.org/officeDocument/2006/relationships/footer" Target="footer82.xml"/><Relationship Id="rId216" Type="http://schemas.openxmlformats.org/officeDocument/2006/relationships/header" Target="header101.xml"/><Relationship Id="rId237" Type="http://schemas.openxmlformats.org/officeDocument/2006/relationships/header" Target="header111.xml"/><Relationship Id="rId258" Type="http://schemas.openxmlformats.org/officeDocument/2006/relationships/header" Target="header122.xml"/><Relationship Id="rId279" Type="http://schemas.openxmlformats.org/officeDocument/2006/relationships/header" Target="header132.xml"/><Relationship Id="rId22" Type="http://schemas.openxmlformats.org/officeDocument/2006/relationships/header" Target="header6.xml"/><Relationship Id="rId43" Type="http://schemas.openxmlformats.org/officeDocument/2006/relationships/header" Target="header15.xml"/><Relationship Id="rId64" Type="http://schemas.openxmlformats.org/officeDocument/2006/relationships/header" Target="header26.xml"/><Relationship Id="rId118" Type="http://schemas.openxmlformats.org/officeDocument/2006/relationships/footer" Target="footer51.xml"/><Relationship Id="rId139" Type="http://schemas.openxmlformats.org/officeDocument/2006/relationships/footer" Target="footer61.xml"/><Relationship Id="rId290" Type="http://schemas.openxmlformats.org/officeDocument/2006/relationships/footer" Target="footer137.xml"/><Relationship Id="rId304" Type="http://schemas.openxmlformats.org/officeDocument/2006/relationships/footer" Target="footer144.xml"/><Relationship Id="rId325" Type="http://schemas.openxmlformats.org/officeDocument/2006/relationships/footer" Target="footer154.xml"/><Relationship Id="rId346" Type="http://schemas.openxmlformats.org/officeDocument/2006/relationships/footer" Target="footer165.xml"/><Relationship Id="rId85" Type="http://schemas.openxmlformats.org/officeDocument/2006/relationships/header" Target="header36.xml"/><Relationship Id="rId150" Type="http://schemas.openxmlformats.org/officeDocument/2006/relationships/header" Target="header68.xml"/><Relationship Id="rId171" Type="http://schemas.openxmlformats.org/officeDocument/2006/relationships/header" Target="header78.xml"/><Relationship Id="rId192" Type="http://schemas.openxmlformats.org/officeDocument/2006/relationships/header" Target="header89.xml"/><Relationship Id="rId206" Type="http://schemas.openxmlformats.org/officeDocument/2006/relationships/footer" Target="footer95.xml"/><Relationship Id="rId227" Type="http://schemas.openxmlformats.org/officeDocument/2006/relationships/header" Target="header106.xml"/><Relationship Id="rId248" Type="http://schemas.openxmlformats.org/officeDocument/2006/relationships/footer" Target="footer116.xml"/><Relationship Id="rId269" Type="http://schemas.openxmlformats.org/officeDocument/2006/relationships/header" Target="header127.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7.xml"/><Relationship Id="rId129" Type="http://schemas.openxmlformats.org/officeDocument/2006/relationships/header" Target="header57.xml"/><Relationship Id="rId280" Type="http://schemas.openxmlformats.org/officeDocument/2006/relationships/footer" Target="footer132.xml"/><Relationship Id="rId315" Type="http://schemas.openxmlformats.org/officeDocument/2006/relationships/header" Target="header150.xml"/><Relationship Id="rId336" Type="http://schemas.openxmlformats.org/officeDocument/2006/relationships/header" Target="header161.xml"/><Relationship Id="rId54" Type="http://schemas.openxmlformats.org/officeDocument/2006/relationships/footer" Target="footer20.xml"/><Relationship Id="rId75" Type="http://schemas.openxmlformats.org/officeDocument/2006/relationships/header" Target="header31.xml"/><Relationship Id="rId96" Type="http://schemas.openxmlformats.org/officeDocument/2006/relationships/header" Target="header41.xml"/><Relationship Id="rId140" Type="http://schemas.openxmlformats.org/officeDocument/2006/relationships/footer" Target="footer62.xml"/><Relationship Id="rId161" Type="http://schemas.openxmlformats.org/officeDocument/2006/relationships/header" Target="header73.xml"/><Relationship Id="rId182" Type="http://schemas.openxmlformats.org/officeDocument/2006/relationships/footer" Target="footer83.xml"/><Relationship Id="rId217" Type="http://schemas.openxmlformats.org/officeDocument/2006/relationships/footer" Target="footer100.xml"/><Relationship Id="rId6" Type="http://schemas.openxmlformats.org/officeDocument/2006/relationships/styles" Target="styles.xml"/><Relationship Id="rId238" Type="http://schemas.openxmlformats.org/officeDocument/2006/relationships/footer" Target="footer111.xml"/><Relationship Id="rId259" Type="http://schemas.openxmlformats.org/officeDocument/2006/relationships/footer" Target="footer121.xml"/><Relationship Id="rId23" Type="http://schemas.openxmlformats.org/officeDocument/2006/relationships/footer" Target="footer6.xml"/><Relationship Id="rId119" Type="http://schemas.openxmlformats.org/officeDocument/2006/relationships/header" Target="header52.xml"/><Relationship Id="rId270" Type="http://schemas.openxmlformats.org/officeDocument/2006/relationships/header" Target="header128.xml"/><Relationship Id="rId291" Type="http://schemas.openxmlformats.org/officeDocument/2006/relationships/header" Target="header138.xml"/><Relationship Id="rId305" Type="http://schemas.openxmlformats.org/officeDocument/2006/relationships/header" Target="header145.xml"/><Relationship Id="rId326" Type="http://schemas.openxmlformats.org/officeDocument/2006/relationships/footer" Target="footer155.xml"/><Relationship Id="rId347" Type="http://schemas.openxmlformats.org/officeDocument/2006/relationships/fontTable" Target="fontTable.xml"/><Relationship Id="rId44" Type="http://schemas.openxmlformats.org/officeDocument/2006/relationships/footer" Target="footer15.xml"/><Relationship Id="rId65" Type="http://schemas.openxmlformats.org/officeDocument/2006/relationships/footer" Target="footer25.xml"/><Relationship Id="rId86" Type="http://schemas.openxmlformats.org/officeDocument/2006/relationships/footer" Target="footer36.xml"/><Relationship Id="rId130" Type="http://schemas.openxmlformats.org/officeDocument/2006/relationships/footer" Target="footer57.xml"/><Relationship Id="rId151" Type="http://schemas.openxmlformats.org/officeDocument/2006/relationships/footer" Target="footer67.xml"/><Relationship Id="rId172" Type="http://schemas.openxmlformats.org/officeDocument/2006/relationships/footer" Target="footer78.xml"/><Relationship Id="rId193" Type="http://schemas.openxmlformats.org/officeDocument/2006/relationships/footer" Target="footer88.xml"/><Relationship Id="rId207" Type="http://schemas.openxmlformats.org/officeDocument/2006/relationships/header" Target="header96.xml"/><Relationship Id="rId228" Type="http://schemas.openxmlformats.org/officeDocument/2006/relationships/header" Target="header107.xml"/><Relationship Id="rId249" Type="http://schemas.openxmlformats.org/officeDocument/2006/relationships/header" Target="header117.xml"/><Relationship Id="rId13" Type="http://schemas.openxmlformats.org/officeDocument/2006/relationships/header" Target="header2.xml"/><Relationship Id="rId109" Type="http://schemas.openxmlformats.org/officeDocument/2006/relationships/footer" Target="footer46.xml"/><Relationship Id="rId260" Type="http://schemas.openxmlformats.org/officeDocument/2006/relationships/footer" Target="footer122.xml"/><Relationship Id="rId281" Type="http://schemas.openxmlformats.org/officeDocument/2006/relationships/header" Target="header133.xml"/><Relationship Id="rId316" Type="http://schemas.openxmlformats.org/officeDocument/2006/relationships/footer" Target="footer150.xml"/><Relationship Id="rId337" Type="http://schemas.openxmlformats.org/officeDocument/2006/relationships/footer" Target="footer160.xml"/><Relationship Id="rId34" Type="http://schemas.openxmlformats.org/officeDocument/2006/relationships/header" Target="header12.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footer" Target="footer40.xml"/><Relationship Id="rId120" Type="http://schemas.openxmlformats.org/officeDocument/2006/relationships/header" Target="header53.xml"/><Relationship Id="rId141" Type="http://schemas.openxmlformats.org/officeDocument/2006/relationships/header" Target="header63.xml"/><Relationship Id="rId7" Type="http://schemas.openxmlformats.org/officeDocument/2006/relationships/settings" Target="settings.xml"/><Relationship Id="rId162" Type="http://schemas.openxmlformats.org/officeDocument/2006/relationships/header" Target="header74.xml"/><Relationship Id="rId183" Type="http://schemas.openxmlformats.org/officeDocument/2006/relationships/header" Target="header84.xml"/><Relationship Id="rId218" Type="http://schemas.openxmlformats.org/officeDocument/2006/relationships/footer" Target="footer101.xml"/><Relationship Id="rId239" Type="http://schemas.openxmlformats.org/officeDocument/2006/relationships/header" Target="header112.xml"/><Relationship Id="rId250" Type="http://schemas.openxmlformats.org/officeDocument/2006/relationships/footer" Target="footer117.xml"/><Relationship Id="rId271" Type="http://schemas.openxmlformats.org/officeDocument/2006/relationships/footer" Target="footer127.xml"/><Relationship Id="rId292" Type="http://schemas.openxmlformats.org/officeDocument/2006/relationships/footer" Target="footer138.xml"/><Relationship Id="rId306" Type="http://schemas.openxmlformats.org/officeDocument/2006/relationships/header" Target="header146.xml"/><Relationship Id="rId24" Type="http://schemas.openxmlformats.org/officeDocument/2006/relationships/header" Target="header7.xml"/><Relationship Id="rId45" Type="http://schemas.openxmlformats.org/officeDocument/2006/relationships/header" Target="header16.xml"/><Relationship Id="rId66" Type="http://schemas.openxmlformats.org/officeDocument/2006/relationships/footer" Target="footer26.xml"/><Relationship Id="rId87" Type="http://schemas.openxmlformats.org/officeDocument/2006/relationships/hyperlink" Target="http://www.eprocurement.gov.gr" TargetMode="External"/><Relationship Id="rId110" Type="http://schemas.openxmlformats.org/officeDocument/2006/relationships/footer" Target="footer47.xml"/><Relationship Id="rId131" Type="http://schemas.openxmlformats.org/officeDocument/2006/relationships/header" Target="header58.xml"/><Relationship Id="rId327" Type="http://schemas.openxmlformats.org/officeDocument/2006/relationships/header" Target="header156.xml"/><Relationship Id="rId348" Type="http://schemas.openxmlformats.org/officeDocument/2006/relationships/theme" Target="theme/theme1.xml"/><Relationship Id="rId152" Type="http://schemas.openxmlformats.org/officeDocument/2006/relationships/footer" Target="footer68.xml"/><Relationship Id="rId173" Type="http://schemas.openxmlformats.org/officeDocument/2006/relationships/header" Target="header79.xml"/><Relationship Id="rId194" Type="http://schemas.openxmlformats.org/officeDocument/2006/relationships/footer" Target="footer89.xml"/><Relationship Id="rId208" Type="http://schemas.openxmlformats.org/officeDocument/2006/relationships/footer" Target="footer96.xml"/><Relationship Id="rId229" Type="http://schemas.openxmlformats.org/officeDocument/2006/relationships/footer" Target="footer106.xml"/><Relationship Id="rId240" Type="http://schemas.openxmlformats.org/officeDocument/2006/relationships/header" Target="header113.xml"/><Relationship Id="rId261" Type="http://schemas.openxmlformats.org/officeDocument/2006/relationships/header" Target="header123.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footer" Target="footer42.xml"/><Relationship Id="rId282" Type="http://schemas.openxmlformats.org/officeDocument/2006/relationships/header" Target="header134.xml"/><Relationship Id="rId317" Type="http://schemas.openxmlformats.org/officeDocument/2006/relationships/header" Target="header151.xml"/><Relationship Id="rId338" Type="http://schemas.openxmlformats.org/officeDocument/2006/relationships/footer" Target="footer161.xml"/><Relationship Id="rId8" Type="http://schemas.openxmlformats.org/officeDocument/2006/relationships/webSettings" Target="webSettings.xml"/><Relationship Id="rId98" Type="http://schemas.openxmlformats.org/officeDocument/2006/relationships/footer" Target="footer41.xml"/><Relationship Id="rId121" Type="http://schemas.openxmlformats.org/officeDocument/2006/relationships/footer" Target="footer52.xml"/><Relationship Id="rId142" Type="http://schemas.openxmlformats.org/officeDocument/2006/relationships/footer" Target="footer63.xml"/><Relationship Id="rId163" Type="http://schemas.openxmlformats.org/officeDocument/2006/relationships/footer" Target="footer73.xml"/><Relationship Id="rId184" Type="http://schemas.openxmlformats.org/officeDocument/2006/relationships/footer" Target="footer84.xml"/><Relationship Id="rId219" Type="http://schemas.openxmlformats.org/officeDocument/2006/relationships/header" Target="header102.xml"/><Relationship Id="rId230" Type="http://schemas.openxmlformats.org/officeDocument/2006/relationships/footer" Target="footer107.xml"/><Relationship Id="rId251" Type="http://schemas.openxmlformats.org/officeDocument/2006/relationships/header" Target="header118.xml"/><Relationship Id="rId25" Type="http://schemas.openxmlformats.org/officeDocument/2006/relationships/header" Target="header8.xml"/><Relationship Id="rId46" Type="http://schemas.openxmlformats.org/officeDocument/2006/relationships/header" Target="header17.xml"/><Relationship Id="rId67" Type="http://schemas.openxmlformats.org/officeDocument/2006/relationships/header" Target="header27.xml"/><Relationship Id="rId116" Type="http://schemas.openxmlformats.org/officeDocument/2006/relationships/footer" Target="footer50.xml"/><Relationship Id="rId137" Type="http://schemas.openxmlformats.org/officeDocument/2006/relationships/header" Target="header61.xml"/><Relationship Id="rId158" Type="http://schemas.openxmlformats.org/officeDocument/2006/relationships/footer" Target="footer71.xml"/><Relationship Id="rId272" Type="http://schemas.openxmlformats.org/officeDocument/2006/relationships/footer" Target="footer128.xml"/><Relationship Id="rId293" Type="http://schemas.openxmlformats.org/officeDocument/2006/relationships/header" Target="header139.xml"/><Relationship Id="rId302" Type="http://schemas.openxmlformats.org/officeDocument/2006/relationships/footer" Target="footer143.xml"/><Relationship Id="rId307" Type="http://schemas.openxmlformats.org/officeDocument/2006/relationships/footer" Target="footer145.xml"/><Relationship Id="rId323" Type="http://schemas.openxmlformats.org/officeDocument/2006/relationships/header" Target="header154.xml"/><Relationship Id="rId328" Type="http://schemas.openxmlformats.org/officeDocument/2006/relationships/footer" Target="footer156.xml"/><Relationship Id="rId344" Type="http://schemas.openxmlformats.org/officeDocument/2006/relationships/footer" Target="footer164.xml"/><Relationship Id="rId20" Type="http://schemas.openxmlformats.org/officeDocument/2006/relationships/footer" Target="footer4.xml"/><Relationship Id="rId41" Type="http://schemas.openxmlformats.org/officeDocument/2006/relationships/footer" Target="footer13.xml"/><Relationship Id="rId62" Type="http://schemas.openxmlformats.org/officeDocument/2006/relationships/footer" Target="footer24.xml"/><Relationship Id="rId83" Type="http://schemas.openxmlformats.org/officeDocument/2006/relationships/footer" Target="footer34.xml"/><Relationship Id="rId88" Type="http://schemas.openxmlformats.org/officeDocument/2006/relationships/header" Target="header37.xml"/><Relationship Id="rId111" Type="http://schemas.openxmlformats.org/officeDocument/2006/relationships/header" Target="header48.xml"/><Relationship Id="rId132" Type="http://schemas.openxmlformats.org/officeDocument/2006/relationships/header" Target="header59.xml"/><Relationship Id="rId153" Type="http://schemas.openxmlformats.org/officeDocument/2006/relationships/header" Target="header69.xml"/><Relationship Id="rId174" Type="http://schemas.openxmlformats.org/officeDocument/2006/relationships/header" Target="header80.xml"/><Relationship Id="rId179" Type="http://schemas.openxmlformats.org/officeDocument/2006/relationships/header" Target="header82.xml"/><Relationship Id="rId195" Type="http://schemas.openxmlformats.org/officeDocument/2006/relationships/header" Target="header90.xml"/><Relationship Id="rId209" Type="http://schemas.openxmlformats.org/officeDocument/2006/relationships/header" Target="header97.xml"/><Relationship Id="rId190" Type="http://schemas.openxmlformats.org/officeDocument/2006/relationships/footer" Target="footer87.xml"/><Relationship Id="rId204" Type="http://schemas.openxmlformats.org/officeDocument/2006/relationships/header" Target="header95.xml"/><Relationship Id="rId220" Type="http://schemas.openxmlformats.org/officeDocument/2006/relationships/footer" Target="footer102.xml"/><Relationship Id="rId225" Type="http://schemas.openxmlformats.org/officeDocument/2006/relationships/header" Target="header105.xml"/><Relationship Id="rId241" Type="http://schemas.openxmlformats.org/officeDocument/2006/relationships/footer" Target="footer112.xml"/><Relationship Id="rId246" Type="http://schemas.openxmlformats.org/officeDocument/2006/relationships/header" Target="header116.xml"/><Relationship Id="rId267" Type="http://schemas.openxmlformats.org/officeDocument/2006/relationships/header" Target="header126.xml"/><Relationship Id="rId288" Type="http://schemas.openxmlformats.org/officeDocument/2006/relationships/header" Target="header137.xml"/><Relationship Id="rId15" Type="http://schemas.openxmlformats.org/officeDocument/2006/relationships/footer" Target="footer2.xml"/><Relationship Id="rId36" Type="http://schemas.openxmlformats.org/officeDocument/2006/relationships/hyperlink" Target="https://www.buildingcert.gr/" TargetMode="External"/><Relationship Id="rId57" Type="http://schemas.openxmlformats.org/officeDocument/2006/relationships/header" Target="header22.xml"/><Relationship Id="rId106" Type="http://schemas.openxmlformats.org/officeDocument/2006/relationships/footer" Target="footer45.xml"/><Relationship Id="rId127" Type="http://schemas.openxmlformats.org/officeDocument/2006/relationships/footer" Target="footer55.xml"/><Relationship Id="rId262" Type="http://schemas.openxmlformats.org/officeDocument/2006/relationships/footer" Target="footer123.xml"/><Relationship Id="rId283" Type="http://schemas.openxmlformats.org/officeDocument/2006/relationships/footer" Target="footer133.xml"/><Relationship Id="rId313" Type="http://schemas.openxmlformats.org/officeDocument/2006/relationships/footer" Target="footer148.xml"/><Relationship Id="rId318" Type="http://schemas.openxmlformats.org/officeDocument/2006/relationships/header" Target="header152.xml"/><Relationship Id="rId339" Type="http://schemas.openxmlformats.org/officeDocument/2006/relationships/header" Target="header16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0.xml"/><Relationship Id="rId73" Type="http://schemas.openxmlformats.org/officeDocument/2006/relationships/header" Target="header30.xml"/><Relationship Id="rId78" Type="http://schemas.openxmlformats.org/officeDocument/2006/relationships/footer" Target="footer32.xml"/><Relationship Id="rId94" Type="http://schemas.openxmlformats.org/officeDocument/2006/relationships/hyperlink" Target="http://myfoto.gov.gr/" TargetMode="External"/><Relationship Id="rId99" Type="http://schemas.openxmlformats.org/officeDocument/2006/relationships/header" Target="header42.xml"/><Relationship Id="rId101" Type="http://schemas.openxmlformats.org/officeDocument/2006/relationships/header" Target="header43.xml"/><Relationship Id="rId122" Type="http://schemas.openxmlformats.org/officeDocument/2006/relationships/footer" Target="footer53.xml"/><Relationship Id="rId143" Type="http://schemas.openxmlformats.org/officeDocument/2006/relationships/header" Target="header64.xml"/><Relationship Id="rId148" Type="http://schemas.openxmlformats.org/officeDocument/2006/relationships/footer" Target="footer66.xml"/><Relationship Id="rId164" Type="http://schemas.openxmlformats.org/officeDocument/2006/relationships/footer" Target="footer74.xml"/><Relationship Id="rId169" Type="http://schemas.openxmlformats.org/officeDocument/2006/relationships/footer" Target="footer76.xml"/><Relationship Id="rId185" Type="http://schemas.openxmlformats.org/officeDocument/2006/relationships/header" Target="header85.xml"/><Relationship Id="rId334" Type="http://schemas.openxmlformats.org/officeDocument/2006/relationships/footer" Target="footer159.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83.xml"/><Relationship Id="rId210" Type="http://schemas.openxmlformats.org/officeDocument/2006/relationships/header" Target="header98.xml"/><Relationship Id="rId215" Type="http://schemas.openxmlformats.org/officeDocument/2006/relationships/header" Target="header100.xml"/><Relationship Id="rId236" Type="http://schemas.openxmlformats.org/officeDocument/2006/relationships/footer" Target="footer110.xml"/><Relationship Id="rId257" Type="http://schemas.openxmlformats.org/officeDocument/2006/relationships/header" Target="header121.xml"/><Relationship Id="rId278" Type="http://schemas.openxmlformats.org/officeDocument/2006/relationships/footer" Target="footer131.xml"/><Relationship Id="rId26" Type="http://schemas.openxmlformats.org/officeDocument/2006/relationships/footer" Target="footer7.xml"/><Relationship Id="rId231" Type="http://schemas.openxmlformats.org/officeDocument/2006/relationships/header" Target="header108.xml"/><Relationship Id="rId252" Type="http://schemas.openxmlformats.org/officeDocument/2006/relationships/header" Target="header119.xml"/><Relationship Id="rId273" Type="http://schemas.openxmlformats.org/officeDocument/2006/relationships/header" Target="header129.xml"/><Relationship Id="rId294" Type="http://schemas.openxmlformats.org/officeDocument/2006/relationships/header" Target="header140.xml"/><Relationship Id="rId308" Type="http://schemas.openxmlformats.org/officeDocument/2006/relationships/footer" Target="footer146.xml"/><Relationship Id="rId329" Type="http://schemas.openxmlformats.org/officeDocument/2006/relationships/header" Target="header157.xml"/><Relationship Id="rId47" Type="http://schemas.openxmlformats.org/officeDocument/2006/relationships/footer" Target="footer16.xml"/><Relationship Id="rId68" Type="http://schemas.openxmlformats.org/officeDocument/2006/relationships/footer" Target="footer27.xml"/><Relationship Id="rId89" Type="http://schemas.openxmlformats.org/officeDocument/2006/relationships/header" Target="header38.xml"/><Relationship Id="rId112" Type="http://schemas.openxmlformats.org/officeDocument/2006/relationships/footer" Target="footer48.xml"/><Relationship Id="rId133" Type="http://schemas.openxmlformats.org/officeDocument/2006/relationships/footer" Target="footer58.xml"/><Relationship Id="rId154" Type="http://schemas.openxmlformats.org/officeDocument/2006/relationships/footer" Target="footer69.xml"/><Relationship Id="rId175" Type="http://schemas.openxmlformats.org/officeDocument/2006/relationships/footer" Target="footer79.xml"/><Relationship Id="rId340" Type="http://schemas.openxmlformats.org/officeDocument/2006/relationships/footer" Target="footer162.xml"/><Relationship Id="rId196" Type="http://schemas.openxmlformats.org/officeDocument/2006/relationships/footer" Target="footer90.xml"/><Relationship Id="rId200" Type="http://schemas.openxmlformats.org/officeDocument/2006/relationships/footer" Target="footer92.xml"/><Relationship Id="rId16" Type="http://schemas.openxmlformats.org/officeDocument/2006/relationships/header" Target="header3.xml"/><Relationship Id="rId221" Type="http://schemas.openxmlformats.org/officeDocument/2006/relationships/header" Target="header103.xml"/><Relationship Id="rId242" Type="http://schemas.openxmlformats.org/officeDocument/2006/relationships/footer" Target="footer113.xml"/><Relationship Id="rId263" Type="http://schemas.openxmlformats.org/officeDocument/2006/relationships/header" Target="header124.xml"/><Relationship Id="rId284" Type="http://schemas.openxmlformats.org/officeDocument/2006/relationships/footer" Target="footer134.xml"/><Relationship Id="rId319" Type="http://schemas.openxmlformats.org/officeDocument/2006/relationships/footer" Target="footer151.xml"/><Relationship Id="rId37" Type="http://schemas.openxmlformats.org/officeDocument/2006/relationships/hyperlink" Target="https://www.buildingcert.gr/" TargetMode="External"/><Relationship Id="rId58" Type="http://schemas.openxmlformats.org/officeDocument/2006/relationships/header" Target="header23.xml"/><Relationship Id="rId79" Type="http://schemas.openxmlformats.org/officeDocument/2006/relationships/header" Target="header33.xml"/><Relationship Id="rId102" Type="http://schemas.openxmlformats.org/officeDocument/2006/relationships/header" Target="header44.xml"/><Relationship Id="rId123" Type="http://schemas.openxmlformats.org/officeDocument/2006/relationships/header" Target="header54.xml"/><Relationship Id="rId144" Type="http://schemas.openxmlformats.org/officeDocument/2006/relationships/header" Target="header65.xml"/><Relationship Id="rId330" Type="http://schemas.openxmlformats.org/officeDocument/2006/relationships/header" Target="header158.xml"/><Relationship Id="rId90" Type="http://schemas.openxmlformats.org/officeDocument/2006/relationships/footer" Target="footer37.xml"/><Relationship Id="rId165" Type="http://schemas.openxmlformats.org/officeDocument/2006/relationships/header" Target="header75.xml"/><Relationship Id="rId186" Type="http://schemas.openxmlformats.org/officeDocument/2006/relationships/header" Target="header86.xml"/><Relationship Id="rId211" Type="http://schemas.openxmlformats.org/officeDocument/2006/relationships/footer" Target="footer97.xml"/><Relationship Id="rId232" Type="http://schemas.openxmlformats.org/officeDocument/2006/relationships/footer" Target="footer108.xml"/><Relationship Id="rId253" Type="http://schemas.openxmlformats.org/officeDocument/2006/relationships/footer" Target="footer118.xml"/><Relationship Id="rId274" Type="http://schemas.openxmlformats.org/officeDocument/2006/relationships/footer" Target="footer129.xml"/><Relationship Id="rId295" Type="http://schemas.openxmlformats.org/officeDocument/2006/relationships/footer" Target="footer139.xml"/><Relationship Id="rId309" Type="http://schemas.openxmlformats.org/officeDocument/2006/relationships/header" Target="header147.xml"/><Relationship Id="rId27" Type="http://schemas.openxmlformats.org/officeDocument/2006/relationships/footer" Target="footer8.xml"/><Relationship Id="rId48" Type="http://schemas.openxmlformats.org/officeDocument/2006/relationships/footer" Target="footer17.xml"/><Relationship Id="rId69" Type="http://schemas.openxmlformats.org/officeDocument/2006/relationships/header" Target="header28.xml"/><Relationship Id="rId113" Type="http://schemas.openxmlformats.org/officeDocument/2006/relationships/header" Target="header49.xml"/><Relationship Id="rId134" Type="http://schemas.openxmlformats.org/officeDocument/2006/relationships/footer" Target="footer59.xml"/><Relationship Id="rId320" Type="http://schemas.openxmlformats.org/officeDocument/2006/relationships/footer" Target="footer152.xml"/><Relationship Id="rId80" Type="http://schemas.openxmlformats.org/officeDocument/2006/relationships/footer" Target="footer33.xml"/><Relationship Id="rId155" Type="http://schemas.openxmlformats.org/officeDocument/2006/relationships/header" Target="header70.xml"/><Relationship Id="rId176" Type="http://schemas.openxmlformats.org/officeDocument/2006/relationships/footer" Target="footer80.xml"/><Relationship Id="rId197" Type="http://schemas.openxmlformats.org/officeDocument/2006/relationships/header" Target="header91.xml"/><Relationship Id="rId341" Type="http://schemas.openxmlformats.org/officeDocument/2006/relationships/header" Target="header163.xml"/><Relationship Id="rId201" Type="http://schemas.openxmlformats.org/officeDocument/2006/relationships/header" Target="header93.xml"/><Relationship Id="rId222" Type="http://schemas.openxmlformats.org/officeDocument/2006/relationships/header" Target="header104.xml"/><Relationship Id="rId243" Type="http://schemas.openxmlformats.org/officeDocument/2006/relationships/header" Target="header114.xml"/><Relationship Id="rId264" Type="http://schemas.openxmlformats.org/officeDocument/2006/relationships/header" Target="header125.xml"/><Relationship Id="rId285" Type="http://schemas.openxmlformats.org/officeDocument/2006/relationships/header" Target="header135.xml"/><Relationship Id="rId17" Type="http://schemas.openxmlformats.org/officeDocument/2006/relationships/footer" Target="footer3.xml"/><Relationship Id="rId38" Type="http://schemas.openxmlformats.org/officeDocument/2006/relationships/hyperlink" Target="https://www.buildingcert.gr/" TargetMode="External"/><Relationship Id="rId59" Type="http://schemas.openxmlformats.org/officeDocument/2006/relationships/footer" Target="footer22.xml"/><Relationship Id="rId103" Type="http://schemas.openxmlformats.org/officeDocument/2006/relationships/footer" Target="footer43.xml"/><Relationship Id="rId124" Type="http://schemas.openxmlformats.org/officeDocument/2006/relationships/footer" Target="footer54.xml"/><Relationship Id="rId310" Type="http://schemas.openxmlformats.org/officeDocument/2006/relationships/footer" Target="footer147.xml"/><Relationship Id="rId70" Type="http://schemas.openxmlformats.org/officeDocument/2006/relationships/header" Target="header29.xml"/><Relationship Id="rId91" Type="http://schemas.openxmlformats.org/officeDocument/2006/relationships/footer" Target="footer38.xml"/><Relationship Id="rId145" Type="http://schemas.openxmlformats.org/officeDocument/2006/relationships/footer" Target="footer64.xml"/><Relationship Id="rId166" Type="http://schemas.openxmlformats.org/officeDocument/2006/relationships/footer" Target="footer75.xml"/><Relationship Id="rId187" Type="http://schemas.openxmlformats.org/officeDocument/2006/relationships/footer" Target="footer85.xml"/><Relationship Id="rId331" Type="http://schemas.openxmlformats.org/officeDocument/2006/relationships/footer" Target="footer157.xml"/><Relationship Id="rId1" Type="http://schemas.openxmlformats.org/officeDocument/2006/relationships/customXml" Target="../customXml/item1.xml"/><Relationship Id="rId212" Type="http://schemas.openxmlformats.org/officeDocument/2006/relationships/footer" Target="footer98.xml"/><Relationship Id="rId233" Type="http://schemas.openxmlformats.org/officeDocument/2006/relationships/header" Target="header109.xml"/><Relationship Id="rId254" Type="http://schemas.openxmlformats.org/officeDocument/2006/relationships/footer" Target="footer119.xml"/><Relationship Id="rId28" Type="http://schemas.openxmlformats.org/officeDocument/2006/relationships/header" Target="header9.xml"/><Relationship Id="rId49" Type="http://schemas.openxmlformats.org/officeDocument/2006/relationships/header" Target="header18.xml"/><Relationship Id="rId114" Type="http://schemas.openxmlformats.org/officeDocument/2006/relationships/header" Target="header50.xml"/><Relationship Id="rId275" Type="http://schemas.openxmlformats.org/officeDocument/2006/relationships/header" Target="header130.xml"/><Relationship Id="rId296" Type="http://schemas.openxmlformats.org/officeDocument/2006/relationships/footer" Target="footer140.xml"/><Relationship Id="rId300" Type="http://schemas.openxmlformats.org/officeDocument/2006/relationships/header" Target="header143.xml"/><Relationship Id="rId60" Type="http://schemas.openxmlformats.org/officeDocument/2006/relationships/footer" Target="footer23.xml"/><Relationship Id="rId81" Type="http://schemas.openxmlformats.org/officeDocument/2006/relationships/header" Target="header34.xml"/><Relationship Id="rId135" Type="http://schemas.openxmlformats.org/officeDocument/2006/relationships/header" Target="header60.xml"/><Relationship Id="rId156" Type="http://schemas.openxmlformats.org/officeDocument/2006/relationships/header" Target="header71.xml"/><Relationship Id="rId177" Type="http://schemas.openxmlformats.org/officeDocument/2006/relationships/header" Target="header81.xml"/><Relationship Id="rId198" Type="http://schemas.openxmlformats.org/officeDocument/2006/relationships/header" Target="header92.xml"/><Relationship Id="rId321" Type="http://schemas.openxmlformats.org/officeDocument/2006/relationships/header" Target="header153.xml"/><Relationship Id="rId342" Type="http://schemas.openxmlformats.org/officeDocument/2006/relationships/header" Target="header164.xml"/><Relationship Id="rId202" Type="http://schemas.openxmlformats.org/officeDocument/2006/relationships/footer" Target="footer93.xml"/><Relationship Id="rId223" Type="http://schemas.openxmlformats.org/officeDocument/2006/relationships/footer" Target="footer103.xml"/><Relationship Id="rId244" Type="http://schemas.openxmlformats.org/officeDocument/2006/relationships/footer" Target="footer114.xml"/><Relationship Id="rId18" Type="http://schemas.openxmlformats.org/officeDocument/2006/relationships/header" Target="header4.xml"/><Relationship Id="rId39" Type="http://schemas.openxmlformats.org/officeDocument/2006/relationships/header" Target="header13.xml"/><Relationship Id="rId265" Type="http://schemas.openxmlformats.org/officeDocument/2006/relationships/footer" Target="footer124.xml"/><Relationship Id="rId286" Type="http://schemas.openxmlformats.org/officeDocument/2006/relationships/footer" Target="footer135.xml"/><Relationship Id="rId50" Type="http://schemas.openxmlformats.org/officeDocument/2006/relationships/footer" Target="footer18.xml"/><Relationship Id="rId104" Type="http://schemas.openxmlformats.org/officeDocument/2006/relationships/footer" Target="footer44.xml"/><Relationship Id="rId125" Type="http://schemas.openxmlformats.org/officeDocument/2006/relationships/header" Target="header55.xml"/><Relationship Id="rId146" Type="http://schemas.openxmlformats.org/officeDocument/2006/relationships/footer" Target="footer65.xml"/><Relationship Id="rId167" Type="http://schemas.openxmlformats.org/officeDocument/2006/relationships/header" Target="header76.xml"/><Relationship Id="rId188" Type="http://schemas.openxmlformats.org/officeDocument/2006/relationships/footer" Target="footer86.xml"/><Relationship Id="rId311" Type="http://schemas.openxmlformats.org/officeDocument/2006/relationships/header" Target="header148.xml"/><Relationship Id="rId332" Type="http://schemas.openxmlformats.org/officeDocument/2006/relationships/footer" Target="footer158.xml"/><Relationship Id="rId71" Type="http://schemas.openxmlformats.org/officeDocument/2006/relationships/footer" Target="footer28.xml"/><Relationship Id="rId92" Type="http://schemas.openxmlformats.org/officeDocument/2006/relationships/header" Target="header39.xml"/><Relationship Id="rId213" Type="http://schemas.openxmlformats.org/officeDocument/2006/relationships/header" Target="header99.xml"/><Relationship Id="rId234" Type="http://schemas.openxmlformats.org/officeDocument/2006/relationships/header" Target="header110.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header" Target="header120.xml"/><Relationship Id="rId276" Type="http://schemas.openxmlformats.org/officeDocument/2006/relationships/header" Target="header131.xml"/><Relationship Id="rId297" Type="http://schemas.openxmlformats.org/officeDocument/2006/relationships/header" Target="header141.xml"/><Relationship Id="rId40" Type="http://schemas.openxmlformats.org/officeDocument/2006/relationships/header" Target="header14.xml"/><Relationship Id="rId115" Type="http://schemas.openxmlformats.org/officeDocument/2006/relationships/footer" Target="footer49.xml"/><Relationship Id="rId136" Type="http://schemas.openxmlformats.org/officeDocument/2006/relationships/footer" Target="footer60.xml"/><Relationship Id="rId157" Type="http://schemas.openxmlformats.org/officeDocument/2006/relationships/footer" Target="footer70.xml"/><Relationship Id="rId178" Type="http://schemas.openxmlformats.org/officeDocument/2006/relationships/footer" Target="footer81.xml"/><Relationship Id="rId301" Type="http://schemas.openxmlformats.org/officeDocument/2006/relationships/footer" Target="footer142.xml"/><Relationship Id="rId322" Type="http://schemas.openxmlformats.org/officeDocument/2006/relationships/footer" Target="footer153.xml"/><Relationship Id="rId343" Type="http://schemas.openxmlformats.org/officeDocument/2006/relationships/footer" Target="footer163.xml"/><Relationship Id="rId61" Type="http://schemas.openxmlformats.org/officeDocument/2006/relationships/header" Target="header24.xml"/><Relationship Id="rId82" Type="http://schemas.openxmlformats.org/officeDocument/2006/relationships/header" Target="header35.xml"/><Relationship Id="rId199" Type="http://schemas.openxmlformats.org/officeDocument/2006/relationships/footer" Target="footer91.xml"/><Relationship Id="rId203" Type="http://schemas.openxmlformats.org/officeDocument/2006/relationships/header" Target="header94.xml"/><Relationship Id="rId19" Type="http://schemas.openxmlformats.org/officeDocument/2006/relationships/header" Target="header5.xml"/><Relationship Id="rId224" Type="http://schemas.openxmlformats.org/officeDocument/2006/relationships/footer" Target="footer104.xml"/><Relationship Id="rId245" Type="http://schemas.openxmlformats.org/officeDocument/2006/relationships/header" Target="header115.xml"/><Relationship Id="rId266" Type="http://schemas.openxmlformats.org/officeDocument/2006/relationships/footer" Target="footer125.xml"/><Relationship Id="rId287" Type="http://schemas.openxmlformats.org/officeDocument/2006/relationships/header" Target="header136.xml"/><Relationship Id="rId30" Type="http://schemas.openxmlformats.org/officeDocument/2006/relationships/header" Target="header10.xml"/><Relationship Id="rId105" Type="http://schemas.openxmlformats.org/officeDocument/2006/relationships/header" Target="header45.xml"/><Relationship Id="rId126" Type="http://schemas.openxmlformats.org/officeDocument/2006/relationships/header" Target="header56.xml"/><Relationship Id="rId147" Type="http://schemas.openxmlformats.org/officeDocument/2006/relationships/header" Target="header66.xml"/><Relationship Id="rId168" Type="http://schemas.openxmlformats.org/officeDocument/2006/relationships/header" Target="header77.xml"/><Relationship Id="rId312" Type="http://schemas.openxmlformats.org/officeDocument/2006/relationships/header" Target="header149.xml"/><Relationship Id="rId333" Type="http://schemas.openxmlformats.org/officeDocument/2006/relationships/header" Target="header159.xml"/><Relationship Id="rId51" Type="http://schemas.openxmlformats.org/officeDocument/2006/relationships/header" Target="header19.xml"/><Relationship Id="rId72" Type="http://schemas.openxmlformats.org/officeDocument/2006/relationships/footer" Target="footer29.xml"/><Relationship Id="rId93" Type="http://schemas.openxmlformats.org/officeDocument/2006/relationships/footer" Target="footer39.xml"/><Relationship Id="rId189" Type="http://schemas.openxmlformats.org/officeDocument/2006/relationships/header" Target="header87.xml"/><Relationship Id="rId3" Type="http://schemas.openxmlformats.org/officeDocument/2006/relationships/customXml" Target="../customXml/item3.xml"/><Relationship Id="rId214" Type="http://schemas.openxmlformats.org/officeDocument/2006/relationships/footer" Target="footer99.xml"/><Relationship Id="rId235" Type="http://schemas.openxmlformats.org/officeDocument/2006/relationships/footer" Target="footer109.xml"/><Relationship Id="rId256" Type="http://schemas.openxmlformats.org/officeDocument/2006/relationships/footer" Target="footer120.xml"/><Relationship Id="rId277" Type="http://schemas.openxmlformats.org/officeDocument/2006/relationships/footer" Target="footer130.xml"/><Relationship Id="rId298" Type="http://schemas.openxmlformats.org/officeDocument/2006/relationships/footer" Target="footer1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Reference><EC_Collab_DocumentLanguage xmlns="$ListId:Shared Documents;">EN</EC_Collab_DocumentLanguage></documentManagement></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DF1E-2E9D-46F3-9339-5FBAA9A84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E2B32-C235-489A-BB4D-493A46AD46A7}">
  <ds:schemaRefs>
    <ds:schemaRef ds:uri="http://schemas.microsoft.com/sharepoint/v3/contenttype/forms"/>
  </ds:schemaRefs>
</ds:datastoreItem>
</file>

<file path=customXml/itemProps3.xml><?xml version="1.0" encoding="utf-8"?>
<ds:datastoreItem xmlns:ds="http://schemas.openxmlformats.org/officeDocument/2006/customXml" ds:itemID="{0698F1C4-92B4-4FA4-9B48-0F02F4809976}">
  <ds:schemaRefs>
    <ds:schemaRef ds:uri="http://schemas.microsoft.com/office/2006/documentManagement/types"/>
    <ds:schemaRef ds:uri="http://schemas.microsoft.com/office/infopath/2007/PartnerControls"/>
    <ds:schemaRef ds:uri="$ListId:Shared Documents;"/>
    <ds:schemaRef ds:uri="http://purl.org/dc/elements/1.1/"/>
    <ds:schemaRef ds:uri="http://schemas.microsoft.com/office/2006/metadata/properties"/>
    <ds:schemaRef ds:uri="37c275fd-9572-4d80-bb3f-e0295c71b8c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7269431-45FF-436A-BB1D-C13C0338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87084</Words>
  <Characters>563440</Characters>
  <Application>Microsoft Office Word</Application>
  <DocSecurity>0</DocSecurity>
  <Lines>21670</Lines>
  <Paragraphs>6920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DUBUSSE Christine (TAXUD)</dc:creator>
  <cp:keywords/>
  <dc:description/>
  <cp:lastModifiedBy>KOUTZIAVASILI Dimitra (SG)</cp:lastModifiedBy>
  <cp:revision>17</cp:revision>
  <dcterms:created xsi:type="dcterms:W3CDTF">2021-06-17T08:19:00Z</dcterms:created>
  <dcterms:modified xsi:type="dcterms:W3CDTF">2021-06-17T15:55:00Z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7.0.1, Build 20200226</vt:lpwstr>
  </property>
  <property fmtid="{D5CDD505-2E9C-101B-9397-08002B2CF9AE}" pid="10" name="Created using">
    <vt:lpwstr>LW 7.0.1, Build 20190916</vt:lpwstr>
  </property>
  <property fmtid="{D5CDD505-2E9C-101B-9397-08002B2CF9AE}" pid="11" name="_LW_INVALIDATED__LW_INVALIDATED__LW_INVALIDATED__LW_INVALIDATED__LW_INVALIDATED__LW_INVALIDATED__LW_INVALIDATED__LW_INVALIDATED_ContentTypeId">
    <vt:lpwstr>0x010100258AA79CEB83498886A3A08681123250006FCFE00C5D85F84383A4CB18CE3724D2</vt:lpwstr>
  </property>
  <property fmtid="{D5CDD505-2E9C-101B-9397-08002B2CF9AE}" pid="12" name="_LW_INVALIDATED__LW_INVALIDATED__LW_INVALIDATED__LW_INVALIDATED__LW_INVALIDATED_ContentTypeId">
    <vt:lpwstr>0x010100258AA79CEB83498886A3A08681123250006FCFE00C5D85F84383A4CB18CE3724D2</vt:lpwstr>
  </property>
</Properties>
</file>